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7D" w:rsidRPr="00280F86" w:rsidRDefault="00A53D7D" w:rsidP="00E1736C">
      <w:pPr>
        <w:pBdr>
          <w:bottom w:val="single" w:sz="12" w:space="0" w:color="auto"/>
        </w:pBdr>
        <w:spacing w:before="1560"/>
        <w:jc w:val="center"/>
        <w:rPr>
          <w:rFonts w:ascii="Calibri" w:hAnsi="Calibri"/>
          <w:b/>
          <w:sz w:val="52"/>
          <w:szCs w:val="52"/>
        </w:rPr>
      </w:pPr>
      <w:r w:rsidRPr="00280F86">
        <w:rPr>
          <w:rFonts w:ascii="Calibri" w:hAnsi="Calibri"/>
          <w:b/>
          <w:sz w:val="52"/>
          <w:szCs w:val="52"/>
        </w:rPr>
        <w:t>Service Delivery</w:t>
      </w:r>
    </w:p>
    <w:p w:rsidR="00A53D7D" w:rsidRPr="00280F86" w:rsidRDefault="00A53D7D" w:rsidP="00E1736C">
      <w:pPr>
        <w:jc w:val="center"/>
        <w:rPr>
          <w:rFonts w:ascii="Calibri" w:hAnsi="Calibri"/>
          <w:b/>
          <w:sz w:val="52"/>
          <w:szCs w:val="52"/>
        </w:rPr>
      </w:pPr>
      <w:r w:rsidRPr="00280F86">
        <w:rPr>
          <w:rFonts w:ascii="Calibri" w:hAnsi="Calibri"/>
          <w:b/>
          <w:sz w:val="52"/>
          <w:szCs w:val="52"/>
        </w:rPr>
        <w:t>201</w:t>
      </w:r>
      <w:r>
        <w:rPr>
          <w:rFonts w:ascii="Calibri" w:hAnsi="Calibri"/>
          <w:b/>
          <w:sz w:val="52"/>
          <w:szCs w:val="52"/>
        </w:rPr>
        <w:t>4</w:t>
      </w:r>
      <w:r>
        <w:rPr>
          <w:rFonts w:ascii="Calibri" w:hAnsi="Calibri"/>
          <w:b/>
          <w:sz w:val="52"/>
          <w:szCs w:val="52"/>
        </w:rPr>
        <w:noBreakHyphen/>
      </w:r>
      <w:r w:rsidRPr="00280F86">
        <w:rPr>
          <w:rFonts w:ascii="Calibri" w:hAnsi="Calibri"/>
          <w:b/>
          <w:sz w:val="52"/>
          <w:szCs w:val="52"/>
        </w:rPr>
        <w:t>1</w:t>
      </w:r>
      <w:r>
        <w:rPr>
          <w:rFonts w:ascii="Calibri" w:hAnsi="Calibri"/>
          <w:b/>
          <w:sz w:val="52"/>
          <w:szCs w:val="52"/>
        </w:rPr>
        <w:t>5</w:t>
      </w:r>
    </w:p>
    <w:p w:rsidR="00A53D7D" w:rsidRPr="00280F86" w:rsidRDefault="00A53D7D" w:rsidP="00E1736C">
      <w:pPr>
        <w:jc w:val="center"/>
        <w:rPr>
          <w:rFonts w:ascii="Calibri" w:hAnsi="Calibri"/>
          <w:sz w:val="30"/>
          <w:szCs w:val="30"/>
        </w:rPr>
      </w:pPr>
    </w:p>
    <w:p w:rsidR="00A53D7D" w:rsidRDefault="00A53D7D" w:rsidP="00E1736C">
      <w:pPr>
        <w:jc w:val="center"/>
      </w:pPr>
      <w:r w:rsidRPr="004C4778">
        <w:rPr>
          <w:rFonts w:ascii="AvantGarde Bk BT" w:hAnsi="AvantGarde Bk BT"/>
          <w:sz w:val="30"/>
          <w:szCs w:val="30"/>
        </w:rPr>
        <w:object w:dxaOrig="7261" w:dyaOrig="9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94.4pt" o:ole="" fillcolor="window">
            <v:imagedata r:id="rId9" o:title=""/>
          </v:shape>
          <o:OLEObject Type="Embed" ProgID="MSDraw.1.01" ShapeID="_x0000_i1025" DrawAspect="Content" ObjectID="_1480860493" r:id="rId10">
            <o:FieldCodes>\* MERGEFORMAT</o:FieldCodes>
          </o:OLEObject>
        </w:object>
      </w:r>
    </w:p>
    <w:p w:rsidR="00A53D7D" w:rsidRPr="00280F86" w:rsidRDefault="00A53D7D" w:rsidP="00E1736C">
      <w:pPr>
        <w:jc w:val="center"/>
        <w:rPr>
          <w:rFonts w:ascii="Calibri" w:hAnsi="Calibri"/>
          <w:sz w:val="30"/>
          <w:szCs w:val="30"/>
        </w:rPr>
      </w:pPr>
    </w:p>
    <w:p w:rsidR="00A53D7D" w:rsidRPr="00280F86" w:rsidRDefault="00A53D7D" w:rsidP="00E1736C">
      <w:pPr>
        <w:jc w:val="center"/>
        <w:rPr>
          <w:rFonts w:ascii="Calibri" w:hAnsi="Calibri"/>
          <w:sz w:val="30"/>
          <w:szCs w:val="30"/>
        </w:rPr>
      </w:pPr>
    </w:p>
    <w:p w:rsidR="00A53D7D" w:rsidRPr="00280F86" w:rsidRDefault="00A53D7D" w:rsidP="00E1736C">
      <w:pPr>
        <w:jc w:val="center"/>
        <w:rPr>
          <w:rFonts w:ascii="Calibri" w:hAnsi="Calibri"/>
          <w:sz w:val="28"/>
          <w:szCs w:val="28"/>
        </w:rPr>
      </w:pPr>
      <w:r w:rsidRPr="00280F86">
        <w:rPr>
          <w:rFonts w:ascii="Calibri" w:hAnsi="Calibri"/>
          <w:sz w:val="28"/>
          <w:szCs w:val="28"/>
        </w:rPr>
        <w:t>Presented by</w:t>
      </w:r>
    </w:p>
    <w:p w:rsidR="00A53D7D" w:rsidRPr="00280F86" w:rsidRDefault="00A53D7D" w:rsidP="00E1736C">
      <w:pPr>
        <w:jc w:val="center"/>
        <w:rPr>
          <w:rFonts w:ascii="Calibri" w:hAnsi="Calibri"/>
          <w:b/>
          <w:sz w:val="40"/>
          <w:szCs w:val="40"/>
        </w:rPr>
      </w:pPr>
      <w:r>
        <w:rPr>
          <w:rFonts w:ascii="Calibri" w:hAnsi="Calibri"/>
          <w:b/>
          <w:sz w:val="40"/>
          <w:szCs w:val="40"/>
        </w:rPr>
        <w:t>The Hon. Michael O’Brien</w:t>
      </w:r>
      <w:r w:rsidRPr="00280F86">
        <w:rPr>
          <w:rFonts w:ascii="Calibri" w:hAnsi="Calibri"/>
          <w:b/>
          <w:sz w:val="40"/>
          <w:szCs w:val="40"/>
        </w:rPr>
        <w:t xml:space="preserve"> MP</w:t>
      </w:r>
    </w:p>
    <w:p w:rsidR="00A53D7D" w:rsidRPr="00280F86" w:rsidRDefault="00A53D7D" w:rsidP="00E1736C">
      <w:pPr>
        <w:jc w:val="center"/>
        <w:rPr>
          <w:rFonts w:ascii="Calibri" w:hAnsi="Calibri"/>
          <w:sz w:val="36"/>
          <w:szCs w:val="36"/>
        </w:rPr>
      </w:pPr>
      <w:r w:rsidRPr="00280F86">
        <w:rPr>
          <w:rFonts w:ascii="Calibri" w:hAnsi="Calibri"/>
          <w:sz w:val="36"/>
          <w:szCs w:val="36"/>
        </w:rPr>
        <w:t>Treasurer of the State of Victoria</w:t>
      </w:r>
    </w:p>
    <w:p w:rsidR="00A53D7D" w:rsidRPr="00280F86" w:rsidRDefault="00A53D7D" w:rsidP="00E1736C">
      <w:pPr>
        <w:jc w:val="center"/>
        <w:rPr>
          <w:rFonts w:ascii="Calibri" w:hAnsi="Calibri"/>
          <w:sz w:val="30"/>
          <w:szCs w:val="30"/>
        </w:rPr>
      </w:pPr>
      <w:proofErr w:type="gramStart"/>
      <w:r w:rsidRPr="00280F86">
        <w:rPr>
          <w:rFonts w:ascii="Calibri" w:hAnsi="Calibri"/>
          <w:sz w:val="30"/>
          <w:szCs w:val="30"/>
        </w:rPr>
        <w:t>for</w:t>
      </w:r>
      <w:proofErr w:type="gramEnd"/>
      <w:r w:rsidRPr="00280F86">
        <w:rPr>
          <w:rFonts w:ascii="Calibri" w:hAnsi="Calibri"/>
          <w:sz w:val="30"/>
          <w:szCs w:val="30"/>
        </w:rPr>
        <w:t xml:space="preserve"> the information of Honourable Members</w:t>
      </w:r>
    </w:p>
    <w:p w:rsidR="00A53D7D" w:rsidRPr="00280F86" w:rsidRDefault="00A53D7D" w:rsidP="00E1736C">
      <w:pPr>
        <w:jc w:val="center"/>
        <w:rPr>
          <w:rFonts w:ascii="Calibri" w:hAnsi="Calibri"/>
          <w:sz w:val="36"/>
          <w:szCs w:val="36"/>
        </w:rPr>
      </w:pPr>
    </w:p>
    <w:p w:rsidR="00A53D7D" w:rsidRPr="00E279C9" w:rsidRDefault="00A53D7D" w:rsidP="00E1736C">
      <w:pPr>
        <w:jc w:val="center"/>
        <w:rPr>
          <w:rFonts w:ascii="Calibri" w:hAnsi="Calibri"/>
          <w:b/>
          <w:sz w:val="36"/>
          <w:szCs w:val="36"/>
        </w:rPr>
      </w:pPr>
      <w:r w:rsidRPr="00E279C9">
        <w:rPr>
          <w:rFonts w:ascii="Calibri" w:hAnsi="Calibri"/>
          <w:b/>
          <w:sz w:val="36"/>
          <w:szCs w:val="36"/>
        </w:rPr>
        <w:t>Budget Paper No. 3</w:t>
      </w:r>
    </w:p>
    <w:p w:rsidR="00A53D7D" w:rsidRDefault="00A53D7D" w:rsidP="00E1736C">
      <w:pPr>
        <w:spacing w:after="0"/>
      </w:pPr>
      <w:r>
        <w:br w:type="page"/>
      </w:r>
    </w:p>
    <w:p w:rsidR="00A53D7D" w:rsidRDefault="00A53D7D" w:rsidP="00E1736C"/>
    <w:p w:rsidR="00A53D7D" w:rsidRDefault="00A53D7D" w:rsidP="00E1736C"/>
    <w:p w:rsidR="00A53D7D" w:rsidRPr="004643AA" w:rsidRDefault="00A53D7D" w:rsidP="00E1736C"/>
    <w:p w:rsidR="00A53D7D" w:rsidRPr="004643AA" w:rsidRDefault="00A53D7D" w:rsidP="00E1736C">
      <w:r w:rsidRPr="004643AA">
        <w:fldChar w:fldCharType="begin"/>
      </w:r>
      <w:r w:rsidRPr="004643AA">
        <w:instrText xml:space="preserve"> XE "Business and industry" \t "</w:instrText>
      </w:r>
      <w:r w:rsidRPr="004643AA">
        <w:rPr>
          <w:i/>
        </w:rPr>
        <w:instrText>See</w:instrText>
      </w:r>
      <w:r w:rsidRPr="004643AA">
        <w:instrText xml:space="preserve"> Department of State Development, Business and Innovation" </w:instrText>
      </w:r>
      <w:r w:rsidRPr="004643AA">
        <w:fldChar w:fldCharType="end"/>
      </w:r>
      <w:r w:rsidRPr="004643AA">
        <w:fldChar w:fldCharType="begin"/>
      </w:r>
      <w:r w:rsidRPr="004643AA">
        <w:instrText xml:space="preserve"> XE "Dental Health" \t "</w:instrText>
      </w:r>
      <w:r w:rsidRPr="004643AA">
        <w:rPr>
          <w:i/>
        </w:rPr>
        <w:instrText>See</w:instrText>
      </w:r>
      <w:r w:rsidRPr="004643AA">
        <w:instrText xml:space="preserve"> Health" </w:instrText>
      </w:r>
      <w:r w:rsidRPr="004643AA">
        <w:fldChar w:fldCharType="end"/>
      </w:r>
      <w:r w:rsidRPr="004643AA">
        <w:fldChar w:fldCharType="begin"/>
      </w:r>
      <w:r w:rsidRPr="004643AA">
        <w:instrText xml:space="preserve"> XE "Department of State Development, Business and Innovation"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Education and Early Childhood Development"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Health"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Human Services"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Justice"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Transport, Planning and Local Infrastructure"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Premier and Cabinet"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w:instrText>
      </w:r>
      <w:r>
        <w:instrText>Parliament</w:instrText>
      </w:r>
      <w:r w:rsidRPr="004643AA">
        <w:instrText>"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w:instrText>
      </w:r>
      <w:r>
        <w:instrText>Courts</w:instrText>
      </w:r>
      <w:r w:rsidRPr="004643AA">
        <w:instrText>"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Environment and Primary Industries" \t "</w:instrText>
      </w:r>
      <w:r w:rsidRPr="004643AA">
        <w:rPr>
          <w:i/>
        </w:rPr>
        <w:instrText>See also</w:instrText>
      </w:r>
      <w:r w:rsidRPr="004643AA">
        <w:instrText xml:space="preserve"> Budget Paper No. 5" </w:instrText>
      </w:r>
      <w:r w:rsidRPr="004643AA">
        <w:fldChar w:fldCharType="end"/>
      </w:r>
      <w:r w:rsidRPr="004643AA">
        <w:t xml:space="preserve"> </w:t>
      </w:r>
      <w:r w:rsidRPr="004643AA">
        <w:fldChar w:fldCharType="begin"/>
      </w:r>
      <w:r w:rsidRPr="004643AA">
        <w:instrText xml:space="preserve"> XE "Department of Treasury and Finance"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"Education" \t "</w:instrText>
      </w:r>
      <w:r w:rsidRPr="004643AA">
        <w:rPr>
          <w:i/>
        </w:rPr>
        <w:instrText xml:space="preserve">See </w:instrText>
      </w:r>
      <w:r w:rsidRPr="004643AA">
        <w:instrText>Department of Education and Early Childhood Development"</w:instrText>
      </w:r>
      <w:r w:rsidRPr="004643AA">
        <w:fldChar w:fldCharType="end"/>
      </w:r>
      <w:r w:rsidRPr="004643AA">
        <w:fldChar w:fldCharType="begin"/>
      </w:r>
      <w:r w:rsidRPr="004643AA">
        <w:instrText xml:space="preserve"> XE "Health" \t "</w:instrText>
      </w:r>
      <w:r w:rsidRPr="004643AA">
        <w:rPr>
          <w:i/>
        </w:rPr>
        <w:instrText>See also</w:instrText>
      </w:r>
      <w:r w:rsidRPr="004643AA">
        <w:instrText xml:space="preserve"> Department of Health" </w:instrText>
      </w:r>
      <w:r w:rsidRPr="004643AA">
        <w:fldChar w:fldCharType="end"/>
      </w:r>
      <w:r w:rsidRPr="004643AA">
        <w:fldChar w:fldCharType="begin"/>
      </w:r>
      <w:r w:rsidRPr="004643AA">
        <w:instrText xml:space="preserve"> XE "Justice" \t "</w:instrText>
      </w:r>
      <w:r w:rsidRPr="004643AA">
        <w:rPr>
          <w:i/>
        </w:rPr>
        <w:instrText>See</w:instrText>
      </w:r>
      <w:r w:rsidRPr="004643AA">
        <w:instrText xml:space="preserve"> Department of Justice" </w:instrText>
      </w:r>
      <w:r w:rsidRPr="004643AA">
        <w:fldChar w:fldCharType="end"/>
      </w:r>
      <w:r w:rsidRPr="004643AA">
        <w:fldChar w:fldCharType="begin"/>
      </w:r>
      <w:r w:rsidRPr="004643AA">
        <w:instrText xml:space="preserve"> XE "Victoria Police" \t "</w:instrText>
      </w:r>
      <w:r w:rsidRPr="004643AA">
        <w:rPr>
          <w:i/>
        </w:rPr>
        <w:instrText>See</w:instrText>
      </w:r>
      <w:r w:rsidRPr="004643AA">
        <w:instrText xml:space="preserve"> Polic</w:instrText>
      </w:r>
      <w:r>
        <w:instrText>ing</w:instrText>
      </w:r>
      <w:r w:rsidRPr="004643AA">
        <w:instrText xml:space="preserve">" </w:instrText>
      </w:r>
      <w:r w:rsidRPr="004643AA">
        <w:fldChar w:fldCharType="end"/>
      </w:r>
      <w:r w:rsidRPr="004643AA">
        <w:fldChar w:fldCharType="begin"/>
      </w:r>
      <w:r w:rsidRPr="004643AA">
        <w:instrText xml:space="preserve"> XE "Transport" \t "</w:instrText>
      </w:r>
      <w:r w:rsidRPr="004643AA">
        <w:rPr>
          <w:i/>
        </w:rPr>
        <w:instrText>See also</w:instrText>
      </w:r>
      <w:r w:rsidRPr="004643AA">
        <w:instrText xml:space="preserve"> Department of Transport, Planning and Local Infrastructure" </w:instrText>
      </w:r>
      <w:r w:rsidRPr="004643AA">
        <w:fldChar w:fldCharType="end"/>
      </w:r>
    </w:p>
    <w:p w:rsidR="00A53D7D" w:rsidRDefault="00A53D7D" w:rsidP="00E1736C"/>
    <w:p w:rsidR="00A53D7D" w:rsidRDefault="00A53D7D" w:rsidP="00E1736C"/>
    <w:p w:rsidR="00A53D7D" w:rsidRDefault="00A53D7D" w:rsidP="00497606"/>
    <w:p w:rsidR="00A53D7D" w:rsidRDefault="00A53D7D" w:rsidP="00497606">
      <w:pPr>
        <w:sectPr w:rsidR="00A53D7D" w:rsidSect="00F302FC">
          <w:headerReference w:type="even" r:id="rId11"/>
          <w:headerReference w:type="default" r:id="rId12"/>
          <w:footerReference w:type="even" r:id="rId13"/>
          <w:footerReference w:type="default" r:id="rId14"/>
          <w:headerReference w:type="first" r:id="rId15"/>
          <w:footerReference w:type="first" r:id="rId16"/>
          <w:type w:val="oddPage"/>
          <w:pgSz w:w="9979" w:h="14181" w:code="138"/>
          <w:pgMar w:top="1138" w:right="1138" w:bottom="1138" w:left="1138" w:header="720" w:footer="432" w:gutter="0"/>
          <w:cols w:space="708"/>
          <w:docGrid w:linePitch="360"/>
        </w:sectPr>
      </w:pPr>
    </w:p>
    <w:p w:rsidR="00A53D7D" w:rsidRDefault="00A53D7D" w:rsidP="00E1736C">
      <w:pPr>
        <w:pStyle w:val="TableofContentsheading"/>
      </w:pPr>
      <w:r>
        <w:lastRenderedPageBreak/>
        <w:t>Table of contents</w:t>
      </w:r>
    </w:p>
    <w:p w:rsidR="005140B4" w:rsidRDefault="00A53D7D">
      <w:pPr>
        <w:pStyle w:val="TOC1"/>
        <w:rPr>
          <w:rFonts w:asciiTheme="minorHAnsi" w:eastAsiaTheme="minorEastAsia" w:hAnsiTheme="minorHAnsi" w:cstheme="minorBidi"/>
          <w:b w:val="0"/>
          <w:noProof/>
          <w:sz w:val="22"/>
          <w:szCs w:val="22"/>
          <w:lang w:val="en-GB" w:eastAsia="en-GB"/>
        </w:rPr>
      </w:pPr>
      <w:r>
        <w:rPr>
          <w:noProof/>
        </w:rPr>
        <w:fldChar w:fldCharType="begin"/>
      </w:r>
      <w:r>
        <w:instrText xml:space="preserve"> TOC \h \z \t "Heading 1,2,Chapter Heading,1,Table of Contents continued,2" </w:instrText>
      </w:r>
      <w:r>
        <w:rPr>
          <w:noProof/>
        </w:rPr>
        <w:fldChar w:fldCharType="separate"/>
      </w:r>
      <w:hyperlink w:anchor="_Toc407116890" w:history="1">
        <w:r w:rsidR="005140B4" w:rsidRPr="004D38E8">
          <w:rPr>
            <w:rStyle w:val="Hyperlink"/>
            <w:noProof/>
          </w:rPr>
          <w:t>Chapter 1 – Output, asset investment, savings and revenue initiatives</w:t>
        </w:r>
        <w:r w:rsidR="005140B4">
          <w:rPr>
            <w:noProof/>
            <w:webHidden/>
          </w:rPr>
          <w:tab/>
        </w:r>
        <w:r w:rsidR="005140B4">
          <w:rPr>
            <w:noProof/>
            <w:webHidden/>
          </w:rPr>
          <w:fldChar w:fldCharType="begin"/>
        </w:r>
        <w:r w:rsidR="005140B4">
          <w:rPr>
            <w:noProof/>
            <w:webHidden/>
          </w:rPr>
          <w:instrText xml:space="preserve"> PAGEREF _Toc407116890 \h </w:instrText>
        </w:r>
        <w:r w:rsidR="005140B4">
          <w:rPr>
            <w:noProof/>
            <w:webHidden/>
          </w:rPr>
        </w:r>
        <w:r w:rsidR="005140B4">
          <w:rPr>
            <w:noProof/>
            <w:webHidden/>
          </w:rPr>
          <w:fldChar w:fldCharType="separate"/>
        </w:r>
        <w:r w:rsidR="003A4363">
          <w:rPr>
            <w:noProof/>
            <w:webHidden/>
          </w:rPr>
          <w:t>1</w:t>
        </w:r>
        <w:r w:rsidR="005140B4">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891" w:history="1">
        <w:r w:rsidRPr="004D38E8">
          <w:rPr>
            <w:rStyle w:val="Hyperlink"/>
            <w:noProof/>
          </w:rPr>
          <w:t>Introduction</w:t>
        </w:r>
        <w:r>
          <w:rPr>
            <w:noProof/>
            <w:webHidden/>
          </w:rPr>
          <w:tab/>
        </w:r>
        <w:r>
          <w:rPr>
            <w:noProof/>
            <w:webHidden/>
          </w:rPr>
          <w:fldChar w:fldCharType="begin"/>
        </w:r>
        <w:r>
          <w:rPr>
            <w:noProof/>
            <w:webHidden/>
          </w:rPr>
          <w:instrText xml:space="preserve"> PAGEREF _Toc407116891 \h </w:instrText>
        </w:r>
        <w:r>
          <w:rPr>
            <w:noProof/>
            <w:webHidden/>
          </w:rPr>
        </w:r>
        <w:r>
          <w:rPr>
            <w:noProof/>
            <w:webHidden/>
          </w:rPr>
          <w:fldChar w:fldCharType="separate"/>
        </w:r>
        <w:r w:rsidR="003A4363">
          <w:rPr>
            <w:noProof/>
            <w:webHidden/>
          </w:rPr>
          <w:t>1</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892" w:history="1">
        <w:r w:rsidRPr="004D38E8">
          <w:rPr>
            <w:rStyle w:val="Hyperlink"/>
            <w:noProof/>
          </w:rPr>
          <w:t>Whole of government – Bushfire recovery package</w:t>
        </w:r>
        <w:r>
          <w:rPr>
            <w:noProof/>
            <w:webHidden/>
          </w:rPr>
          <w:tab/>
        </w:r>
        <w:r>
          <w:rPr>
            <w:noProof/>
            <w:webHidden/>
          </w:rPr>
          <w:fldChar w:fldCharType="begin"/>
        </w:r>
        <w:r>
          <w:rPr>
            <w:noProof/>
            <w:webHidden/>
          </w:rPr>
          <w:instrText xml:space="preserve"> PAGEREF _Toc407116892 \h </w:instrText>
        </w:r>
        <w:r>
          <w:rPr>
            <w:noProof/>
            <w:webHidden/>
          </w:rPr>
        </w:r>
        <w:r>
          <w:rPr>
            <w:noProof/>
            <w:webHidden/>
          </w:rPr>
          <w:fldChar w:fldCharType="separate"/>
        </w:r>
        <w:r w:rsidR="003A4363">
          <w:rPr>
            <w:noProof/>
            <w:webHidden/>
          </w:rPr>
          <w:t>4</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893" w:history="1">
        <w:r w:rsidRPr="004D38E8">
          <w:rPr>
            <w:rStyle w:val="Hyperlink"/>
            <w:noProof/>
          </w:rPr>
          <w:t>Department of Education and early Childhood Development</w:t>
        </w:r>
        <w:r>
          <w:rPr>
            <w:noProof/>
            <w:webHidden/>
          </w:rPr>
          <w:tab/>
        </w:r>
        <w:r>
          <w:rPr>
            <w:noProof/>
            <w:webHidden/>
          </w:rPr>
          <w:fldChar w:fldCharType="begin"/>
        </w:r>
        <w:r>
          <w:rPr>
            <w:noProof/>
            <w:webHidden/>
          </w:rPr>
          <w:instrText xml:space="preserve"> PAGEREF _Toc407116893 \h </w:instrText>
        </w:r>
        <w:r>
          <w:rPr>
            <w:noProof/>
            <w:webHidden/>
          </w:rPr>
        </w:r>
        <w:r>
          <w:rPr>
            <w:noProof/>
            <w:webHidden/>
          </w:rPr>
          <w:fldChar w:fldCharType="separate"/>
        </w:r>
        <w:r w:rsidR="003A4363">
          <w:rPr>
            <w:noProof/>
            <w:webHidden/>
          </w:rPr>
          <w:t>8</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894" w:history="1">
        <w:r w:rsidRPr="004D38E8">
          <w:rPr>
            <w:rStyle w:val="Hyperlink"/>
            <w:noProof/>
          </w:rPr>
          <w:t>Department of Environment and Primary Industries</w:t>
        </w:r>
        <w:r>
          <w:rPr>
            <w:noProof/>
            <w:webHidden/>
          </w:rPr>
          <w:tab/>
        </w:r>
        <w:r>
          <w:rPr>
            <w:noProof/>
            <w:webHidden/>
          </w:rPr>
          <w:fldChar w:fldCharType="begin"/>
        </w:r>
        <w:r>
          <w:rPr>
            <w:noProof/>
            <w:webHidden/>
          </w:rPr>
          <w:instrText xml:space="preserve"> PAGEREF _Toc407116894 \h </w:instrText>
        </w:r>
        <w:r>
          <w:rPr>
            <w:noProof/>
            <w:webHidden/>
          </w:rPr>
        </w:r>
        <w:r>
          <w:rPr>
            <w:noProof/>
            <w:webHidden/>
          </w:rPr>
          <w:fldChar w:fldCharType="separate"/>
        </w:r>
        <w:r w:rsidR="003A4363">
          <w:rPr>
            <w:noProof/>
            <w:webHidden/>
          </w:rPr>
          <w:t>14</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895" w:history="1">
        <w:r w:rsidRPr="004D38E8">
          <w:rPr>
            <w:rStyle w:val="Hyperlink"/>
            <w:noProof/>
          </w:rPr>
          <w:t>Department of Health</w:t>
        </w:r>
        <w:r>
          <w:rPr>
            <w:noProof/>
            <w:webHidden/>
          </w:rPr>
          <w:tab/>
        </w:r>
        <w:r>
          <w:rPr>
            <w:noProof/>
            <w:webHidden/>
          </w:rPr>
          <w:fldChar w:fldCharType="begin"/>
        </w:r>
        <w:r>
          <w:rPr>
            <w:noProof/>
            <w:webHidden/>
          </w:rPr>
          <w:instrText xml:space="preserve"> PAGEREF _Toc407116895 \h </w:instrText>
        </w:r>
        <w:r>
          <w:rPr>
            <w:noProof/>
            <w:webHidden/>
          </w:rPr>
        </w:r>
        <w:r>
          <w:rPr>
            <w:noProof/>
            <w:webHidden/>
          </w:rPr>
          <w:fldChar w:fldCharType="separate"/>
        </w:r>
        <w:r w:rsidR="003A4363">
          <w:rPr>
            <w:noProof/>
            <w:webHidden/>
          </w:rPr>
          <w:t>19</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896" w:history="1">
        <w:r w:rsidRPr="004D38E8">
          <w:rPr>
            <w:rStyle w:val="Hyperlink"/>
            <w:noProof/>
          </w:rPr>
          <w:t>Department of Human Services</w:t>
        </w:r>
        <w:r>
          <w:rPr>
            <w:noProof/>
            <w:webHidden/>
          </w:rPr>
          <w:tab/>
        </w:r>
        <w:r>
          <w:rPr>
            <w:noProof/>
            <w:webHidden/>
          </w:rPr>
          <w:fldChar w:fldCharType="begin"/>
        </w:r>
        <w:r>
          <w:rPr>
            <w:noProof/>
            <w:webHidden/>
          </w:rPr>
          <w:instrText xml:space="preserve"> PAGEREF _Toc407116896 \h </w:instrText>
        </w:r>
        <w:r>
          <w:rPr>
            <w:noProof/>
            <w:webHidden/>
          </w:rPr>
        </w:r>
        <w:r>
          <w:rPr>
            <w:noProof/>
            <w:webHidden/>
          </w:rPr>
          <w:fldChar w:fldCharType="separate"/>
        </w:r>
        <w:r w:rsidR="003A4363">
          <w:rPr>
            <w:noProof/>
            <w:webHidden/>
          </w:rPr>
          <w:t>28</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897" w:history="1">
        <w:r w:rsidRPr="004D38E8">
          <w:rPr>
            <w:rStyle w:val="Hyperlink"/>
            <w:noProof/>
          </w:rPr>
          <w:t>Department of Justice</w:t>
        </w:r>
        <w:r>
          <w:rPr>
            <w:noProof/>
            <w:webHidden/>
          </w:rPr>
          <w:tab/>
        </w:r>
        <w:r>
          <w:rPr>
            <w:noProof/>
            <w:webHidden/>
          </w:rPr>
          <w:fldChar w:fldCharType="begin"/>
        </w:r>
        <w:r>
          <w:rPr>
            <w:noProof/>
            <w:webHidden/>
          </w:rPr>
          <w:instrText xml:space="preserve"> PAGEREF _Toc407116897 \h </w:instrText>
        </w:r>
        <w:r>
          <w:rPr>
            <w:noProof/>
            <w:webHidden/>
          </w:rPr>
        </w:r>
        <w:r>
          <w:rPr>
            <w:noProof/>
            <w:webHidden/>
          </w:rPr>
          <w:fldChar w:fldCharType="separate"/>
        </w:r>
        <w:r w:rsidR="003A4363">
          <w:rPr>
            <w:noProof/>
            <w:webHidden/>
          </w:rPr>
          <w:t>35</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898" w:history="1">
        <w:r w:rsidRPr="004D38E8">
          <w:rPr>
            <w:rStyle w:val="Hyperlink"/>
            <w:noProof/>
          </w:rPr>
          <w:t>Department of Premier and Cabinet</w:t>
        </w:r>
        <w:r>
          <w:rPr>
            <w:noProof/>
            <w:webHidden/>
          </w:rPr>
          <w:tab/>
        </w:r>
        <w:r>
          <w:rPr>
            <w:noProof/>
            <w:webHidden/>
          </w:rPr>
          <w:fldChar w:fldCharType="begin"/>
        </w:r>
        <w:r>
          <w:rPr>
            <w:noProof/>
            <w:webHidden/>
          </w:rPr>
          <w:instrText xml:space="preserve"> PAGEREF _Toc407116898 \h </w:instrText>
        </w:r>
        <w:r>
          <w:rPr>
            <w:noProof/>
            <w:webHidden/>
          </w:rPr>
        </w:r>
        <w:r>
          <w:rPr>
            <w:noProof/>
            <w:webHidden/>
          </w:rPr>
          <w:fldChar w:fldCharType="separate"/>
        </w:r>
        <w:r w:rsidR="003A4363">
          <w:rPr>
            <w:noProof/>
            <w:webHidden/>
          </w:rPr>
          <w:t>42</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899" w:history="1">
        <w:r w:rsidRPr="004D38E8">
          <w:rPr>
            <w:rStyle w:val="Hyperlink"/>
            <w:noProof/>
          </w:rPr>
          <w:t>Department of State Development, Business and Innovation</w:t>
        </w:r>
        <w:r>
          <w:rPr>
            <w:noProof/>
            <w:webHidden/>
          </w:rPr>
          <w:tab/>
        </w:r>
        <w:r>
          <w:rPr>
            <w:noProof/>
            <w:webHidden/>
          </w:rPr>
          <w:fldChar w:fldCharType="begin"/>
        </w:r>
        <w:r>
          <w:rPr>
            <w:noProof/>
            <w:webHidden/>
          </w:rPr>
          <w:instrText xml:space="preserve"> PAGEREF _Toc407116899 \h </w:instrText>
        </w:r>
        <w:r>
          <w:rPr>
            <w:noProof/>
            <w:webHidden/>
          </w:rPr>
        </w:r>
        <w:r>
          <w:rPr>
            <w:noProof/>
            <w:webHidden/>
          </w:rPr>
          <w:fldChar w:fldCharType="separate"/>
        </w:r>
        <w:r w:rsidR="003A4363">
          <w:rPr>
            <w:noProof/>
            <w:webHidden/>
          </w:rPr>
          <w:t>48</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00" w:history="1">
        <w:r w:rsidRPr="004D38E8">
          <w:rPr>
            <w:rStyle w:val="Hyperlink"/>
            <w:noProof/>
          </w:rPr>
          <w:t>Department of Transport, Planning and Local Infrastructure</w:t>
        </w:r>
        <w:r>
          <w:rPr>
            <w:noProof/>
            <w:webHidden/>
          </w:rPr>
          <w:tab/>
        </w:r>
        <w:r>
          <w:rPr>
            <w:noProof/>
            <w:webHidden/>
          </w:rPr>
          <w:fldChar w:fldCharType="begin"/>
        </w:r>
        <w:r>
          <w:rPr>
            <w:noProof/>
            <w:webHidden/>
          </w:rPr>
          <w:instrText xml:space="preserve"> PAGEREF _Toc407116900 \h </w:instrText>
        </w:r>
        <w:r>
          <w:rPr>
            <w:noProof/>
            <w:webHidden/>
          </w:rPr>
        </w:r>
        <w:r>
          <w:rPr>
            <w:noProof/>
            <w:webHidden/>
          </w:rPr>
          <w:fldChar w:fldCharType="separate"/>
        </w:r>
        <w:r w:rsidR="003A4363">
          <w:rPr>
            <w:noProof/>
            <w:webHidden/>
          </w:rPr>
          <w:t>55</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01" w:history="1">
        <w:r w:rsidRPr="004D38E8">
          <w:rPr>
            <w:rStyle w:val="Hyperlink"/>
            <w:noProof/>
          </w:rPr>
          <w:t>Department of Treasury and Finance</w:t>
        </w:r>
        <w:r>
          <w:rPr>
            <w:noProof/>
            <w:webHidden/>
          </w:rPr>
          <w:tab/>
        </w:r>
        <w:r>
          <w:rPr>
            <w:noProof/>
            <w:webHidden/>
          </w:rPr>
          <w:fldChar w:fldCharType="begin"/>
        </w:r>
        <w:r>
          <w:rPr>
            <w:noProof/>
            <w:webHidden/>
          </w:rPr>
          <w:instrText xml:space="preserve"> PAGEREF _Toc407116901 \h </w:instrText>
        </w:r>
        <w:r>
          <w:rPr>
            <w:noProof/>
            <w:webHidden/>
          </w:rPr>
        </w:r>
        <w:r>
          <w:rPr>
            <w:noProof/>
            <w:webHidden/>
          </w:rPr>
          <w:fldChar w:fldCharType="separate"/>
        </w:r>
        <w:r w:rsidR="003A4363">
          <w:rPr>
            <w:noProof/>
            <w:webHidden/>
          </w:rPr>
          <w:t>73</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02" w:history="1">
        <w:r w:rsidRPr="004D38E8">
          <w:rPr>
            <w:rStyle w:val="Hyperlink"/>
            <w:noProof/>
          </w:rPr>
          <w:t>Parliament</w:t>
        </w:r>
        <w:r>
          <w:rPr>
            <w:noProof/>
            <w:webHidden/>
          </w:rPr>
          <w:tab/>
        </w:r>
        <w:r>
          <w:rPr>
            <w:noProof/>
            <w:webHidden/>
          </w:rPr>
          <w:fldChar w:fldCharType="begin"/>
        </w:r>
        <w:r>
          <w:rPr>
            <w:noProof/>
            <w:webHidden/>
          </w:rPr>
          <w:instrText xml:space="preserve"> PAGEREF _Toc407116902 \h </w:instrText>
        </w:r>
        <w:r>
          <w:rPr>
            <w:noProof/>
            <w:webHidden/>
          </w:rPr>
        </w:r>
        <w:r>
          <w:rPr>
            <w:noProof/>
            <w:webHidden/>
          </w:rPr>
          <w:fldChar w:fldCharType="separate"/>
        </w:r>
        <w:r w:rsidR="003A4363">
          <w:rPr>
            <w:noProof/>
            <w:webHidden/>
          </w:rPr>
          <w:t>75</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03" w:history="1">
        <w:r w:rsidRPr="004D38E8">
          <w:rPr>
            <w:rStyle w:val="Hyperlink"/>
            <w:noProof/>
          </w:rPr>
          <w:t>Courts</w:t>
        </w:r>
        <w:r>
          <w:rPr>
            <w:noProof/>
            <w:webHidden/>
          </w:rPr>
          <w:tab/>
        </w:r>
        <w:r>
          <w:rPr>
            <w:noProof/>
            <w:webHidden/>
          </w:rPr>
          <w:fldChar w:fldCharType="begin"/>
        </w:r>
        <w:r>
          <w:rPr>
            <w:noProof/>
            <w:webHidden/>
          </w:rPr>
          <w:instrText xml:space="preserve"> PAGEREF _Toc407116903 \h </w:instrText>
        </w:r>
        <w:r>
          <w:rPr>
            <w:noProof/>
            <w:webHidden/>
          </w:rPr>
        </w:r>
        <w:r>
          <w:rPr>
            <w:noProof/>
            <w:webHidden/>
          </w:rPr>
          <w:fldChar w:fldCharType="separate"/>
        </w:r>
        <w:r w:rsidR="003A4363">
          <w:rPr>
            <w:noProof/>
            <w:webHidden/>
          </w:rPr>
          <w:t>76</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04" w:history="1">
        <w:r w:rsidRPr="004D38E8">
          <w:rPr>
            <w:rStyle w:val="Hyperlink"/>
            <w:noProof/>
          </w:rPr>
          <w:t>Revenue measures</w:t>
        </w:r>
        <w:r>
          <w:rPr>
            <w:noProof/>
            <w:webHidden/>
          </w:rPr>
          <w:tab/>
        </w:r>
        <w:r>
          <w:rPr>
            <w:noProof/>
            <w:webHidden/>
          </w:rPr>
          <w:fldChar w:fldCharType="begin"/>
        </w:r>
        <w:r>
          <w:rPr>
            <w:noProof/>
            <w:webHidden/>
          </w:rPr>
          <w:instrText xml:space="preserve"> PAGEREF _Toc407116904 \h </w:instrText>
        </w:r>
        <w:r>
          <w:rPr>
            <w:noProof/>
            <w:webHidden/>
          </w:rPr>
        </w:r>
        <w:r>
          <w:rPr>
            <w:noProof/>
            <w:webHidden/>
          </w:rPr>
          <w:fldChar w:fldCharType="separate"/>
        </w:r>
        <w:r w:rsidR="003A4363">
          <w:rPr>
            <w:noProof/>
            <w:webHidden/>
          </w:rPr>
          <w:t>78</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05" w:history="1">
        <w:r w:rsidRPr="004D38E8">
          <w:rPr>
            <w:rStyle w:val="Hyperlink"/>
            <w:noProof/>
          </w:rPr>
          <w:t>Efficiency and expenditure reduction measures</w:t>
        </w:r>
        <w:r>
          <w:rPr>
            <w:noProof/>
            <w:webHidden/>
          </w:rPr>
          <w:tab/>
        </w:r>
        <w:r>
          <w:rPr>
            <w:noProof/>
            <w:webHidden/>
          </w:rPr>
          <w:fldChar w:fldCharType="begin"/>
        </w:r>
        <w:r>
          <w:rPr>
            <w:noProof/>
            <w:webHidden/>
          </w:rPr>
          <w:instrText xml:space="preserve"> PAGEREF _Toc407116905 \h </w:instrText>
        </w:r>
        <w:r>
          <w:rPr>
            <w:noProof/>
            <w:webHidden/>
          </w:rPr>
        </w:r>
        <w:r>
          <w:rPr>
            <w:noProof/>
            <w:webHidden/>
          </w:rPr>
          <w:fldChar w:fldCharType="separate"/>
        </w:r>
        <w:r w:rsidR="003A4363">
          <w:rPr>
            <w:noProof/>
            <w:webHidden/>
          </w:rPr>
          <w:t>79</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06" w:history="1">
        <w:r w:rsidRPr="004D38E8">
          <w:rPr>
            <w:rStyle w:val="Hyperlink"/>
            <w:noProof/>
          </w:rPr>
          <w:t>2010 election commitments summary report</w:t>
        </w:r>
        <w:r>
          <w:rPr>
            <w:noProof/>
            <w:webHidden/>
          </w:rPr>
          <w:tab/>
        </w:r>
        <w:r>
          <w:rPr>
            <w:noProof/>
            <w:webHidden/>
          </w:rPr>
          <w:fldChar w:fldCharType="begin"/>
        </w:r>
        <w:r>
          <w:rPr>
            <w:noProof/>
            <w:webHidden/>
          </w:rPr>
          <w:instrText xml:space="preserve"> PAGEREF _Toc407116906 \h </w:instrText>
        </w:r>
        <w:r>
          <w:rPr>
            <w:noProof/>
            <w:webHidden/>
          </w:rPr>
        </w:r>
        <w:r>
          <w:rPr>
            <w:noProof/>
            <w:webHidden/>
          </w:rPr>
          <w:fldChar w:fldCharType="separate"/>
        </w:r>
        <w:r w:rsidR="003A4363">
          <w:rPr>
            <w:noProof/>
            <w:webHidden/>
          </w:rPr>
          <w:t>80</w:t>
        </w:r>
        <w:r>
          <w:rPr>
            <w:noProof/>
            <w:webHidden/>
          </w:rPr>
          <w:fldChar w:fldCharType="end"/>
        </w:r>
      </w:hyperlink>
    </w:p>
    <w:p w:rsidR="005140B4" w:rsidRDefault="005140B4">
      <w:pPr>
        <w:pStyle w:val="TOC1"/>
        <w:rPr>
          <w:rFonts w:asciiTheme="minorHAnsi" w:eastAsiaTheme="minorEastAsia" w:hAnsiTheme="minorHAnsi" w:cstheme="minorBidi"/>
          <w:b w:val="0"/>
          <w:noProof/>
          <w:sz w:val="22"/>
          <w:szCs w:val="22"/>
          <w:lang w:val="en-GB" w:eastAsia="en-GB"/>
        </w:rPr>
      </w:pPr>
      <w:hyperlink w:anchor="_Toc407116907" w:history="1">
        <w:r w:rsidRPr="004D38E8">
          <w:rPr>
            <w:rStyle w:val="Hyperlink"/>
            <w:noProof/>
          </w:rPr>
          <w:t>Chapter 2 – Departmental performance statements</w:t>
        </w:r>
        <w:r>
          <w:rPr>
            <w:noProof/>
            <w:webHidden/>
          </w:rPr>
          <w:tab/>
        </w:r>
        <w:r>
          <w:rPr>
            <w:noProof/>
            <w:webHidden/>
          </w:rPr>
          <w:fldChar w:fldCharType="begin"/>
        </w:r>
        <w:r>
          <w:rPr>
            <w:noProof/>
            <w:webHidden/>
          </w:rPr>
          <w:instrText xml:space="preserve"> PAGEREF _Toc407116907 \h </w:instrText>
        </w:r>
        <w:r>
          <w:rPr>
            <w:noProof/>
            <w:webHidden/>
          </w:rPr>
        </w:r>
        <w:r>
          <w:rPr>
            <w:noProof/>
            <w:webHidden/>
          </w:rPr>
          <w:fldChar w:fldCharType="separate"/>
        </w:r>
        <w:r w:rsidR="003A4363">
          <w:rPr>
            <w:noProof/>
            <w:webHidden/>
          </w:rPr>
          <w:t>81</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08" w:history="1">
        <w:r w:rsidRPr="004D38E8">
          <w:rPr>
            <w:rStyle w:val="Hyperlink"/>
            <w:noProof/>
          </w:rPr>
          <w:t>Department of Education and Early Childhood Development</w:t>
        </w:r>
        <w:r>
          <w:rPr>
            <w:noProof/>
            <w:webHidden/>
          </w:rPr>
          <w:tab/>
        </w:r>
        <w:r>
          <w:rPr>
            <w:noProof/>
            <w:webHidden/>
          </w:rPr>
          <w:fldChar w:fldCharType="begin"/>
        </w:r>
        <w:r>
          <w:rPr>
            <w:noProof/>
            <w:webHidden/>
          </w:rPr>
          <w:instrText xml:space="preserve"> PAGEREF _Toc407116908 \h </w:instrText>
        </w:r>
        <w:r>
          <w:rPr>
            <w:noProof/>
            <w:webHidden/>
          </w:rPr>
        </w:r>
        <w:r>
          <w:rPr>
            <w:noProof/>
            <w:webHidden/>
          </w:rPr>
          <w:fldChar w:fldCharType="separate"/>
        </w:r>
        <w:r w:rsidR="003A4363">
          <w:rPr>
            <w:noProof/>
            <w:webHidden/>
          </w:rPr>
          <w:t>84</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09" w:history="1">
        <w:r w:rsidRPr="004D38E8">
          <w:rPr>
            <w:rStyle w:val="Hyperlink"/>
            <w:noProof/>
          </w:rPr>
          <w:t>Department of Environment and Primary Industries</w:t>
        </w:r>
        <w:r>
          <w:rPr>
            <w:noProof/>
            <w:webHidden/>
          </w:rPr>
          <w:tab/>
        </w:r>
        <w:r>
          <w:rPr>
            <w:noProof/>
            <w:webHidden/>
          </w:rPr>
          <w:fldChar w:fldCharType="begin"/>
        </w:r>
        <w:r>
          <w:rPr>
            <w:noProof/>
            <w:webHidden/>
          </w:rPr>
          <w:instrText xml:space="preserve"> PAGEREF _Toc407116909 \h </w:instrText>
        </w:r>
        <w:r>
          <w:rPr>
            <w:noProof/>
            <w:webHidden/>
          </w:rPr>
        </w:r>
        <w:r>
          <w:rPr>
            <w:noProof/>
            <w:webHidden/>
          </w:rPr>
          <w:fldChar w:fldCharType="separate"/>
        </w:r>
        <w:r w:rsidR="003A4363">
          <w:rPr>
            <w:noProof/>
            <w:webHidden/>
          </w:rPr>
          <w:t>106</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10" w:history="1">
        <w:r w:rsidRPr="004D38E8">
          <w:rPr>
            <w:rStyle w:val="Hyperlink"/>
            <w:noProof/>
          </w:rPr>
          <w:t>Department of Health</w:t>
        </w:r>
        <w:r>
          <w:rPr>
            <w:noProof/>
            <w:webHidden/>
          </w:rPr>
          <w:tab/>
        </w:r>
        <w:r>
          <w:rPr>
            <w:noProof/>
            <w:webHidden/>
          </w:rPr>
          <w:fldChar w:fldCharType="begin"/>
        </w:r>
        <w:r>
          <w:rPr>
            <w:noProof/>
            <w:webHidden/>
          </w:rPr>
          <w:instrText xml:space="preserve"> PAGEREF _Toc407116910 \h </w:instrText>
        </w:r>
        <w:r>
          <w:rPr>
            <w:noProof/>
            <w:webHidden/>
          </w:rPr>
        </w:r>
        <w:r>
          <w:rPr>
            <w:noProof/>
            <w:webHidden/>
          </w:rPr>
          <w:fldChar w:fldCharType="separate"/>
        </w:r>
        <w:r w:rsidR="003A4363">
          <w:rPr>
            <w:noProof/>
            <w:webHidden/>
          </w:rPr>
          <w:t>131</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11" w:history="1">
        <w:r w:rsidRPr="004D38E8">
          <w:rPr>
            <w:rStyle w:val="Hyperlink"/>
            <w:noProof/>
          </w:rPr>
          <w:t>Department of Human Services</w:t>
        </w:r>
        <w:r>
          <w:rPr>
            <w:noProof/>
            <w:webHidden/>
          </w:rPr>
          <w:tab/>
        </w:r>
        <w:r>
          <w:rPr>
            <w:noProof/>
            <w:webHidden/>
          </w:rPr>
          <w:fldChar w:fldCharType="begin"/>
        </w:r>
        <w:r>
          <w:rPr>
            <w:noProof/>
            <w:webHidden/>
          </w:rPr>
          <w:instrText xml:space="preserve"> PAGEREF _Toc407116911 \h </w:instrText>
        </w:r>
        <w:r>
          <w:rPr>
            <w:noProof/>
            <w:webHidden/>
          </w:rPr>
        </w:r>
        <w:r>
          <w:rPr>
            <w:noProof/>
            <w:webHidden/>
          </w:rPr>
          <w:fldChar w:fldCharType="separate"/>
        </w:r>
        <w:r w:rsidR="003A4363">
          <w:rPr>
            <w:noProof/>
            <w:webHidden/>
          </w:rPr>
          <w:t>161</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12" w:history="1">
        <w:r w:rsidRPr="004D38E8">
          <w:rPr>
            <w:rStyle w:val="Hyperlink"/>
            <w:noProof/>
          </w:rPr>
          <w:t>Department of Justice</w:t>
        </w:r>
        <w:r>
          <w:rPr>
            <w:noProof/>
            <w:webHidden/>
          </w:rPr>
          <w:tab/>
        </w:r>
        <w:r>
          <w:rPr>
            <w:noProof/>
            <w:webHidden/>
          </w:rPr>
          <w:fldChar w:fldCharType="begin"/>
        </w:r>
        <w:r>
          <w:rPr>
            <w:noProof/>
            <w:webHidden/>
          </w:rPr>
          <w:instrText xml:space="preserve"> PAGEREF _Toc407116912 \h </w:instrText>
        </w:r>
        <w:r>
          <w:rPr>
            <w:noProof/>
            <w:webHidden/>
          </w:rPr>
        </w:r>
        <w:r>
          <w:rPr>
            <w:noProof/>
            <w:webHidden/>
          </w:rPr>
          <w:fldChar w:fldCharType="separate"/>
        </w:r>
        <w:r w:rsidR="003A4363">
          <w:rPr>
            <w:noProof/>
            <w:webHidden/>
          </w:rPr>
          <w:t>181</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13" w:history="1">
        <w:r w:rsidRPr="004D38E8">
          <w:rPr>
            <w:rStyle w:val="Hyperlink"/>
            <w:noProof/>
          </w:rPr>
          <w:t>Department of Premier and Cabinet</w:t>
        </w:r>
        <w:r>
          <w:rPr>
            <w:noProof/>
            <w:webHidden/>
          </w:rPr>
          <w:tab/>
        </w:r>
        <w:r>
          <w:rPr>
            <w:noProof/>
            <w:webHidden/>
          </w:rPr>
          <w:fldChar w:fldCharType="begin"/>
        </w:r>
        <w:r>
          <w:rPr>
            <w:noProof/>
            <w:webHidden/>
          </w:rPr>
          <w:instrText xml:space="preserve"> PAGEREF _Toc407116913 \h </w:instrText>
        </w:r>
        <w:r>
          <w:rPr>
            <w:noProof/>
            <w:webHidden/>
          </w:rPr>
        </w:r>
        <w:r>
          <w:rPr>
            <w:noProof/>
            <w:webHidden/>
          </w:rPr>
          <w:fldChar w:fldCharType="separate"/>
        </w:r>
        <w:r w:rsidR="003A4363">
          <w:rPr>
            <w:noProof/>
            <w:webHidden/>
          </w:rPr>
          <w:t>206</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14" w:history="1">
        <w:r w:rsidRPr="004D38E8">
          <w:rPr>
            <w:rStyle w:val="Hyperlink"/>
            <w:noProof/>
          </w:rPr>
          <w:t>Department of State Development, Business and Innovation</w:t>
        </w:r>
        <w:r>
          <w:rPr>
            <w:noProof/>
            <w:webHidden/>
          </w:rPr>
          <w:tab/>
        </w:r>
        <w:r>
          <w:rPr>
            <w:noProof/>
            <w:webHidden/>
          </w:rPr>
          <w:fldChar w:fldCharType="begin"/>
        </w:r>
        <w:r>
          <w:rPr>
            <w:noProof/>
            <w:webHidden/>
          </w:rPr>
          <w:instrText xml:space="preserve"> PAGEREF _Toc407116914 \h </w:instrText>
        </w:r>
        <w:r>
          <w:rPr>
            <w:noProof/>
            <w:webHidden/>
          </w:rPr>
        </w:r>
        <w:r>
          <w:rPr>
            <w:noProof/>
            <w:webHidden/>
          </w:rPr>
          <w:fldChar w:fldCharType="separate"/>
        </w:r>
        <w:r w:rsidR="003A4363">
          <w:rPr>
            <w:noProof/>
            <w:webHidden/>
          </w:rPr>
          <w:t>226</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15" w:history="1">
        <w:r w:rsidRPr="004D38E8">
          <w:rPr>
            <w:rStyle w:val="Hyperlink"/>
            <w:noProof/>
          </w:rPr>
          <w:t>Department of Transport, Planning and Local Infrastructure</w:t>
        </w:r>
        <w:r>
          <w:rPr>
            <w:noProof/>
            <w:webHidden/>
          </w:rPr>
          <w:tab/>
        </w:r>
        <w:r>
          <w:rPr>
            <w:noProof/>
            <w:webHidden/>
          </w:rPr>
          <w:fldChar w:fldCharType="begin"/>
        </w:r>
        <w:r>
          <w:rPr>
            <w:noProof/>
            <w:webHidden/>
          </w:rPr>
          <w:instrText xml:space="preserve"> PAGEREF _Toc407116915 \h </w:instrText>
        </w:r>
        <w:r>
          <w:rPr>
            <w:noProof/>
            <w:webHidden/>
          </w:rPr>
        </w:r>
        <w:r>
          <w:rPr>
            <w:noProof/>
            <w:webHidden/>
          </w:rPr>
          <w:fldChar w:fldCharType="separate"/>
        </w:r>
        <w:r w:rsidR="003A4363">
          <w:rPr>
            <w:noProof/>
            <w:webHidden/>
          </w:rPr>
          <w:t>241</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16" w:history="1">
        <w:r w:rsidRPr="004D38E8">
          <w:rPr>
            <w:rStyle w:val="Hyperlink"/>
            <w:noProof/>
          </w:rPr>
          <w:t>Department of Treasury and Finance</w:t>
        </w:r>
        <w:r>
          <w:rPr>
            <w:noProof/>
            <w:webHidden/>
          </w:rPr>
          <w:tab/>
        </w:r>
        <w:r>
          <w:rPr>
            <w:noProof/>
            <w:webHidden/>
          </w:rPr>
          <w:fldChar w:fldCharType="begin"/>
        </w:r>
        <w:r>
          <w:rPr>
            <w:noProof/>
            <w:webHidden/>
          </w:rPr>
          <w:instrText xml:space="preserve"> PAGEREF _Toc407116916 \h </w:instrText>
        </w:r>
        <w:r>
          <w:rPr>
            <w:noProof/>
            <w:webHidden/>
          </w:rPr>
        </w:r>
        <w:r>
          <w:rPr>
            <w:noProof/>
            <w:webHidden/>
          </w:rPr>
          <w:fldChar w:fldCharType="separate"/>
        </w:r>
        <w:r w:rsidR="003A4363">
          <w:rPr>
            <w:noProof/>
            <w:webHidden/>
          </w:rPr>
          <w:t>271</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17" w:history="1">
        <w:r w:rsidRPr="004D38E8">
          <w:rPr>
            <w:rStyle w:val="Hyperlink"/>
            <w:noProof/>
          </w:rPr>
          <w:t>Parliament</w:t>
        </w:r>
        <w:r>
          <w:rPr>
            <w:noProof/>
            <w:webHidden/>
          </w:rPr>
          <w:tab/>
        </w:r>
        <w:r>
          <w:rPr>
            <w:noProof/>
            <w:webHidden/>
          </w:rPr>
          <w:fldChar w:fldCharType="begin"/>
        </w:r>
        <w:r>
          <w:rPr>
            <w:noProof/>
            <w:webHidden/>
          </w:rPr>
          <w:instrText xml:space="preserve"> PAGEREF _Toc407116917 \h </w:instrText>
        </w:r>
        <w:r>
          <w:rPr>
            <w:noProof/>
            <w:webHidden/>
          </w:rPr>
        </w:r>
        <w:r>
          <w:rPr>
            <w:noProof/>
            <w:webHidden/>
          </w:rPr>
          <w:fldChar w:fldCharType="separate"/>
        </w:r>
        <w:r w:rsidR="003A4363">
          <w:rPr>
            <w:noProof/>
            <w:webHidden/>
          </w:rPr>
          <w:t>293</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18" w:history="1">
        <w:r w:rsidRPr="004D38E8">
          <w:rPr>
            <w:rStyle w:val="Hyperlink"/>
            <w:noProof/>
          </w:rPr>
          <w:t>Courts</w:t>
        </w:r>
        <w:r>
          <w:rPr>
            <w:noProof/>
            <w:webHidden/>
          </w:rPr>
          <w:tab/>
        </w:r>
        <w:r>
          <w:rPr>
            <w:noProof/>
            <w:webHidden/>
          </w:rPr>
          <w:fldChar w:fldCharType="begin"/>
        </w:r>
        <w:r>
          <w:rPr>
            <w:noProof/>
            <w:webHidden/>
          </w:rPr>
          <w:instrText xml:space="preserve"> PAGEREF _Toc407116918 \h </w:instrText>
        </w:r>
        <w:r>
          <w:rPr>
            <w:noProof/>
            <w:webHidden/>
          </w:rPr>
        </w:r>
        <w:r>
          <w:rPr>
            <w:noProof/>
            <w:webHidden/>
          </w:rPr>
          <w:fldChar w:fldCharType="separate"/>
        </w:r>
        <w:r w:rsidR="003A4363">
          <w:rPr>
            <w:noProof/>
            <w:webHidden/>
          </w:rPr>
          <w:t>302</w:t>
        </w:r>
        <w:r>
          <w:rPr>
            <w:noProof/>
            <w:webHidden/>
          </w:rPr>
          <w:fldChar w:fldCharType="end"/>
        </w:r>
      </w:hyperlink>
    </w:p>
    <w:p w:rsidR="005140B4" w:rsidRDefault="005140B4">
      <w:pPr>
        <w:pStyle w:val="TOC1"/>
        <w:rPr>
          <w:rFonts w:asciiTheme="minorHAnsi" w:eastAsiaTheme="minorEastAsia" w:hAnsiTheme="minorHAnsi" w:cstheme="minorBidi"/>
          <w:b w:val="0"/>
          <w:noProof/>
          <w:sz w:val="22"/>
          <w:szCs w:val="22"/>
          <w:lang w:val="en-GB" w:eastAsia="en-GB"/>
        </w:rPr>
      </w:pPr>
      <w:hyperlink w:anchor="_Toc407116919" w:history="1">
        <w:r w:rsidRPr="004D38E8">
          <w:rPr>
            <w:rStyle w:val="Hyperlink"/>
            <w:noProof/>
          </w:rPr>
          <w:t>Appendix A – Output performance measures for review by the Public Accounts and Estimates Committee</w:t>
        </w:r>
        <w:r>
          <w:rPr>
            <w:noProof/>
            <w:webHidden/>
          </w:rPr>
          <w:tab/>
        </w:r>
        <w:r>
          <w:rPr>
            <w:noProof/>
            <w:webHidden/>
          </w:rPr>
          <w:fldChar w:fldCharType="begin"/>
        </w:r>
        <w:r>
          <w:rPr>
            <w:noProof/>
            <w:webHidden/>
          </w:rPr>
          <w:instrText xml:space="preserve"> PAGEREF _Toc407116919 \h </w:instrText>
        </w:r>
        <w:r>
          <w:rPr>
            <w:noProof/>
            <w:webHidden/>
          </w:rPr>
        </w:r>
        <w:r>
          <w:rPr>
            <w:noProof/>
            <w:webHidden/>
          </w:rPr>
          <w:fldChar w:fldCharType="separate"/>
        </w:r>
        <w:r w:rsidR="003A4363">
          <w:rPr>
            <w:noProof/>
            <w:webHidden/>
          </w:rPr>
          <w:t>307</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20" w:history="1">
        <w:r w:rsidRPr="004D38E8">
          <w:rPr>
            <w:rStyle w:val="Hyperlink"/>
            <w:noProof/>
          </w:rPr>
          <w:t>Department of Education and Early Childhood Development</w:t>
        </w:r>
        <w:r>
          <w:rPr>
            <w:noProof/>
            <w:webHidden/>
          </w:rPr>
          <w:tab/>
        </w:r>
        <w:r>
          <w:rPr>
            <w:noProof/>
            <w:webHidden/>
          </w:rPr>
          <w:fldChar w:fldCharType="begin"/>
        </w:r>
        <w:r>
          <w:rPr>
            <w:noProof/>
            <w:webHidden/>
          </w:rPr>
          <w:instrText xml:space="preserve"> PAGEREF _Toc407116920 \h </w:instrText>
        </w:r>
        <w:r>
          <w:rPr>
            <w:noProof/>
            <w:webHidden/>
          </w:rPr>
        </w:r>
        <w:r>
          <w:rPr>
            <w:noProof/>
            <w:webHidden/>
          </w:rPr>
          <w:fldChar w:fldCharType="separate"/>
        </w:r>
        <w:r w:rsidR="003A4363">
          <w:rPr>
            <w:noProof/>
            <w:webHidden/>
          </w:rPr>
          <w:t>308</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21" w:history="1">
        <w:r w:rsidRPr="004D38E8">
          <w:rPr>
            <w:rStyle w:val="Hyperlink"/>
            <w:noProof/>
          </w:rPr>
          <w:t>Department of Environment and Primary Industries</w:t>
        </w:r>
        <w:r>
          <w:rPr>
            <w:noProof/>
            <w:webHidden/>
          </w:rPr>
          <w:tab/>
        </w:r>
        <w:r>
          <w:rPr>
            <w:noProof/>
            <w:webHidden/>
          </w:rPr>
          <w:fldChar w:fldCharType="begin"/>
        </w:r>
        <w:r>
          <w:rPr>
            <w:noProof/>
            <w:webHidden/>
          </w:rPr>
          <w:instrText xml:space="preserve"> PAGEREF _Toc407116921 \h </w:instrText>
        </w:r>
        <w:r>
          <w:rPr>
            <w:noProof/>
            <w:webHidden/>
          </w:rPr>
        </w:r>
        <w:r>
          <w:rPr>
            <w:noProof/>
            <w:webHidden/>
          </w:rPr>
          <w:fldChar w:fldCharType="separate"/>
        </w:r>
        <w:r w:rsidR="003A4363">
          <w:rPr>
            <w:noProof/>
            <w:webHidden/>
          </w:rPr>
          <w:t>309</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22" w:history="1">
        <w:r w:rsidRPr="004D38E8">
          <w:rPr>
            <w:rStyle w:val="Hyperlink"/>
            <w:noProof/>
          </w:rPr>
          <w:t>Department of Health</w:t>
        </w:r>
        <w:r>
          <w:rPr>
            <w:noProof/>
            <w:webHidden/>
          </w:rPr>
          <w:tab/>
        </w:r>
        <w:r>
          <w:rPr>
            <w:noProof/>
            <w:webHidden/>
          </w:rPr>
          <w:fldChar w:fldCharType="begin"/>
        </w:r>
        <w:r>
          <w:rPr>
            <w:noProof/>
            <w:webHidden/>
          </w:rPr>
          <w:instrText xml:space="preserve"> PAGEREF _Toc407116922 \h </w:instrText>
        </w:r>
        <w:r>
          <w:rPr>
            <w:noProof/>
            <w:webHidden/>
          </w:rPr>
        </w:r>
        <w:r>
          <w:rPr>
            <w:noProof/>
            <w:webHidden/>
          </w:rPr>
          <w:fldChar w:fldCharType="separate"/>
        </w:r>
        <w:r w:rsidR="003A4363">
          <w:rPr>
            <w:noProof/>
            <w:webHidden/>
          </w:rPr>
          <w:t>312</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23" w:history="1">
        <w:r w:rsidRPr="004D38E8">
          <w:rPr>
            <w:rStyle w:val="Hyperlink"/>
            <w:noProof/>
          </w:rPr>
          <w:t>Department of Human Services</w:t>
        </w:r>
        <w:r>
          <w:rPr>
            <w:noProof/>
            <w:webHidden/>
          </w:rPr>
          <w:tab/>
        </w:r>
        <w:r>
          <w:rPr>
            <w:noProof/>
            <w:webHidden/>
          </w:rPr>
          <w:fldChar w:fldCharType="begin"/>
        </w:r>
        <w:r>
          <w:rPr>
            <w:noProof/>
            <w:webHidden/>
          </w:rPr>
          <w:instrText xml:space="preserve"> PAGEREF _Toc407116923 \h </w:instrText>
        </w:r>
        <w:r>
          <w:rPr>
            <w:noProof/>
            <w:webHidden/>
          </w:rPr>
        </w:r>
        <w:r>
          <w:rPr>
            <w:noProof/>
            <w:webHidden/>
          </w:rPr>
          <w:fldChar w:fldCharType="separate"/>
        </w:r>
        <w:r w:rsidR="003A4363">
          <w:rPr>
            <w:noProof/>
            <w:webHidden/>
          </w:rPr>
          <w:t>313</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24" w:history="1">
        <w:r w:rsidRPr="004D38E8">
          <w:rPr>
            <w:rStyle w:val="Hyperlink"/>
            <w:noProof/>
          </w:rPr>
          <w:t>Department of Justice</w:t>
        </w:r>
        <w:r>
          <w:rPr>
            <w:noProof/>
            <w:webHidden/>
          </w:rPr>
          <w:tab/>
        </w:r>
        <w:r>
          <w:rPr>
            <w:noProof/>
            <w:webHidden/>
          </w:rPr>
          <w:fldChar w:fldCharType="begin"/>
        </w:r>
        <w:r>
          <w:rPr>
            <w:noProof/>
            <w:webHidden/>
          </w:rPr>
          <w:instrText xml:space="preserve"> PAGEREF _Toc407116924 \h </w:instrText>
        </w:r>
        <w:r>
          <w:rPr>
            <w:noProof/>
            <w:webHidden/>
          </w:rPr>
        </w:r>
        <w:r>
          <w:rPr>
            <w:noProof/>
            <w:webHidden/>
          </w:rPr>
          <w:fldChar w:fldCharType="separate"/>
        </w:r>
        <w:r w:rsidR="003A4363">
          <w:rPr>
            <w:noProof/>
            <w:webHidden/>
          </w:rPr>
          <w:t>314</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25" w:history="1">
        <w:r w:rsidRPr="004D38E8">
          <w:rPr>
            <w:rStyle w:val="Hyperlink"/>
            <w:noProof/>
          </w:rPr>
          <w:t>Department of Premier and Cabinet</w:t>
        </w:r>
        <w:r>
          <w:rPr>
            <w:noProof/>
            <w:webHidden/>
          </w:rPr>
          <w:tab/>
        </w:r>
        <w:r>
          <w:rPr>
            <w:noProof/>
            <w:webHidden/>
          </w:rPr>
          <w:fldChar w:fldCharType="begin"/>
        </w:r>
        <w:r>
          <w:rPr>
            <w:noProof/>
            <w:webHidden/>
          </w:rPr>
          <w:instrText xml:space="preserve"> PAGEREF _Toc407116925 \h </w:instrText>
        </w:r>
        <w:r>
          <w:rPr>
            <w:noProof/>
            <w:webHidden/>
          </w:rPr>
        </w:r>
        <w:r>
          <w:rPr>
            <w:noProof/>
            <w:webHidden/>
          </w:rPr>
          <w:fldChar w:fldCharType="separate"/>
        </w:r>
        <w:r w:rsidR="003A4363">
          <w:rPr>
            <w:noProof/>
            <w:webHidden/>
          </w:rPr>
          <w:t>315</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26" w:history="1">
        <w:r w:rsidRPr="004D38E8">
          <w:rPr>
            <w:rStyle w:val="Hyperlink"/>
            <w:noProof/>
          </w:rPr>
          <w:t>Department of State Development, Business and Innovation</w:t>
        </w:r>
        <w:r>
          <w:rPr>
            <w:noProof/>
            <w:webHidden/>
          </w:rPr>
          <w:tab/>
        </w:r>
        <w:r>
          <w:rPr>
            <w:noProof/>
            <w:webHidden/>
          </w:rPr>
          <w:fldChar w:fldCharType="begin"/>
        </w:r>
        <w:r>
          <w:rPr>
            <w:noProof/>
            <w:webHidden/>
          </w:rPr>
          <w:instrText xml:space="preserve"> PAGEREF _Toc407116926 \h </w:instrText>
        </w:r>
        <w:r>
          <w:rPr>
            <w:noProof/>
            <w:webHidden/>
          </w:rPr>
        </w:r>
        <w:r>
          <w:rPr>
            <w:noProof/>
            <w:webHidden/>
          </w:rPr>
          <w:fldChar w:fldCharType="separate"/>
        </w:r>
        <w:r w:rsidR="003A4363">
          <w:rPr>
            <w:noProof/>
            <w:webHidden/>
          </w:rPr>
          <w:t>319</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27" w:history="1">
        <w:r w:rsidRPr="004D38E8">
          <w:rPr>
            <w:rStyle w:val="Hyperlink"/>
            <w:noProof/>
          </w:rPr>
          <w:t>Department of Transport, Planning and Local Infrastructure</w:t>
        </w:r>
        <w:r>
          <w:rPr>
            <w:noProof/>
            <w:webHidden/>
          </w:rPr>
          <w:tab/>
        </w:r>
        <w:r>
          <w:rPr>
            <w:noProof/>
            <w:webHidden/>
          </w:rPr>
          <w:fldChar w:fldCharType="begin"/>
        </w:r>
        <w:r>
          <w:rPr>
            <w:noProof/>
            <w:webHidden/>
          </w:rPr>
          <w:instrText xml:space="preserve"> PAGEREF _Toc407116927 \h </w:instrText>
        </w:r>
        <w:r>
          <w:rPr>
            <w:noProof/>
            <w:webHidden/>
          </w:rPr>
        </w:r>
        <w:r>
          <w:rPr>
            <w:noProof/>
            <w:webHidden/>
          </w:rPr>
          <w:fldChar w:fldCharType="separate"/>
        </w:r>
        <w:r w:rsidR="003A4363">
          <w:rPr>
            <w:noProof/>
            <w:webHidden/>
          </w:rPr>
          <w:t>324</w:t>
        </w:r>
        <w:r>
          <w:rPr>
            <w:noProof/>
            <w:webHidden/>
          </w:rPr>
          <w:fldChar w:fldCharType="end"/>
        </w:r>
      </w:hyperlink>
    </w:p>
    <w:p w:rsidR="005140B4" w:rsidRDefault="005140B4">
      <w:pPr>
        <w:pStyle w:val="TOC1"/>
        <w:rPr>
          <w:rFonts w:asciiTheme="minorHAnsi" w:eastAsiaTheme="minorEastAsia" w:hAnsiTheme="minorHAnsi" w:cstheme="minorBidi"/>
          <w:b w:val="0"/>
          <w:noProof/>
          <w:sz w:val="22"/>
          <w:szCs w:val="22"/>
          <w:lang w:val="en-GB" w:eastAsia="en-GB"/>
        </w:rPr>
      </w:pPr>
      <w:hyperlink w:anchor="_Toc407116928" w:history="1">
        <w:r w:rsidRPr="004D38E8">
          <w:rPr>
            <w:rStyle w:val="Hyperlink"/>
            <w:noProof/>
          </w:rPr>
          <w:t>Appendix B – Local government financial relations</w:t>
        </w:r>
        <w:r>
          <w:rPr>
            <w:noProof/>
            <w:webHidden/>
          </w:rPr>
          <w:tab/>
        </w:r>
        <w:r>
          <w:rPr>
            <w:noProof/>
            <w:webHidden/>
          </w:rPr>
          <w:fldChar w:fldCharType="begin"/>
        </w:r>
        <w:r>
          <w:rPr>
            <w:noProof/>
            <w:webHidden/>
          </w:rPr>
          <w:instrText xml:space="preserve"> PAGEREF _Toc407116928 \h </w:instrText>
        </w:r>
        <w:r>
          <w:rPr>
            <w:noProof/>
            <w:webHidden/>
          </w:rPr>
        </w:r>
        <w:r>
          <w:rPr>
            <w:noProof/>
            <w:webHidden/>
          </w:rPr>
          <w:fldChar w:fldCharType="separate"/>
        </w:r>
        <w:r w:rsidR="003A4363">
          <w:rPr>
            <w:noProof/>
            <w:webHidden/>
          </w:rPr>
          <w:t>329</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29" w:history="1">
        <w:r w:rsidRPr="004D38E8">
          <w:rPr>
            <w:rStyle w:val="Hyperlink"/>
            <w:noProof/>
          </w:rPr>
          <w:t>Improving service delivery to local communities</w:t>
        </w:r>
        <w:r>
          <w:rPr>
            <w:noProof/>
            <w:webHidden/>
          </w:rPr>
          <w:tab/>
        </w:r>
        <w:r>
          <w:rPr>
            <w:noProof/>
            <w:webHidden/>
          </w:rPr>
          <w:fldChar w:fldCharType="begin"/>
        </w:r>
        <w:r>
          <w:rPr>
            <w:noProof/>
            <w:webHidden/>
          </w:rPr>
          <w:instrText xml:space="preserve"> PAGEREF _Toc407116929 \h </w:instrText>
        </w:r>
        <w:r>
          <w:rPr>
            <w:noProof/>
            <w:webHidden/>
          </w:rPr>
        </w:r>
        <w:r>
          <w:rPr>
            <w:noProof/>
            <w:webHidden/>
          </w:rPr>
          <w:fldChar w:fldCharType="separate"/>
        </w:r>
        <w:r w:rsidR="003A4363">
          <w:rPr>
            <w:noProof/>
            <w:webHidden/>
          </w:rPr>
          <w:t>329</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30" w:history="1">
        <w:r w:rsidRPr="004D38E8">
          <w:rPr>
            <w:rStyle w:val="Hyperlink"/>
            <w:noProof/>
          </w:rPr>
          <w:t>Creating liveable communities</w:t>
        </w:r>
        <w:r>
          <w:rPr>
            <w:noProof/>
            <w:webHidden/>
          </w:rPr>
          <w:tab/>
        </w:r>
        <w:r>
          <w:rPr>
            <w:noProof/>
            <w:webHidden/>
          </w:rPr>
          <w:fldChar w:fldCharType="begin"/>
        </w:r>
        <w:r>
          <w:rPr>
            <w:noProof/>
            <w:webHidden/>
          </w:rPr>
          <w:instrText xml:space="preserve"> PAGEREF _Toc407116930 \h </w:instrText>
        </w:r>
        <w:r>
          <w:rPr>
            <w:noProof/>
            <w:webHidden/>
          </w:rPr>
        </w:r>
        <w:r>
          <w:rPr>
            <w:noProof/>
            <w:webHidden/>
          </w:rPr>
          <w:fldChar w:fldCharType="separate"/>
        </w:r>
        <w:r w:rsidR="003A4363">
          <w:rPr>
            <w:noProof/>
            <w:webHidden/>
          </w:rPr>
          <w:t>330</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31" w:history="1">
        <w:r w:rsidRPr="004D38E8">
          <w:rPr>
            <w:rStyle w:val="Hyperlink"/>
            <w:noProof/>
          </w:rPr>
          <w:t>Funding sources to local government in Victoria</w:t>
        </w:r>
        <w:r>
          <w:rPr>
            <w:noProof/>
            <w:webHidden/>
          </w:rPr>
          <w:tab/>
        </w:r>
        <w:r>
          <w:rPr>
            <w:noProof/>
            <w:webHidden/>
          </w:rPr>
          <w:fldChar w:fldCharType="begin"/>
        </w:r>
        <w:r>
          <w:rPr>
            <w:noProof/>
            <w:webHidden/>
          </w:rPr>
          <w:instrText xml:space="preserve"> PAGEREF _Toc407116931 \h </w:instrText>
        </w:r>
        <w:r>
          <w:rPr>
            <w:noProof/>
            <w:webHidden/>
          </w:rPr>
        </w:r>
        <w:r>
          <w:rPr>
            <w:noProof/>
            <w:webHidden/>
          </w:rPr>
          <w:fldChar w:fldCharType="separate"/>
        </w:r>
        <w:r w:rsidR="003A4363">
          <w:rPr>
            <w:noProof/>
            <w:webHidden/>
          </w:rPr>
          <w:t>331</w:t>
        </w:r>
        <w:r>
          <w:rPr>
            <w:noProof/>
            <w:webHidden/>
          </w:rPr>
          <w:fldChar w:fldCharType="end"/>
        </w:r>
      </w:hyperlink>
    </w:p>
    <w:p w:rsidR="005140B4" w:rsidRDefault="005140B4">
      <w:pPr>
        <w:pStyle w:val="TOC2"/>
        <w:rPr>
          <w:rFonts w:asciiTheme="minorHAnsi" w:eastAsiaTheme="minorEastAsia" w:hAnsiTheme="minorHAnsi" w:cstheme="minorBidi"/>
          <w:noProof/>
          <w:sz w:val="22"/>
          <w:szCs w:val="22"/>
          <w:lang w:val="en-GB" w:eastAsia="en-GB"/>
        </w:rPr>
      </w:pPr>
      <w:hyperlink w:anchor="_Toc407116932" w:history="1">
        <w:r w:rsidRPr="004D38E8">
          <w:rPr>
            <w:rStyle w:val="Hyperlink"/>
            <w:i/>
            <w:noProof/>
          </w:rPr>
          <w:t>2014</w:t>
        </w:r>
        <w:r w:rsidRPr="004D38E8">
          <w:rPr>
            <w:rStyle w:val="Hyperlink"/>
            <w:i/>
            <w:noProof/>
          </w:rPr>
          <w:noBreakHyphen/>
          <w:t>15</w:t>
        </w:r>
        <w:r w:rsidRPr="004D38E8">
          <w:rPr>
            <w:rStyle w:val="Hyperlink"/>
            <w:noProof/>
          </w:rPr>
          <w:t xml:space="preserve"> </w:t>
        </w:r>
        <w:r w:rsidRPr="004D38E8">
          <w:rPr>
            <w:rStyle w:val="Hyperlink"/>
            <w:i/>
            <w:noProof/>
          </w:rPr>
          <w:t>Budget</w:t>
        </w:r>
        <w:r w:rsidRPr="004D38E8">
          <w:rPr>
            <w:rStyle w:val="Hyperlink"/>
            <w:noProof/>
          </w:rPr>
          <w:t xml:space="preserve"> Initiatives</w:t>
        </w:r>
        <w:r>
          <w:rPr>
            <w:noProof/>
            <w:webHidden/>
          </w:rPr>
          <w:tab/>
        </w:r>
        <w:r>
          <w:rPr>
            <w:noProof/>
            <w:webHidden/>
          </w:rPr>
          <w:fldChar w:fldCharType="begin"/>
        </w:r>
        <w:r>
          <w:rPr>
            <w:noProof/>
            <w:webHidden/>
          </w:rPr>
          <w:instrText xml:space="preserve"> PAGEREF _Toc407116932 \h </w:instrText>
        </w:r>
        <w:r>
          <w:rPr>
            <w:noProof/>
            <w:webHidden/>
          </w:rPr>
        </w:r>
        <w:r>
          <w:rPr>
            <w:noProof/>
            <w:webHidden/>
          </w:rPr>
          <w:fldChar w:fldCharType="separate"/>
        </w:r>
        <w:r w:rsidR="003A4363">
          <w:rPr>
            <w:noProof/>
            <w:webHidden/>
          </w:rPr>
          <w:t>333</w:t>
        </w:r>
        <w:r>
          <w:rPr>
            <w:noProof/>
            <w:webHidden/>
          </w:rPr>
          <w:fldChar w:fldCharType="end"/>
        </w:r>
      </w:hyperlink>
    </w:p>
    <w:p w:rsidR="005140B4" w:rsidRDefault="005140B4">
      <w:pPr>
        <w:pStyle w:val="TOC1"/>
        <w:rPr>
          <w:rFonts w:asciiTheme="minorHAnsi" w:eastAsiaTheme="minorEastAsia" w:hAnsiTheme="minorHAnsi" w:cstheme="minorBidi"/>
          <w:b w:val="0"/>
          <w:noProof/>
          <w:sz w:val="22"/>
          <w:szCs w:val="22"/>
          <w:lang w:val="en-GB" w:eastAsia="en-GB"/>
        </w:rPr>
      </w:pPr>
      <w:hyperlink w:anchor="_Toc407116933" w:history="1">
        <w:r w:rsidRPr="004D38E8">
          <w:rPr>
            <w:rStyle w:val="Hyperlink"/>
            <w:noProof/>
          </w:rPr>
          <w:t>Style conventions</w:t>
        </w:r>
        <w:r>
          <w:rPr>
            <w:noProof/>
            <w:webHidden/>
          </w:rPr>
          <w:tab/>
        </w:r>
        <w:r>
          <w:rPr>
            <w:noProof/>
            <w:webHidden/>
          </w:rPr>
          <w:fldChar w:fldCharType="begin"/>
        </w:r>
        <w:r>
          <w:rPr>
            <w:noProof/>
            <w:webHidden/>
          </w:rPr>
          <w:instrText xml:space="preserve"> PAGEREF _Toc407116933 \h </w:instrText>
        </w:r>
        <w:r>
          <w:rPr>
            <w:noProof/>
            <w:webHidden/>
          </w:rPr>
        </w:r>
        <w:r>
          <w:rPr>
            <w:noProof/>
            <w:webHidden/>
          </w:rPr>
          <w:fldChar w:fldCharType="separate"/>
        </w:r>
        <w:r w:rsidR="003A4363">
          <w:rPr>
            <w:noProof/>
            <w:webHidden/>
          </w:rPr>
          <w:t>337</w:t>
        </w:r>
        <w:r>
          <w:rPr>
            <w:noProof/>
            <w:webHidden/>
          </w:rPr>
          <w:fldChar w:fldCharType="end"/>
        </w:r>
      </w:hyperlink>
    </w:p>
    <w:p w:rsidR="005140B4" w:rsidRDefault="005140B4">
      <w:pPr>
        <w:pStyle w:val="TOC1"/>
        <w:rPr>
          <w:rFonts w:asciiTheme="minorHAnsi" w:eastAsiaTheme="minorEastAsia" w:hAnsiTheme="minorHAnsi" w:cstheme="minorBidi"/>
          <w:b w:val="0"/>
          <w:noProof/>
          <w:sz w:val="22"/>
          <w:szCs w:val="22"/>
          <w:lang w:val="en-GB" w:eastAsia="en-GB"/>
        </w:rPr>
      </w:pPr>
      <w:hyperlink w:anchor="_Toc407116934" w:history="1">
        <w:r w:rsidRPr="004D38E8">
          <w:rPr>
            <w:rStyle w:val="Hyperlink"/>
            <w:noProof/>
          </w:rPr>
          <w:t>Index</w:t>
        </w:r>
        <w:r>
          <w:rPr>
            <w:noProof/>
            <w:webHidden/>
          </w:rPr>
          <w:tab/>
        </w:r>
        <w:r>
          <w:rPr>
            <w:noProof/>
            <w:webHidden/>
          </w:rPr>
          <w:fldChar w:fldCharType="begin"/>
        </w:r>
        <w:r>
          <w:rPr>
            <w:noProof/>
            <w:webHidden/>
          </w:rPr>
          <w:instrText xml:space="preserve"> PAGEREF _Toc407116934 \h </w:instrText>
        </w:r>
        <w:r>
          <w:rPr>
            <w:noProof/>
            <w:webHidden/>
          </w:rPr>
        </w:r>
        <w:r>
          <w:rPr>
            <w:noProof/>
            <w:webHidden/>
          </w:rPr>
          <w:fldChar w:fldCharType="separate"/>
        </w:r>
        <w:r w:rsidR="003A4363">
          <w:rPr>
            <w:noProof/>
            <w:webHidden/>
          </w:rPr>
          <w:t>339</w:t>
        </w:r>
        <w:r>
          <w:rPr>
            <w:noProof/>
            <w:webHidden/>
          </w:rPr>
          <w:fldChar w:fldCharType="end"/>
        </w:r>
      </w:hyperlink>
    </w:p>
    <w:p w:rsidR="00A53D7D" w:rsidRDefault="00A53D7D" w:rsidP="00E1736C">
      <w:r>
        <w:fldChar w:fldCharType="end"/>
      </w:r>
    </w:p>
    <w:p w:rsidR="00A53D7D" w:rsidRDefault="00A53D7D" w:rsidP="00497606"/>
    <w:p w:rsidR="00A53D7D" w:rsidRDefault="00A53D7D" w:rsidP="003E042A">
      <w:pPr>
        <w:sectPr w:rsidR="00A53D7D" w:rsidSect="00CD2017">
          <w:footerReference w:type="even" r:id="rId17"/>
          <w:footerReference w:type="default" r:id="rId18"/>
          <w:type w:val="oddPage"/>
          <w:pgSz w:w="9979" w:h="14181" w:code="138"/>
          <w:pgMar w:top="1138" w:right="1138" w:bottom="1138" w:left="1138" w:header="720" w:footer="432" w:gutter="0"/>
          <w:pgNumType w:fmt="lowerRoman" w:start="1"/>
          <w:cols w:space="708"/>
          <w:docGrid w:linePitch="360"/>
        </w:sectPr>
      </w:pPr>
    </w:p>
    <w:p w:rsidR="00A53D7D" w:rsidRPr="00596ED3" w:rsidRDefault="00A53D7D" w:rsidP="005140B4">
      <w:pPr>
        <w:pStyle w:val="ChapterHeading"/>
      </w:pPr>
      <w:bookmarkStart w:id="0" w:name="_Toc386364057"/>
      <w:bookmarkStart w:id="1" w:name="_Toc407116890"/>
      <w:r>
        <w:t>Chapter </w:t>
      </w:r>
      <w:r w:rsidRPr="00787C46">
        <w:t>1 – Output, a</w:t>
      </w:r>
      <w:r w:rsidRPr="00596ED3">
        <w:t xml:space="preserve">sset investment, </w:t>
      </w:r>
      <w:proofErr w:type="gramStart"/>
      <w:r w:rsidRPr="00596ED3">
        <w:t>savings</w:t>
      </w:r>
      <w:proofErr w:type="gramEnd"/>
      <w:r w:rsidRPr="00596ED3">
        <w:t xml:space="preserve"> and revenue initiatives</w:t>
      </w:r>
      <w:bookmarkEnd w:id="0"/>
      <w:bookmarkEnd w:id="1"/>
    </w:p>
    <w:p w:rsidR="00A53D7D" w:rsidRPr="00596ED3" w:rsidRDefault="00A53D7D" w:rsidP="005140B4">
      <w:pPr>
        <w:pStyle w:val="Heading1"/>
      </w:pPr>
      <w:bookmarkStart w:id="2" w:name="_Toc386364058"/>
      <w:bookmarkStart w:id="3" w:name="_Toc407116891"/>
      <w:r w:rsidRPr="00596ED3">
        <w:t>Introduction</w:t>
      </w:r>
      <w:bookmarkEnd w:id="2"/>
      <w:bookmarkEnd w:id="3"/>
    </w:p>
    <w:p w:rsidR="00A53D7D" w:rsidRPr="00596ED3" w:rsidRDefault="00A53D7D" w:rsidP="005140B4">
      <w:r w:rsidRPr="00596ED3">
        <w:t>Strong financial management has built the foundation for the transformational</w:t>
      </w:r>
      <w:r w:rsidRPr="00596ED3">
        <w:rPr>
          <w:shd w:val="clear" w:color="auto" w:fill="FFC000"/>
        </w:rPr>
        <w:t xml:space="preserve"> </w:t>
      </w:r>
      <w:r w:rsidRPr="00596ED3">
        <w:t xml:space="preserve">infrastructure and services investments included in the </w:t>
      </w:r>
      <w:r w:rsidRPr="00596ED3">
        <w:rPr>
          <w:i/>
        </w:rPr>
        <w:t>2014</w:t>
      </w:r>
      <w:r>
        <w:rPr>
          <w:i/>
        </w:rPr>
        <w:noBreakHyphen/>
      </w:r>
      <w:r w:rsidRPr="00596ED3">
        <w:rPr>
          <w:i/>
        </w:rPr>
        <w:t>15 Budget</w:t>
      </w:r>
      <w:r w:rsidRPr="00596ED3">
        <w:t>. Over the past three and a half years, the Government has acted decisively to restore Victoria</w:t>
      </w:r>
      <w:r>
        <w:t>’</w:t>
      </w:r>
      <w:r w:rsidRPr="00596ED3">
        <w:t>s finances to be the strongest in Australia. Victoria is the only Australian jurisdiction to forecast budget surpluses over the next four years, and holds a triple</w:t>
      </w:r>
      <w:r>
        <w:noBreakHyphen/>
      </w:r>
      <w:r w:rsidRPr="00596ED3">
        <w:t>A credit rating from both major credit rating agencies.</w:t>
      </w:r>
    </w:p>
    <w:p w:rsidR="00A53D7D" w:rsidRPr="00596ED3" w:rsidRDefault="00A53D7D" w:rsidP="005140B4">
      <w:r w:rsidRPr="00596ED3">
        <w:t xml:space="preserve">The </w:t>
      </w:r>
      <w:r w:rsidRPr="00596ED3">
        <w:rPr>
          <w:i/>
        </w:rPr>
        <w:t>2014</w:t>
      </w:r>
      <w:r>
        <w:rPr>
          <w:i/>
        </w:rPr>
        <w:noBreakHyphen/>
      </w:r>
      <w:r w:rsidRPr="00596ED3">
        <w:rPr>
          <w:i/>
        </w:rPr>
        <w:t>15 Budget</w:t>
      </w:r>
      <w:r w:rsidRPr="00596ED3">
        <w:t xml:space="preserve"> delivers major new infrastructure investment that will drive economic growth and employment with lasting benefits, while funding improved service delivery to maintain liveability as the population grows.</w:t>
      </w:r>
    </w:p>
    <w:p w:rsidR="00A53D7D" w:rsidRPr="00596ED3" w:rsidRDefault="00A53D7D" w:rsidP="005140B4">
      <w:r w:rsidRPr="00596ED3">
        <w:t xml:space="preserve">Budget Paper No. 3 </w:t>
      </w:r>
      <w:r w:rsidRPr="00596ED3">
        <w:rPr>
          <w:i/>
        </w:rPr>
        <w:t>Service Delivery</w:t>
      </w:r>
      <w:r w:rsidRPr="00596ED3">
        <w:t xml:space="preserve"> outlines the Government</w:t>
      </w:r>
      <w:r>
        <w:t>’</w:t>
      </w:r>
      <w:r w:rsidRPr="00596ED3">
        <w:t>s priorities for the goods and services it provides to Victorians. It details the Government</w:t>
      </w:r>
      <w:r>
        <w:t>’</w:t>
      </w:r>
      <w:r w:rsidRPr="00596ED3">
        <w:t xml:space="preserve">s budget decisions and how they will improve productivity, support jobs </w:t>
      </w:r>
      <w:proofErr w:type="gramStart"/>
      <w:r w:rsidRPr="00596ED3">
        <w:t>growth</w:t>
      </w:r>
      <w:proofErr w:type="gramEnd"/>
      <w:r w:rsidRPr="00596ED3">
        <w:t xml:space="preserve"> and enhance service delivery. </w:t>
      </w:r>
    </w:p>
    <w:p w:rsidR="00A53D7D" w:rsidRPr="00596ED3" w:rsidRDefault="00A53D7D" w:rsidP="005140B4">
      <w:r w:rsidRPr="00596ED3">
        <w:t xml:space="preserve">Budget Paper No. 3 </w:t>
      </w:r>
      <w:r w:rsidRPr="00596ED3">
        <w:rPr>
          <w:i/>
        </w:rPr>
        <w:t>Service Delivery</w:t>
      </w:r>
      <w:r w:rsidRPr="00596ED3">
        <w:t xml:space="preserve"> also provides an update on how the Government is meeting its targets for delivery of outputs and how these outputs are contributing to meeting key objectives. </w:t>
      </w:r>
    </w:p>
    <w:p w:rsidR="00A53D7D" w:rsidRPr="00596ED3" w:rsidRDefault="00A53D7D" w:rsidP="005140B4">
      <w:r w:rsidRPr="00596ED3">
        <w:t xml:space="preserve">The </w:t>
      </w:r>
      <w:r w:rsidRPr="00596ED3">
        <w:rPr>
          <w:i/>
        </w:rPr>
        <w:t>2014</w:t>
      </w:r>
      <w:r>
        <w:rPr>
          <w:i/>
        </w:rPr>
        <w:noBreakHyphen/>
      </w:r>
      <w:r w:rsidRPr="00596ED3">
        <w:rPr>
          <w:i/>
        </w:rPr>
        <w:t xml:space="preserve">15 Budget </w:t>
      </w:r>
      <w:r w:rsidRPr="00596ED3">
        <w:t>provides funding of $6.1</w:t>
      </w:r>
      <w:r>
        <w:t> billion</w:t>
      </w:r>
      <w:r w:rsidRPr="00596ED3">
        <w:t xml:space="preserve"> in output initiatives and up to $27</w:t>
      </w:r>
      <w:r>
        <w:t> billion</w:t>
      </w:r>
      <w:r w:rsidRPr="00596ED3">
        <w:t xml:space="preserve"> in </w:t>
      </w:r>
      <w:r>
        <w:t xml:space="preserve">new </w:t>
      </w:r>
      <w:r w:rsidRPr="00596ED3">
        <w:t>capital investment to meet increasing demand for core services, strengthen health and community services, build new schools and upgrade school facilities, invest in major new rail and road transport projects for Vi</w:t>
      </w:r>
      <w:r w:rsidRPr="00596ED3">
        <w:rPr>
          <w:shd w:val="clear" w:color="auto" w:fill="FFFFFF" w:themeFill="background1"/>
        </w:rPr>
        <w:t>c</w:t>
      </w:r>
      <w:r w:rsidRPr="00596ED3">
        <w:t xml:space="preserve">toria and expand the corrections system. </w:t>
      </w:r>
    </w:p>
    <w:p w:rsidR="00A53D7D" w:rsidRPr="00596ED3" w:rsidRDefault="00A53D7D" w:rsidP="005140B4">
      <w:r w:rsidRPr="00596ED3">
        <w:t xml:space="preserve">The </w:t>
      </w:r>
      <w:r w:rsidRPr="00596ED3">
        <w:rPr>
          <w:i/>
        </w:rPr>
        <w:t>2014</w:t>
      </w:r>
      <w:r>
        <w:rPr>
          <w:i/>
        </w:rPr>
        <w:noBreakHyphen/>
      </w:r>
      <w:r w:rsidRPr="00596ED3">
        <w:rPr>
          <w:i/>
        </w:rPr>
        <w:t>15 Budget</w:t>
      </w:r>
      <w:r w:rsidRPr="00596ED3">
        <w:t xml:space="preserve"> targets spending on key priorities to build on the strong funding and service delivery base already in place for these essential services.</w:t>
      </w:r>
    </w:p>
    <w:p w:rsidR="00A53D7D" w:rsidRPr="00596ED3" w:rsidRDefault="00A53D7D" w:rsidP="005140B4">
      <w:pPr>
        <w:spacing w:after="0"/>
        <w:rPr>
          <w:rFonts w:ascii="Calibri" w:hAnsi="Calibri"/>
          <w:b/>
          <w:kern w:val="28"/>
          <w:sz w:val="26"/>
          <w:szCs w:val="22"/>
        </w:rPr>
      </w:pPr>
      <w:r w:rsidRPr="00596ED3">
        <w:br w:type="page"/>
      </w:r>
    </w:p>
    <w:p w:rsidR="00A53D7D" w:rsidRPr="00596ED3" w:rsidRDefault="00A53D7D" w:rsidP="005140B4">
      <w:pPr>
        <w:pStyle w:val="Heading2"/>
      </w:pPr>
      <w:r w:rsidRPr="00596ED3">
        <w:t>Building a better Victoria</w:t>
      </w:r>
    </w:p>
    <w:p w:rsidR="00A53D7D" w:rsidRPr="00596ED3" w:rsidRDefault="00A53D7D" w:rsidP="005140B4">
      <w:r w:rsidRPr="00596ED3">
        <w:t>The Government is supporting economic growth and job creation by investing in major new infrastructure projects and in skills development for Victorians, recognising the rising demand for higher level skills in the labour market. These investments include:</w:t>
      </w:r>
    </w:p>
    <w:p w:rsidR="00A53D7D" w:rsidRPr="00596ED3" w:rsidRDefault="00A53D7D" w:rsidP="005140B4">
      <w:pPr>
        <w:pStyle w:val="BulletText"/>
      </w:pPr>
      <w:r w:rsidRPr="00596ED3">
        <w:t>the Melbourne Rail Link, which will construct a new tunnel from Southern Cross Station</w:t>
      </w:r>
      <w:r>
        <w:fldChar w:fldCharType="begin"/>
      </w:r>
      <w:r>
        <w:instrText xml:space="preserve"> XE "</w:instrText>
      </w:r>
      <w:r w:rsidRPr="006D6056">
        <w:instrText>Southern Cross Station</w:instrText>
      </w:r>
      <w:r>
        <w:instrText xml:space="preserve">" </w:instrText>
      </w:r>
      <w:r>
        <w:fldChar w:fldCharType="end"/>
      </w:r>
      <w:r w:rsidRPr="00596ED3">
        <w:t xml:space="preserve"> to South Yarra via </w:t>
      </w:r>
      <w:proofErr w:type="spellStart"/>
      <w:r w:rsidRPr="00596ED3">
        <w:t>Fishermans</w:t>
      </w:r>
      <w:proofErr w:type="spellEnd"/>
      <w:r w:rsidRPr="00596ED3">
        <w:t xml:space="preserve"> Bend, with two new underground stations at Domain and Montague (</w:t>
      </w:r>
      <w:proofErr w:type="spellStart"/>
      <w:r w:rsidRPr="00596ED3">
        <w:t>Fishermans</w:t>
      </w:r>
      <w:proofErr w:type="spellEnd"/>
      <w:r w:rsidRPr="00596ED3">
        <w:t xml:space="preserve"> Bend) and new underground platforms at South Yarra Station and Southern Cross Station to enable interchange with other services. The Melbourne Rail Link will also incorporate the construction of the Airport Rail Link connecting Melbourne Airport via the Albion East </w:t>
      </w:r>
      <w:r>
        <w:t>route</w:t>
      </w:r>
      <w:r w:rsidRPr="00596ED3">
        <w:t xml:space="preserve"> through to </w:t>
      </w:r>
      <w:r>
        <w:t>Southern Cross Station</w:t>
      </w:r>
      <w:r w:rsidRPr="00596ED3">
        <w:t>;</w:t>
      </w:r>
    </w:p>
    <w:p w:rsidR="00A53D7D" w:rsidRPr="00596ED3" w:rsidRDefault="00A53D7D" w:rsidP="005140B4">
      <w:pPr>
        <w:pStyle w:val="BulletText"/>
      </w:pPr>
      <w:r w:rsidRPr="00596ED3">
        <w:t xml:space="preserve">building on </w:t>
      </w:r>
      <w:r>
        <w:t xml:space="preserve">the commitment </w:t>
      </w:r>
      <w:r w:rsidRPr="00596ED3">
        <w:t xml:space="preserve">in the </w:t>
      </w:r>
      <w:r w:rsidRPr="00596ED3">
        <w:rPr>
          <w:i/>
        </w:rPr>
        <w:t>2013</w:t>
      </w:r>
      <w:r>
        <w:rPr>
          <w:i/>
        </w:rPr>
        <w:noBreakHyphen/>
      </w:r>
      <w:r w:rsidRPr="00596ED3">
        <w:rPr>
          <w:i/>
        </w:rPr>
        <w:t>14 Budget</w:t>
      </w:r>
      <w:r w:rsidRPr="00596ED3">
        <w:t xml:space="preserve"> to</w:t>
      </w:r>
      <w:r>
        <w:t xml:space="preserve"> the East West Link – Eastern Section, with funding for the Western Section of the road;</w:t>
      </w:r>
      <w:r>
        <w:fldChar w:fldCharType="begin"/>
      </w:r>
      <w:r>
        <w:instrText xml:space="preserve"> XE "</w:instrText>
      </w:r>
      <w:r w:rsidRPr="00E01126">
        <w:instrText>East West Link – Western Section</w:instrText>
      </w:r>
      <w:r>
        <w:instrText xml:space="preserve">" </w:instrText>
      </w:r>
      <w:r>
        <w:fldChar w:fldCharType="end"/>
      </w:r>
      <w:r>
        <w:t xml:space="preserve"> </w:t>
      </w:r>
    </w:p>
    <w:p w:rsidR="00A53D7D" w:rsidRPr="00596ED3" w:rsidRDefault="00A53D7D" w:rsidP="005140B4">
      <w:pPr>
        <w:pStyle w:val="BulletText"/>
      </w:pPr>
      <w:proofErr w:type="gramStart"/>
      <w:r w:rsidRPr="00596ED3">
        <w:t>transforming</w:t>
      </w:r>
      <w:proofErr w:type="gramEnd"/>
      <w:r w:rsidRPr="00596ED3">
        <w:t xml:space="preserve"> the Cranbourne</w:t>
      </w:r>
      <w:r>
        <w:noBreakHyphen/>
      </w:r>
      <w:r w:rsidRPr="00596ED3">
        <w:t>Pakenham rail line, delivering 30</w:t>
      </w:r>
      <w:r>
        <w:t> per cent more capacity. The project includes</w:t>
      </w:r>
      <w:r w:rsidRPr="00596ED3">
        <w:t xml:space="preserve"> 25 new next generation trains, high capacity signalling and four level crossing removals with planning for a further five removals;</w:t>
      </w:r>
    </w:p>
    <w:p w:rsidR="00A53D7D" w:rsidRPr="00596ED3" w:rsidRDefault="00A53D7D" w:rsidP="005140B4">
      <w:pPr>
        <w:pStyle w:val="BulletText"/>
      </w:pPr>
      <w:r w:rsidRPr="00596ED3">
        <w:t>upgrading and standardising the Murray Basin</w:t>
      </w:r>
      <w:r>
        <w:fldChar w:fldCharType="begin"/>
      </w:r>
      <w:r>
        <w:instrText xml:space="preserve"> XE "</w:instrText>
      </w:r>
      <w:r w:rsidRPr="006D6056">
        <w:instrText>Murray Basin Rail project</w:instrText>
      </w:r>
      <w:r>
        <w:instrText xml:space="preserve">" </w:instrText>
      </w:r>
      <w:r>
        <w:fldChar w:fldCharType="end"/>
      </w:r>
      <w:r w:rsidRPr="00596ED3">
        <w:t xml:space="preserve"> country rail freight network to improve the efficiency of freight movements;</w:t>
      </w:r>
    </w:p>
    <w:p w:rsidR="00A53D7D" w:rsidRPr="00596ED3" w:rsidRDefault="00A53D7D" w:rsidP="005140B4">
      <w:pPr>
        <w:pStyle w:val="BulletText"/>
      </w:pPr>
      <w:r w:rsidRPr="00596ED3">
        <w:t>continuing to improve the strategic Princes Highway</w:t>
      </w:r>
      <w:r w:rsidRPr="00596ED3">
        <w:fldChar w:fldCharType="begin"/>
      </w:r>
      <w:r w:rsidRPr="00596ED3">
        <w:instrText xml:space="preserve"> XE </w:instrText>
      </w:r>
      <w:r>
        <w:instrText>"</w:instrText>
      </w:r>
      <w:r w:rsidRPr="00596ED3">
        <w:instrText xml:space="preserve">Princes Highway </w:instrText>
      </w:r>
      <w:r>
        <w:instrText xml:space="preserve">West </w:instrText>
      </w:r>
      <w:r w:rsidRPr="00596ED3">
        <w:instrText>duplication project</w:instrText>
      </w:r>
      <w:r>
        <w:instrText>"</w:instrText>
      </w:r>
      <w:r w:rsidRPr="00596ED3">
        <w:instrText xml:space="preserve"> </w:instrText>
      </w:r>
      <w:r w:rsidRPr="00596ED3">
        <w:fldChar w:fldCharType="end"/>
      </w:r>
      <w:r w:rsidRPr="00596ED3">
        <w:t xml:space="preserve"> corridor by duplicating the Highway between Winchelsea and Colac;</w:t>
      </w:r>
    </w:p>
    <w:p w:rsidR="00A53D7D" w:rsidRPr="00596ED3" w:rsidRDefault="00A53D7D" w:rsidP="005140B4">
      <w:pPr>
        <w:pStyle w:val="BulletText"/>
      </w:pPr>
      <w:r w:rsidRPr="00596ED3">
        <w:t xml:space="preserve">supporting workers in transition by boosting funding for skills development and retraining; </w:t>
      </w:r>
    </w:p>
    <w:p w:rsidR="00A53D7D" w:rsidRPr="00596ED3" w:rsidRDefault="00A53D7D" w:rsidP="005140B4">
      <w:pPr>
        <w:pStyle w:val="BulletText"/>
      </w:pPr>
      <w:r w:rsidRPr="00596ED3">
        <w:t>driving and supporting new opportunities for growth through investing in regional tourism, innovation, international business partnerships and small business;</w:t>
      </w:r>
    </w:p>
    <w:p w:rsidR="00A53D7D" w:rsidRPr="00596ED3" w:rsidRDefault="00A53D7D" w:rsidP="005140B4">
      <w:pPr>
        <w:pStyle w:val="BulletText"/>
      </w:pPr>
      <w:r w:rsidRPr="00596ED3">
        <w:t>developing markets in Victoria</w:t>
      </w:r>
      <w:r>
        <w:t>’</w:t>
      </w:r>
      <w:r w:rsidRPr="00596ED3">
        <w:t>s export markets in Asia through a new food and agriculture export strategy; and</w:t>
      </w:r>
    </w:p>
    <w:p w:rsidR="00A53D7D" w:rsidRDefault="00A53D7D" w:rsidP="005140B4">
      <w:pPr>
        <w:pStyle w:val="BulletText"/>
      </w:pPr>
      <w:proofErr w:type="gramStart"/>
      <w:r w:rsidRPr="00596ED3">
        <w:t>supporting</w:t>
      </w:r>
      <w:proofErr w:type="gramEnd"/>
      <w:r w:rsidRPr="00596ED3">
        <w:t xml:space="preserve"> industries undergoing structural transition by contributing to the Automotive Structural Adjustment and Growth Fund.</w:t>
      </w:r>
    </w:p>
    <w:p w:rsidR="00A53D7D" w:rsidRPr="00596ED3" w:rsidRDefault="00A53D7D" w:rsidP="005140B4">
      <w:pPr>
        <w:pStyle w:val="BulletText"/>
        <w:numPr>
          <w:ilvl w:val="0"/>
          <w:numId w:val="0"/>
        </w:numPr>
      </w:pPr>
      <w:r>
        <w:t>In addition, the Government has secured an inc</w:t>
      </w:r>
      <w:r w:rsidRPr="00596ED3">
        <w:t>reas</w:t>
      </w:r>
      <w:r>
        <w:t>e to</w:t>
      </w:r>
      <w:r w:rsidRPr="00596ED3">
        <w:t xml:space="preserve"> the capacity of </w:t>
      </w:r>
      <w:r>
        <w:t xml:space="preserve">sections of </w:t>
      </w:r>
      <w:proofErr w:type="spellStart"/>
      <w:r w:rsidRPr="00596ED3">
        <w:t>Citylink</w:t>
      </w:r>
      <w:proofErr w:type="spellEnd"/>
      <w:r w:rsidRPr="00596ED3">
        <w:t xml:space="preserve"> and the Tullamarine Freeway</w:t>
      </w:r>
      <w:r>
        <w:t xml:space="preserve"> that will be funded by </w:t>
      </w:r>
      <w:proofErr w:type="spellStart"/>
      <w:r>
        <w:t>Transurban</w:t>
      </w:r>
      <w:proofErr w:type="spellEnd"/>
      <w:r>
        <w:t>. This expansion will boost traffic capacity by 30 per cent and cut travel times between the West Gate Freeway and Melbourne Airport by up to 16 minutes in peak periods.</w:t>
      </w:r>
      <w:r w:rsidRPr="00596ED3">
        <w:fldChar w:fldCharType="begin"/>
      </w:r>
      <w:r w:rsidRPr="00596ED3">
        <w:instrText xml:space="preserve"> XE </w:instrText>
      </w:r>
      <w:r>
        <w:instrText>"</w:instrText>
      </w:r>
      <w:r w:rsidRPr="00596ED3">
        <w:instrText>CityLink – Tulla widening</w:instrText>
      </w:r>
      <w:r>
        <w:instrText>"</w:instrText>
      </w:r>
      <w:r w:rsidRPr="00596ED3">
        <w:instrText xml:space="preserve"> </w:instrText>
      </w:r>
      <w:r w:rsidRPr="00596ED3">
        <w:fldChar w:fldCharType="end"/>
      </w:r>
    </w:p>
    <w:p w:rsidR="00A53D7D" w:rsidRPr="00596ED3" w:rsidRDefault="00A53D7D" w:rsidP="005140B4">
      <w:pPr>
        <w:spacing w:after="0"/>
        <w:rPr>
          <w:rFonts w:ascii="Calibri" w:hAnsi="Calibri"/>
          <w:b/>
          <w:kern w:val="28"/>
          <w:sz w:val="26"/>
          <w:szCs w:val="22"/>
        </w:rPr>
      </w:pPr>
      <w:r w:rsidRPr="00596ED3">
        <w:br w:type="page"/>
      </w:r>
    </w:p>
    <w:p w:rsidR="00A53D7D" w:rsidRPr="00596ED3" w:rsidRDefault="00A53D7D" w:rsidP="005140B4">
      <w:pPr>
        <w:pStyle w:val="Heading2"/>
      </w:pPr>
      <w:r w:rsidRPr="00596ED3">
        <w:t xml:space="preserve">Supporting population growth and delivering core services </w:t>
      </w:r>
    </w:p>
    <w:p w:rsidR="00A53D7D" w:rsidRPr="00596ED3" w:rsidRDefault="00A53D7D" w:rsidP="005D61C9">
      <w:pPr>
        <w:spacing w:after="80"/>
      </w:pPr>
      <w:r w:rsidRPr="00596ED3">
        <w:t>Victoria</w:t>
      </w:r>
      <w:r>
        <w:t>’</w:t>
      </w:r>
      <w:r w:rsidRPr="00596ED3">
        <w:t>s population continues to grow as the State attracts new migrants and residents from interstate, as well as experiencing an increased birth rate. Through strong financial management and economic reform, the Government will meet growing demand for core services, including by:</w:t>
      </w:r>
    </w:p>
    <w:p w:rsidR="00A53D7D" w:rsidRPr="00596ED3" w:rsidRDefault="00A53D7D" w:rsidP="005D61C9">
      <w:pPr>
        <w:pStyle w:val="BulletText"/>
        <w:spacing w:after="80"/>
      </w:pPr>
      <w:r w:rsidRPr="00596ED3">
        <w:t>investing in the health sector, with additional funding for hospitals and other community</w:t>
      </w:r>
      <w:r>
        <w:noBreakHyphen/>
      </w:r>
      <w:r w:rsidRPr="00596ED3">
        <w:t xml:space="preserve">based services to ensure that the sector can respond appropriately to the needs of the community; </w:t>
      </w:r>
    </w:p>
    <w:p w:rsidR="00A53D7D" w:rsidRPr="00596ED3" w:rsidRDefault="00A53D7D" w:rsidP="005D61C9">
      <w:pPr>
        <w:pStyle w:val="BulletText"/>
        <w:spacing w:after="80"/>
      </w:pPr>
      <w:r w:rsidRPr="00596ED3">
        <w:t>improving affordability for Victorians to travel from Zone 2 to the CBD and inner city, providing free tram travel in the CBD and Docklands, and concessions for international students travelling on public transport;</w:t>
      </w:r>
    </w:p>
    <w:p w:rsidR="00A53D7D" w:rsidRPr="00596ED3" w:rsidRDefault="00A53D7D" w:rsidP="005D61C9">
      <w:pPr>
        <w:pStyle w:val="BulletText"/>
        <w:spacing w:after="80"/>
      </w:pPr>
      <w:proofErr w:type="gramStart"/>
      <w:r w:rsidRPr="00596ED3">
        <w:t>delivering</w:t>
      </w:r>
      <w:proofErr w:type="gramEnd"/>
      <w:r w:rsidRPr="00596ED3">
        <w:t xml:space="preserve"> $1.6</w:t>
      </w:r>
      <w:r>
        <w:t> billion</w:t>
      </w:r>
      <w:r w:rsidRPr="00596ED3">
        <w:t xml:space="preserve"> for schools for enrolment growth, programs for students with disabilities and initiatives to improve the quality of the education system, on top of </w:t>
      </w:r>
      <w:r>
        <w:t xml:space="preserve">State </w:t>
      </w:r>
      <w:r w:rsidRPr="00596ED3">
        <w:t>funding growth of $1.2</w:t>
      </w:r>
      <w:r>
        <w:t> billion</w:t>
      </w:r>
      <w:r w:rsidRPr="00596ED3">
        <w:t xml:space="preserve"> already reflected in the estimates. This will further the reforms necessary for Victoria</w:t>
      </w:r>
      <w:r>
        <w:t>’</w:t>
      </w:r>
      <w:r w:rsidRPr="00596ED3">
        <w:t>s schools to reach world</w:t>
      </w:r>
      <w:r>
        <w:noBreakHyphen/>
      </w:r>
      <w:r w:rsidRPr="00596ED3">
        <w:t>leading standards. This investment contributes to the Victorian Government</w:t>
      </w:r>
      <w:r>
        <w:t>’</w:t>
      </w:r>
      <w:r w:rsidRPr="00596ED3">
        <w:t>s commitment to provide $5.4</w:t>
      </w:r>
      <w:r>
        <w:t> billion</w:t>
      </w:r>
      <w:r w:rsidRPr="00596ED3">
        <w:t xml:space="preserve"> in additional schools funding over </w:t>
      </w:r>
      <w:r>
        <w:t>six</w:t>
      </w:r>
      <w:r w:rsidRPr="00596ED3">
        <w:t xml:space="preserve"> years;</w:t>
      </w:r>
    </w:p>
    <w:p w:rsidR="00A53D7D" w:rsidRPr="00596ED3" w:rsidRDefault="00A53D7D" w:rsidP="005D61C9">
      <w:pPr>
        <w:pStyle w:val="BulletText"/>
        <w:spacing w:after="80"/>
      </w:pPr>
      <w:r w:rsidRPr="00596ED3">
        <w:t>a further investment of $500</w:t>
      </w:r>
      <w:r>
        <w:t> million</w:t>
      </w:r>
      <w:r w:rsidRPr="00596ED3">
        <w:t xml:space="preserve"> to build new schools and upgrade school facilities to provide modern teaching and learning environments;</w:t>
      </w:r>
    </w:p>
    <w:p w:rsidR="00A53D7D" w:rsidRPr="00596ED3" w:rsidRDefault="00A53D7D" w:rsidP="005D61C9">
      <w:pPr>
        <w:pStyle w:val="BulletText"/>
        <w:spacing w:after="80"/>
      </w:pPr>
      <w:r w:rsidRPr="00596ED3">
        <w:t>increasing funding for mental health, disability and child protection services to meet growing demand for health and community services;</w:t>
      </w:r>
    </w:p>
    <w:p w:rsidR="00A53D7D" w:rsidRPr="00596ED3" w:rsidRDefault="00A53D7D" w:rsidP="005D61C9">
      <w:pPr>
        <w:pStyle w:val="BulletText"/>
        <w:spacing w:after="80"/>
      </w:pPr>
      <w:r w:rsidRPr="00596ED3">
        <w:t xml:space="preserve">expanding the capacity of the corrections system to implement sentencing and parole reforms and to meet the increasing demand for prison beds; </w:t>
      </w:r>
    </w:p>
    <w:p w:rsidR="00A53D7D" w:rsidRPr="00596ED3" w:rsidRDefault="00A53D7D" w:rsidP="005D61C9">
      <w:pPr>
        <w:pStyle w:val="BulletText"/>
        <w:spacing w:after="80"/>
      </w:pPr>
      <w:r w:rsidRPr="00596ED3">
        <w:t>investing in policing</w:t>
      </w:r>
      <w:r>
        <w:fldChar w:fldCharType="begin"/>
      </w:r>
      <w:r>
        <w:instrText xml:space="preserve"> XE "</w:instrText>
      </w:r>
      <w:r w:rsidRPr="00F37EB9">
        <w:instrText>Policing</w:instrText>
      </w:r>
      <w:r>
        <w:instrText xml:space="preserve">" </w:instrText>
      </w:r>
      <w:r>
        <w:fldChar w:fldCharType="end"/>
      </w:r>
      <w:r w:rsidRPr="00596ED3">
        <w:t xml:space="preserve"> services by replacing the Echuca Police Station and the St Kilda Road Police Station, and establishing the Ballarat West Emergency Services Precinct</w:t>
      </w:r>
      <w:r>
        <w:fldChar w:fldCharType="begin"/>
      </w:r>
      <w:r>
        <w:instrText xml:space="preserve"> XE "</w:instrText>
      </w:r>
      <w:r w:rsidRPr="00EE1C3F">
        <w:instrText>Ballarat West Emergency Services Precinct</w:instrText>
      </w:r>
      <w:r>
        <w:instrText xml:space="preserve">" </w:instrText>
      </w:r>
      <w:r>
        <w:fldChar w:fldCharType="end"/>
      </w:r>
      <w:r w:rsidRPr="00596ED3">
        <w:t>;</w:t>
      </w:r>
    </w:p>
    <w:p w:rsidR="00A53D7D" w:rsidRPr="00596ED3" w:rsidRDefault="00A53D7D" w:rsidP="005D61C9">
      <w:pPr>
        <w:pStyle w:val="BulletText"/>
        <w:spacing w:after="80"/>
      </w:pPr>
      <w:r w:rsidRPr="00596ED3">
        <w:t>increasing expenditure to maintain Victoria</w:t>
      </w:r>
      <w:r>
        <w:t>’</w:t>
      </w:r>
      <w:r w:rsidRPr="00596ED3">
        <w:t>s</w:t>
      </w:r>
      <w:r>
        <w:t xml:space="preserve"> </w:t>
      </w:r>
      <w:r w:rsidRPr="00596ED3">
        <w:t>road network</w:t>
      </w:r>
      <w:r>
        <w:t xml:space="preserve"> of about 54 000</w:t>
      </w:r>
      <w:r w:rsidRPr="00BA1DB2">
        <w:t xml:space="preserve"> </w:t>
      </w:r>
      <w:r>
        <w:t>lane kilometres</w:t>
      </w:r>
      <w:r w:rsidRPr="00596ED3">
        <w:t>;</w:t>
      </w:r>
    </w:p>
    <w:p w:rsidR="00A53D7D" w:rsidRPr="00596ED3" w:rsidRDefault="00A53D7D" w:rsidP="005D61C9">
      <w:pPr>
        <w:pStyle w:val="BulletText"/>
        <w:spacing w:after="80"/>
      </w:pPr>
      <w:r w:rsidRPr="00596ED3">
        <w:t xml:space="preserve">investing in important community sporting infrastructure such as the Bendigo Aquatic Centre, Moorabbin </w:t>
      </w:r>
      <w:r>
        <w:t xml:space="preserve">Community </w:t>
      </w:r>
      <w:r w:rsidRPr="00596ED3">
        <w:t xml:space="preserve">Reserve and events such as the Stawell Gift, Melbourne to Warrnambool Cycling Classic and the Australian Masters Swimming Championships; </w:t>
      </w:r>
    </w:p>
    <w:p w:rsidR="00A53D7D" w:rsidRPr="00596ED3" w:rsidRDefault="00A53D7D" w:rsidP="005D61C9">
      <w:pPr>
        <w:pStyle w:val="BulletText"/>
        <w:spacing w:after="80"/>
      </w:pPr>
      <w:r w:rsidRPr="00596ED3">
        <w:t>providing for the clean</w:t>
      </w:r>
      <w:r>
        <w:noBreakHyphen/>
      </w:r>
      <w:r w:rsidRPr="00596ED3">
        <w:t>up and recovery of bushfire affected areas, and response and recovery for those affected by the Hazelwood mine fire; and</w:t>
      </w:r>
    </w:p>
    <w:p w:rsidR="00A53D7D" w:rsidRPr="00596ED3" w:rsidRDefault="00A53D7D" w:rsidP="005140B4">
      <w:pPr>
        <w:pStyle w:val="BulletText"/>
      </w:pPr>
      <w:proofErr w:type="gramStart"/>
      <w:r w:rsidRPr="00596ED3">
        <w:t>continuing</w:t>
      </w:r>
      <w:proofErr w:type="gramEnd"/>
      <w:r w:rsidRPr="00596ED3">
        <w:t xml:space="preserve"> support for the visual arts and cultural sector, including boosts in funding for the Arts Centre and community cultural infrastructure.</w:t>
      </w:r>
      <w:r w:rsidRPr="00596ED3">
        <w:fldChar w:fldCharType="begin"/>
      </w:r>
      <w:r w:rsidRPr="00596ED3">
        <w:instrText xml:space="preserve"> XE </w:instrText>
      </w:r>
      <w:r>
        <w:instrText>"</w:instrText>
      </w:r>
      <w:r w:rsidRPr="00596ED3">
        <w:instrText>Arts and Cultural Development</w:instrText>
      </w:r>
      <w:r>
        <w:instrText>"</w:instrText>
      </w:r>
      <w:r w:rsidRPr="00596ED3">
        <w:instrText xml:space="preserve"> </w:instrText>
      </w:r>
      <w:r w:rsidRPr="00596ED3">
        <w:fldChar w:fldCharType="end"/>
      </w:r>
    </w:p>
    <w:p w:rsidR="00A53D7D" w:rsidRPr="00596ED3" w:rsidRDefault="00A53D7D" w:rsidP="005140B4">
      <w:pPr>
        <w:pStyle w:val="BulletText"/>
        <w:numPr>
          <w:ilvl w:val="0"/>
          <w:numId w:val="0"/>
        </w:numPr>
        <w:spacing w:after="110"/>
      </w:pPr>
      <w:r w:rsidRPr="00596ED3">
        <w:t>The Government committed to fund its share of the wage increase</w:t>
      </w:r>
      <w:r>
        <w:t xml:space="preserve"> up to the value of $200 million</w:t>
      </w:r>
      <w:r w:rsidRPr="00596ED3">
        <w:t xml:space="preserve"> for social and community sector (SACS) workers, as determined by Fair Work Australia. </w:t>
      </w:r>
      <w:r>
        <w:t xml:space="preserve">Funding </w:t>
      </w:r>
      <w:r w:rsidRPr="00596ED3">
        <w:t>for 2012</w:t>
      </w:r>
      <w:r>
        <w:noBreakHyphen/>
      </w:r>
      <w:r w:rsidRPr="00596ED3">
        <w:t>13 ($24.5</w:t>
      </w:r>
      <w:r>
        <w:t> million</w:t>
      </w:r>
      <w:r w:rsidRPr="00596ED3">
        <w:t>) and 2013</w:t>
      </w:r>
      <w:r>
        <w:noBreakHyphen/>
      </w:r>
      <w:r w:rsidRPr="00596ED3">
        <w:t>14 ($70.2</w:t>
      </w:r>
      <w:r>
        <w:t> million</w:t>
      </w:r>
      <w:r w:rsidRPr="00596ED3">
        <w:t>) has already been provided to affected non</w:t>
      </w:r>
      <w:r>
        <w:noBreakHyphen/>
      </w:r>
      <w:r w:rsidRPr="00596ED3">
        <w:t>government organisations enabling them to pay their staff in accordance with the Fair Work Australia decision. Funding provided in 2014</w:t>
      </w:r>
      <w:r>
        <w:noBreakHyphen/>
      </w:r>
      <w:r w:rsidRPr="00596ED3">
        <w:t xml:space="preserve">15 </w:t>
      </w:r>
      <w:r>
        <w:t xml:space="preserve">of $118.8 million </w:t>
      </w:r>
      <w:r w:rsidRPr="00596ED3">
        <w:t>continues the Government</w:t>
      </w:r>
      <w:r>
        <w:t>’</w:t>
      </w:r>
      <w:r w:rsidRPr="00596ED3">
        <w:t>s commitment to SACS</w:t>
      </w:r>
      <w:r>
        <w:t xml:space="preserve"> workers. A</w:t>
      </w:r>
      <w:r w:rsidRPr="00596ED3">
        <w:t>mounts included in the budget are over and above the $200</w:t>
      </w:r>
      <w:r>
        <w:t> million</w:t>
      </w:r>
      <w:r w:rsidRPr="00596ED3">
        <w:t xml:space="preserve"> previously announced.</w:t>
      </w:r>
    </w:p>
    <w:p w:rsidR="00A53D7D" w:rsidRPr="00596ED3" w:rsidRDefault="00A53D7D" w:rsidP="005140B4">
      <w:pPr>
        <w:pStyle w:val="Heading1"/>
      </w:pPr>
      <w:bookmarkStart w:id="4" w:name="_Toc386364059"/>
      <w:bookmarkStart w:id="5" w:name="_Toc407116892"/>
      <w:r w:rsidRPr="00596ED3">
        <w:t>Whole of government – Bushfire recovery package</w:t>
      </w:r>
      <w:bookmarkEnd w:id="4"/>
      <w:bookmarkEnd w:id="5"/>
    </w:p>
    <w:p w:rsidR="00A53D7D" w:rsidRPr="00596ED3" w:rsidRDefault="00A53D7D" w:rsidP="005140B4">
      <w:r w:rsidRPr="00596ED3">
        <w:t xml:space="preserve">In January and February 2014, Victoria experienced significant loss and damage to homes, other </w:t>
      </w:r>
      <w:proofErr w:type="gramStart"/>
      <w:r w:rsidRPr="00596ED3">
        <w:t>buildings</w:t>
      </w:r>
      <w:proofErr w:type="gramEnd"/>
      <w:r w:rsidRPr="00596ED3">
        <w:t xml:space="preserve"> and livestock as a result of several large bushfires occurring across 20 local government areas across Victoria, including the Grampians, East Gippsland, Hume and the Latrobe Valley.</w:t>
      </w:r>
    </w:p>
    <w:p w:rsidR="00A53D7D" w:rsidRPr="00596ED3" w:rsidRDefault="00A53D7D" w:rsidP="005140B4">
      <w:r w:rsidRPr="00596ED3">
        <w:t>Assistance for individuals and households, primary producers, small businesses, not</w:t>
      </w:r>
      <w:r>
        <w:noBreakHyphen/>
      </w:r>
      <w:r w:rsidRPr="00596ED3">
        <w:t>for</w:t>
      </w:r>
      <w:r>
        <w:noBreakHyphen/>
      </w:r>
      <w:r w:rsidRPr="00596ED3">
        <w:t>profit organisations and local councils is provided jointly under the Natural Disaster Relief</w:t>
      </w:r>
      <w:r>
        <w:fldChar w:fldCharType="begin"/>
      </w:r>
      <w:r>
        <w:instrText xml:space="preserve"> XE "</w:instrText>
      </w:r>
      <w:r w:rsidRPr="00B45791">
        <w:instrText>Natural Disaster Relief</w:instrText>
      </w:r>
      <w:r>
        <w:instrText xml:space="preserve">" </w:instrText>
      </w:r>
      <w:r>
        <w:fldChar w:fldCharType="end"/>
      </w:r>
      <w:r w:rsidRPr="00596ED3">
        <w:t xml:space="preserve"> and Recovery Arrangements by the Victorian and Commonwealth Governments.</w:t>
      </w:r>
    </w:p>
    <w:p w:rsidR="00A53D7D" w:rsidRPr="00596ED3" w:rsidRDefault="00A53D7D" w:rsidP="005140B4">
      <w:pPr>
        <w:pStyle w:val="Heading3"/>
      </w:pPr>
      <w:r w:rsidRPr="00596ED3">
        <w:t>Output initiatives</w:t>
      </w:r>
    </w:p>
    <w:p w:rsidR="00A53D7D" w:rsidRPr="00596ED3" w:rsidRDefault="00A53D7D" w:rsidP="005140B4">
      <w:pPr>
        <w:pStyle w:val="Tableheading"/>
      </w:pPr>
      <w:r w:rsidRPr="00596ED3">
        <w:t xml:space="preserve">Table 1.1: </w:t>
      </w:r>
      <w:r w:rsidRPr="00596ED3">
        <w:tab/>
        <w:t>Output initiatives – Bushfire recovery package</w:t>
      </w:r>
    </w:p>
    <w:p w:rsidR="00A53D7D" w:rsidRPr="00FB64AD" w:rsidRDefault="00A53D7D" w:rsidP="005140B4">
      <w:pPr>
        <w:pStyle w:val="million"/>
      </w:pPr>
      <w:r w:rsidRPr="00596ED3">
        <w:t>($</w:t>
      </w:r>
      <w:r>
        <w:rPr>
          <w:rStyle w:val="millionChar"/>
          <w:i/>
        </w:rPr>
        <w:t> million</w:t>
      </w:r>
      <w:r w:rsidRPr="00596ED3">
        <w:t>)</w:t>
      </w:r>
      <w:bookmarkStart w:id="6" w:name="RANGE!B3:G29"/>
    </w:p>
    <w:tbl>
      <w:tblPr>
        <w:tblW w:w="7776" w:type="dxa"/>
        <w:tblInd w:w="29" w:type="dxa"/>
        <w:tblLayout w:type="fixed"/>
        <w:tblCellMar>
          <w:left w:w="43" w:type="dxa"/>
          <w:right w:w="43" w:type="dxa"/>
        </w:tblCellMar>
        <w:tblLook w:val="04A0" w:firstRow="1" w:lastRow="0" w:firstColumn="1" w:lastColumn="0" w:noHBand="0" w:noVBand="1"/>
      </w:tblPr>
      <w:tblGrid>
        <w:gridCol w:w="3245"/>
        <w:gridCol w:w="906"/>
        <w:gridCol w:w="906"/>
        <w:gridCol w:w="906"/>
        <w:gridCol w:w="906"/>
        <w:gridCol w:w="907"/>
      </w:tblGrid>
      <w:tr w:rsidR="00A53D7D" w:rsidRPr="00FB64AD" w:rsidTr="005140B4">
        <w:trPr>
          <w:divId w:val="1238706823"/>
        </w:trPr>
        <w:tc>
          <w:tcPr>
            <w:tcW w:w="3245" w:type="dxa"/>
            <w:tcBorders>
              <w:top w:val="single" w:sz="4" w:space="0" w:color="auto"/>
              <w:left w:val="single" w:sz="4" w:space="0" w:color="auto"/>
              <w:bottom w:val="single" w:sz="4" w:space="0" w:color="auto"/>
              <w:right w:val="nil"/>
            </w:tcBorders>
            <w:shd w:val="clear" w:color="auto" w:fill="000000"/>
            <w:noWrap/>
            <w:vAlign w:val="bottom"/>
            <w:hideMark/>
          </w:tcPr>
          <w:p w:rsidR="00A53D7D" w:rsidRPr="00F820F9" w:rsidRDefault="00A53D7D" w:rsidP="005140B4">
            <w:pPr>
              <w:pStyle w:val="Tabletext"/>
              <w:rPr>
                <w:color w:val="000000" w:themeColor="text1"/>
                <w:lang w:eastAsia="en-AU"/>
              </w:rPr>
            </w:pPr>
            <w:r w:rsidRPr="00F820F9">
              <w:rPr>
                <w:color w:val="0D0D0D" w:themeColor="text1" w:themeTint="F2"/>
                <w:lang w:eastAsia="en-AU"/>
              </w:rPr>
              <w:t>.</w:t>
            </w:r>
          </w:p>
        </w:tc>
        <w:tc>
          <w:tcPr>
            <w:tcW w:w="906"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906"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906"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906"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r>
      <w:tr w:rsidR="00A53D7D" w:rsidRPr="00FB64AD" w:rsidTr="005140B4">
        <w:trPr>
          <w:divId w:val="1238706823"/>
        </w:trPr>
        <w:tc>
          <w:tcPr>
            <w:tcW w:w="3245"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Catchment management authorities – waterway protection works</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238706823"/>
        </w:trPr>
        <w:tc>
          <w:tcPr>
            <w:tcW w:w="3245"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Clean</w:t>
            </w:r>
            <w:r>
              <w:rPr>
                <w:color w:val="000000"/>
                <w:lang w:eastAsia="en-AU"/>
              </w:rPr>
              <w:noBreakHyphen/>
            </w:r>
            <w:r w:rsidRPr="00FB64AD">
              <w:rPr>
                <w:color w:val="000000"/>
                <w:lang w:eastAsia="en-AU"/>
              </w:rPr>
              <w:t>up package – Morwell</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238706823"/>
        </w:trPr>
        <w:tc>
          <w:tcPr>
            <w:tcW w:w="3245"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Pr>
                <w:color w:val="000000"/>
                <w:lang w:eastAsia="en-AU"/>
              </w:rPr>
              <w:t xml:space="preserve">    </w:t>
            </w:r>
            <w:r w:rsidRPr="00FB64AD">
              <w:rPr>
                <w:color w:val="000000"/>
                <w:lang w:eastAsia="en-AU"/>
              </w:rPr>
              <w:t>Emergency relief and re</w:t>
            </w:r>
            <w:r>
              <w:rPr>
                <w:color w:val="000000"/>
                <w:lang w:eastAsia="en-AU"/>
              </w:rPr>
              <w:noBreakHyphen/>
            </w:r>
            <w:r w:rsidRPr="00FB64AD">
              <w:rPr>
                <w:color w:val="000000"/>
                <w:lang w:eastAsia="en-AU"/>
              </w:rPr>
              <w:t>establishment assistance – January/February 2014 bushfires</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238706823"/>
        </w:trPr>
        <w:tc>
          <w:tcPr>
            <w:tcW w:w="3245"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Hazelwood environmental and water monitoring</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2.4</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238706823"/>
        </w:trPr>
        <w:tc>
          <w:tcPr>
            <w:tcW w:w="3245"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Morwell bushfire response and recovery – schools and early childhood centres</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238706823"/>
        </w:trPr>
        <w:tc>
          <w:tcPr>
            <w:tcW w:w="3245"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Morwell Business Relief Fund</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2.1</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238706823"/>
        </w:trPr>
        <w:tc>
          <w:tcPr>
            <w:tcW w:w="3245"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Personal hardship respite and relocation assistance – Morwell</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3.7</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238706823"/>
        </w:trPr>
        <w:tc>
          <w:tcPr>
            <w:tcW w:w="3245"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Psychosocial and community recovery</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238706823"/>
        </w:trPr>
        <w:tc>
          <w:tcPr>
            <w:tcW w:w="3245"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Repair of the regional rail network</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238706823"/>
        </w:trPr>
        <w:tc>
          <w:tcPr>
            <w:tcW w:w="3245"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Restoration of fire damaged arterial roads</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3.3</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238706823"/>
        </w:trPr>
        <w:tc>
          <w:tcPr>
            <w:tcW w:w="3245"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Small business mentoring and seminars</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238706823"/>
        </w:trPr>
        <w:tc>
          <w:tcPr>
            <w:tcW w:w="3245"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Supporting economic recovery in bushfire affected communities </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0.8</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238706823"/>
        </w:trPr>
        <w:tc>
          <w:tcPr>
            <w:tcW w:w="3245" w:type="dxa"/>
            <w:tcBorders>
              <w:top w:val="single" w:sz="4" w:space="0" w:color="auto"/>
              <w:left w:val="nil"/>
              <w:bottom w:val="single" w:sz="4"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Sub total output initiatives</w:t>
            </w:r>
          </w:p>
        </w:tc>
        <w:tc>
          <w:tcPr>
            <w:tcW w:w="906"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18.6</w:t>
            </w:r>
          </w:p>
        </w:tc>
        <w:tc>
          <w:tcPr>
            <w:tcW w:w="906"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4.9</w:t>
            </w:r>
          </w:p>
        </w:tc>
        <w:tc>
          <w:tcPr>
            <w:tcW w:w="906"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0.3</w:t>
            </w:r>
          </w:p>
        </w:tc>
        <w:tc>
          <w:tcPr>
            <w:tcW w:w="906"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07"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r>
      <w:tr w:rsidR="00A53D7D" w:rsidRPr="00FB64AD" w:rsidTr="005140B4">
        <w:trPr>
          <w:divId w:val="1238706823"/>
        </w:trPr>
        <w:tc>
          <w:tcPr>
            <w:tcW w:w="3245" w:type="dxa"/>
            <w:tcBorders>
              <w:top w:val="nil"/>
              <w:left w:val="nil"/>
              <w:bottom w:val="single" w:sz="4" w:space="0" w:color="auto"/>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Existing resources</w:t>
            </w:r>
            <w:r w:rsidRPr="00FB64AD">
              <w:rPr>
                <w:color w:val="000000"/>
                <w:vertAlign w:val="superscript"/>
                <w:lang w:eastAsia="en-AU"/>
              </w:rPr>
              <w:t xml:space="preserve"> (a)</w:t>
            </w:r>
          </w:p>
        </w:tc>
        <w:tc>
          <w:tcPr>
            <w:tcW w:w="906"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( 3.5)</w:t>
            </w:r>
          </w:p>
        </w:tc>
        <w:tc>
          <w:tcPr>
            <w:tcW w:w="906"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( 0.8)</w:t>
            </w:r>
          </w:p>
        </w:tc>
        <w:tc>
          <w:tcPr>
            <w:tcW w:w="906"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6"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07"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238706823"/>
        </w:trPr>
        <w:tc>
          <w:tcPr>
            <w:tcW w:w="3245" w:type="dxa"/>
            <w:tcBorders>
              <w:top w:val="single" w:sz="4" w:space="0" w:color="auto"/>
              <w:left w:val="nil"/>
              <w:bottom w:val="single" w:sz="12"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output initiatives</w:t>
            </w:r>
          </w:p>
        </w:tc>
        <w:tc>
          <w:tcPr>
            <w:tcW w:w="906"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15.1</w:t>
            </w:r>
          </w:p>
        </w:tc>
        <w:tc>
          <w:tcPr>
            <w:tcW w:w="906"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4.1</w:t>
            </w:r>
          </w:p>
        </w:tc>
        <w:tc>
          <w:tcPr>
            <w:tcW w:w="906"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0.3</w:t>
            </w:r>
          </w:p>
        </w:tc>
        <w:tc>
          <w:tcPr>
            <w:tcW w:w="906"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07"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r>
    </w:tbl>
    <w:bookmarkEnd w:id="6"/>
    <w:p w:rsidR="00A53D7D" w:rsidRPr="00596ED3" w:rsidRDefault="00A53D7D" w:rsidP="005140B4">
      <w:pPr>
        <w:pStyle w:val="Source"/>
      </w:pPr>
      <w:r w:rsidRPr="00596ED3">
        <w:t>Source: Department of Treasury and Finance</w:t>
      </w:r>
      <w:r w:rsidRPr="00596ED3">
        <w:fldChar w:fldCharType="begin"/>
      </w:r>
      <w:r w:rsidRPr="00596ED3">
        <w:instrText xml:space="preserve"> XE </w:instrText>
      </w:r>
      <w:r>
        <w:instrText>"</w:instrText>
      </w:r>
      <w:r w:rsidRPr="00596ED3">
        <w:instrText>Bushfire recovery package:Output initiatives</w:instrText>
      </w:r>
      <w:r>
        <w:instrText>"</w:instrText>
      </w:r>
      <w:r w:rsidRPr="00596ED3">
        <w:instrText xml:space="preserve"> </w:instrText>
      </w:r>
      <w:r w:rsidRPr="00596ED3">
        <w:fldChar w:fldCharType="end"/>
      </w:r>
    </w:p>
    <w:p w:rsidR="00A53D7D" w:rsidRPr="00596ED3" w:rsidRDefault="00A53D7D" w:rsidP="005140B4">
      <w:pPr>
        <w:pStyle w:val="Notes"/>
      </w:pPr>
      <w:r w:rsidRPr="00596ED3">
        <w:t>Note:</w:t>
      </w:r>
    </w:p>
    <w:p w:rsidR="00A53D7D" w:rsidRPr="00596ED3" w:rsidRDefault="00A53D7D" w:rsidP="005140B4">
      <w:pPr>
        <w:pStyle w:val="Notes"/>
      </w:pPr>
      <w:r w:rsidRPr="00596ED3">
        <w:t>(a)</w:t>
      </w:r>
      <w:r w:rsidRPr="00596ED3">
        <w:tab/>
        <w:t xml:space="preserve">Existing departmental resources have been reallocated to contribute to the delivery of new initiatives. </w:t>
      </w:r>
    </w:p>
    <w:p w:rsidR="00A53D7D" w:rsidRDefault="00A53D7D">
      <w:pPr>
        <w:spacing w:after="0"/>
        <w:rPr>
          <w:rFonts w:ascii="Calibri" w:hAnsi="Calibri"/>
          <w:b/>
        </w:rPr>
      </w:pPr>
      <w:r>
        <w:rPr>
          <w:rFonts w:ascii="Calibri" w:hAnsi="Calibri"/>
          <w:b/>
        </w:rPr>
        <w:br w:type="page"/>
      </w:r>
    </w:p>
    <w:p w:rsidR="00A53D7D" w:rsidRPr="00596ED3" w:rsidRDefault="00A53D7D" w:rsidP="005140B4">
      <w:pPr>
        <w:rPr>
          <w:rFonts w:ascii="Calibri" w:hAnsi="Calibri"/>
          <w:b/>
        </w:rPr>
      </w:pPr>
      <w:r w:rsidRPr="00596ED3">
        <w:rPr>
          <w:rFonts w:ascii="Calibri" w:hAnsi="Calibri"/>
          <w:b/>
        </w:rPr>
        <w:t>Catchment Management Authorities – waterway protection works</w:t>
      </w:r>
    </w:p>
    <w:p w:rsidR="00A53D7D" w:rsidRPr="00596ED3" w:rsidRDefault="00A53D7D" w:rsidP="005140B4">
      <w:r w:rsidRPr="00596ED3">
        <w:t>This program provides funding for the protection of waterways that have been exposed or put at risk following the 2014 bushfires.</w:t>
      </w:r>
    </w:p>
    <w:p w:rsidR="00A53D7D" w:rsidRPr="00596ED3" w:rsidRDefault="00A53D7D" w:rsidP="005140B4">
      <w:r w:rsidRPr="00596ED3">
        <w:t>This initiative contributes to the Department of Environment and Primary Industries</w:t>
      </w:r>
      <w:r>
        <w:t>’</w:t>
      </w:r>
      <w:r w:rsidRPr="00596ED3">
        <w:t xml:space="preserve"> Fire and Emergency Management output.</w:t>
      </w:r>
    </w:p>
    <w:p w:rsidR="00A53D7D" w:rsidRPr="00596ED3" w:rsidRDefault="00A53D7D" w:rsidP="005140B4">
      <w:pPr>
        <w:pStyle w:val="Heading5"/>
      </w:pPr>
      <w:r w:rsidRPr="00596ED3">
        <w:t>Clean</w:t>
      </w:r>
      <w:r>
        <w:noBreakHyphen/>
      </w:r>
      <w:r w:rsidRPr="00596ED3">
        <w:t>up package – Morwell</w:t>
      </w:r>
    </w:p>
    <w:p w:rsidR="00A53D7D" w:rsidRPr="00596ED3" w:rsidRDefault="00A53D7D" w:rsidP="005140B4">
      <w:r w:rsidRPr="00596ED3">
        <w:t>The Government has introduced a package of assistance to help Morwell residents begin the clean</w:t>
      </w:r>
      <w:r>
        <w:noBreakHyphen/>
      </w:r>
      <w:r w:rsidRPr="00596ED3">
        <w:t xml:space="preserve">up of ash left by the Hazelwood mine fire. Morwell residents are receiving access to clean up equipment through Latrobe City Council, and vouchers to have clothes and cars washed. Morwell residents who are </w:t>
      </w:r>
      <w:proofErr w:type="gramStart"/>
      <w:r w:rsidRPr="00596ED3">
        <w:t>either existing Home and</w:t>
      </w:r>
      <w:proofErr w:type="gramEnd"/>
      <w:r w:rsidRPr="00596ED3">
        <w:t xml:space="preserve"> Community Care clients, assessed as having high needs because of their age, disability or health condition, or who recently received relocation assistance will have access to professional cleaning services.</w:t>
      </w:r>
    </w:p>
    <w:p w:rsidR="00A53D7D" w:rsidRPr="00596ED3" w:rsidRDefault="00A53D7D" w:rsidP="005140B4">
      <w:r w:rsidRPr="00596ED3">
        <w:t xml:space="preserve">This initiative contributes to the </w:t>
      </w:r>
      <w:r w:rsidRPr="00596ED3">
        <w:rPr>
          <w:szCs w:val="22"/>
        </w:rPr>
        <w:t>Department of Human Services</w:t>
      </w:r>
      <w:r>
        <w:rPr>
          <w:szCs w:val="22"/>
        </w:rPr>
        <w:t>’</w:t>
      </w:r>
      <w:r w:rsidRPr="00596ED3">
        <w:rPr>
          <w:szCs w:val="22"/>
        </w:rPr>
        <w:t xml:space="preserve"> Concessions to Pensioners and Beneficiaries output</w:t>
      </w:r>
      <w:r w:rsidRPr="00596ED3">
        <w:t>.</w:t>
      </w:r>
    </w:p>
    <w:p w:rsidR="00A53D7D" w:rsidRPr="00596ED3" w:rsidRDefault="00A53D7D" w:rsidP="005140B4">
      <w:pPr>
        <w:pStyle w:val="Heading5"/>
      </w:pPr>
      <w:r w:rsidRPr="00596ED3">
        <w:t>Emergency relief and re</w:t>
      </w:r>
      <w:r>
        <w:noBreakHyphen/>
      </w:r>
      <w:r w:rsidRPr="00596ED3">
        <w:t>establishment assistance – January/February 2014 bushfires</w:t>
      </w:r>
    </w:p>
    <w:p w:rsidR="00A53D7D" w:rsidRPr="00596ED3" w:rsidRDefault="00A53D7D" w:rsidP="005140B4">
      <w:r w:rsidRPr="00596ED3">
        <w:t>Emergency relief and re</w:t>
      </w:r>
      <w:r>
        <w:noBreakHyphen/>
      </w:r>
      <w:r w:rsidRPr="00596ED3">
        <w:t>establishment grants were provided in January and February 2014 to eligible residents in bushfire affected areas. This assisted with immediate relief during the fires and helped residents return home afterwards.</w:t>
      </w:r>
    </w:p>
    <w:p w:rsidR="00A53D7D" w:rsidRPr="00596ED3" w:rsidRDefault="00A53D7D" w:rsidP="005140B4">
      <w:r w:rsidRPr="00596ED3">
        <w:t xml:space="preserve">This initiative contributes to the </w:t>
      </w:r>
      <w:r w:rsidRPr="00596ED3">
        <w:rPr>
          <w:szCs w:val="22"/>
        </w:rPr>
        <w:t>Department of Human Services</w:t>
      </w:r>
      <w:r>
        <w:rPr>
          <w:szCs w:val="22"/>
        </w:rPr>
        <w:t>’</w:t>
      </w:r>
      <w:r w:rsidRPr="00596ED3">
        <w:rPr>
          <w:szCs w:val="22"/>
        </w:rPr>
        <w:t xml:space="preserve"> Concessions to Pensioners and Beneficiaries output</w:t>
      </w:r>
      <w:r w:rsidRPr="00596ED3">
        <w:t>.</w:t>
      </w:r>
    </w:p>
    <w:p w:rsidR="00A53D7D" w:rsidRPr="00596ED3" w:rsidRDefault="00A53D7D" w:rsidP="005140B4">
      <w:pPr>
        <w:pStyle w:val="Heading5"/>
      </w:pPr>
      <w:r w:rsidRPr="00596ED3">
        <w:t>Hazelwood environmental and water monitoring</w:t>
      </w:r>
    </w:p>
    <w:p w:rsidR="00A53D7D" w:rsidRPr="00596ED3" w:rsidRDefault="00A53D7D" w:rsidP="005140B4">
      <w:r w:rsidRPr="00596ED3">
        <w:t>Additional funding is provided to the Environment Protection Authority to collect and analyse air and water quality levels in the Morwell area following the Hazelwood mine fire.</w:t>
      </w:r>
    </w:p>
    <w:p w:rsidR="00A53D7D" w:rsidRPr="00596ED3" w:rsidRDefault="00A53D7D" w:rsidP="005140B4">
      <w:r w:rsidRPr="00596ED3">
        <w:t>This initiative contributes to the Department of Environment and Primary Industries</w:t>
      </w:r>
      <w:r>
        <w:t>’</w:t>
      </w:r>
      <w:r w:rsidRPr="00596ED3">
        <w:t xml:space="preserve"> Fire and Emergency Management output.</w:t>
      </w:r>
    </w:p>
    <w:p w:rsidR="00A53D7D" w:rsidRPr="00596ED3" w:rsidRDefault="00A53D7D" w:rsidP="005140B4">
      <w:pPr>
        <w:pStyle w:val="Heading5"/>
      </w:pPr>
      <w:r w:rsidRPr="00596ED3">
        <w:t>Morwell bushfire response and recovery – schools and early childhood centres</w:t>
      </w:r>
    </w:p>
    <w:p w:rsidR="00A53D7D" w:rsidRPr="00596ED3" w:rsidRDefault="00A53D7D" w:rsidP="005140B4">
      <w:r w:rsidRPr="00596ED3">
        <w:t>Additional costs associated with the bushfire response and recovery for schools and early childhood centres will be funded, including the temporary relocation of students and the clean</w:t>
      </w:r>
      <w:r>
        <w:noBreakHyphen/>
      </w:r>
      <w:r w:rsidRPr="00596ED3">
        <w:t>up of sites affected by the Hazelwood mine fire.</w:t>
      </w:r>
    </w:p>
    <w:p w:rsidR="00A53D7D" w:rsidRPr="00596ED3" w:rsidRDefault="00A53D7D" w:rsidP="005140B4">
      <w:r w:rsidRPr="00596ED3">
        <w:t xml:space="preserve">This initiative contributes to the </w:t>
      </w:r>
      <w:r w:rsidRPr="00596ED3">
        <w:rPr>
          <w:szCs w:val="22"/>
        </w:rPr>
        <w:t>Department of Education and Early Childhood Development</w:t>
      </w:r>
      <w:r>
        <w:rPr>
          <w:szCs w:val="22"/>
        </w:rPr>
        <w:t>’</w:t>
      </w:r>
      <w:r w:rsidRPr="00596ED3">
        <w:rPr>
          <w:szCs w:val="22"/>
        </w:rPr>
        <w:t xml:space="preserve">s Early Childhood Development, School Education – Primary and Higher Education and Skills outputs. </w:t>
      </w:r>
    </w:p>
    <w:p w:rsidR="00A53D7D" w:rsidRDefault="00A53D7D">
      <w:pPr>
        <w:spacing w:after="0"/>
        <w:rPr>
          <w:rFonts w:ascii="Calibri" w:hAnsi="Calibri"/>
          <w:b/>
        </w:rPr>
      </w:pPr>
      <w:r>
        <w:br w:type="page"/>
      </w:r>
    </w:p>
    <w:p w:rsidR="00A53D7D" w:rsidRPr="00596ED3" w:rsidRDefault="00A53D7D" w:rsidP="005140B4">
      <w:pPr>
        <w:pStyle w:val="Heading5"/>
      </w:pPr>
      <w:r w:rsidRPr="00596ED3">
        <w:t xml:space="preserve">Morwell Business Relief Fund </w:t>
      </w:r>
    </w:p>
    <w:p w:rsidR="00A53D7D" w:rsidRPr="00596ED3" w:rsidRDefault="00A53D7D" w:rsidP="005140B4">
      <w:r w:rsidRPr="00596ED3">
        <w:t>The Morwell Business Relief Fund is providing financial support for businesses that have suffered a loss of income as a result of reduced local trade during and after the Hazelwood mine fire. Funding is provided to help continue business operations and minimise disruption to the Morwell community.</w:t>
      </w:r>
    </w:p>
    <w:p w:rsidR="00A53D7D" w:rsidRPr="00596ED3" w:rsidRDefault="00A53D7D" w:rsidP="005140B4">
      <w:r w:rsidRPr="00596ED3">
        <w:t>This initiative contributes to the Department of State Development, Business and Innovation</w:t>
      </w:r>
      <w:r>
        <w:t>’</w:t>
      </w:r>
      <w:r w:rsidRPr="00596ED3">
        <w:t>s Small Business Assistance output.</w:t>
      </w:r>
    </w:p>
    <w:p w:rsidR="00A53D7D" w:rsidRPr="00596ED3" w:rsidRDefault="00A53D7D" w:rsidP="005140B4">
      <w:pPr>
        <w:pStyle w:val="Heading5"/>
      </w:pPr>
      <w:r w:rsidRPr="00596ED3">
        <w:t>Personal hardship respite and relocation assistance – Morwell</w:t>
      </w:r>
    </w:p>
    <w:p w:rsidR="00A53D7D" w:rsidRPr="00596ED3" w:rsidRDefault="00A53D7D" w:rsidP="005140B4">
      <w:r w:rsidRPr="00596ED3">
        <w:t xml:space="preserve">Due to the unique circumstances of the Hazelwood mine fire, respite and relocation grants were made available to eligible Morwell residents. </w:t>
      </w:r>
    </w:p>
    <w:p w:rsidR="00A53D7D" w:rsidRPr="00596ED3" w:rsidRDefault="00A53D7D" w:rsidP="005140B4">
      <w:r w:rsidRPr="00596ED3">
        <w:t xml:space="preserve">This initiative contributes to the </w:t>
      </w:r>
      <w:r w:rsidRPr="00596ED3">
        <w:rPr>
          <w:szCs w:val="22"/>
        </w:rPr>
        <w:t>Department of Human Services</w:t>
      </w:r>
      <w:r>
        <w:rPr>
          <w:szCs w:val="22"/>
        </w:rPr>
        <w:t>’</w:t>
      </w:r>
      <w:r w:rsidRPr="00596ED3">
        <w:rPr>
          <w:szCs w:val="22"/>
        </w:rPr>
        <w:t xml:space="preserve"> Concessions to Pensioners and Beneficiaries output</w:t>
      </w:r>
      <w:r w:rsidRPr="00596ED3">
        <w:t>.</w:t>
      </w:r>
    </w:p>
    <w:p w:rsidR="00A53D7D" w:rsidRPr="00596ED3" w:rsidRDefault="00A53D7D" w:rsidP="005140B4">
      <w:pPr>
        <w:pStyle w:val="Heading5"/>
      </w:pPr>
      <w:r w:rsidRPr="00596ED3">
        <w:t>Psychosocial and community recovery</w:t>
      </w:r>
    </w:p>
    <w:p w:rsidR="00A53D7D" w:rsidRPr="00596ED3" w:rsidRDefault="00A53D7D" w:rsidP="005140B4">
      <w:r w:rsidRPr="00596ED3">
        <w:t>A range of psychosocial and community support measures are being provided to bushfire</w:t>
      </w:r>
      <w:r>
        <w:t xml:space="preserve"> </w:t>
      </w:r>
      <w:r w:rsidRPr="00596ED3">
        <w:t xml:space="preserve">affected communities. This includes counselling, case support, community development officers, capacity building </w:t>
      </w:r>
      <w:proofErr w:type="gramStart"/>
      <w:r w:rsidRPr="00596ED3">
        <w:t>initiatives</w:t>
      </w:r>
      <w:proofErr w:type="gramEnd"/>
      <w:r w:rsidRPr="00596ED3">
        <w:t xml:space="preserve"> and local government recovery support.</w:t>
      </w:r>
    </w:p>
    <w:p w:rsidR="00A53D7D" w:rsidRPr="00596ED3" w:rsidRDefault="00A53D7D" w:rsidP="005140B4">
      <w:r w:rsidRPr="00596ED3">
        <w:t xml:space="preserve">This initiative contributes to the </w:t>
      </w:r>
      <w:r w:rsidRPr="00596ED3">
        <w:rPr>
          <w:szCs w:val="22"/>
        </w:rPr>
        <w:t>Department of Human Services</w:t>
      </w:r>
      <w:r>
        <w:rPr>
          <w:szCs w:val="22"/>
        </w:rPr>
        <w:t>’</w:t>
      </w:r>
      <w:r w:rsidRPr="00596ED3">
        <w:rPr>
          <w:szCs w:val="22"/>
        </w:rPr>
        <w:t xml:space="preserve"> Concessions to Pensioners and Beneficiaries output.</w:t>
      </w:r>
    </w:p>
    <w:p w:rsidR="00A53D7D" w:rsidRPr="00596ED3" w:rsidRDefault="00A53D7D" w:rsidP="005140B4">
      <w:pPr>
        <w:pStyle w:val="Heading5"/>
      </w:pPr>
      <w:r w:rsidRPr="00596ED3">
        <w:t>Repair of the regional rail network</w:t>
      </w:r>
    </w:p>
    <w:p w:rsidR="00A53D7D" w:rsidRPr="00596ED3" w:rsidRDefault="00A53D7D" w:rsidP="005140B4">
      <w:r w:rsidRPr="00596ED3">
        <w:t xml:space="preserve">Funding is provided to repair the regional rail network damaged by bushfire including the replacement of sleepers, </w:t>
      </w:r>
      <w:proofErr w:type="gramStart"/>
      <w:r w:rsidRPr="00596ED3">
        <w:t>ballast</w:t>
      </w:r>
      <w:proofErr w:type="gramEnd"/>
      <w:r w:rsidRPr="00596ED3">
        <w:t xml:space="preserve"> and other track infrastructure.</w:t>
      </w:r>
    </w:p>
    <w:p w:rsidR="00A53D7D" w:rsidRPr="00596ED3" w:rsidRDefault="00A53D7D" w:rsidP="005140B4">
      <w:r w:rsidRPr="00596ED3">
        <w:t xml:space="preserve">This initiative contributes to the </w:t>
      </w:r>
      <w:r w:rsidRPr="00596ED3">
        <w:rPr>
          <w:szCs w:val="22"/>
        </w:rPr>
        <w:t>Department of Transport, Planning and Local Infrastructure</w:t>
      </w:r>
      <w:r>
        <w:rPr>
          <w:szCs w:val="22"/>
        </w:rPr>
        <w:t>’</w:t>
      </w:r>
      <w:r w:rsidRPr="00596ED3">
        <w:rPr>
          <w:szCs w:val="22"/>
        </w:rPr>
        <w:t>s Public Transport Network Improvements and Maintenance output</w:t>
      </w:r>
      <w:r w:rsidRPr="00596ED3">
        <w:t>.</w:t>
      </w:r>
    </w:p>
    <w:p w:rsidR="00A53D7D" w:rsidRPr="00596ED3" w:rsidRDefault="00A53D7D" w:rsidP="005140B4">
      <w:pPr>
        <w:pStyle w:val="Heading5"/>
      </w:pPr>
      <w:r w:rsidRPr="00596ED3">
        <w:t>Restoration of fire damaged arterial roads</w:t>
      </w:r>
    </w:p>
    <w:p w:rsidR="00A53D7D" w:rsidRPr="00596ED3" w:rsidRDefault="00A53D7D" w:rsidP="005140B4">
      <w:r w:rsidRPr="00596ED3">
        <w:t>Refer to the asset initiative for a description of this initiative.</w:t>
      </w:r>
    </w:p>
    <w:p w:rsidR="00A53D7D" w:rsidRPr="00596ED3" w:rsidRDefault="00A53D7D" w:rsidP="005140B4">
      <w:r w:rsidRPr="00596ED3">
        <w:t>This initiative contributes to the Department of Transport, Planning and Local Infrastructure</w:t>
      </w:r>
      <w:r>
        <w:t>’</w:t>
      </w:r>
      <w:r w:rsidRPr="00596ED3">
        <w:t>s</w:t>
      </w:r>
      <w:r w:rsidR="00D418A8">
        <w:t xml:space="preserve"> </w:t>
      </w:r>
      <w:r w:rsidRPr="00596ED3">
        <w:t>Road Asset Management output.</w:t>
      </w:r>
    </w:p>
    <w:p w:rsidR="00A53D7D" w:rsidRPr="00596ED3" w:rsidRDefault="00A53D7D" w:rsidP="005140B4">
      <w:pPr>
        <w:pStyle w:val="Heading5"/>
      </w:pPr>
      <w:r w:rsidRPr="00596ED3">
        <w:t>Small business mentoring and seminars</w:t>
      </w:r>
    </w:p>
    <w:p w:rsidR="00A53D7D" w:rsidRPr="00596ED3" w:rsidRDefault="00A53D7D" w:rsidP="005140B4">
      <w:r w:rsidRPr="00596ED3">
        <w:t>Business support services will be enhanced through access to business information, tools and assistance, including expert advice sessions, small business mentoring and business support workshops.</w:t>
      </w:r>
    </w:p>
    <w:p w:rsidR="00A53D7D" w:rsidRPr="00596ED3" w:rsidRDefault="00A53D7D" w:rsidP="005140B4">
      <w:r w:rsidRPr="00596ED3">
        <w:t>This initiative contributes to the Department of State Development, Business and Innovation</w:t>
      </w:r>
      <w:r>
        <w:t>’</w:t>
      </w:r>
      <w:r w:rsidRPr="00596ED3">
        <w:t>s Small Business Assistance output.</w:t>
      </w:r>
    </w:p>
    <w:p w:rsidR="00A53D7D" w:rsidRPr="00596ED3" w:rsidRDefault="00A53D7D" w:rsidP="005140B4">
      <w:pPr>
        <w:pStyle w:val="Heading5"/>
      </w:pPr>
      <w:r w:rsidRPr="00596ED3">
        <w:t xml:space="preserve">Supporting economic recovery in bushfire affected communities </w:t>
      </w:r>
    </w:p>
    <w:p w:rsidR="00A53D7D" w:rsidRPr="00596ED3" w:rsidRDefault="00A53D7D" w:rsidP="005140B4">
      <w:r w:rsidRPr="00596ED3">
        <w:t>Funding is provided to stimulate economic activity in bushfire</w:t>
      </w:r>
      <w:r>
        <w:t xml:space="preserve"> </w:t>
      </w:r>
      <w:r w:rsidRPr="00596ED3">
        <w:t>affected communities through buy</w:t>
      </w:r>
      <w:r>
        <w:t xml:space="preserve"> </w:t>
      </w:r>
      <w:r w:rsidRPr="00596ED3">
        <w:t>local campaigns, tourism promotion, events and the fast tracking of Regional Development Projects.</w:t>
      </w:r>
    </w:p>
    <w:p w:rsidR="00A53D7D" w:rsidRPr="00560216" w:rsidRDefault="00A53D7D" w:rsidP="00560216">
      <w:r w:rsidRPr="00596ED3">
        <w:t>This initiative contributes to the Department of State Development, Business and Innovation</w:t>
      </w:r>
      <w:r>
        <w:t>’</w:t>
      </w:r>
      <w:r w:rsidRPr="00596ED3">
        <w:t>s Regional Development and Regional Cities output.</w:t>
      </w:r>
    </w:p>
    <w:p w:rsidR="00A53D7D" w:rsidRPr="00596ED3" w:rsidRDefault="00A53D7D" w:rsidP="005140B4">
      <w:pPr>
        <w:pStyle w:val="Heading3"/>
      </w:pPr>
      <w:r w:rsidRPr="00596ED3">
        <w:t>Asset initiatives</w:t>
      </w:r>
    </w:p>
    <w:p w:rsidR="00A53D7D" w:rsidRPr="00596ED3" w:rsidRDefault="00A53D7D" w:rsidP="005140B4">
      <w:pPr>
        <w:pStyle w:val="Tableheading"/>
      </w:pPr>
      <w:r w:rsidRPr="00596ED3">
        <w:t xml:space="preserve">Table 1.2: </w:t>
      </w:r>
      <w:r w:rsidRPr="00596ED3">
        <w:tab/>
        <w:t>Asset initiatives – bushfire recovery package</w:t>
      </w:r>
    </w:p>
    <w:p w:rsidR="00A53D7D" w:rsidRPr="00FB64AD" w:rsidRDefault="00A53D7D" w:rsidP="005140B4">
      <w:pPr>
        <w:pStyle w:val="million"/>
      </w:pPr>
      <w:r w:rsidRPr="00596ED3">
        <w:t>($</w:t>
      </w:r>
      <w:r>
        <w:t> million</w:t>
      </w:r>
      <w:r w:rsidRPr="00596ED3">
        <w:t>)</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A53D7D" w:rsidRPr="00FB64AD" w:rsidTr="005140B4">
        <w:tc>
          <w:tcPr>
            <w:tcW w:w="2420" w:type="dxa"/>
            <w:tcBorders>
              <w:top w:val="single" w:sz="4" w:space="0" w:color="auto"/>
              <w:left w:val="single" w:sz="4" w:space="0" w:color="auto"/>
              <w:bottom w:val="single" w:sz="6" w:space="0" w:color="auto"/>
              <w:right w:val="nil"/>
            </w:tcBorders>
            <w:shd w:val="clear" w:color="auto" w:fill="000000"/>
          </w:tcPr>
          <w:p w:rsidR="00A53D7D" w:rsidRPr="00FB64AD" w:rsidRDefault="00A53D7D" w:rsidP="005140B4">
            <w:pPr>
              <w:pStyle w:val="Tabletext"/>
              <w:rPr>
                <w:rFonts w:eastAsiaTheme="minorEastAsia"/>
                <w:lang w:eastAsia="en-AU"/>
              </w:rPr>
            </w:pPr>
          </w:p>
        </w:tc>
        <w:tc>
          <w:tcPr>
            <w:tcW w:w="892" w:type="dxa"/>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2013</w:t>
            </w:r>
            <w:r>
              <w:rPr>
                <w:rFonts w:eastAsiaTheme="minorEastAsia"/>
                <w:lang w:eastAsia="en-AU"/>
              </w:rPr>
              <w:noBreakHyphen/>
            </w:r>
            <w:r w:rsidRPr="00FB64AD">
              <w:rPr>
                <w:rFonts w:eastAsiaTheme="minorEastAsia"/>
                <w:lang w:eastAsia="en-AU"/>
              </w:rPr>
              <w:t>14</w:t>
            </w:r>
          </w:p>
        </w:tc>
        <w:tc>
          <w:tcPr>
            <w:tcW w:w="892" w:type="dxa"/>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2014</w:t>
            </w:r>
            <w:r>
              <w:rPr>
                <w:rFonts w:eastAsiaTheme="minorEastAsia"/>
                <w:lang w:eastAsia="en-AU"/>
              </w:rPr>
              <w:noBreakHyphen/>
            </w:r>
            <w:r w:rsidRPr="00FB64AD">
              <w:rPr>
                <w:rFonts w:eastAsiaTheme="minorEastAsia"/>
                <w:lang w:eastAsia="en-AU"/>
              </w:rPr>
              <w:t>15</w:t>
            </w:r>
          </w:p>
        </w:tc>
        <w:tc>
          <w:tcPr>
            <w:tcW w:w="893" w:type="dxa"/>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2015</w:t>
            </w:r>
            <w:r>
              <w:rPr>
                <w:rFonts w:eastAsiaTheme="minorEastAsia"/>
                <w:lang w:eastAsia="en-AU"/>
              </w:rPr>
              <w:noBreakHyphen/>
            </w:r>
            <w:r w:rsidRPr="00FB64AD">
              <w:rPr>
                <w:rFonts w:eastAsiaTheme="minorEastAsia"/>
                <w:lang w:eastAsia="en-AU"/>
              </w:rPr>
              <w:t>16</w:t>
            </w:r>
          </w:p>
        </w:tc>
        <w:tc>
          <w:tcPr>
            <w:tcW w:w="893" w:type="dxa"/>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2016</w:t>
            </w:r>
            <w:r>
              <w:rPr>
                <w:rFonts w:eastAsiaTheme="minorEastAsia"/>
                <w:lang w:eastAsia="en-AU"/>
              </w:rPr>
              <w:noBreakHyphen/>
            </w:r>
            <w:r w:rsidRPr="00FB64AD">
              <w:rPr>
                <w:rFonts w:eastAsiaTheme="minorEastAsia"/>
                <w:lang w:eastAsia="en-AU"/>
              </w:rPr>
              <w:t>17</w:t>
            </w:r>
          </w:p>
        </w:tc>
        <w:tc>
          <w:tcPr>
            <w:tcW w:w="893" w:type="dxa"/>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2017</w:t>
            </w:r>
            <w:r>
              <w:rPr>
                <w:rFonts w:eastAsiaTheme="minorEastAsia"/>
                <w:lang w:eastAsia="en-AU"/>
              </w:rPr>
              <w:noBreakHyphen/>
            </w:r>
            <w:r w:rsidRPr="00FB64AD">
              <w:rPr>
                <w:rFonts w:eastAsiaTheme="minorEastAsia"/>
                <w:lang w:eastAsia="en-AU"/>
              </w:rPr>
              <w:t>18</w:t>
            </w:r>
          </w:p>
        </w:tc>
        <w:tc>
          <w:tcPr>
            <w:tcW w:w="893" w:type="dxa"/>
            <w:tcBorders>
              <w:top w:val="single" w:sz="4" w:space="0" w:color="auto"/>
              <w:left w:val="nil"/>
              <w:bottom w:val="single" w:sz="6" w:space="0" w:color="auto"/>
              <w:right w:val="single" w:sz="4" w:space="0" w:color="auto"/>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TEI</w:t>
            </w:r>
          </w:p>
        </w:tc>
      </w:tr>
      <w:tr w:rsidR="00A53D7D" w:rsidRPr="00FB64AD" w:rsidTr="005140B4">
        <w:tc>
          <w:tcPr>
            <w:tcW w:w="2420" w:type="dxa"/>
            <w:tcBorders>
              <w:top w:val="single" w:sz="4" w:space="0" w:color="auto"/>
              <w:left w:val="nil"/>
              <w:bottom w:val="nil"/>
              <w:right w:val="nil"/>
            </w:tcBorders>
            <w:shd w:val="solid" w:color="FFFFFF" w:fill="auto"/>
          </w:tcPr>
          <w:p w:rsidR="00A53D7D" w:rsidRPr="00FB64AD" w:rsidRDefault="00A53D7D" w:rsidP="005140B4">
            <w:pPr>
              <w:pStyle w:val="Tabletext"/>
              <w:rPr>
                <w:rFonts w:eastAsiaTheme="minorEastAsia"/>
                <w:lang w:eastAsia="en-AU"/>
              </w:rPr>
            </w:pPr>
            <w:r w:rsidRPr="00FB64AD">
              <w:rPr>
                <w:rFonts w:eastAsiaTheme="minorEastAsia"/>
                <w:lang w:eastAsia="en-AU"/>
              </w:rPr>
              <w:t>Restoration of fire damaged arterial roads</w:t>
            </w:r>
          </w:p>
        </w:tc>
        <w:tc>
          <w:tcPr>
            <w:tcW w:w="892" w:type="dxa"/>
            <w:tcBorders>
              <w:top w:val="single" w:sz="4" w:space="0" w:color="auto"/>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0.4</w:t>
            </w:r>
          </w:p>
        </w:tc>
        <w:tc>
          <w:tcPr>
            <w:tcW w:w="892" w:type="dxa"/>
            <w:tcBorders>
              <w:top w:val="single" w:sz="4" w:space="0" w:color="auto"/>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single" w:sz="4" w:space="0" w:color="auto"/>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single" w:sz="4" w:space="0" w:color="auto"/>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single" w:sz="4" w:space="0" w:color="auto"/>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single" w:sz="4" w:space="0" w:color="auto"/>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0.4</w:t>
            </w:r>
          </w:p>
        </w:tc>
      </w:tr>
      <w:tr w:rsidR="00A53D7D" w:rsidRPr="00FB64AD" w:rsidTr="005140B4">
        <w:tc>
          <w:tcPr>
            <w:tcW w:w="2420" w:type="dxa"/>
            <w:tcBorders>
              <w:top w:val="single" w:sz="6" w:space="0" w:color="auto"/>
              <w:left w:val="nil"/>
              <w:bottom w:val="single" w:sz="12" w:space="0" w:color="auto"/>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Total asset initiatives</w:t>
            </w:r>
          </w:p>
        </w:tc>
        <w:tc>
          <w:tcPr>
            <w:tcW w:w="892"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0.4</w:t>
            </w:r>
          </w:p>
        </w:tc>
        <w:tc>
          <w:tcPr>
            <w:tcW w:w="892"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w:t>
            </w:r>
          </w:p>
        </w:tc>
        <w:tc>
          <w:tcPr>
            <w:tcW w:w="893"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w:t>
            </w:r>
          </w:p>
        </w:tc>
        <w:tc>
          <w:tcPr>
            <w:tcW w:w="893"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w:t>
            </w:r>
          </w:p>
        </w:tc>
        <w:tc>
          <w:tcPr>
            <w:tcW w:w="893"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w:t>
            </w:r>
          </w:p>
        </w:tc>
        <w:tc>
          <w:tcPr>
            <w:tcW w:w="893"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0.4</w:t>
            </w:r>
          </w:p>
        </w:tc>
      </w:tr>
    </w:tbl>
    <w:p w:rsidR="00A53D7D" w:rsidRPr="00596ED3" w:rsidRDefault="00A53D7D" w:rsidP="005140B4">
      <w:pPr>
        <w:pStyle w:val="Source"/>
      </w:pPr>
      <w:r w:rsidRPr="00596ED3">
        <w:t>Source: Department of Treasury and Finance</w:t>
      </w:r>
      <w:r w:rsidRPr="00596ED3">
        <w:fldChar w:fldCharType="begin"/>
      </w:r>
      <w:r w:rsidRPr="00596ED3">
        <w:instrText xml:space="preserve"> XE </w:instrText>
      </w:r>
      <w:r>
        <w:instrText>"</w:instrText>
      </w:r>
      <w:r w:rsidRPr="00596ED3">
        <w:instrText>Bushfire recovery package:Asset initiatives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Restoration of fire damaged arterial roads</w:t>
      </w:r>
    </w:p>
    <w:p w:rsidR="00A53D7D" w:rsidRPr="00596ED3" w:rsidRDefault="00A53D7D" w:rsidP="005140B4">
      <w:r w:rsidRPr="00596ED3">
        <w:t>Funding is provided for the repair of Victoria</w:t>
      </w:r>
      <w:r>
        <w:t>’</w:t>
      </w:r>
      <w:r w:rsidRPr="00596ED3">
        <w:t>s arterial roads that were damaged in the bushfires.</w:t>
      </w:r>
    </w:p>
    <w:p w:rsidR="00A53D7D" w:rsidRPr="00596ED3" w:rsidRDefault="00A53D7D" w:rsidP="005140B4">
      <w:r w:rsidRPr="00596ED3">
        <w:t xml:space="preserve">This initiative contributes to the </w:t>
      </w:r>
      <w:r w:rsidRPr="00596ED3">
        <w:rPr>
          <w:szCs w:val="22"/>
        </w:rPr>
        <w:t>Department of Transport, Planning and Local Infrastructure</w:t>
      </w:r>
      <w:r>
        <w:rPr>
          <w:szCs w:val="22"/>
        </w:rPr>
        <w:t>’</w:t>
      </w:r>
      <w:r w:rsidRPr="00596ED3">
        <w:rPr>
          <w:szCs w:val="22"/>
        </w:rPr>
        <w:t>s Road Asset Management output.</w:t>
      </w:r>
    </w:p>
    <w:p w:rsidR="00A53D7D" w:rsidRPr="00596ED3" w:rsidRDefault="00A53D7D" w:rsidP="005140B4">
      <w:pPr>
        <w:spacing w:after="0"/>
        <w:rPr>
          <w:rFonts w:ascii="Calibri" w:hAnsi="Calibri"/>
          <w:b/>
          <w:caps/>
          <w:sz w:val="26"/>
          <w:szCs w:val="22"/>
        </w:rPr>
      </w:pPr>
      <w:r w:rsidRPr="00596ED3">
        <w:br w:type="page"/>
      </w:r>
    </w:p>
    <w:p w:rsidR="00A53D7D" w:rsidRPr="00596ED3" w:rsidRDefault="00A53D7D" w:rsidP="005140B4">
      <w:pPr>
        <w:pStyle w:val="Heading1"/>
      </w:pPr>
      <w:bookmarkStart w:id="7" w:name="_Toc386364060"/>
      <w:bookmarkStart w:id="8" w:name="_Toc407116893"/>
      <w:r w:rsidRPr="00596ED3">
        <w:t>Department of Education and early Childhood Development</w:t>
      </w:r>
      <w:bookmarkEnd w:id="7"/>
      <w:bookmarkEnd w:id="8"/>
    </w:p>
    <w:p w:rsidR="00A53D7D" w:rsidRPr="00596ED3" w:rsidRDefault="00A53D7D" w:rsidP="005140B4">
      <w:pPr>
        <w:pStyle w:val="Heading3"/>
      </w:pPr>
      <w:r w:rsidRPr="00596ED3">
        <w:t>Output initiatives</w:t>
      </w:r>
    </w:p>
    <w:p w:rsidR="00A53D7D" w:rsidRPr="00596ED3" w:rsidRDefault="00A53D7D" w:rsidP="005140B4">
      <w:pPr>
        <w:pStyle w:val="Tableheading"/>
      </w:pPr>
      <w:r w:rsidRPr="00596ED3">
        <w:t xml:space="preserve">Table 1.3: </w:t>
      </w:r>
      <w:r w:rsidRPr="00596ED3">
        <w:tab/>
        <w:t>Output initiatives – Education and Early Childhood Development</w:t>
      </w:r>
      <w:bookmarkStart w:id="9" w:name="RANGE!A3:F18"/>
      <w:bookmarkEnd w:id="9"/>
    </w:p>
    <w:p w:rsidR="00A53D7D" w:rsidRPr="00FB64AD" w:rsidRDefault="00A53D7D" w:rsidP="005140B4">
      <w:pPr>
        <w:pStyle w:val="million"/>
        <w:rPr>
          <w:rFonts w:ascii="Times New Roman" w:hAnsi="Times New Roman"/>
          <w:sz w:val="20"/>
          <w:lang w:eastAsia="en-AU"/>
        </w:rPr>
      </w:pPr>
      <w:r w:rsidRPr="00596ED3">
        <w:t>($</w:t>
      </w:r>
      <w:r>
        <w:t> million</w:t>
      </w:r>
      <w:r w:rsidRPr="00596ED3">
        <w:t>)</w:t>
      </w:r>
      <w:bookmarkStart w:id="10" w:name="RANGE!A3:F22"/>
      <w:bookmarkStart w:id="11" w:name="RANGE!A3:F35"/>
      <w:bookmarkEnd w:id="10"/>
    </w:p>
    <w:tbl>
      <w:tblPr>
        <w:tblW w:w="7776" w:type="dxa"/>
        <w:tblInd w:w="29" w:type="dxa"/>
        <w:tblCellMar>
          <w:left w:w="43" w:type="dxa"/>
          <w:right w:w="43" w:type="dxa"/>
        </w:tblCellMar>
        <w:tblLook w:val="04A0" w:firstRow="1" w:lastRow="0" w:firstColumn="1" w:lastColumn="0" w:noHBand="0" w:noVBand="1"/>
      </w:tblPr>
      <w:tblGrid>
        <w:gridCol w:w="2810"/>
        <w:gridCol w:w="465"/>
        <w:gridCol w:w="529"/>
        <w:gridCol w:w="993"/>
        <w:gridCol w:w="993"/>
        <w:gridCol w:w="993"/>
        <w:gridCol w:w="993"/>
      </w:tblGrid>
      <w:tr w:rsidR="00A53D7D" w:rsidRPr="00FB64AD" w:rsidTr="005140B4">
        <w:trPr>
          <w:divId w:val="180359657"/>
        </w:trPr>
        <w:tc>
          <w:tcPr>
            <w:tcW w:w="2810" w:type="dxa"/>
            <w:tcBorders>
              <w:top w:val="single" w:sz="12" w:space="0" w:color="FFFFFF" w:themeColor="background1"/>
              <w:left w:val="single" w:sz="12" w:space="0" w:color="FFFFFF" w:themeColor="background1"/>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xml:space="preserve"> </w:t>
            </w:r>
          </w:p>
        </w:tc>
        <w:tc>
          <w:tcPr>
            <w:tcW w:w="994" w:type="dxa"/>
            <w:gridSpan w:val="2"/>
            <w:tcBorders>
              <w:top w:val="single" w:sz="12" w:space="0" w:color="FFFFFF" w:themeColor="background1"/>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993" w:type="dxa"/>
            <w:tcBorders>
              <w:top w:val="single" w:sz="12" w:space="0" w:color="FFFFFF" w:themeColor="background1"/>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993" w:type="dxa"/>
            <w:tcBorders>
              <w:top w:val="single" w:sz="12" w:space="0" w:color="FFFFFF" w:themeColor="background1"/>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993" w:type="dxa"/>
            <w:tcBorders>
              <w:top w:val="single" w:sz="12" w:space="0" w:color="FFFFFF" w:themeColor="background1"/>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993" w:type="dxa"/>
            <w:tcBorders>
              <w:top w:val="single" w:sz="12" w:space="0" w:color="FFFFFF" w:themeColor="background1"/>
              <w:left w:val="nil"/>
              <w:bottom w:val="single" w:sz="4" w:space="0" w:color="auto"/>
              <w:right w:val="single" w:sz="12" w:space="0" w:color="FFFFFF" w:themeColor="background1"/>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r>
      <w:tr w:rsidR="00A53D7D" w:rsidRPr="00FB64AD" w:rsidTr="005140B4">
        <w:trPr>
          <w:divId w:val="180359657"/>
        </w:trPr>
        <w:tc>
          <w:tcPr>
            <w:tcW w:w="2810" w:type="dxa"/>
            <w:tcBorders>
              <w:top w:val="single" w:sz="12" w:space="0" w:color="FFFFFF" w:themeColor="background1"/>
              <w:left w:val="nil"/>
              <w:bottom w:val="nil"/>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Early Childhood Development</w:t>
            </w:r>
          </w:p>
        </w:tc>
        <w:tc>
          <w:tcPr>
            <w:tcW w:w="994" w:type="dxa"/>
            <w:gridSpan w:val="2"/>
            <w:tcBorders>
              <w:top w:val="single" w:sz="12" w:space="0" w:color="FFFFFF" w:themeColor="background1"/>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single" w:sz="12" w:space="0" w:color="FFFFFF" w:themeColor="background1"/>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single" w:sz="12" w:space="0" w:color="FFFFFF" w:themeColor="background1"/>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single" w:sz="12" w:space="0" w:color="FFFFFF" w:themeColor="background1"/>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single" w:sz="12" w:space="0" w:color="FFFFFF" w:themeColor="background1"/>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r>
      <w:tr w:rsidR="00A53D7D" w:rsidRPr="00FB64AD" w:rsidTr="005140B4">
        <w:trPr>
          <w:divId w:val="180359657"/>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Children</w:t>
            </w:r>
            <w:r>
              <w:rPr>
                <w:color w:val="000000"/>
                <w:lang w:eastAsia="en-AU"/>
              </w:rPr>
              <w:t>’</w:t>
            </w:r>
            <w:r w:rsidRPr="00FB64AD">
              <w:rPr>
                <w:color w:val="000000"/>
                <w:lang w:eastAsia="en-AU"/>
              </w:rPr>
              <w:t>s facilities capital program</w:t>
            </w:r>
          </w:p>
        </w:tc>
        <w:tc>
          <w:tcPr>
            <w:tcW w:w="99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80359657"/>
        </w:trPr>
        <w:tc>
          <w:tcPr>
            <w:tcW w:w="2810" w:type="dxa"/>
            <w:tcBorders>
              <w:top w:val="nil"/>
              <w:left w:val="nil"/>
              <w:bottom w:val="nil"/>
              <w:right w:val="nil"/>
            </w:tcBorders>
            <w:shd w:val="clear" w:color="auto" w:fill="auto"/>
            <w:noWrap/>
            <w:vAlign w:val="bottom"/>
            <w:hideMark/>
          </w:tcPr>
          <w:p w:rsidR="00A53D7D" w:rsidRPr="00FB64AD" w:rsidRDefault="00A53D7D" w:rsidP="005140B4">
            <w:pPr>
              <w:pStyle w:val="Tabletext"/>
              <w:rPr>
                <w:lang w:eastAsia="en-AU"/>
              </w:rPr>
            </w:pPr>
            <w:r w:rsidRPr="00FB64AD">
              <w:rPr>
                <w:lang w:eastAsia="en-AU"/>
              </w:rPr>
              <w:t>Early childhood intervention service improvement project</w:t>
            </w:r>
          </w:p>
        </w:tc>
        <w:tc>
          <w:tcPr>
            <w:tcW w:w="99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80359657"/>
        </w:trPr>
        <w:tc>
          <w:tcPr>
            <w:tcW w:w="2810" w:type="dxa"/>
            <w:tcBorders>
              <w:top w:val="nil"/>
              <w:left w:val="nil"/>
              <w:bottom w:val="nil"/>
              <w:right w:val="nil"/>
            </w:tcBorders>
            <w:shd w:val="clear" w:color="auto" w:fill="auto"/>
            <w:noWrap/>
            <w:vAlign w:val="bottom"/>
            <w:hideMark/>
          </w:tcPr>
          <w:p w:rsidR="00A53D7D" w:rsidRPr="00FB64AD" w:rsidRDefault="00A53D7D" w:rsidP="005140B4">
            <w:pPr>
              <w:pStyle w:val="Tabletext"/>
              <w:rPr>
                <w:lang w:eastAsia="en-AU"/>
              </w:rPr>
            </w:pPr>
            <w:r w:rsidRPr="00FB64AD">
              <w:rPr>
                <w:lang w:eastAsia="en-AU"/>
              </w:rPr>
              <w:t>Early years strategic plan</w:t>
            </w:r>
          </w:p>
        </w:tc>
        <w:tc>
          <w:tcPr>
            <w:tcW w:w="99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2.9</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0.7</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r>
      <w:tr w:rsidR="00A53D7D" w:rsidRPr="00FB64AD" w:rsidTr="005140B4">
        <w:trPr>
          <w:divId w:val="180359657"/>
        </w:trPr>
        <w:tc>
          <w:tcPr>
            <w:tcW w:w="2810" w:type="dxa"/>
            <w:tcBorders>
              <w:top w:val="nil"/>
              <w:left w:val="nil"/>
              <w:bottom w:val="nil"/>
              <w:right w:val="nil"/>
            </w:tcBorders>
            <w:shd w:val="clear" w:color="auto" w:fill="auto"/>
            <w:noWrap/>
            <w:vAlign w:val="bottom"/>
            <w:hideMark/>
          </w:tcPr>
          <w:p w:rsidR="00A53D7D" w:rsidRPr="00FB64AD" w:rsidRDefault="00A53D7D" w:rsidP="005140B4">
            <w:pPr>
              <w:pStyle w:val="Tabletext"/>
              <w:rPr>
                <w:lang w:eastAsia="en-AU"/>
              </w:rPr>
            </w:pPr>
            <w:r w:rsidRPr="00FB64AD">
              <w:rPr>
                <w:lang w:eastAsia="en-AU"/>
              </w:rPr>
              <w:t>Early years workforce support</w:t>
            </w:r>
          </w:p>
        </w:tc>
        <w:tc>
          <w:tcPr>
            <w:tcW w:w="99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80359657"/>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Maternal and child health service reform</w:t>
            </w:r>
          </w:p>
        </w:tc>
        <w:tc>
          <w:tcPr>
            <w:tcW w:w="99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80359657"/>
        </w:trPr>
        <w:tc>
          <w:tcPr>
            <w:tcW w:w="2810" w:type="dxa"/>
            <w:tcBorders>
              <w:top w:val="nil"/>
              <w:left w:val="nil"/>
              <w:bottom w:val="nil"/>
              <w:right w:val="nil"/>
            </w:tcBorders>
            <w:shd w:val="clear" w:color="000000" w:fill="FFFFFF"/>
            <w:noWrap/>
            <w:hideMark/>
          </w:tcPr>
          <w:p w:rsidR="00A53D7D" w:rsidRPr="00FB64AD" w:rsidRDefault="00A53D7D" w:rsidP="005140B4">
            <w:pPr>
              <w:pStyle w:val="Tabletext"/>
              <w:rPr>
                <w:color w:val="000000"/>
                <w:lang w:eastAsia="en-AU"/>
              </w:rPr>
            </w:pPr>
            <w:r w:rsidRPr="00FB64AD">
              <w:rPr>
                <w:color w:val="000000"/>
                <w:lang w:eastAsia="en-AU"/>
              </w:rPr>
              <w:t>Vulnerable children support and demonstration projects</w:t>
            </w:r>
          </w:p>
        </w:tc>
        <w:tc>
          <w:tcPr>
            <w:tcW w:w="994" w:type="dxa"/>
            <w:gridSpan w:val="2"/>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0.7</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0.7</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w:t>
            </w:r>
          </w:p>
        </w:tc>
      </w:tr>
      <w:tr w:rsidR="00A53D7D" w:rsidRPr="00FB64AD" w:rsidTr="005140B4">
        <w:trPr>
          <w:divId w:val="180359657"/>
        </w:trPr>
        <w:tc>
          <w:tcPr>
            <w:tcW w:w="2810" w:type="dxa"/>
            <w:tcBorders>
              <w:top w:val="nil"/>
              <w:left w:val="nil"/>
              <w:bottom w:val="nil"/>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Higher Education and Skills</w:t>
            </w:r>
          </w:p>
        </w:tc>
        <w:tc>
          <w:tcPr>
            <w:tcW w:w="994"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r>
      <w:tr w:rsidR="00A53D7D" w:rsidRPr="00FB64AD" w:rsidTr="005140B4">
        <w:trPr>
          <w:divId w:val="180359657"/>
        </w:trPr>
        <w:tc>
          <w:tcPr>
            <w:tcW w:w="2810" w:type="dxa"/>
            <w:tcBorders>
              <w:top w:val="nil"/>
              <w:left w:val="nil"/>
              <w:bottom w:val="nil"/>
              <w:right w:val="nil"/>
            </w:tcBorders>
            <w:shd w:val="clear" w:color="000000" w:fill="FFFFFF"/>
            <w:noWrap/>
            <w:hideMark/>
          </w:tcPr>
          <w:p w:rsidR="00A53D7D" w:rsidRPr="00FB64AD" w:rsidRDefault="00A53D7D" w:rsidP="005140B4">
            <w:pPr>
              <w:pStyle w:val="Tabletext"/>
              <w:rPr>
                <w:rFonts w:cs="Calibri"/>
                <w:color w:val="000000"/>
                <w:lang w:eastAsia="en-AU"/>
              </w:rPr>
            </w:pPr>
            <w:r w:rsidRPr="00FB64AD">
              <w:rPr>
                <w:color w:val="000000"/>
                <w:lang w:eastAsia="en-AU"/>
              </w:rPr>
              <w:t xml:space="preserve">Additional Vocational Education </w:t>
            </w:r>
            <w:r w:rsidRPr="00FB64AD">
              <w:rPr>
                <w:rFonts w:cs="Calibri"/>
                <w:color w:val="000000"/>
                <w:lang w:eastAsia="en-AU"/>
              </w:rPr>
              <w:t>and Training Funding</w:t>
            </w:r>
          </w:p>
        </w:tc>
        <w:tc>
          <w:tcPr>
            <w:tcW w:w="994" w:type="dxa"/>
            <w:gridSpan w:val="2"/>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139.6</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171.2</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164.0</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163.8</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160.4</w:t>
            </w:r>
          </w:p>
        </w:tc>
      </w:tr>
      <w:tr w:rsidR="00A53D7D" w:rsidRPr="00FB64AD" w:rsidTr="005140B4">
        <w:trPr>
          <w:divId w:val="180359657"/>
        </w:trPr>
        <w:tc>
          <w:tcPr>
            <w:tcW w:w="2810" w:type="dxa"/>
            <w:tcBorders>
              <w:top w:val="nil"/>
              <w:left w:val="nil"/>
              <w:bottom w:val="nil"/>
              <w:right w:val="nil"/>
            </w:tcBorders>
            <w:shd w:val="clear" w:color="000000" w:fill="FFFFFF"/>
            <w:noWrap/>
            <w:hideMark/>
          </w:tcPr>
          <w:p w:rsidR="00A53D7D" w:rsidRPr="00FB64AD" w:rsidRDefault="00A53D7D" w:rsidP="005140B4">
            <w:pPr>
              <w:pStyle w:val="Tabletext"/>
              <w:rPr>
                <w:color w:val="000000"/>
                <w:lang w:eastAsia="en-AU"/>
              </w:rPr>
            </w:pPr>
            <w:r w:rsidRPr="00FB64AD">
              <w:rPr>
                <w:color w:val="000000"/>
                <w:lang w:eastAsia="en-AU"/>
              </w:rPr>
              <w:t>Automotive workers package</w:t>
            </w:r>
          </w:p>
        </w:tc>
        <w:tc>
          <w:tcPr>
            <w:tcW w:w="994" w:type="dxa"/>
            <w:gridSpan w:val="2"/>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15.0</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15.0</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80359657"/>
        </w:trPr>
        <w:tc>
          <w:tcPr>
            <w:tcW w:w="2810" w:type="dxa"/>
            <w:tcBorders>
              <w:top w:val="nil"/>
              <w:left w:val="nil"/>
              <w:bottom w:val="nil"/>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School Education</w:t>
            </w:r>
          </w:p>
        </w:tc>
        <w:tc>
          <w:tcPr>
            <w:tcW w:w="994"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r>
      <w:tr w:rsidR="00A53D7D" w:rsidRPr="00FB64AD" w:rsidTr="005140B4">
        <w:trPr>
          <w:divId w:val="180359657"/>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Resourcing schools to raise performance</w:t>
            </w:r>
          </w:p>
        </w:tc>
        <w:tc>
          <w:tcPr>
            <w:tcW w:w="99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86.1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155.2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137.6</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150.9</w:t>
            </w:r>
          </w:p>
        </w:tc>
      </w:tr>
      <w:tr w:rsidR="00A53D7D" w:rsidRPr="00FB64AD" w:rsidTr="005140B4">
        <w:trPr>
          <w:divId w:val="180359657"/>
        </w:trPr>
        <w:tc>
          <w:tcPr>
            <w:tcW w:w="2810" w:type="dxa"/>
            <w:tcBorders>
              <w:top w:val="nil"/>
              <w:left w:val="nil"/>
              <w:bottom w:val="nil"/>
              <w:right w:val="nil"/>
            </w:tcBorders>
            <w:shd w:val="clear" w:color="000000" w:fill="FFFFFF"/>
            <w:noWrap/>
            <w:hideMark/>
          </w:tcPr>
          <w:p w:rsidR="00A53D7D" w:rsidRPr="00FB64AD" w:rsidRDefault="00A53D7D" w:rsidP="005140B4">
            <w:pPr>
              <w:pStyle w:val="Tabletext"/>
              <w:rPr>
                <w:color w:val="000000"/>
                <w:lang w:eastAsia="en-AU"/>
              </w:rPr>
            </w:pPr>
            <w:r w:rsidRPr="00FB64AD">
              <w:rPr>
                <w:color w:val="000000"/>
                <w:lang w:eastAsia="en-AU"/>
              </w:rPr>
              <w:t xml:space="preserve">Social and Community Services Equal Remuneration Order </w:t>
            </w:r>
            <w:r w:rsidRPr="00FB64AD">
              <w:rPr>
                <w:color w:val="000000"/>
                <w:vertAlign w:val="superscript"/>
                <w:lang w:eastAsia="en-AU"/>
              </w:rPr>
              <w:t>(a)</w:t>
            </w:r>
          </w:p>
        </w:tc>
        <w:tc>
          <w:tcPr>
            <w:tcW w:w="994" w:type="dxa"/>
            <w:gridSpan w:val="2"/>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80359657"/>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School capital program</w:t>
            </w:r>
          </w:p>
        </w:tc>
        <w:tc>
          <w:tcPr>
            <w:tcW w:w="99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3.6</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5.9</w:t>
            </w:r>
          </w:p>
        </w:tc>
      </w:tr>
      <w:tr w:rsidR="00A53D7D" w:rsidRPr="00FB64AD" w:rsidTr="005140B4">
        <w:trPr>
          <w:divId w:val="180359657"/>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School maintenance fund</w:t>
            </w:r>
          </w:p>
        </w:tc>
        <w:tc>
          <w:tcPr>
            <w:tcW w:w="99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80359657"/>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Student enrolment growth</w:t>
            </w:r>
          </w:p>
        </w:tc>
        <w:tc>
          <w:tcPr>
            <w:tcW w:w="99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113.0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142.1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143.6</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145.2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146.9</w:t>
            </w:r>
          </w:p>
        </w:tc>
      </w:tr>
      <w:tr w:rsidR="00A53D7D" w:rsidRPr="00FB64AD" w:rsidTr="005140B4">
        <w:trPr>
          <w:divId w:val="180359657"/>
        </w:trPr>
        <w:tc>
          <w:tcPr>
            <w:tcW w:w="3275" w:type="dxa"/>
            <w:gridSpan w:val="2"/>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Support for Students with Disabilities</w:t>
            </w:r>
          </w:p>
        </w:tc>
        <w:tc>
          <w:tcPr>
            <w:tcW w:w="529"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r>
      <w:tr w:rsidR="00A53D7D" w:rsidRPr="00FB64AD" w:rsidTr="005140B4">
        <w:trPr>
          <w:divId w:val="180359657"/>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Program for Students with Disabilities</w:t>
            </w:r>
          </w:p>
        </w:tc>
        <w:tc>
          <w:tcPr>
            <w:tcW w:w="99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28.9</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71.1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84.5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88.3</w:t>
            </w:r>
          </w:p>
        </w:tc>
      </w:tr>
      <w:tr w:rsidR="00A53D7D" w:rsidRPr="00FB64AD" w:rsidTr="005140B4">
        <w:trPr>
          <w:divId w:val="180359657"/>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Students with Disabilities Transport Program</w:t>
            </w:r>
          </w:p>
        </w:tc>
        <w:tc>
          <w:tcPr>
            <w:tcW w:w="99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7.2</w:t>
            </w:r>
          </w:p>
        </w:tc>
      </w:tr>
      <w:tr w:rsidR="00A53D7D" w:rsidRPr="00FB64AD" w:rsidTr="005140B4">
        <w:trPr>
          <w:divId w:val="180359657"/>
        </w:trPr>
        <w:tc>
          <w:tcPr>
            <w:tcW w:w="2810"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Bushfire Recovery Package</w:t>
            </w:r>
          </w:p>
        </w:tc>
        <w:tc>
          <w:tcPr>
            <w:tcW w:w="994" w:type="dxa"/>
            <w:gridSpan w:val="2"/>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80359657"/>
        </w:trPr>
        <w:tc>
          <w:tcPr>
            <w:tcW w:w="2810" w:type="dxa"/>
            <w:tcBorders>
              <w:top w:val="nil"/>
              <w:left w:val="nil"/>
              <w:bottom w:val="single" w:sz="4"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Sub total output initiatives</w:t>
            </w:r>
          </w:p>
        </w:tc>
        <w:tc>
          <w:tcPr>
            <w:tcW w:w="994" w:type="dxa"/>
            <w:gridSpan w:val="2"/>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308.0</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463.6</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569.4</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544.9</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559.6</w:t>
            </w:r>
          </w:p>
        </w:tc>
      </w:tr>
      <w:tr w:rsidR="00A53D7D" w:rsidRPr="00FB64AD" w:rsidTr="005140B4">
        <w:trPr>
          <w:divId w:val="180359657"/>
        </w:trPr>
        <w:tc>
          <w:tcPr>
            <w:tcW w:w="2810" w:type="dxa"/>
            <w:tcBorders>
              <w:top w:val="nil"/>
              <w:left w:val="nil"/>
              <w:bottom w:val="single" w:sz="4" w:space="0" w:color="auto"/>
              <w:right w:val="nil"/>
            </w:tcBorders>
            <w:shd w:val="clear" w:color="auto" w:fill="auto"/>
            <w:noWrap/>
            <w:hideMark/>
          </w:tcPr>
          <w:p w:rsidR="00A53D7D" w:rsidRPr="00FB64AD" w:rsidRDefault="00A53D7D" w:rsidP="005140B4">
            <w:pPr>
              <w:pStyle w:val="Tabletext"/>
              <w:rPr>
                <w:color w:val="000000"/>
                <w:vertAlign w:val="superscript"/>
                <w:lang w:eastAsia="en-AU"/>
              </w:rPr>
            </w:pPr>
            <w:r w:rsidRPr="00FB64AD">
              <w:rPr>
                <w:color w:val="000000"/>
                <w:lang w:eastAsia="en-AU"/>
              </w:rPr>
              <w:t>Existing resources</w:t>
            </w:r>
            <w:r w:rsidRPr="00FB64AD">
              <w:rPr>
                <w:color w:val="000000"/>
                <w:vertAlign w:val="superscript"/>
                <w:lang w:eastAsia="en-AU"/>
              </w:rPr>
              <w:t xml:space="preserve"> (b)</w:t>
            </w:r>
          </w:p>
        </w:tc>
        <w:tc>
          <w:tcPr>
            <w:tcW w:w="994" w:type="dxa"/>
            <w:gridSpan w:val="2"/>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( 32.9)</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( 33.7)</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( 45.1)</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( 44.7)</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( 45.0)</w:t>
            </w:r>
          </w:p>
        </w:tc>
      </w:tr>
      <w:tr w:rsidR="00A53D7D" w:rsidRPr="00FB64AD" w:rsidTr="005140B4">
        <w:trPr>
          <w:divId w:val="180359657"/>
        </w:trPr>
        <w:tc>
          <w:tcPr>
            <w:tcW w:w="2810" w:type="dxa"/>
            <w:tcBorders>
              <w:top w:val="single" w:sz="4" w:space="0" w:color="auto"/>
              <w:left w:val="nil"/>
              <w:bottom w:val="single" w:sz="12"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output initiatives</w:t>
            </w:r>
          </w:p>
        </w:tc>
        <w:tc>
          <w:tcPr>
            <w:tcW w:w="994" w:type="dxa"/>
            <w:gridSpan w:val="2"/>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275.1</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430.0</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524.3</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500.2</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514.6</w:t>
            </w:r>
          </w:p>
        </w:tc>
      </w:tr>
    </w:tbl>
    <w:bookmarkEnd w:id="11"/>
    <w:p w:rsidR="00A53D7D" w:rsidRPr="00596ED3" w:rsidRDefault="00A53D7D" w:rsidP="005140B4">
      <w:pPr>
        <w:pStyle w:val="Source"/>
      </w:pPr>
      <w:r w:rsidRPr="00596ED3">
        <w:t xml:space="preserve">Source: Department of Treasury and Finance </w:t>
      </w:r>
      <w:r w:rsidRPr="00596ED3">
        <w:fldChar w:fldCharType="begin"/>
      </w:r>
      <w:r w:rsidRPr="00596ED3">
        <w:instrText xml:space="preserve"> XE </w:instrText>
      </w:r>
      <w:r>
        <w:instrText>"</w:instrText>
      </w:r>
      <w:r w:rsidRPr="00596ED3">
        <w:instrText>Department of Education and Early Childhood Development:Output initiatives</w:instrText>
      </w:r>
      <w:r>
        <w:instrText>"</w:instrText>
      </w:r>
      <w:r w:rsidRPr="00596ED3">
        <w:instrText xml:space="preserve"> </w:instrText>
      </w:r>
      <w:r w:rsidRPr="00596ED3">
        <w:fldChar w:fldCharType="end"/>
      </w:r>
    </w:p>
    <w:p w:rsidR="00A53D7D" w:rsidRPr="00596ED3" w:rsidRDefault="00A53D7D" w:rsidP="005140B4">
      <w:pPr>
        <w:pStyle w:val="Source"/>
      </w:pPr>
      <w:r w:rsidRPr="00596ED3">
        <w:t>Note:</w:t>
      </w:r>
    </w:p>
    <w:p w:rsidR="00A53D7D" w:rsidRPr="00596ED3" w:rsidRDefault="00A53D7D" w:rsidP="005140B4">
      <w:pPr>
        <w:pStyle w:val="Notes"/>
      </w:pPr>
      <w:r w:rsidRPr="00596ED3">
        <w:t>(a)</w:t>
      </w:r>
      <w:r w:rsidRPr="00596ED3">
        <w:tab/>
        <w:t>This funding is in addition to the $200</w:t>
      </w:r>
      <w:r>
        <w:t> million</w:t>
      </w:r>
      <w:r w:rsidRPr="00596ED3">
        <w:t xml:space="preserve"> announced in the 2011</w:t>
      </w:r>
      <w:r>
        <w:noBreakHyphen/>
      </w:r>
      <w:r w:rsidRPr="00596ED3">
        <w:t xml:space="preserve">12 </w:t>
      </w:r>
      <w:r>
        <w:t>b</w:t>
      </w:r>
      <w:r w:rsidRPr="00596ED3">
        <w:t xml:space="preserve">udget which was provided to the departments of Human Services, Health, Justice and Education and Early Childhood Development. </w:t>
      </w:r>
    </w:p>
    <w:p w:rsidR="00A53D7D" w:rsidRPr="00596ED3" w:rsidRDefault="00A53D7D" w:rsidP="005140B4">
      <w:pPr>
        <w:pStyle w:val="Notes"/>
      </w:pPr>
      <w:r w:rsidRPr="00596ED3">
        <w:t>(b)</w:t>
      </w:r>
      <w:r w:rsidRPr="00596ED3">
        <w:tab/>
        <w:t>Existing departmental resources have been reallocated to contribute to the delivery of new initiatives.</w:t>
      </w:r>
    </w:p>
    <w:p w:rsidR="00A53D7D" w:rsidRPr="00596ED3" w:rsidRDefault="00A53D7D" w:rsidP="005140B4">
      <w:pPr>
        <w:pStyle w:val="Notes"/>
      </w:pPr>
      <w:r w:rsidRPr="00596ED3">
        <w:tab/>
      </w:r>
    </w:p>
    <w:p w:rsidR="00A53D7D" w:rsidRPr="00596ED3" w:rsidRDefault="00A53D7D" w:rsidP="005140B4">
      <w:pPr>
        <w:pStyle w:val="Heading4"/>
      </w:pPr>
      <w:bookmarkStart w:id="12" w:name="EarlChildDevpmnt"/>
      <w:r w:rsidRPr="00596ED3">
        <w:t>Early Childhood Development</w:t>
      </w:r>
      <w:r w:rsidRPr="00596ED3">
        <w:fldChar w:fldCharType="begin"/>
      </w:r>
      <w:r w:rsidRPr="00596ED3">
        <w:instrText xml:space="preserve"> XE </w:instrText>
      </w:r>
      <w:r>
        <w:instrText>"</w:instrText>
      </w:r>
      <w:r w:rsidRPr="00596ED3">
        <w:instrText>Department of Education and Early Childhood Development:Early Childhood Development</w:instrText>
      </w:r>
      <w:r>
        <w:instrText>"</w:instrText>
      </w:r>
      <w:r w:rsidRPr="00596ED3">
        <w:instrText xml:space="preserve"> </w:instrText>
      </w:r>
      <w:r w:rsidRPr="00596ED3">
        <w:fldChar w:fldCharType="end"/>
      </w:r>
    </w:p>
    <w:p w:rsidR="00A53D7D" w:rsidRPr="00596ED3" w:rsidRDefault="00A53D7D" w:rsidP="005140B4">
      <w:pPr>
        <w:pStyle w:val="Heading5"/>
      </w:pPr>
      <w:r w:rsidRPr="00596ED3">
        <w:t>Children</w:t>
      </w:r>
      <w:r>
        <w:t>’</w:t>
      </w:r>
      <w:r w:rsidRPr="00596ED3">
        <w:t>s facilities capital program</w:t>
      </w:r>
    </w:p>
    <w:p w:rsidR="00A53D7D" w:rsidRPr="00596ED3" w:rsidRDefault="00A53D7D" w:rsidP="005140B4">
      <w:r w:rsidRPr="00596ED3">
        <w:t>Capital grants will be provided by 30 June 2014 to upgrade and build new community</w:t>
      </w:r>
      <w:r>
        <w:noBreakHyphen/>
      </w:r>
      <w:r w:rsidRPr="00596ED3">
        <w:t>based kindergarten and children</w:t>
      </w:r>
      <w:r>
        <w:t>’</w:t>
      </w:r>
      <w:r w:rsidRPr="00596ED3">
        <w:t>s facilities. The grants will support projects that improve access to early learning services and infrastructure in areas of growing population and high need.</w:t>
      </w:r>
    </w:p>
    <w:p w:rsidR="00A53D7D" w:rsidRPr="00596ED3" w:rsidRDefault="00A53D7D" w:rsidP="005140B4">
      <w:r w:rsidRPr="00596ED3">
        <w:t>This initiative contributes to the Department of Education and Early Childhood Development</w:t>
      </w:r>
      <w:r>
        <w:t>’</w:t>
      </w:r>
      <w:r w:rsidRPr="00596ED3">
        <w:t>s Early Childhood Development output.</w:t>
      </w:r>
    </w:p>
    <w:p w:rsidR="00A53D7D" w:rsidRPr="00596ED3" w:rsidRDefault="00A53D7D" w:rsidP="005140B4">
      <w:pPr>
        <w:pStyle w:val="Heading5"/>
      </w:pPr>
      <w:r w:rsidRPr="00596ED3">
        <w:t>Early childhood intervention service improvement project</w:t>
      </w:r>
    </w:p>
    <w:p w:rsidR="00A53D7D" w:rsidRPr="00596ED3" w:rsidRDefault="00A53D7D" w:rsidP="005140B4">
      <w:r w:rsidRPr="00596ED3">
        <w:t>Funding will improve early childhood intervention services</w:t>
      </w:r>
      <w:r>
        <w:t>’</w:t>
      </w:r>
      <w:r w:rsidRPr="00596ED3">
        <w:t xml:space="preserve"> practices through more timely and effective support for children with a disability or developmental delay.</w:t>
      </w:r>
    </w:p>
    <w:p w:rsidR="00A53D7D" w:rsidRPr="00596ED3" w:rsidRDefault="00A53D7D" w:rsidP="005140B4">
      <w:r w:rsidRPr="00596ED3">
        <w:t>This initiative contributes to the Department of Education and Early Childhood Development</w:t>
      </w:r>
      <w:r>
        <w:t>’</w:t>
      </w:r>
      <w:r w:rsidRPr="00596ED3">
        <w:t>s Early Childhood Development output.</w:t>
      </w:r>
    </w:p>
    <w:p w:rsidR="00A53D7D" w:rsidRPr="00596ED3" w:rsidRDefault="00A53D7D" w:rsidP="005140B4">
      <w:pPr>
        <w:pStyle w:val="Heading5"/>
      </w:pPr>
      <w:r w:rsidRPr="00596ED3">
        <w:t>Early Years Strategic Plan</w:t>
      </w:r>
    </w:p>
    <w:p w:rsidR="00A53D7D" w:rsidRPr="00596ED3" w:rsidRDefault="00A53D7D" w:rsidP="005140B4">
      <w:r w:rsidRPr="00596ED3">
        <w:t xml:space="preserve">Funding will support the implementation of the Early Years Strategic Plan to work with parents, the community, early </w:t>
      </w:r>
      <w:proofErr w:type="gramStart"/>
      <w:r w:rsidRPr="00596ED3">
        <w:t>years</w:t>
      </w:r>
      <w:proofErr w:type="gramEnd"/>
      <w:r w:rsidRPr="00596ED3">
        <w:t xml:space="preserve"> services and the Commonwealth to continue to improve children</w:t>
      </w:r>
      <w:r>
        <w:t>’</w:t>
      </w:r>
      <w:r w:rsidRPr="00596ED3">
        <w:t xml:space="preserve">s outcomes. Funding will support the early </w:t>
      </w:r>
      <w:proofErr w:type="gramStart"/>
      <w:r w:rsidRPr="00596ED3">
        <w:t>years</w:t>
      </w:r>
      <w:proofErr w:type="gramEnd"/>
      <w:r w:rsidRPr="00596ED3">
        <w:t xml:space="preserve"> workforce including programs to upgrade skills and assist to retain and attract staff. Improved support for children</w:t>
      </w:r>
      <w:r>
        <w:t>’</w:t>
      </w:r>
      <w:r w:rsidRPr="00596ED3">
        <w:t>s language development will be trialled. Funding will also support an expanded child health record and work with local government to improve early years</w:t>
      </w:r>
      <w:r>
        <w:t>’</w:t>
      </w:r>
      <w:r w:rsidRPr="00596ED3">
        <w:t xml:space="preserve"> service enrolment processes and planning.</w:t>
      </w:r>
    </w:p>
    <w:p w:rsidR="00A53D7D" w:rsidRPr="00596ED3" w:rsidRDefault="00A53D7D" w:rsidP="005140B4">
      <w:r w:rsidRPr="00596ED3">
        <w:t>This initiative contributes to the Department of Education and Early Childhood Development</w:t>
      </w:r>
      <w:r>
        <w:t>’</w:t>
      </w:r>
      <w:r w:rsidRPr="00596ED3">
        <w:t>s Early Childhood Development output.</w:t>
      </w:r>
    </w:p>
    <w:p w:rsidR="00A53D7D" w:rsidRPr="00596ED3" w:rsidRDefault="00A53D7D" w:rsidP="005140B4">
      <w:pPr>
        <w:pStyle w:val="Heading5"/>
      </w:pPr>
      <w:r w:rsidRPr="00596ED3">
        <w:t>Early years workforce support</w:t>
      </w:r>
    </w:p>
    <w:p w:rsidR="00A53D7D" w:rsidRPr="00596ED3" w:rsidRDefault="00A53D7D" w:rsidP="005140B4">
      <w:r w:rsidRPr="00596ED3">
        <w:t>A package to support workforce quality improvement initiatives in the sector will be introduced to ensure that children have access to a high</w:t>
      </w:r>
      <w:r>
        <w:noBreakHyphen/>
      </w:r>
      <w:r w:rsidRPr="00596ED3">
        <w:t>quality early learning program. Funding will support additional professional development opportunities for early childhood educators and service leaders, telephone and training support to implement the National Quality Framework and planning for the implementation of early childhood teacher registrations.</w:t>
      </w:r>
    </w:p>
    <w:p w:rsidR="00A53D7D" w:rsidRPr="00560216" w:rsidRDefault="00A53D7D" w:rsidP="00560216">
      <w:r w:rsidRPr="00596ED3">
        <w:t>This initiative contributes to the Department of Education and Early Childhood Development</w:t>
      </w:r>
      <w:r>
        <w:t>’</w:t>
      </w:r>
      <w:r w:rsidRPr="00596ED3">
        <w:t>s Early Childhood Development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Maternal and child health service reform</w:t>
      </w:r>
    </w:p>
    <w:p w:rsidR="00A53D7D" w:rsidRPr="00596ED3" w:rsidRDefault="00A53D7D" w:rsidP="005140B4">
      <w:r w:rsidRPr="00596ED3">
        <w:t>Assistance will be provided to support implementation of maternal and child health (MCH) service reform to modernise the MCH service and improve support for vulnerable children. Funding will support improved practice tools and service models to respond to vulnerability and enable service integration, examine best practice in supporting parental engagement and participation, and identify improved funding approaches and data processes to support program administration.</w:t>
      </w:r>
    </w:p>
    <w:p w:rsidR="00A53D7D" w:rsidRPr="00596ED3" w:rsidRDefault="00A53D7D" w:rsidP="005140B4">
      <w:r w:rsidRPr="00596ED3">
        <w:t>This initiative contributes to the Department of Education and Early Childhood Development</w:t>
      </w:r>
      <w:r>
        <w:t>’</w:t>
      </w:r>
      <w:r w:rsidRPr="00596ED3">
        <w:t>s Early Childhood Development output.</w:t>
      </w:r>
    </w:p>
    <w:p w:rsidR="00A53D7D" w:rsidRPr="00596ED3" w:rsidRDefault="00A53D7D" w:rsidP="005140B4">
      <w:pPr>
        <w:pStyle w:val="Heading5"/>
      </w:pPr>
      <w:r w:rsidRPr="00596ED3">
        <w:t>Vulnerable children support and demonstration projects</w:t>
      </w:r>
    </w:p>
    <w:p w:rsidR="00A53D7D" w:rsidRPr="00596ED3" w:rsidRDefault="00A53D7D" w:rsidP="005140B4">
      <w:r w:rsidRPr="00596ED3">
        <w:t>Funding will be provided to develop and test team</w:t>
      </w:r>
      <w:r>
        <w:noBreakHyphen/>
      </w:r>
      <w:r w:rsidRPr="00596ED3">
        <w:t>based practices that streamline and better coordinate early childhood services for vulnerable children. Support will be provided to three local areas to demonstrate and evaluate a consistent and high</w:t>
      </w:r>
      <w:r>
        <w:noBreakHyphen/>
      </w:r>
      <w:r w:rsidRPr="00596ED3">
        <w:t>quality model of team</w:t>
      </w:r>
      <w:r>
        <w:noBreakHyphen/>
      </w:r>
      <w:r w:rsidRPr="00596ED3">
        <w:t>based working.</w:t>
      </w:r>
    </w:p>
    <w:p w:rsidR="00A53D7D" w:rsidRPr="00596ED3" w:rsidRDefault="00A53D7D" w:rsidP="005140B4">
      <w:r w:rsidRPr="00596ED3">
        <w:t>This initiative contributes to the Department of Education and Early Childhood Development</w:t>
      </w:r>
      <w:r>
        <w:t>’</w:t>
      </w:r>
      <w:r w:rsidRPr="00596ED3">
        <w:t>s Early Childhood Development output.</w:t>
      </w:r>
      <w:r w:rsidRPr="00596ED3">
        <w:fldChar w:fldCharType="begin"/>
      </w:r>
      <w:r w:rsidRPr="00596ED3">
        <w:instrText xml:space="preserve"> XE </w:instrText>
      </w:r>
      <w:r>
        <w:instrText>"</w:instrText>
      </w:r>
      <w:r w:rsidRPr="00596ED3">
        <w:instrText>Early Childhood Development</w:instrText>
      </w:r>
      <w:r>
        <w:instrText>"</w:instrText>
      </w:r>
      <w:r w:rsidRPr="00596ED3">
        <w:instrText xml:space="preserve"> \r </w:instrText>
      </w:r>
      <w:r>
        <w:instrText>"</w:instrText>
      </w:r>
      <w:r w:rsidRPr="00596ED3">
        <w:instrText>EarlChildDevpmnt</w:instrText>
      </w:r>
      <w:r>
        <w:instrText>"</w:instrText>
      </w:r>
      <w:r w:rsidRPr="00596ED3">
        <w:instrText xml:space="preserve"> </w:instrText>
      </w:r>
      <w:r w:rsidRPr="00596ED3">
        <w:fldChar w:fldCharType="end"/>
      </w:r>
    </w:p>
    <w:bookmarkEnd w:id="12"/>
    <w:p w:rsidR="00A53D7D" w:rsidRPr="00596ED3" w:rsidRDefault="00A53D7D" w:rsidP="005140B4">
      <w:pPr>
        <w:pStyle w:val="Heading4"/>
      </w:pPr>
      <w:r w:rsidRPr="00596ED3">
        <w:t>Higher Education and Skills</w:t>
      </w:r>
      <w:r w:rsidRPr="00596ED3">
        <w:fldChar w:fldCharType="begin"/>
      </w:r>
      <w:r w:rsidRPr="00596ED3">
        <w:instrText xml:space="preserve"> XE </w:instrText>
      </w:r>
      <w:r>
        <w:instrText>"</w:instrText>
      </w:r>
      <w:r w:rsidRPr="00596ED3">
        <w:instrText>Higher Education and Skills</w:instrText>
      </w:r>
      <w:r>
        <w:instrText>"</w:instrText>
      </w:r>
      <w:r w:rsidRPr="00596ED3">
        <w:instrText xml:space="preserve"> </w:instrText>
      </w:r>
      <w:r w:rsidRPr="00596ED3">
        <w:fldChar w:fldCharType="end"/>
      </w:r>
      <w:r w:rsidRPr="00596ED3">
        <w:fldChar w:fldCharType="begin"/>
      </w:r>
      <w:r w:rsidRPr="00596ED3">
        <w:instrText xml:space="preserve"> XE </w:instrText>
      </w:r>
      <w:r>
        <w:instrText>"</w:instrText>
      </w:r>
      <w:r w:rsidRPr="00596ED3">
        <w:instrText>Department of Education and Early Childhood Development:Higher Education and Skills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Additional vocational education and training funding</w:t>
      </w:r>
    </w:p>
    <w:p w:rsidR="00A53D7D" w:rsidRPr="00596ED3" w:rsidRDefault="00A53D7D" w:rsidP="005140B4">
      <w:pPr>
        <w:rPr>
          <w:rFonts w:cs="Garamond"/>
          <w:color w:val="000000"/>
          <w:szCs w:val="22"/>
          <w:lang w:eastAsia="en-AU"/>
        </w:rPr>
      </w:pPr>
      <w:r w:rsidRPr="00596ED3">
        <w:rPr>
          <w:rFonts w:cs="Garamond"/>
          <w:color w:val="000000"/>
          <w:szCs w:val="22"/>
          <w:lang w:eastAsia="en-AU"/>
        </w:rPr>
        <w:t>Given the growing demand for training in Victoria, the government will allocate additional funding in order to refocus and improve Victoria</w:t>
      </w:r>
      <w:r>
        <w:rPr>
          <w:rFonts w:cs="Garamond"/>
          <w:color w:val="000000"/>
          <w:szCs w:val="22"/>
          <w:lang w:eastAsia="en-AU"/>
        </w:rPr>
        <w:t>’</w:t>
      </w:r>
      <w:r w:rsidRPr="00596ED3">
        <w:rPr>
          <w:rFonts w:cs="Garamond"/>
          <w:color w:val="000000"/>
          <w:szCs w:val="22"/>
          <w:lang w:eastAsia="en-AU"/>
        </w:rPr>
        <w:t>s training system. The Government</w:t>
      </w:r>
      <w:r>
        <w:rPr>
          <w:rFonts w:cs="Garamond"/>
          <w:color w:val="000000"/>
          <w:szCs w:val="22"/>
          <w:lang w:eastAsia="en-AU"/>
        </w:rPr>
        <w:t>’</w:t>
      </w:r>
      <w:r w:rsidRPr="00596ED3">
        <w:rPr>
          <w:rFonts w:cs="Garamond"/>
          <w:color w:val="000000"/>
          <w:szCs w:val="22"/>
          <w:lang w:eastAsia="en-AU"/>
        </w:rPr>
        <w:t>s reforms will allow Victorians to access training and develop the skills they need to participate in the workforce. Over time, a more highly skilled workforce will increase business productivity</w:t>
      </w:r>
      <w:r>
        <w:rPr>
          <w:rFonts w:cs="Garamond"/>
          <w:color w:val="000000"/>
          <w:szCs w:val="22"/>
          <w:lang w:eastAsia="en-AU"/>
        </w:rPr>
        <w:t>,</w:t>
      </w:r>
      <w:r w:rsidRPr="00596ED3">
        <w:rPr>
          <w:rFonts w:cs="Garamond"/>
          <w:color w:val="000000"/>
          <w:szCs w:val="22"/>
          <w:lang w:eastAsia="en-AU"/>
        </w:rPr>
        <w:t xml:space="preserve"> supporting higher levels of economic growth across the state. </w:t>
      </w:r>
    </w:p>
    <w:p w:rsidR="00A53D7D" w:rsidRPr="00596ED3" w:rsidRDefault="00A53D7D" w:rsidP="005140B4">
      <w:pPr>
        <w:rPr>
          <w:rFonts w:cs="Garamond"/>
          <w:color w:val="000000"/>
          <w:szCs w:val="22"/>
          <w:lang w:eastAsia="en-AU"/>
        </w:rPr>
      </w:pPr>
      <w:r w:rsidRPr="00596ED3">
        <w:rPr>
          <w:rFonts w:cs="Garamond"/>
          <w:color w:val="000000"/>
          <w:szCs w:val="22"/>
          <w:lang w:eastAsia="en-AU"/>
        </w:rPr>
        <w:t>In order to ensure that expenditure delivers value for money, the Government will continue to examine price and funding mechanisms for the Victorian Training Guarantee to strengthen budget controls to ensure that expenditure is contained within current budgeted levels.</w:t>
      </w:r>
    </w:p>
    <w:p w:rsidR="00A53D7D" w:rsidRPr="00596ED3" w:rsidRDefault="00A53D7D" w:rsidP="005140B4">
      <w:r w:rsidRPr="00596ED3">
        <w:t>This initiative contributes to the Department of Education and Early Childhood Development</w:t>
      </w:r>
      <w:r>
        <w:t>’</w:t>
      </w:r>
      <w:r w:rsidRPr="00596ED3">
        <w:t>s Higher Education and Skills output.</w:t>
      </w:r>
    </w:p>
    <w:p w:rsidR="00A53D7D" w:rsidRPr="00596ED3" w:rsidRDefault="00A53D7D" w:rsidP="005140B4">
      <w:pPr>
        <w:pStyle w:val="Heading5"/>
      </w:pPr>
      <w:r w:rsidRPr="00596ED3">
        <w:t>Automotive workers package</w:t>
      </w:r>
    </w:p>
    <w:p w:rsidR="00A53D7D" w:rsidRPr="00596ED3" w:rsidRDefault="00A53D7D" w:rsidP="005140B4">
      <w:r w:rsidRPr="00596ED3">
        <w:t>Additional support and subsidised training will be provided through the Victorian Training Guarantee to re</w:t>
      </w:r>
      <w:r>
        <w:noBreakHyphen/>
      </w:r>
      <w:r w:rsidRPr="00596ED3">
        <w:t>skill automotive workers affected by the restructuring of the Victorian economy.</w:t>
      </w:r>
    </w:p>
    <w:p w:rsidR="00A53D7D" w:rsidRPr="00596ED3" w:rsidRDefault="00A53D7D" w:rsidP="005140B4">
      <w:r w:rsidRPr="00596ED3">
        <w:t>This initiative contributes to the Department of Education and Early Childhood Development</w:t>
      </w:r>
      <w:r>
        <w:t>’</w:t>
      </w:r>
      <w:r w:rsidRPr="00596ED3">
        <w:t xml:space="preserve">s Higher Education and Skills output. </w:t>
      </w:r>
    </w:p>
    <w:p w:rsidR="00A53D7D" w:rsidRPr="00596ED3" w:rsidRDefault="00A53D7D" w:rsidP="005140B4">
      <w:pPr>
        <w:pStyle w:val="Heading4"/>
      </w:pPr>
      <w:bookmarkStart w:id="13" w:name="SchoolEdu"/>
      <w:r w:rsidRPr="00596ED3">
        <w:t>School Education</w:t>
      </w:r>
      <w:r w:rsidRPr="00596ED3">
        <w:fldChar w:fldCharType="begin"/>
      </w:r>
      <w:r w:rsidRPr="00596ED3">
        <w:instrText xml:space="preserve"> XE </w:instrText>
      </w:r>
      <w:r>
        <w:instrText>"</w:instrText>
      </w:r>
      <w:r w:rsidRPr="00596ED3">
        <w:instrText>Department of Education and Early Childhood Development:School Education</w:instrText>
      </w:r>
      <w:r>
        <w:instrText>"</w:instrText>
      </w:r>
      <w:r w:rsidRPr="00596ED3">
        <w:instrText xml:space="preserve"> </w:instrText>
      </w:r>
      <w:r w:rsidRPr="00596ED3">
        <w:fldChar w:fldCharType="end"/>
      </w:r>
    </w:p>
    <w:p w:rsidR="00A53D7D" w:rsidRPr="00596ED3" w:rsidRDefault="00A53D7D" w:rsidP="005140B4">
      <w:pPr>
        <w:pStyle w:val="Heading5"/>
      </w:pPr>
      <w:r w:rsidRPr="00596ED3">
        <w:t>Resourcing schools to raise performance</w:t>
      </w:r>
    </w:p>
    <w:p w:rsidR="00A53D7D" w:rsidRPr="00596ED3" w:rsidRDefault="00A53D7D" w:rsidP="005140B4">
      <w:r w:rsidRPr="00596ED3">
        <w:t>Additional funding is provided to government and non</w:t>
      </w:r>
      <w:r>
        <w:noBreakHyphen/>
      </w:r>
      <w:r w:rsidRPr="00596ED3">
        <w:t>government schools to improve student outcomes. This initiative also provides additional targeted funding for students from low socio</w:t>
      </w:r>
      <w:r>
        <w:noBreakHyphen/>
      </w:r>
      <w:r w:rsidRPr="00596ED3">
        <w:t>economic backgrounds, ensuring that resources are allocated to where they are most needed.</w:t>
      </w:r>
    </w:p>
    <w:p w:rsidR="00A53D7D" w:rsidRPr="00596ED3" w:rsidRDefault="00A53D7D" w:rsidP="005140B4">
      <w:r w:rsidRPr="00596ED3">
        <w:t>The funding is provided directly to schools through the Student Resource Package</w:t>
      </w:r>
      <w:r w:rsidRPr="00596ED3">
        <w:fldChar w:fldCharType="begin"/>
      </w:r>
      <w:r w:rsidRPr="00596ED3">
        <w:instrText xml:space="preserve"> XE </w:instrText>
      </w:r>
      <w:r>
        <w:instrText>"</w:instrText>
      </w:r>
      <w:r w:rsidRPr="00596ED3">
        <w:instrText>Student Resource Package</w:instrText>
      </w:r>
      <w:r>
        <w:instrText>"</w:instrText>
      </w:r>
      <w:r w:rsidRPr="00596ED3">
        <w:instrText xml:space="preserve"> </w:instrText>
      </w:r>
      <w:r w:rsidRPr="00596ED3">
        <w:fldChar w:fldCharType="end"/>
      </w:r>
      <w:r w:rsidRPr="00596ED3">
        <w:t xml:space="preserve"> (for government schools) and the Financial Assistance Model (for non</w:t>
      </w:r>
      <w:r>
        <w:noBreakHyphen/>
      </w:r>
      <w:r w:rsidRPr="00596ED3">
        <w:t>government schools) and schools will have the flexibility to use the funding in the way that will best drive improved educational outcomes.</w:t>
      </w:r>
    </w:p>
    <w:p w:rsidR="00A53D7D" w:rsidRPr="00596ED3" w:rsidRDefault="00A53D7D" w:rsidP="005140B4">
      <w:r w:rsidRPr="00596ED3">
        <w:t>This initiative contributes to the Department of Education and Early Childhood Development</w:t>
      </w:r>
      <w:r>
        <w:t>’</w:t>
      </w:r>
      <w:r w:rsidRPr="00596ED3">
        <w:t>s:</w:t>
      </w:r>
    </w:p>
    <w:p w:rsidR="00A53D7D" w:rsidRPr="00596ED3" w:rsidRDefault="00A53D7D" w:rsidP="005140B4">
      <w:pPr>
        <w:pStyle w:val="BulletText"/>
      </w:pPr>
      <w:r w:rsidRPr="00596ED3">
        <w:t>School Education – Primary output; and</w:t>
      </w:r>
    </w:p>
    <w:p w:rsidR="00A53D7D" w:rsidRPr="00596ED3" w:rsidRDefault="00A53D7D" w:rsidP="005140B4">
      <w:pPr>
        <w:pStyle w:val="BulletText"/>
      </w:pPr>
      <w:r w:rsidRPr="00596ED3">
        <w:t>School Education – Secondary output.</w:t>
      </w:r>
    </w:p>
    <w:p w:rsidR="00A53D7D" w:rsidRPr="00596ED3" w:rsidRDefault="00A53D7D" w:rsidP="005140B4">
      <w:pPr>
        <w:pStyle w:val="Heading5"/>
      </w:pPr>
      <w:r w:rsidRPr="00596ED3">
        <w:t>Social and Community Services Equal Remuneration Order</w:t>
      </w:r>
    </w:p>
    <w:p w:rsidR="00A53D7D" w:rsidRPr="00596ED3" w:rsidRDefault="00A53D7D" w:rsidP="005140B4">
      <w:pPr>
        <w:widowControl w:val="0"/>
      </w:pPr>
      <w:r w:rsidRPr="00596ED3">
        <w:t>Support will continue for community service organisations to meet the wage increase from the Fair Work Australia Equal Remuneration Order in the Social and Community Services pay equity case in 2014</w:t>
      </w:r>
      <w:r>
        <w:noBreakHyphen/>
      </w:r>
      <w:r w:rsidRPr="00596ED3">
        <w:t>15. This funding is in addition to the $200</w:t>
      </w:r>
      <w:r>
        <w:t> million</w:t>
      </w:r>
      <w:r w:rsidRPr="00596ED3">
        <w:t xml:space="preserve"> announced in the </w:t>
      </w:r>
      <w:r w:rsidRPr="007C3560">
        <w:rPr>
          <w:i/>
        </w:rPr>
        <w:t>2011</w:t>
      </w:r>
      <w:r w:rsidRPr="007C3560">
        <w:rPr>
          <w:i/>
        </w:rPr>
        <w:noBreakHyphen/>
        <w:t>12 Budget</w:t>
      </w:r>
      <w:r w:rsidRPr="00596ED3">
        <w:t xml:space="preserve"> which was provided to the departments of Human Services, Health, Justice and Education and Early Childhood Development. </w:t>
      </w:r>
    </w:p>
    <w:p w:rsidR="00A53D7D" w:rsidRPr="00596ED3" w:rsidRDefault="00A53D7D" w:rsidP="005140B4">
      <w:r w:rsidRPr="00596ED3">
        <w:t>This initiative contributes to the Department of Education and Early Childhood Development</w:t>
      </w:r>
      <w:r>
        <w:t>’</w:t>
      </w:r>
      <w:r w:rsidRPr="00596ED3">
        <w:t>s:</w:t>
      </w:r>
    </w:p>
    <w:p w:rsidR="00A53D7D" w:rsidRPr="00596ED3" w:rsidRDefault="00A53D7D" w:rsidP="005140B4">
      <w:pPr>
        <w:pStyle w:val="BulletText"/>
      </w:pPr>
      <w:r w:rsidRPr="00596ED3">
        <w:t xml:space="preserve">Early Childhood Development output; </w:t>
      </w:r>
    </w:p>
    <w:p w:rsidR="00A53D7D" w:rsidRPr="00596ED3" w:rsidRDefault="00A53D7D" w:rsidP="005140B4">
      <w:pPr>
        <w:pStyle w:val="BulletText"/>
      </w:pPr>
      <w:r w:rsidRPr="00596ED3">
        <w:t>School Education – Primary output; and</w:t>
      </w:r>
    </w:p>
    <w:p w:rsidR="00A53D7D" w:rsidRPr="00596ED3" w:rsidRDefault="00A53D7D" w:rsidP="005140B4">
      <w:pPr>
        <w:pStyle w:val="BulletText"/>
      </w:pPr>
      <w:r w:rsidRPr="00596ED3">
        <w:t>School Education – Secondary output.</w:t>
      </w:r>
    </w:p>
    <w:p w:rsidR="00A53D7D" w:rsidRPr="00596ED3" w:rsidRDefault="00A53D7D" w:rsidP="005140B4">
      <w:pPr>
        <w:pStyle w:val="Heading5"/>
      </w:pPr>
      <w:r w:rsidRPr="00596ED3">
        <w:t>School capital program</w:t>
      </w:r>
      <w:r>
        <w:fldChar w:fldCharType="begin"/>
      </w:r>
      <w:r>
        <w:instrText xml:space="preserve"> XE "</w:instrText>
      </w:r>
      <w:r w:rsidRPr="006E5423">
        <w:instrText>School capital program</w:instrText>
      </w:r>
      <w:r>
        <w:instrText xml:space="preserve">" </w:instrText>
      </w:r>
      <w:r>
        <w:fldChar w:fldCharType="end"/>
      </w:r>
    </w:p>
    <w:p w:rsidR="00A53D7D" w:rsidRPr="00596ED3" w:rsidRDefault="00A53D7D" w:rsidP="005140B4">
      <w:r w:rsidRPr="00596ED3">
        <w:t>Refer to the asset initiative for a description of this $500</w:t>
      </w:r>
      <w:r>
        <w:t> million</w:t>
      </w:r>
      <w:r w:rsidRPr="00596ED3">
        <w:t xml:space="preserve"> capital program.</w:t>
      </w:r>
    </w:p>
    <w:p w:rsidR="00A53D7D" w:rsidRPr="00596ED3" w:rsidRDefault="00A53D7D" w:rsidP="005140B4">
      <w:pPr>
        <w:pStyle w:val="Heading5"/>
      </w:pPr>
      <w:r w:rsidRPr="00596ED3">
        <w:t>School maintenance fund</w:t>
      </w:r>
    </w:p>
    <w:p w:rsidR="00A53D7D" w:rsidRPr="00596ED3" w:rsidRDefault="00A53D7D" w:rsidP="005140B4">
      <w:r w:rsidRPr="00596ED3">
        <w:fldChar w:fldCharType="begin"/>
      </w:r>
      <w:r w:rsidRPr="00596ED3">
        <w:instrText xml:space="preserve"> XE </w:instrText>
      </w:r>
      <w:r>
        <w:instrText>"</w:instrText>
      </w:r>
      <w:r w:rsidRPr="00596ED3">
        <w:instrText>Student Resource Package</w:instrText>
      </w:r>
      <w:r>
        <w:instrText>"</w:instrText>
      </w:r>
      <w:r w:rsidRPr="00596ED3">
        <w:instrText xml:space="preserve"> </w:instrText>
      </w:r>
      <w:r w:rsidRPr="00596ED3">
        <w:fldChar w:fldCharType="end"/>
      </w:r>
      <w:r w:rsidRPr="00596ED3">
        <w:t xml:space="preserve">Funding is provided to continue the School Maintenance Fund in addition to maintenance funding provided through the Student Resource Package, established in the </w:t>
      </w:r>
      <w:r w:rsidRPr="00596ED3">
        <w:rPr>
          <w:i/>
        </w:rPr>
        <w:t>2011</w:t>
      </w:r>
      <w:r>
        <w:rPr>
          <w:i/>
        </w:rPr>
        <w:noBreakHyphen/>
      </w:r>
      <w:r w:rsidRPr="00596ED3">
        <w:rPr>
          <w:i/>
        </w:rPr>
        <w:t>12 Budget</w:t>
      </w:r>
      <w:r w:rsidRPr="00596ED3">
        <w:t xml:space="preserve">, to support maintenance works at schools into the 2015 school year. </w:t>
      </w:r>
    </w:p>
    <w:p w:rsidR="00A53D7D" w:rsidRPr="00596ED3" w:rsidRDefault="00A53D7D" w:rsidP="005140B4">
      <w:r w:rsidRPr="00596ED3">
        <w:t>This initiative contributes to the Department of Education and Early Childhood Development</w:t>
      </w:r>
      <w:r>
        <w:t>’</w:t>
      </w:r>
      <w:r w:rsidRPr="00596ED3">
        <w:t>s:</w:t>
      </w:r>
    </w:p>
    <w:p w:rsidR="00A53D7D" w:rsidRPr="00596ED3" w:rsidRDefault="00A53D7D" w:rsidP="005140B4">
      <w:pPr>
        <w:pStyle w:val="BulletText"/>
      </w:pPr>
      <w:r w:rsidRPr="00596ED3">
        <w:t>School Education – Primary output; and</w:t>
      </w:r>
    </w:p>
    <w:p w:rsidR="00A53D7D" w:rsidRPr="00596ED3" w:rsidRDefault="00A53D7D" w:rsidP="005140B4">
      <w:pPr>
        <w:pStyle w:val="BulletText"/>
      </w:pPr>
      <w:r w:rsidRPr="00596ED3">
        <w:t>School Education – Secondary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Student enrolment growth</w:t>
      </w:r>
    </w:p>
    <w:p w:rsidR="00A53D7D" w:rsidRPr="00596ED3" w:rsidRDefault="00A53D7D" w:rsidP="005140B4">
      <w:r w:rsidRPr="00596ED3">
        <w:t>Additional and ongoing funding is provided for government and non</w:t>
      </w:r>
      <w:r>
        <w:noBreakHyphen/>
      </w:r>
      <w:r w:rsidRPr="00596ED3">
        <w:t xml:space="preserve">government schools to meet forecast student enrolments up to the end of the 2014 school year. </w:t>
      </w:r>
    </w:p>
    <w:p w:rsidR="00A53D7D" w:rsidRPr="00596ED3" w:rsidRDefault="00A53D7D" w:rsidP="005140B4">
      <w:r w:rsidRPr="00596ED3">
        <w:t>This initiative contributes to the Department of Education and Early Childhood Development</w:t>
      </w:r>
      <w:r>
        <w:t>’</w:t>
      </w:r>
      <w:r w:rsidRPr="00596ED3">
        <w:t>s:</w:t>
      </w:r>
    </w:p>
    <w:p w:rsidR="00A53D7D" w:rsidRPr="00596ED3" w:rsidRDefault="00A53D7D" w:rsidP="005140B4">
      <w:pPr>
        <w:pStyle w:val="BulletText"/>
      </w:pPr>
      <w:r w:rsidRPr="00596ED3">
        <w:t>School Education – Primary output; and</w:t>
      </w:r>
    </w:p>
    <w:p w:rsidR="00A53D7D" w:rsidRPr="00560216" w:rsidRDefault="00A53D7D" w:rsidP="00560216">
      <w:pPr>
        <w:pStyle w:val="BulletText"/>
      </w:pPr>
      <w:r w:rsidRPr="00596ED3">
        <w:t>School Education – Secondary output.</w:t>
      </w:r>
      <w:bookmarkEnd w:id="13"/>
    </w:p>
    <w:p w:rsidR="00A53D7D" w:rsidRPr="00596ED3" w:rsidRDefault="00A53D7D" w:rsidP="005140B4">
      <w:pPr>
        <w:pStyle w:val="Heading4"/>
      </w:pPr>
      <w:r w:rsidRPr="00596ED3">
        <w:t>Support for Students with Disabilities</w:t>
      </w:r>
      <w:r w:rsidRPr="00596ED3">
        <w:fldChar w:fldCharType="begin"/>
      </w:r>
      <w:r w:rsidRPr="00596ED3">
        <w:instrText xml:space="preserve"> XE "Support for Students with Disabilities" </w:instrText>
      </w:r>
      <w:r w:rsidRPr="00596ED3">
        <w:fldChar w:fldCharType="end"/>
      </w:r>
      <w:r w:rsidRPr="00596ED3">
        <w:fldChar w:fldCharType="begin"/>
      </w:r>
      <w:r w:rsidRPr="00596ED3">
        <w:instrText xml:space="preserve"> XE </w:instrText>
      </w:r>
      <w:r>
        <w:instrText>"</w:instrText>
      </w:r>
      <w:r w:rsidRPr="00596ED3">
        <w:instrText>Department of Education and Early Childhood Development:Support for Students with Disabilities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 xml:space="preserve">Program for Students with Disabilities </w:t>
      </w:r>
    </w:p>
    <w:p w:rsidR="00A53D7D" w:rsidRPr="00596ED3" w:rsidRDefault="00A53D7D" w:rsidP="005140B4">
      <w:r w:rsidRPr="00596ED3">
        <w:t>The Program for Students with Disabilities provides additional funding to government schools to support students with moderate to severe disabilities to maximise student achievement in education and learning. Funding will provide support for additional students and meet cost pressures, building on existing base funding of approximately $613</w:t>
      </w:r>
      <w:r>
        <w:t> million</w:t>
      </w:r>
      <w:r w:rsidRPr="00596ED3">
        <w:t xml:space="preserve"> per annum.</w:t>
      </w:r>
    </w:p>
    <w:p w:rsidR="00A53D7D" w:rsidRPr="00596ED3" w:rsidRDefault="00A53D7D" w:rsidP="005140B4">
      <w:r w:rsidRPr="00596ED3">
        <w:t>This initiative contributes to the Department of Education and Early Childhood Development</w:t>
      </w:r>
      <w:r>
        <w:t>’</w:t>
      </w:r>
      <w:r w:rsidRPr="00596ED3">
        <w:t>s Support for Students with Disabilities output.</w:t>
      </w:r>
    </w:p>
    <w:p w:rsidR="00A53D7D" w:rsidRPr="00596ED3" w:rsidRDefault="00A53D7D" w:rsidP="005140B4">
      <w:pPr>
        <w:pStyle w:val="Heading5"/>
      </w:pPr>
      <w:r w:rsidRPr="00596ED3">
        <w:t>Students with Disabilities Transport Program</w:t>
      </w:r>
    </w:p>
    <w:p w:rsidR="00A53D7D" w:rsidRPr="00596ED3" w:rsidRDefault="00A53D7D" w:rsidP="005140B4">
      <w:r w:rsidRPr="00596ED3">
        <w:t>The Students with Disabilities Transport Program provides transportation between home and school for students with disabilities who attend specialist schools. Additional funding is provided to meet demand growth and operational requirements.</w:t>
      </w:r>
    </w:p>
    <w:p w:rsidR="00A53D7D" w:rsidRPr="00596ED3" w:rsidRDefault="00A53D7D" w:rsidP="005140B4">
      <w:r w:rsidRPr="00596ED3">
        <w:t>This initiative contributes to the Department of Education and Early Childhood Development</w:t>
      </w:r>
      <w:r>
        <w:t>’</w:t>
      </w:r>
      <w:r w:rsidRPr="00596ED3">
        <w:t>s Support for Students with Disabilities output.</w:t>
      </w:r>
    </w:p>
    <w:p w:rsidR="00A53D7D" w:rsidRPr="00596ED3" w:rsidRDefault="00A53D7D" w:rsidP="005140B4">
      <w:pPr>
        <w:pStyle w:val="Heading3"/>
      </w:pPr>
      <w:r w:rsidRPr="00596ED3">
        <w:t>Asset initiatives</w:t>
      </w:r>
    </w:p>
    <w:p w:rsidR="00A53D7D" w:rsidRPr="00596ED3" w:rsidRDefault="00A53D7D" w:rsidP="005140B4">
      <w:pPr>
        <w:pStyle w:val="Tableheading"/>
      </w:pPr>
      <w:r w:rsidRPr="00596ED3">
        <w:t xml:space="preserve">Table 1.4: </w:t>
      </w:r>
      <w:r w:rsidRPr="00596ED3">
        <w:tab/>
        <w:t>Asset initiatives – Education and Early Childhood Development</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bookmarkStart w:id="14" w:name="RANGE!A42:G48"/>
      <w:bookmarkStart w:id="15" w:name="RANGE!A42:G45"/>
      <w:bookmarkEnd w:id="14"/>
    </w:p>
    <w:tbl>
      <w:tblPr>
        <w:tblW w:w="7776" w:type="dxa"/>
        <w:tblInd w:w="29" w:type="dxa"/>
        <w:tblCellMar>
          <w:left w:w="43" w:type="dxa"/>
          <w:right w:w="43" w:type="dxa"/>
        </w:tblCellMar>
        <w:tblLook w:val="04A0" w:firstRow="1" w:lastRow="0" w:firstColumn="1" w:lastColumn="0" w:noHBand="0" w:noVBand="1"/>
      </w:tblPr>
      <w:tblGrid>
        <w:gridCol w:w="2483"/>
        <w:gridCol w:w="887"/>
        <w:gridCol w:w="887"/>
        <w:gridCol w:w="887"/>
        <w:gridCol w:w="887"/>
        <w:gridCol w:w="887"/>
        <w:gridCol w:w="858"/>
      </w:tblGrid>
      <w:tr w:rsidR="00A53D7D" w:rsidRPr="00FB64AD" w:rsidTr="005140B4">
        <w:trPr>
          <w:divId w:val="1933278372"/>
        </w:trPr>
        <w:tc>
          <w:tcPr>
            <w:tcW w:w="2483" w:type="dxa"/>
            <w:tcBorders>
              <w:top w:val="single" w:sz="4" w:space="0" w:color="auto"/>
              <w:left w:val="single" w:sz="4"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887"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887"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887"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887"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887"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c>
          <w:tcPr>
            <w:tcW w:w="858" w:type="dxa"/>
            <w:tcBorders>
              <w:top w:val="single" w:sz="4" w:space="0" w:color="auto"/>
              <w:left w:val="nil"/>
              <w:bottom w:val="single" w:sz="4" w:space="0" w:color="auto"/>
              <w:right w:val="single" w:sz="4" w:space="0" w:color="auto"/>
            </w:tcBorders>
            <w:shd w:val="clear" w:color="auto" w:fill="000000"/>
            <w:noWrap/>
            <w:vAlign w:val="bottom"/>
            <w:hideMark/>
          </w:tcPr>
          <w:p w:rsidR="00A53D7D" w:rsidRPr="00FB64AD" w:rsidRDefault="00A53D7D" w:rsidP="005140B4">
            <w:pPr>
              <w:pStyle w:val="Tabletextheading"/>
              <w:rPr>
                <w:rFonts w:cs="Calibri"/>
                <w:iCs/>
                <w:color w:val="FFFFFF"/>
                <w:lang w:eastAsia="en-AU"/>
              </w:rPr>
            </w:pPr>
            <w:r w:rsidRPr="00FB64AD">
              <w:rPr>
                <w:rFonts w:cs="Calibri"/>
                <w:iCs/>
                <w:color w:val="FFFFFF"/>
                <w:lang w:eastAsia="en-AU"/>
              </w:rPr>
              <w:t>TEI</w:t>
            </w:r>
          </w:p>
        </w:tc>
      </w:tr>
      <w:tr w:rsidR="00A53D7D" w:rsidRPr="00FB64AD" w:rsidTr="005140B4">
        <w:trPr>
          <w:divId w:val="1933278372"/>
        </w:trPr>
        <w:tc>
          <w:tcPr>
            <w:tcW w:w="2483" w:type="dxa"/>
            <w:tcBorders>
              <w:top w:val="nil"/>
              <w:left w:val="nil"/>
              <w:bottom w:val="nil"/>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School Education</w:t>
            </w:r>
          </w:p>
        </w:tc>
        <w:tc>
          <w:tcPr>
            <w:tcW w:w="887"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p>
        </w:tc>
        <w:tc>
          <w:tcPr>
            <w:tcW w:w="887"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887"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p>
        </w:tc>
        <w:tc>
          <w:tcPr>
            <w:tcW w:w="887"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p>
        </w:tc>
        <w:tc>
          <w:tcPr>
            <w:tcW w:w="887"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p>
        </w:tc>
        <w:tc>
          <w:tcPr>
            <w:tcW w:w="858" w:type="dxa"/>
            <w:tcBorders>
              <w:top w:val="nil"/>
              <w:left w:val="nil"/>
              <w:bottom w:val="nil"/>
              <w:right w:val="nil"/>
            </w:tcBorders>
            <w:shd w:val="clear" w:color="auto" w:fill="auto"/>
            <w:noWrap/>
            <w:vAlign w:val="bottom"/>
            <w:hideMark/>
          </w:tcPr>
          <w:p w:rsidR="00A53D7D" w:rsidRPr="00FB64AD" w:rsidRDefault="00A53D7D" w:rsidP="005140B4">
            <w:pPr>
              <w:spacing w:after="0"/>
              <w:rPr>
                <w:rFonts w:ascii="Calibri" w:hAnsi="Calibri" w:cs="Calibri"/>
                <w:color w:val="FFFFFF"/>
                <w:sz w:val="20"/>
                <w:lang w:eastAsia="en-AU"/>
              </w:rPr>
            </w:pPr>
          </w:p>
        </w:tc>
      </w:tr>
      <w:tr w:rsidR="00A53D7D" w:rsidRPr="00FB64AD" w:rsidTr="005140B4">
        <w:trPr>
          <w:divId w:val="1933278372"/>
        </w:trPr>
        <w:tc>
          <w:tcPr>
            <w:tcW w:w="2483" w:type="dxa"/>
            <w:tcBorders>
              <w:top w:val="nil"/>
              <w:left w:val="nil"/>
              <w:bottom w:val="nil"/>
              <w:right w:val="nil"/>
            </w:tcBorders>
            <w:shd w:val="clear" w:color="000000" w:fill="FFFFFF"/>
            <w:noWrap/>
            <w:hideMark/>
          </w:tcPr>
          <w:p w:rsidR="00A53D7D" w:rsidRPr="00FB64AD" w:rsidRDefault="00A53D7D" w:rsidP="005140B4">
            <w:pPr>
              <w:pStyle w:val="Tabletext"/>
              <w:rPr>
                <w:color w:val="000000"/>
                <w:lang w:eastAsia="en-AU"/>
              </w:rPr>
            </w:pPr>
            <w:r w:rsidRPr="00FB64AD">
              <w:rPr>
                <w:color w:val="000000"/>
                <w:lang w:eastAsia="en-AU"/>
              </w:rPr>
              <w:t>School capital program</w:t>
            </w:r>
          </w:p>
        </w:tc>
        <w:tc>
          <w:tcPr>
            <w:tcW w:w="887"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87"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215.0</w:t>
            </w:r>
          </w:p>
        </w:tc>
        <w:tc>
          <w:tcPr>
            <w:tcW w:w="887"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215.0</w:t>
            </w:r>
          </w:p>
        </w:tc>
        <w:tc>
          <w:tcPr>
            <w:tcW w:w="887"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35.0</w:t>
            </w:r>
          </w:p>
        </w:tc>
        <w:tc>
          <w:tcPr>
            <w:tcW w:w="887"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35.0</w:t>
            </w:r>
          </w:p>
        </w:tc>
        <w:tc>
          <w:tcPr>
            <w:tcW w:w="858" w:type="dxa"/>
            <w:tcBorders>
              <w:top w:val="nil"/>
              <w:left w:val="nil"/>
              <w:bottom w:val="nil"/>
              <w:right w:val="nil"/>
            </w:tcBorders>
            <w:shd w:val="clear" w:color="000000" w:fill="FFFFFF"/>
            <w:noWrap/>
            <w:hideMark/>
          </w:tcPr>
          <w:p w:rsidR="00A53D7D" w:rsidRPr="00FB64AD" w:rsidRDefault="00A53D7D" w:rsidP="005140B4">
            <w:pPr>
              <w:spacing w:after="0"/>
              <w:jc w:val="right"/>
              <w:rPr>
                <w:rFonts w:ascii="Calibri" w:hAnsi="Calibri" w:cs="Calibri"/>
                <w:color w:val="000000"/>
                <w:sz w:val="20"/>
                <w:lang w:eastAsia="en-AU"/>
              </w:rPr>
            </w:pPr>
            <w:r w:rsidRPr="00FB64AD">
              <w:rPr>
                <w:rFonts w:ascii="Calibri" w:hAnsi="Calibri" w:cs="Calibri"/>
                <w:color w:val="000000"/>
                <w:sz w:val="20"/>
                <w:lang w:eastAsia="en-AU"/>
              </w:rPr>
              <w:t xml:space="preserve"> 500.0</w:t>
            </w:r>
          </w:p>
        </w:tc>
      </w:tr>
      <w:tr w:rsidR="00A53D7D" w:rsidRPr="00FB64AD" w:rsidTr="005140B4">
        <w:trPr>
          <w:divId w:val="1933278372"/>
        </w:trPr>
        <w:tc>
          <w:tcPr>
            <w:tcW w:w="2483" w:type="dxa"/>
            <w:tcBorders>
              <w:top w:val="single" w:sz="4" w:space="0" w:color="auto"/>
              <w:left w:val="nil"/>
              <w:bottom w:val="single" w:sz="8"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asset initiatives</w:t>
            </w:r>
          </w:p>
        </w:tc>
        <w:tc>
          <w:tcPr>
            <w:tcW w:w="887"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887"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215.0</w:t>
            </w:r>
          </w:p>
        </w:tc>
        <w:tc>
          <w:tcPr>
            <w:tcW w:w="887"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215.0</w:t>
            </w:r>
          </w:p>
        </w:tc>
        <w:tc>
          <w:tcPr>
            <w:tcW w:w="887"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35.0</w:t>
            </w:r>
          </w:p>
        </w:tc>
        <w:tc>
          <w:tcPr>
            <w:tcW w:w="887"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35.0</w:t>
            </w:r>
          </w:p>
        </w:tc>
        <w:tc>
          <w:tcPr>
            <w:tcW w:w="858"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spacing w:after="0"/>
              <w:jc w:val="right"/>
              <w:rPr>
                <w:rFonts w:ascii="Calibri" w:hAnsi="Calibri" w:cs="Calibri"/>
                <w:b/>
                <w:bCs/>
                <w:color w:val="000000"/>
                <w:sz w:val="20"/>
                <w:lang w:eastAsia="en-AU"/>
              </w:rPr>
            </w:pPr>
            <w:r w:rsidRPr="00FB64AD">
              <w:rPr>
                <w:rFonts w:ascii="Calibri" w:hAnsi="Calibri" w:cs="Calibri"/>
                <w:b/>
                <w:bCs/>
                <w:color w:val="000000"/>
                <w:sz w:val="20"/>
                <w:lang w:eastAsia="en-AU"/>
              </w:rPr>
              <w:t xml:space="preserve"> 500.0</w:t>
            </w:r>
          </w:p>
        </w:tc>
      </w:tr>
    </w:tbl>
    <w:bookmarkEnd w:id="15"/>
    <w:p w:rsidR="00A53D7D" w:rsidRPr="00596ED3" w:rsidRDefault="00A53D7D" w:rsidP="005140B4">
      <w:pPr>
        <w:pStyle w:val="Source"/>
      </w:pPr>
      <w:r w:rsidRPr="00596ED3">
        <w:t xml:space="preserve">Source: Department of Treasury and Finance </w:t>
      </w:r>
      <w:r w:rsidRPr="00596ED3">
        <w:fldChar w:fldCharType="begin"/>
      </w:r>
      <w:r w:rsidRPr="00596ED3">
        <w:instrText xml:space="preserve"> XE "Department of Education and Early Childhood Development:Asset initiatives" </w:instrText>
      </w:r>
      <w:r w:rsidRPr="00596ED3">
        <w:fldChar w:fldCharType="end"/>
      </w:r>
    </w:p>
    <w:p w:rsidR="00A53D7D" w:rsidRDefault="00A53D7D">
      <w:pPr>
        <w:spacing w:after="0"/>
        <w:rPr>
          <w:rFonts w:ascii="Calibri" w:hAnsi="Calibri"/>
          <w:b/>
        </w:rPr>
      </w:pPr>
      <w:r>
        <w:br w:type="page"/>
      </w:r>
    </w:p>
    <w:p w:rsidR="00A53D7D" w:rsidRPr="00596ED3" w:rsidRDefault="00A53D7D" w:rsidP="005140B4">
      <w:pPr>
        <w:pStyle w:val="Heading5"/>
      </w:pPr>
      <w:r w:rsidRPr="00596ED3">
        <w:t>School capital program</w:t>
      </w:r>
      <w:r w:rsidRPr="00596ED3">
        <w:fldChar w:fldCharType="begin"/>
      </w:r>
      <w:r w:rsidRPr="00596ED3">
        <w:instrText xml:space="preserve"> XE "School capital program" </w:instrText>
      </w:r>
      <w:r w:rsidRPr="00596ED3">
        <w:fldChar w:fldCharType="end"/>
      </w:r>
    </w:p>
    <w:p w:rsidR="00A53D7D" w:rsidRPr="00596ED3" w:rsidRDefault="00A53D7D" w:rsidP="005140B4">
      <w:pPr>
        <w:autoSpaceDE w:val="0"/>
        <w:autoSpaceDN w:val="0"/>
        <w:adjustRightInd w:val="0"/>
      </w:pPr>
      <w:r w:rsidRPr="00596ED3">
        <w:t>A $500</w:t>
      </w:r>
      <w:r>
        <w:t> million</w:t>
      </w:r>
      <w:r w:rsidRPr="00596ED3">
        <w:t xml:space="preserve"> total estimated investment (TEI) package of capital works for schools is provided across the State to build new schools, upgrade existing </w:t>
      </w:r>
      <w:proofErr w:type="gramStart"/>
      <w:r w:rsidRPr="00596ED3">
        <w:t>schools</w:t>
      </w:r>
      <w:proofErr w:type="gramEnd"/>
      <w:r w:rsidRPr="00596ED3">
        <w:t xml:space="preserve"> and deliver modern teaching environments. </w:t>
      </w:r>
    </w:p>
    <w:p w:rsidR="00A53D7D" w:rsidRPr="00596ED3" w:rsidRDefault="00A53D7D" w:rsidP="005140B4">
      <w:pPr>
        <w:autoSpaceDE w:val="0"/>
        <w:autoSpaceDN w:val="0"/>
        <w:adjustRightInd w:val="0"/>
      </w:pPr>
      <w:r w:rsidRPr="00596ED3">
        <w:t>Funding will be allocated for 12 new schools for growing communities, to undertake further progress at existing schools and to upgrade and modernise a number of schools across Victoria.</w:t>
      </w:r>
    </w:p>
    <w:p w:rsidR="00A53D7D" w:rsidRPr="00596ED3" w:rsidRDefault="00A53D7D" w:rsidP="005140B4">
      <w:pPr>
        <w:autoSpaceDE w:val="0"/>
        <w:autoSpaceDN w:val="0"/>
        <w:adjustRightInd w:val="0"/>
        <w:rPr>
          <w:rFonts w:cs="Garamond"/>
          <w:color w:val="000000"/>
          <w:szCs w:val="22"/>
          <w:lang w:eastAsia="en-AU"/>
        </w:rPr>
      </w:pPr>
      <w:r w:rsidRPr="00596ED3">
        <w:rPr>
          <w:rFonts w:cs="Garamond"/>
          <w:color w:val="000000"/>
          <w:szCs w:val="22"/>
          <w:lang w:eastAsia="en-AU"/>
        </w:rPr>
        <w:t>The private sector will be invited to deliver components of the school capital program under a Public Private Partnership arrangement.</w:t>
      </w:r>
    </w:p>
    <w:p w:rsidR="00A53D7D" w:rsidRPr="00596ED3" w:rsidRDefault="00A53D7D" w:rsidP="005140B4">
      <w:pPr>
        <w:autoSpaceDE w:val="0"/>
        <w:autoSpaceDN w:val="0"/>
        <w:adjustRightInd w:val="0"/>
        <w:rPr>
          <w:rFonts w:cs="Garamond"/>
          <w:color w:val="000000"/>
          <w:szCs w:val="22"/>
          <w:lang w:eastAsia="en-AU"/>
        </w:rPr>
      </w:pPr>
      <w:r w:rsidRPr="00596ED3">
        <w:rPr>
          <w:rFonts w:cs="Garamond"/>
          <w:color w:val="000000"/>
          <w:szCs w:val="22"/>
          <w:lang w:eastAsia="en-AU"/>
        </w:rPr>
        <w:t>This initiative contributes to the Department of Education and Early Childhood Development</w:t>
      </w:r>
      <w:r>
        <w:rPr>
          <w:rFonts w:cs="Garamond"/>
          <w:color w:val="000000"/>
          <w:szCs w:val="22"/>
          <w:lang w:eastAsia="en-AU"/>
        </w:rPr>
        <w:t>’</w:t>
      </w:r>
      <w:r w:rsidRPr="00596ED3">
        <w:rPr>
          <w:rFonts w:cs="Garamond"/>
          <w:color w:val="000000"/>
          <w:szCs w:val="22"/>
          <w:lang w:eastAsia="en-AU"/>
        </w:rPr>
        <w:t>s:</w:t>
      </w:r>
    </w:p>
    <w:p w:rsidR="00A53D7D" w:rsidRPr="00596ED3" w:rsidRDefault="00A53D7D" w:rsidP="005140B4">
      <w:pPr>
        <w:pStyle w:val="BulletText"/>
      </w:pPr>
      <w:r w:rsidRPr="00596ED3">
        <w:t>School Education – Primary output; and</w:t>
      </w:r>
    </w:p>
    <w:p w:rsidR="00A53D7D" w:rsidRPr="00596ED3" w:rsidRDefault="00A53D7D" w:rsidP="005140B4">
      <w:pPr>
        <w:pStyle w:val="BulletText"/>
      </w:pPr>
      <w:r w:rsidRPr="00596ED3">
        <w:t>School Education – Secondary output.</w:t>
      </w:r>
    </w:p>
    <w:p w:rsidR="00A53D7D" w:rsidRPr="00596ED3" w:rsidRDefault="00A53D7D" w:rsidP="005140B4">
      <w:pPr>
        <w:pStyle w:val="Heading1"/>
        <w:rPr>
          <w:rFonts w:cs="Garamond"/>
          <w:color w:val="000000"/>
          <w:lang w:eastAsia="en-AU"/>
        </w:rPr>
      </w:pPr>
      <w:r w:rsidRPr="00596ED3">
        <w:br w:type="page"/>
      </w:r>
      <w:bookmarkStart w:id="16" w:name="_Toc386364061"/>
      <w:bookmarkStart w:id="17" w:name="_Toc407116894"/>
      <w:r w:rsidRPr="00596ED3">
        <w:t>Department of Environment and Primary Industries</w:t>
      </w:r>
      <w:bookmarkEnd w:id="16"/>
      <w:bookmarkEnd w:id="17"/>
    </w:p>
    <w:p w:rsidR="00A53D7D" w:rsidRPr="00596ED3" w:rsidRDefault="00A53D7D" w:rsidP="005140B4">
      <w:pPr>
        <w:pStyle w:val="Heading3"/>
      </w:pPr>
      <w:r w:rsidRPr="00596ED3">
        <w:t>Output initiatives</w:t>
      </w:r>
    </w:p>
    <w:p w:rsidR="00A53D7D" w:rsidRPr="00596ED3" w:rsidRDefault="00A53D7D" w:rsidP="005140B4">
      <w:pPr>
        <w:pStyle w:val="Tableheading"/>
      </w:pPr>
      <w:r w:rsidRPr="00596ED3">
        <w:t xml:space="preserve">Table 1.5: </w:t>
      </w:r>
      <w:r w:rsidRPr="00596ED3">
        <w:tab/>
        <w:t>Output initiatives – Environment and Primary Industries</w:t>
      </w:r>
    </w:p>
    <w:p w:rsidR="00A53D7D" w:rsidRPr="00FB64AD" w:rsidRDefault="00A53D7D" w:rsidP="005140B4">
      <w:pPr>
        <w:pStyle w:val="million"/>
      </w:pPr>
      <w:r w:rsidRPr="00596ED3">
        <w:t>($</w:t>
      </w:r>
      <w:r>
        <w:t> million</w:t>
      </w:r>
      <w:r w:rsidRPr="00596ED3">
        <w:t>)</w:t>
      </w:r>
    </w:p>
    <w:tbl>
      <w:tblPr>
        <w:tblW w:w="7776" w:type="dxa"/>
        <w:tblInd w:w="29" w:type="dxa"/>
        <w:tblLayout w:type="fixed"/>
        <w:tblCellMar>
          <w:left w:w="43" w:type="dxa"/>
          <w:right w:w="43" w:type="dxa"/>
        </w:tblCellMar>
        <w:tblLook w:val="0000" w:firstRow="0" w:lastRow="0" w:firstColumn="0" w:lastColumn="0" w:noHBand="0" w:noVBand="0"/>
      </w:tblPr>
      <w:tblGrid>
        <w:gridCol w:w="3248"/>
        <w:gridCol w:w="456"/>
        <w:gridCol w:w="449"/>
        <w:gridCol w:w="906"/>
        <w:gridCol w:w="905"/>
        <w:gridCol w:w="906"/>
        <w:gridCol w:w="906"/>
      </w:tblGrid>
      <w:tr w:rsidR="00A53D7D" w:rsidRPr="00FB64AD" w:rsidTr="005140B4">
        <w:tc>
          <w:tcPr>
            <w:tcW w:w="3248" w:type="dxa"/>
            <w:tcBorders>
              <w:top w:val="single" w:sz="4" w:space="0" w:color="auto"/>
              <w:left w:val="single" w:sz="4" w:space="0" w:color="auto"/>
              <w:bottom w:val="single" w:sz="6" w:space="0" w:color="auto"/>
              <w:right w:val="nil"/>
            </w:tcBorders>
            <w:shd w:val="clear" w:color="auto" w:fill="000000"/>
          </w:tcPr>
          <w:p w:rsidR="00A53D7D" w:rsidRPr="00FB64AD" w:rsidRDefault="00A53D7D" w:rsidP="005140B4">
            <w:pPr>
              <w:pStyle w:val="Tabletext"/>
              <w:rPr>
                <w:rFonts w:eastAsiaTheme="minorEastAsia"/>
                <w:lang w:eastAsia="en-AU"/>
              </w:rPr>
            </w:pPr>
          </w:p>
        </w:tc>
        <w:tc>
          <w:tcPr>
            <w:tcW w:w="905" w:type="dxa"/>
            <w:gridSpan w:val="2"/>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2013</w:t>
            </w:r>
            <w:r>
              <w:rPr>
                <w:rFonts w:eastAsiaTheme="minorEastAsia"/>
                <w:lang w:eastAsia="en-AU"/>
              </w:rPr>
              <w:noBreakHyphen/>
            </w:r>
            <w:r w:rsidRPr="00FB64AD">
              <w:rPr>
                <w:rFonts w:eastAsiaTheme="minorEastAsia"/>
                <w:lang w:eastAsia="en-AU"/>
              </w:rPr>
              <w:t>14</w:t>
            </w:r>
          </w:p>
        </w:tc>
        <w:tc>
          <w:tcPr>
            <w:tcW w:w="906" w:type="dxa"/>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2014</w:t>
            </w:r>
            <w:r>
              <w:rPr>
                <w:rFonts w:eastAsiaTheme="minorEastAsia"/>
                <w:lang w:eastAsia="en-AU"/>
              </w:rPr>
              <w:noBreakHyphen/>
            </w:r>
            <w:r w:rsidRPr="00FB64AD">
              <w:rPr>
                <w:rFonts w:eastAsiaTheme="minorEastAsia"/>
                <w:lang w:eastAsia="en-AU"/>
              </w:rPr>
              <w:t>15</w:t>
            </w:r>
          </w:p>
        </w:tc>
        <w:tc>
          <w:tcPr>
            <w:tcW w:w="905" w:type="dxa"/>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2015</w:t>
            </w:r>
            <w:r>
              <w:rPr>
                <w:rFonts w:eastAsiaTheme="minorEastAsia"/>
                <w:lang w:eastAsia="en-AU"/>
              </w:rPr>
              <w:noBreakHyphen/>
            </w:r>
            <w:r w:rsidRPr="00FB64AD">
              <w:rPr>
                <w:rFonts w:eastAsiaTheme="minorEastAsia"/>
                <w:lang w:eastAsia="en-AU"/>
              </w:rPr>
              <w:t>16</w:t>
            </w:r>
          </w:p>
        </w:tc>
        <w:tc>
          <w:tcPr>
            <w:tcW w:w="906" w:type="dxa"/>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2016</w:t>
            </w:r>
            <w:r>
              <w:rPr>
                <w:rFonts w:eastAsiaTheme="minorEastAsia"/>
                <w:lang w:eastAsia="en-AU"/>
              </w:rPr>
              <w:noBreakHyphen/>
            </w:r>
            <w:r w:rsidRPr="00FB64AD">
              <w:rPr>
                <w:rFonts w:eastAsiaTheme="minorEastAsia"/>
                <w:lang w:eastAsia="en-AU"/>
              </w:rPr>
              <w:t>17</w:t>
            </w:r>
          </w:p>
        </w:tc>
        <w:tc>
          <w:tcPr>
            <w:tcW w:w="906" w:type="dxa"/>
            <w:tcBorders>
              <w:top w:val="single" w:sz="4" w:space="0" w:color="auto"/>
              <w:left w:val="nil"/>
              <w:bottom w:val="single" w:sz="6" w:space="0" w:color="auto"/>
              <w:right w:val="single" w:sz="4" w:space="0" w:color="auto"/>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2017</w:t>
            </w:r>
            <w:r>
              <w:rPr>
                <w:rFonts w:eastAsiaTheme="minorEastAsia"/>
                <w:lang w:eastAsia="en-AU"/>
              </w:rPr>
              <w:noBreakHyphen/>
            </w:r>
            <w:r w:rsidRPr="00FB64AD">
              <w:rPr>
                <w:rFonts w:eastAsiaTheme="minorEastAsia"/>
                <w:lang w:eastAsia="en-AU"/>
              </w:rPr>
              <w:t>18</w:t>
            </w:r>
          </w:p>
        </w:tc>
      </w:tr>
      <w:tr w:rsidR="00A53D7D" w:rsidRPr="00FB64AD" w:rsidTr="005140B4">
        <w:tc>
          <w:tcPr>
            <w:tcW w:w="3248" w:type="dxa"/>
            <w:tcBorders>
              <w:top w:val="single" w:sz="4" w:space="0" w:color="auto"/>
              <w:left w:val="nil"/>
              <w:bottom w:val="nil"/>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Productive and Competitive Agricultural Industries</w:t>
            </w:r>
          </w:p>
        </w:tc>
        <w:tc>
          <w:tcPr>
            <w:tcW w:w="905" w:type="dxa"/>
            <w:gridSpan w:val="2"/>
            <w:tcBorders>
              <w:top w:val="single" w:sz="4" w:space="0" w:color="auto"/>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6" w:type="dxa"/>
            <w:tcBorders>
              <w:top w:val="single" w:sz="4" w:space="0" w:color="auto"/>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5" w:type="dxa"/>
            <w:tcBorders>
              <w:top w:val="single" w:sz="4" w:space="0" w:color="auto"/>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6" w:type="dxa"/>
            <w:tcBorders>
              <w:top w:val="single" w:sz="4" w:space="0" w:color="auto"/>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6" w:type="dxa"/>
            <w:tcBorders>
              <w:top w:val="single" w:sz="4" w:space="0" w:color="auto"/>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r>
      <w:tr w:rsidR="00A53D7D" w:rsidRPr="00FB64AD" w:rsidTr="005140B4">
        <w:tc>
          <w:tcPr>
            <w:tcW w:w="3248" w:type="dxa"/>
            <w:tcBorders>
              <w:top w:val="nil"/>
              <w:left w:val="nil"/>
              <w:bottom w:val="nil"/>
              <w:right w:val="nil"/>
            </w:tcBorders>
          </w:tcPr>
          <w:p w:rsidR="00A53D7D" w:rsidRPr="00FB64AD" w:rsidRDefault="00A53D7D" w:rsidP="002D2C26">
            <w:pPr>
              <w:pStyle w:val="Tabletext"/>
              <w:rPr>
                <w:rFonts w:eastAsiaTheme="minorEastAsia"/>
                <w:lang w:eastAsia="en-AU"/>
              </w:rPr>
            </w:pPr>
            <w:r w:rsidRPr="00FB64AD">
              <w:rPr>
                <w:rFonts w:eastAsiaTheme="minorEastAsia"/>
                <w:i/>
                <w:lang w:eastAsia="en-AU"/>
              </w:rPr>
              <w:t xml:space="preserve">Food and </w:t>
            </w:r>
            <w:r>
              <w:rPr>
                <w:rFonts w:eastAsiaTheme="minorEastAsia"/>
                <w:i/>
                <w:lang w:eastAsia="en-AU"/>
              </w:rPr>
              <w:t>A</w:t>
            </w:r>
            <w:r w:rsidRPr="00FB64AD">
              <w:rPr>
                <w:rFonts w:eastAsiaTheme="minorEastAsia"/>
                <w:i/>
                <w:lang w:eastAsia="en-AU"/>
              </w:rPr>
              <w:t>griculture into Asia</w:t>
            </w:r>
            <w:r>
              <w:rPr>
                <w:rFonts w:eastAsiaTheme="minorEastAsia"/>
                <w:lang w:eastAsia="en-AU"/>
              </w:rPr>
              <w:t xml:space="preserve"> – </w:t>
            </w:r>
            <w:r w:rsidRPr="00FB64AD">
              <w:rPr>
                <w:rFonts w:eastAsiaTheme="minorEastAsia"/>
                <w:lang w:eastAsia="en-AU"/>
              </w:rPr>
              <w:t>positioning the food sector for growth</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8.2</w:t>
            </w:r>
          </w:p>
        </w:tc>
        <w:tc>
          <w:tcPr>
            <w:tcW w:w="905"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9.0</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9.1</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9.0</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Goulburn Valley concessional loans</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0.5</w:t>
            </w:r>
          </w:p>
        </w:tc>
        <w:tc>
          <w:tcPr>
            <w:tcW w:w="905"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0.5</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0.5</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Improving wild dog control</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0.5</w:t>
            </w:r>
          </w:p>
        </w:tc>
        <w:tc>
          <w:tcPr>
            <w:tcW w:w="905"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0.5</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0.5</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0.5</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Regulating a new industry in Victoria</w:t>
            </w:r>
            <w:r>
              <w:rPr>
                <w:rFonts w:eastAsiaTheme="minorEastAsia"/>
                <w:lang w:eastAsia="en-AU"/>
              </w:rPr>
              <w:t xml:space="preserve"> – </w:t>
            </w:r>
            <w:r w:rsidRPr="00FB64AD">
              <w:rPr>
                <w:rFonts w:eastAsiaTheme="minorEastAsia"/>
                <w:lang w:eastAsia="en-AU"/>
              </w:rPr>
              <w:t>cultivation and processing of poppies</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0.6</w:t>
            </w:r>
          </w:p>
        </w:tc>
        <w:tc>
          <w:tcPr>
            <w:tcW w:w="905"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0.5</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0.6</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0.6</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Environmental and Adaptation Policy, Investment and Regulation</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p>
        </w:tc>
        <w:tc>
          <w:tcPr>
            <w:tcW w:w="905"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p>
        </w:tc>
        <w:tc>
          <w:tcPr>
            <w:tcW w:w="906"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p>
        </w:tc>
        <w:tc>
          <w:tcPr>
            <w:tcW w:w="906"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Managing Victoria</w:t>
            </w:r>
            <w:r>
              <w:rPr>
                <w:rFonts w:eastAsiaTheme="minorEastAsia"/>
                <w:lang w:eastAsia="en-AU"/>
              </w:rPr>
              <w:t>’</w:t>
            </w:r>
            <w:r w:rsidRPr="00FB64AD">
              <w:rPr>
                <w:rFonts w:eastAsiaTheme="minorEastAsia"/>
                <w:lang w:eastAsia="en-AU"/>
              </w:rPr>
              <w:t>s waste materials</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1.6</w:t>
            </w:r>
          </w:p>
        </w:tc>
        <w:tc>
          <w:tcPr>
            <w:tcW w:w="905"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1.6</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1.6</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1.5</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Supporting Landcare for the future</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2.7</w:t>
            </w:r>
          </w:p>
        </w:tc>
        <w:tc>
          <w:tcPr>
            <w:tcW w:w="905"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2.8</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r>
      <w:tr w:rsidR="00A53D7D" w:rsidRPr="00FB64AD" w:rsidTr="00560216">
        <w:tc>
          <w:tcPr>
            <w:tcW w:w="3704" w:type="dxa"/>
            <w:gridSpan w:val="2"/>
            <w:tcBorders>
              <w:top w:val="nil"/>
              <w:left w:val="nil"/>
              <w:bottom w:val="nil"/>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 xml:space="preserve">Effective Management of Water Resources </w:t>
            </w:r>
          </w:p>
        </w:tc>
        <w:tc>
          <w:tcPr>
            <w:tcW w:w="449"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6"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5"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6"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6"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Implementing the Government</w:t>
            </w:r>
            <w:r>
              <w:rPr>
                <w:rFonts w:eastAsiaTheme="minorEastAsia"/>
                <w:lang w:eastAsia="en-AU"/>
              </w:rPr>
              <w:t>’</w:t>
            </w:r>
            <w:r w:rsidRPr="00FB64AD">
              <w:rPr>
                <w:rFonts w:eastAsiaTheme="minorEastAsia"/>
                <w:lang w:eastAsia="en-AU"/>
              </w:rPr>
              <w:t>s commitments to flood related reviews and inquiries</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7.6</w:t>
            </w:r>
          </w:p>
        </w:tc>
        <w:tc>
          <w:tcPr>
            <w:tcW w:w="905"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Rural water management</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1.9</w:t>
            </w:r>
          </w:p>
        </w:tc>
        <w:tc>
          <w:tcPr>
            <w:tcW w:w="905"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Victorian Government</w:t>
            </w:r>
            <w:r>
              <w:rPr>
                <w:rFonts w:eastAsiaTheme="minorEastAsia"/>
                <w:lang w:eastAsia="en-AU"/>
              </w:rPr>
              <w:t>’</w:t>
            </w:r>
            <w:r w:rsidRPr="00FB64AD">
              <w:rPr>
                <w:rFonts w:eastAsiaTheme="minorEastAsia"/>
                <w:lang w:eastAsia="en-AU"/>
              </w:rPr>
              <w:t>s contribution to the Murray</w:t>
            </w:r>
            <w:r>
              <w:rPr>
                <w:rFonts w:eastAsiaTheme="minorEastAsia"/>
                <w:lang w:eastAsia="en-AU"/>
              </w:rPr>
              <w:noBreakHyphen/>
            </w:r>
            <w:r w:rsidRPr="00FB64AD">
              <w:rPr>
                <w:rFonts w:eastAsiaTheme="minorEastAsia"/>
                <w:lang w:eastAsia="en-AU"/>
              </w:rPr>
              <w:t xml:space="preserve">Darling Basin Authority </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8.9</w:t>
            </w:r>
          </w:p>
        </w:tc>
        <w:tc>
          <w:tcPr>
            <w:tcW w:w="905"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Reduced Impact of Major Bushfires and other Emergencies</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6"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5"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6"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6"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Preparedness and response: pre</w:t>
            </w:r>
            <w:r>
              <w:rPr>
                <w:rFonts w:eastAsiaTheme="minorEastAsia"/>
                <w:lang w:eastAsia="en-AU"/>
              </w:rPr>
              <w:noBreakHyphen/>
            </w:r>
            <w:r w:rsidRPr="00FB64AD">
              <w:rPr>
                <w:rFonts w:eastAsiaTheme="minorEastAsia"/>
                <w:lang w:eastAsia="en-AU"/>
              </w:rPr>
              <w:t>formed incident management teams</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2.8</w:t>
            </w:r>
          </w:p>
        </w:tc>
        <w:tc>
          <w:tcPr>
            <w:tcW w:w="905"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2.9</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2.9</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3.0</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Effective Management of Victoria</w:t>
            </w:r>
            <w:r>
              <w:rPr>
                <w:rFonts w:eastAsiaTheme="minorEastAsia"/>
                <w:b/>
                <w:bCs/>
                <w:lang w:eastAsia="en-AU"/>
              </w:rPr>
              <w:t>’</w:t>
            </w:r>
            <w:r w:rsidRPr="00FB64AD">
              <w:rPr>
                <w:rFonts w:eastAsiaTheme="minorEastAsia"/>
                <w:b/>
                <w:bCs/>
                <w:lang w:eastAsia="en-AU"/>
              </w:rPr>
              <w:t>s Land Assets</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6"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5"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6"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906"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Improving biodiversity outcomes for Victorians</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0.3</w:t>
            </w:r>
          </w:p>
        </w:tc>
        <w:tc>
          <w:tcPr>
            <w:tcW w:w="905"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0.5</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1.2</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1.2</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Urban fringe weed management</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1.0</w:t>
            </w:r>
          </w:p>
        </w:tc>
        <w:tc>
          <w:tcPr>
            <w:tcW w:w="905"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1.0</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1.0</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1.0</w:t>
            </w:r>
          </w:p>
        </w:tc>
      </w:tr>
      <w:tr w:rsidR="00A53D7D" w:rsidRPr="00FB64AD" w:rsidTr="005140B4">
        <w:tc>
          <w:tcPr>
            <w:tcW w:w="3248" w:type="dxa"/>
            <w:tcBorders>
              <w:top w:val="single" w:sz="6" w:space="0" w:color="auto"/>
              <w:left w:val="nil"/>
              <w:bottom w:val="single" w:sz="6" w:space="0" w:color="auto"/>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Bushfire Recovery Package</w:t>
            </w:r>
          </w:p>
        </w:tc>
        <w:tc>
          <w:tcPr>
            <w:tcW w:w="905" w:type="dxa"/>
            <w:gridSpan w:val="2"/>
            <w:tcBorders>
              <w:top w:val="single" w:sz="6" w:space="0" w:color="auto"/>
              <w:left w:val="nil"/>
              <w:bottom w:val="single" w:sz="6" w:space="0" w:color="auto"/>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single" w:sz="6" w:space="0" w:color="auto"/>
              <w:left w:val="nil"/>
              <w:bottom w:val="single" w:sz="6" w:space="0" w:color="auto"/>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2.7</w:t>
            </w:r>
          </w:p>
        </w:tc>
        <w:tc>
          <w:tcPr>
            <w:tcW w:w="905" w:type="dxa"/>
            <w:tcBorders>
              <w:top w:val="single" w:sz="6" w:space="0" w:color="auto"/>
              <w:left w:val="nil"/>
              <w:bottom w:val="single" w:sz="6" w:space="0" w:color="auto"/>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0.3</w:t>
            </w:r>
          </w:p>
        </w:tc>
        <w:tc>
          <w:tcPr>
            <w:tcW w:w="906" w:type="dxa"/>
            <w:tcBorders>
              <w:top w:val="single" w:sz="6" w:space="0" w:color="auto"/>
              <w:left w:val="nil"/>
              <w:bottom w:val="single" w:sz="6" w:space="0" w:color="auto"/>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single" w:sz="6" w:space="0" w:color="auto"/>
              <w:left w:val="nil"/>
              <w:bottom w:val="single" w:sz="6" w:space="0" w:color="auto"/>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r>
      <w:tr w:rsidR="00A53D7D" w:rsidRPr="00FB64AD" w:rsidTr="005140B4">
        <w:tc>
          <w:tcPr>
            <w:tcW w:w="3248" w:type="dxa"/>
            <w:tcBorders>
              <w:top w:val="single" w:sz="6" w:space="0" w:color="auto"/>
              <w:left w:val="nil"/>
              <w:bottom w:val="single" w:sz="6" w:space="0" w:color="auto"/>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Sub total output initiatives</w:t>
            </w:r>
          </w:p>
        </w:tc>
        <w:tc>
          <w:tcPr>
            <w:tcW w:w="905" w:type="dxa"/>
            <w:gridSpan w:val="2"/>
            <w:tcBorders>
              <w:top w:val="single" w:sz="6" w:space="0" w:color="auto"/>
              <w:left w:val="nil"/>
              <w:bottom w:val="single" w:sz="6"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w:t>
            </w:r>
          </w:p>
        </w:tc>
        <w:tc>
          <w:tcPr>
            <w:tcW w:w="906" w:type="dxa"/>
            <w:tcBorders>
              <w:top w:val="single" w:sz="6" w:space="0" w:color="auto"/>
              <w:left w:val="nil"/>
              <w:bottom w:val="single" w:sz="6"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39.3</w:t>
            </w:r>
          </w:p>
        </w:tc>
        <w:tc>
          <w:tcPr>
            <w:tcW w:w="905" w:type="dxa"/>
            <w:tcBorders>
              <w:top w:val="single" w:sz="6" w:space="0" w:color="auto"/>
              <w:left w:val="nil"/>
              <w:bottom w:val="single" w:sz="6"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19.5</w:t>
            </w:r>
          </w:p>
        </w:tc>
        <w:tc>
          <w:tcPr>
            <w:tcW w:w="906" w:type="dxa"/>
            <w:tcBorders>
              <w:top w:val="single" w:sz="6" w:space="0" w:color="auto"/>
              <w:left w:val="nil"/>
              <w:bottom w:val="single" w:sz="6"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17.5</w:t>
            </w:r>
          </w:p>
        </w:tc>
        <w:tc>
          <w:tcPr>
            <w:tcW w:w="906" w:type="dxa"/>
            <w:tcBorders>
              <w:top w:val="single" w:sz="6" w:space="0" w:color="auto"/>
              <w:left w:val="nil"/>
              <w:bottom w:val="single" w:sz="6"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16.8</w:t>
            </w:r>
          </w:p>
        </w:tc>
      </w:tr>
      <w:tr w:rsidR="00A53D7D" w:rsidRPr="00FB64AD" w:rsidTr="005140B4">
        <w:tc>
          <w:tcPr>
            <w:tcW w:w="3248" w:type="dxa"/>
            <w:tcBorders>
              <w:top w:val="nil"/>
              <w:left w:val="nil"/>
              <w:bottom w:val="nil"/>
              <w:right w:val="nil"/>
            </w:tcBorders>
          </w:tcPr>
          <w:p w:rsidR="00A53D7D" w:rsidRPr="00FB64AD" w:rsidRDefault="00A53D7D" w:rsidP="005140B4">
            <w:pPr>
              <w:pStyle w:val="Tabletext"/>
              <w:rPr>
                <w:rFonts w:eastAsiaTheme="minorEastAsia"/>
                <w:vertAlign w:val="superscript"/>
                <w:lang w:eastAsia="en-AU"/>
              </w:rPr>
            </w:pPr>
            <w:r w:rsidRPr="00FB64AD">
              <w:rPr>
                <w:rFonts w:eastAsiaTheme="minorEastAsia"/>
                <w:lang w:eastAsia="en-AU"/>
              </w:rPr>
              <w:t xml:space="preserve">Existing resources </w:t>
            </w:r>
            <w:r w:rsidRPr="00FB64AD">
              <w:rPr>
                <w:rFonts w:eastAsiaTheme="minorEastAsia"/>
                <w:vertAlign w:val="superscript"/>
                <w:lang w:eastAsia="en-AU"/>
              </w:rPr>
              <w:t>(a)</w:t>
            </w:r>
          </w:p>
        </w:tc>
        <w:tc>
          <w:tcPr>
            <w:tcW w:w="905"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( 6.3)</w:t>
            </w:r>
          </w:p>
        </w:tc>
        <w:tc>
          <w:tcPr>
            <w:tcW w:w="905"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( 6.3)</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( 7.1)</w:t>
            </w:r>
          </w:p>
        </w:tc>
        <w:tc>
          <w:tcPr>
            <w:tcW w:w="906"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( 7.1)</w:t>
            </w:r>
          </w:p>
        </w:tc>
      </w:tr>
      <w:tr w:rsidR="00A53D7D" w:rsidRPr="00FB64AD" w:rsidTr="005140B4">
        <w:tc>
          <w:tcPr>
            <w:tcW w:w="3248" w:type="dxa"/>
            <w:tcBorders>
              <w:top w:val="single" w:sz="6" w:space="0" w:color="auto"/>
              <w:left w:val="nil"/>
              <w:bottom w:val="single" w:sz="12" w:space="0" w:color="auto"/>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Total output initiatives</w:t>
            </w:r>
          </w:p>
        </w:tc>
        <w:tc>
          <w:tcPr>
            <w:tcW w:w="905" w:type="dxa"/>
            <w:gridSpan w:val="2"/>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w:t>
            </w:r>
          </w:p>
        </w:tc>
        <w:tc>
          <w:tcPr>
            <w:tcW w:w="906"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33.0</w:t>
            </w:r>
          </w:p>
        </w:tc>
        <w:tc>
          <w:tcPr>
            <w:tcW w:w="905"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13.2</w:t>
            </w:r>
          </w:p>
        </w:tc>
        <w:tc>
          <w:tcPr>
            <w:tcW w:w="906"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10.4</w:t>
            </w:r>
          </w:p>
        </w:tc>
        <w:tc>
          <w:tcPr>
            <w:tcW w:w="906"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9.7</w:t>
            </w:r>
          </w:p>
        </w:tc>
      </w:tr>
    </w:tbl>
    <w:p w:rsidR="00A53D7D" w:rsidRPr="00596ED3" w:rsidRDefault="00A53D7D" w:rsidP="005140B4">
      <w:pPr>
        <w:pStyle w:val="Source"/>
        <w:rPr>
          <w:lang w:eastAsia="en-AU"/>
        </w:rPr>
      </w:pPr>
      <w:r w:rsidRPr="00596ED3">
        <w:t>Source: Department of Treasury and Finance</w:t>
      </w:r>
      <w:r w:rsidRPr="00596ED3">
        <w:rPr>
          <w:lang w:eastAsia="en-AU"/>
        </w:rPr>
        <w:t xml:space="preserve"> </w:t>
      </w:r>
      <w:r w:rsidRPr="00596ED3">
        <w:rPr>
          <w:lang w:eastAsia="en-AU"/>
        </w:rPr>
        <w:fldChar w:fldCharType="begin"/>
      </w:r>
      <w:r w:rsidRPr="00596ED3">
        <w:instrText xml:space="preserve"> XE "Department of Environment and Primary Industries:Output initiatives" </w:instrText>
      </w:r>
      <w:r w:rsidRPr="00596ED3">
        <w:rPr>
          <w:lang w:eastAsia="en-AU"/>
        </w:rPr>
        <w:fldChar w:fldCharType="end"/>
      </w:r>
    </w:p>
    <w:p w:rsidR="00A53D7D" w:rsidRPr="00596ED3" w:rsidRDefault="00A53D7D" w:rsidP="005140B4">
      <w:pPr>
        <w:pStyle w:val="Notes"/>
        <w:rPr>
          <w:lang w:eastAsia="en-AU"/>
        </w:rPr>
      </w:pPr>
      <w:r w:rsidRPr="00596ED3">
        <w:rPr>
          <w:lang w:eastAsia="en-AU"/>
        </w:rPr>
        <w:t>Note:</w:t>
      </w:r>
    </w:p>
    <w:p w:rsidR="00A53D7D" w:rsidRPr="00596ED3" w:rsidRDefault="00A53D7D" w:rsidP="005140B4">
      <w:pPr>
        <w:pStyle w:val="Notes"/>
      </w:pPr>
      <w:r w:rsidRPr="00596ED3">
        <w:t>(a)</w:t>
      </w:r>
      <w:r w:rsidRPr="00596ED3">
        <w:tab/>
        <w:t>Existing departmental resources have been reallocated to contribute to the delivery of new initiatives.</w:t>
      </w:r>
    </w:p>
    <w:p w:rsidR="00A53D7D" w:rsidRPr="00596ED3" w:rsidRDefault="00A53D7D" w:rsidP="005140B4">
      <w:pPr>
        <w:pStyle w:val="Heading4"/>
        <w:rPr>
          <w:lang w:eastAsia="en-AU"/>
        </w:rPr>
      </w:pPr>
      <w:r w:rsidRPr="00596ED3">
        <w:t>Productive and Competitive Agricultural Industries</w:t>
      </w:r>
      <w:r w:rsidRPr="00596ED3">
        <w:fldChar w:fldCharType="begin"/>
      </w:r>
      <w:r w:rsidRPr="00596ED3">
        <w:instrText xml:space="preserve"> XE </w:instrText>
      </w:r>
      <w:r>
        <w:instrText>"</w:instrText>
      </w:r>
      <w:r w:rsidRPr="00596ED3">
        <w:instrText>Department of Environment and Primary Industries:Productive and Competitive Agricultural Industries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rPr>
          <w:i/>
        </w:rPr>
        <w:t>Food and agriculture into Asia</w:t>
      </w:r>
      <w:r w:rsidRPr="00596ED3">
        <w:rPr>
          <w:i/>
        </w:rPr>
        <w:fldChar w:fldCharType="begin"/>
      </w:r>
      <w:r w:rsidRPr="00596ED3">
        <w:rPr>
          <w:i/>
        </w:rPr>
        <w:instrText xml:space="preserve"> XE "Food and </w:instrText>
      </w:r>
      <w:r>
        <w:rPr>
          <w:i/>
        </w:rPr>
        <w:instrText>A</w:instrText>
      </w:r>
      <w:r w:rsidRPr="00596ED3">
        <w:rPr>
          <w:i/>
        </w:rPr>
        <w:instrText xml:space="preserve">griculture into Asia" </w:instrText>
      </w:r>
      <w:r w:rsidRPr="00596ED3">
        <w:rPr>
          <w:i/>
        </w:rPr>
        <w:fldChar w:fldCharType="end"/>
      </w:r>
      <w:r w:rsidRPr="00596ED3">
        <w:t xml:space="preserve"> – positioning the food sector for growth</w:t>
      </w:r>
    </w:p>
    <w:p w:rsidR="00A53D7D" w:rsidRPr="00596ED3" w:rsidRDefault="00A53D7D" w:rsidP="005140B4">
      <w:r w:rsidRPr="00596ED3">
        <w:t>Funding is provided to focus on increasing the volume and value of food exports to better meet Asian demand as part of the Government</w:t>
      </w:r>
      <w:r>
        <w:t>’</w:t>
      </w:r>
      <w:r w:rsidRPr="00596ED3">
        <w:t xml:space="preserve">s </w:t>
      </w:r>
      <w:r w:rsidRPr="00596ED3">
        <w:rPr>
          <w:i/>
        </w:rPr>
        <w:t xml:space="preserve">Food </w:t>
      </w:r>
      <w:r>
        <w:rPr>
          <w:i/>
        </w:rPr>
        <w:t>and agriculture in</w:t>
      </w:r>
      <w:r w:rsidRPr="00596ED3">
        <w:rPr>
          <w:i/>
        </w:rPr>
        <w:t>to Asia Action Plan.</w:t>
      </w:r>
      <w:r w:rsidRPr="00596ED3">
        <w:t xml:space="preserve"> This builds on previous initiatives to improve on</w:t>
      </w:r>
      <w:r>
        <w:noBreakHyphen/>
      </w:r>
      <w:r w:rsidRPr="00596ED3">
        <w:t>farm productivity and international competitiveness, and will support economic growth and jobs in regional and rural Victoria.</w:t>
      </w:r>
    </w:p>
    <w:p w:rsidR="00A53D7D" w:rsidRPr="00596ED3" w:rsidRDefault="00A53D7D" w:rsidP="005140B4">
      <w:r w:rsidRPr="00596ED3">
        <w:t>This initiative contributes to the Department of Environment and Primary Industries</w:t>
      </w:r>
      <w:r>
        <w:t>’</w:t>
      </w:r>
      <w:r w:rsidRPr="00596ED3">
        <w:t xml:space="preserve"> Agriculture and Biosecurity outputs.</w:t>
      </w:r>
    </w:p>
    <w:p w:rsidR="00A53D7D" w:rsidRPr="00596ED3" w:rsidRDefault="00A53D7D" w:rsidP="005140B4">
      <w:pPr>
        <w:pStyle w:val="Heading5"/>
      </w:pPr>
      <w:r w:rsidRPr="00596ED3">
        <w:t>Goulburn Valley concessional loans</w:t>
      </w:r>
    </w:p>
    <w:p w:rsidR="00A53D7D" w:rsidRPr="00596ED3" w:rsidRDefault="00A53D7D" w:rsidP="005140B4">
      <w:r w:rsidRPr="00596ED3">
        <w:t>A concessional loans program will be established to assist farmers affected by the recent reduced fruit contracts in the Goulburn Valley region. The program will facilitate structural adjustment in the region by transitioning land to more productive uses, and provide a viable exit strategy for struggling producers.</w:t>
      </w:r>
    </w:p>
    <w:p w:rsidR="00A53D7D" w:rsidRPr="00596ED3" w:rsidRDefault="00A53D7D" w:rsidP="005140B4">
      <w:r w:rsidRPr="00596ED3">
        <w:t>This initiative contributes to the Department</w:t>
      </w:r>
      <w:r w:rsidR="00D418A8">
        <w:t xml:space="preserve"> </w:t>
      </w:r>
      <w:r w:rsidRPr="00596ED3">
        <w:t>of Environment and Primary Industries</w:t>
      </w:r>
      <w:r>
        <w:t>’</w:t>
      </w:r>
      <w:r w:rsidRPr="00596ED3">
        <w:t xml:space="preserve"> Agriculture output.</w:t>
      </w:r>
    </w:p>
    <w:p w:rsidR="00A53D7D" w:rsidRPr="00596ED3" w:rsidRDefault="00A53D7D" w:rsidP="005140B4">
      <w:pPr>
        <w:pStyle w:val="Heading5"/>
      </w:pPr>
      <w:r w:rsidRPr="00596ED3">
        <w:t>Improving wild dog control</w:t>
      </w:r>
    </w:p>
    <w:p w:rsidR="00A53D7D" w:rsidRPr="00596ED3" w:rsidRDefault="00A53D7D" w:rsidP="005140B4">
      <w:r w:rsidRPr="00596ED3">
        <w:t>Baiting will be undertaken in remote areas of Gippsland and north</w:t>
      </w:r>
      <w:r>
        <w:noBreakHyphen/>
      </w:r>
      <w:r w:rsidRPr="00596ED3">
        <w:t>east Victoria to continue the management of wild dogs and reduce stock losses for rural landholders.</w:t>
      </w:r>
    </w:p>
    <w:p w:rsidR="00A53D7D" w:rsidRPr="00596ED3" w:rsidRDefault="00A53D7D" w:rsidP="005140B4">
      <w:r w:rsidRPr="00596ED3">
        <w:t>This initiative contributes to the Department of Environment and Primary Industries</w:t>
      </w:r>
      <w:r>
        <w:t>’</w:t>
      </w:r>
      <w:r w:rsidRPr="00596ED3">
        <w:t xml:space="preserve"> Biosecurity output.</w:t>
      </w:r>
    </w:p>
    <w:p w:rsidR="00A53D7D" w:rsidRPr="00596ED3" w:rsidRDefault="00A53D7D" w:rsidP="005140B4">
      <w:pPr>
        <w:pStyle w:val="Heading5"/>
      </w:pPr>
      <w:r w:rsidRPr="00596ED3">
        <w:t>Regulating a new industry in Victoria – cultivation and processing of poppies</w:t>
      </w:r>
    </w:p>
    <w:p w:rsidR="00A53D7D" w:rsidRPr="00596ED3" w:rsidRDefault="00A53D7D" w:rsidP="005140B4">
      <w:r w:rsidRPr="00596ED3">
        <w:t>Funding is provided to assist with the establishment of a new poppy industry in Victoria in order to ensure industry security and meet increasing global demand for therapeutic drugs. A regulatory framework will be developed to ensure public safety and compliance with Australia</w:t>
      </w:r>
      <w:r>
        <w:t>’</w:t>
      </w:r>
      <w:r w:rsidRPr="00596ED3">
        <w:t>s international obligations with respect to growing poppies for therapeutic use.</w:t>
      </w:r>
    </w:p>
    <w:p w:rsidR="00A53D7D" w:rsidRPr="00596ED3" w:rsidRDefault="00A53D7D" w:rsidP="005140B4">
      <w:r w:rsidRPr="00596ED3">
        <w:t>This initiative contributes to the Department of Environment and Primary Industries</w:t>
      </w:r>
      <w:r>
        <w:t>’</w:t>
      </w:r>
      <w:r w:rsidRPr="00596ED3">
        <w:t xml:space="preserve"> Agriculture output.</w:t>
      </w:r>
    </w:p>
    <w:p w:rsidR="00A53D7D" w:rsidRPr="00596ED3" w:rsidRDefault="00A53D7D" w:rsidP="005140B4">
      <w:pPr>
        <w:pStyle w:val="Heading4"/>
      </w:pPr>
      <w:r w:rsidRPr="00596ED3">
        <w:t>Environmental and Adaptation Policy, Investment and Regulation</w:t>
      </w:r>
      <w:r w:rsidRPr="00596ED3">
        <w:fldChar w:fldCharType="begin"/>
      </w:r>
      <w:r w:rsidRPr="00596ED3">
        <w:instrText xml:space="preserve"> XE </w:instrText>
      </w:r>
      <w:r>
        <w:instrText>"</w:instrText>
      </w:r>
      <w:r w:rsidRPr="00596ED3">
        <w:instrText>Department of Environment and Primary Industries:Environmental and Adaptation Policy, Investment and Regulation</w:instrText>
      </w:r>
      <w:r>
        <w:instrText>"</w:instrText>
      </w:r>
      <w:r w:rsidRPr="00596ED3">
        <w:instrText xml:space="preserve"> </w:instrText>
      </w:r>
      <w:r w:rsidRPr="00596ED3">
        <w:fldChar w:fldCharType="end"/>
      </w:r>
    </w:p>
    <w:p w:rsidR="00A53D7D" w:rsidRPr="00596ED3" w:rsidRDefault="00A53D7D" w:rsidP="005140B4">
      <w:pPr>
        <w:pStyle w:val="Heading5"/>
      </w:pPr>
      <w:r w:rsidRPr="00596ED3">
        <w:t>Managing Victoria</w:t>
      </w:r>
      <w:r>
        <w:t>’</w:t>
      </w:r>
      <w:r w:rsidRPr="00596ED3">
        <w:t>s waste materials</w:t>
      </w:r>
    </w:p>
    <w:p w:rsidR="00A53D7D" w:rsidRPr="00596ED3" w:rsidRDefault="00A53D7D" w:rsidP="005140B4">
      <w:r w:rsidRPr="00596ED3">
        <w:t xml:space="preserve">Funding is provided to the Environment Protection Authority for the Illegal Dumping Strike Force initiative which will continue to address illegal dumping of industrial waste in Victoria. </w:t>
      </w:r>
    </w:p>
    <w:p w:rsidR="00A53D7D" w:rsidRPr="00596ED3" w:rsidRDefault="00A53D7D" w:rsidP="005140B4">
      <w:r w:rsidRPr="00596ED3">
        <w:t>This initiative contributes to the Department of Environment and Primary Industries</w:t>
      </w:r>
      <w:r>
        <w:t>’</w:t>
      </w:r>
      <w:r w:rsidRPr="00596ED3">
        <w:t xml:space="preserve"> Statutory Activities and Environment Protection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Supporting Landcare for the future</w:t>
      </w:r>
    </w:p>
    <w:p w:rsidR="00A53D7D" w:rsidRPr="00596ED3" w:rsidRDefault="00A53D7D" w:rsidP="005140B4">
      <w:r w:rsidRPr="00596ED3">
        <w:t xml:space="preserve">The Government will continue to support the network of locally based community Landcare groups across Victoria that </w:t>
      </w:r>
      <w:proofErr w:type="gramStart"/>
      <w:r w:rsidRPr="00596ED3">
        <w:t>act</w:t>
      </w:r>
      <w:proofErr w:type="gramEnd"/>
      <w:r w:rsidRPr="00596ED3">
        <w:t xml:space="preserve"> to address land productivity and environmental issues. </w:t>
      </w:r>
    </w:p>
    <w:p w:rsidR="00A53D7D" w:rsidRPr="00596ED3" w:rsidRDefault="00A53D7D" w:rsidP="005140B4">
      <w:r w:rsidRPr="00596ED3">
        <w:t>This initiative contributes to the Department of Environment and Primary Industries</w:t>
      </w:r>
      <w:r>
        <w:t>’</w:t>
      </w:r>
      <w:r w:rsidRPr="00596ED3">
        <w:t xml:space="preserve"> Environmental Programs output.</w:t>
      </w:r>
      <w:r w:rsidRPr="00596ED3">
        <w:fldChar w:fldCharType="begin"/>
      </w:r>
      <w:r w:rsidRPr="00596ED3">
        <w:instrText xml:space="preserve"> XE "Environmental and Adaptation Policy, Investment and Regulation" </w:instrText>
      </w:r>
      <w:r w:rsidRPr="00596ED3">
        <w:fldChar w:fldCharType="end"/>
      </w:r>
    </w:p>
    <w:p w:rsidR="00A53D7D" w:rsidRPr="00596ED3" w:rsidRDefault="00A53D7D" w:rsidP="005140B4">
      <w:pPr>
        <w:pStyle w:val="Heading4"/>
      </w:pPr>
      <w:r w:rsidRPr="00596ED3">
        <w:t>Effective Management of Water Resources</w:t>
      </w:r>
      <w:r w:rsidRPr="00596ED3">
        <w:fldChar w:fldCharType="begin"/>
      </w:r>
      <w:r w:rsidRPr="00596ED3">
        <w:instrText xml:space="preserve"> XE </w:instrText>
      </w:r>
      <w:r>
        <w:instrText>"</w:instrText>
      </w:r>
      <w:r w:rsidRPr="00596ED3">
        <w:instrText>Department of Environment and Primary Industries:Effective Water Resources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Implementing the Government</w:t>
      </w:r>
      <w:r>
        <w:t>’</w:t>
      </w:r>
      <w:r w:rsidRPr="00596ED3">
        <w:t>s commitments to flood related reviews and inquiries</w:t>
      </w:r>
    </w:p>
    <w:p w:rsidR="00A53D7D" w:rsidRPr="00596ED3" w:rsidRDefault="00A53D7D" w:rsidP="005140B4">
      <w:r w:rsidRPr="00596ED3">
        <w:t>Measures will be undertaken to reduce the risk of</w:t>
      </w:r>
      <w:r>
        <w:t>,</w:t>
      </w:r>
      <w:r w:rsidRPr="00596ED3">
        <w:t xml:space="preserve"> and exposure to</w:t>
      </w:r>
      <w:r>
        <w:t>,</w:t>
      </w:r>
      <w:r w:rsidRPr="00596ED3">
        <w:t xml:space="preserve"> flooding for urban and rural communities. This includes the construction of levees and other flood mitigation works to help improve community and infrastructure resilience to flooding and inundation.</w:t>
      </w:r>
    </w:p>
    <w:p w:rsidR="00A53D7D" w:rsidRPr="00596ED3" w:rsidRDefault="00A53D7D" w:rsidP="005140B4">
      <w:pPr>
        <w:rPr>
          <w:b/>
        </w:rPr>
      </w:pPr>
      <w:r w:rsidRPr="00596ED3">
        <w:t>This initiative contributes to the Department of Environment and Primary Industries</w:t>
      </w:r>
      <w:r>
        <w:t>’</w:t>
      </w:r>
      <w:r w:rsidRPr="00596ED3">
        <w:t xml:space="preserve"> Effective Water Management and Supply output.</w:t>
      </w:r>
    </w:p>
    <w:p w:rsidR="00A53D7D" w:rsidRPr="00596ED3" w:rsidRDefault="00A53D7D" w:rsidP="005140B4">
      <w:pPr>
        <w:pStyle w:val="Heading5"/>
      </w:pPr>
      <w:r w:rsidRPr="00596ED3">
        <w:t xml:space="preserve">Rural water management </w:t>
      </w:r>
    </w:p>
    <w:p w:rsidR="00A53D7D" w:rsidRPr="00596ED3" w:rsidRDefault="00A53D7D" w:rsidP="005140B4">
      <w:r w:rsidRPr="00596ED3">
        <w:t xml:space="preserve">Additional support is provided for a more productive, </w:t>
      </w:r>
      <w:proofErr w:type="gramStart"/>
      <w:r w:rsidRPr="00596ED3">
        <w:t>efficient</w:t>
      </w:r>
      <w:proofErr w:type="gramEnd"/>
      <w:r w:rsidRPr="00596ED3">
        <w:t xml:space="preserve"> and sustainable irrigation industry through the management of water used for irrigation on farms. Funding is provided towards monitoring of the Basin Salinity Management Strategy, which continues to address salinity issues in the Murray</w:t>
      </w:r>
      <w:r>
        <w:noBreakHyphen/>
      </w:r>
      <w:r w:rsidRPr="00596ED3">
        <w:t xml:space="preserve">Darling Basin. The irrigation network in the </w:t>
      </w:r>
      <w:proofErr w:type="spellStart"/>
      <w:r w:rsidRPr="00596ED3">
        <w:t>Sunraysia</w:t>
      </w:r>
      <w:proofErr w:type="spellEnd"/>
      <w:r w:rsidRPr="00596ED3">
        <w:t xml:space="preserve"> region will also be upgraded as part of the </w:t>
      </w:r>
      <w:proofErr w:type="spellStart"/>
      <w:r w:rsidRPr="00596ED3">
        <w:t>Sunraysia</w:t>
      </w:r>
      <w:proofErr w:type="spellEnd"/>
      <w:r w:rsidRPr="00596ED3">
        <w:t xml:space="preserve"> Modernisation Project. This initiative will also support appropriate governance mechanisms.</w:t>
      </w:r>
    </w:p>
    <w:p w:rsidR="00A53D7D" w:rsidRPr="00596ED3" w:rsidRDefault="00A53D7D" w:rsidP="005140B4">
      <w:r w:rsidRPr="00596ED3">
        <w:t>This initiative contributes to the Department of Environment and Primary Industries</w:t>
      </w:r>
      <w:r>
        <w:t>’</w:t>
      </w:r>
      <w:r w:rsidRPr="00596ED3">
        <w:t xml:space="preserve"> Effective Water Management and Supply output.</w:t>
      </w:r>
    </w:p>
    <w:p w:rsidR="00A53D7D" w:rsidRPr="00596ED3" w:rsidRDefault="00A53D7D" w:rsidP="005140B4">
      <w:pPr>
        <w:pStyle w:val="Heading5"/>
      </w:pPr>
      <w:r w:rsidRPr="00596ED3">
        <w:t>Victorian Government</w:t>
      </w:r>
      <w:r>
        <w:t>’</w:t>
      </w:r>
      <w:r w:rsidRPr="00596ED3">
        <w:t>s contribution to the Murray</w:t>
      </w:r>
      <w:r>
        <w:noBreakHyphen/>
      </w:r>
      <w:r w:rsidRPr="00596ED3">
        <w:t>Darling Basin Authority</w:t>
      </w:r>
    </w:p>
    <w:p w:rsidR="00A53D7D" w:rsidRPr="00596ED3" w:rsidRDefault="00A53D7D" w:rsidP="005140B4">
      <w:r w:rsidRPr="00596ED3">
        <w:t>Victoria will continue to meet its commitment to provide annual contributions to the operating costs of the Murray</w:t>
      </w:r>
      <w:r>
        <w:noBreakHyphen/>
      </w:r>
      <w:r w:rsidRPr="00596ED3">
        <w:t>Darling Basin Authority.</w:t>
      </w:r>
    </w:p>
    <w:p w:rsidR="00A53D7D" w:rsidRPr="00596ED3" w:rsidRDefault="00A53D7D" w:rsidP="005140B4">
      <w:r w:rsidRPr="00596ED3">
        <w:t>This initiative contributes to the Department of Environment and Primary Industries</w:t>
      </w:r>
      <w:r>
        <w:t>’</w:t>
      </w:r>
      <w:r w:rsidRPr="00596ED3">
        <w:t xml:space="preserve"> Effective Water Management and Supply output.</w:t>
      </w:r>
    </w:p>
    <w:p w:rsidR="00A53D7D" w:rsidRPr="00596ED3" w:rsidRDefault="00A53D7D" w:rsidP="005140B4">
      <w:pPr>
        <w:pStyle w:val="Heading4"/>
      </w:pPr>
      <w:r w:rsidRPr="00596ED3">
        <w:t>Reduced Impact of Major Bushfires and other Emergencies</w:t>
      </w:r>
      <w:r w:rsidRPr="00596ED3">
        <w:fldChar w:fldCharType="begin"/>
      </w:r>
      <w:r w:rsidRPr="00596ED3">
        <w:instrText xml:space="preserve"> XE </w:instrText>
      </w:r>
      <w:r>
        <w:instrText>"</w:instrText>
      </w:r>
      <w:r w:rsidRPr="00596ED3">
        <w:instrText>Department of Environment and Primary Industries:Reduced Impact of Major Bushfires and other Emergencies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Preparedness and response: pre</w:t>
      </w:r>
      <w:r>
        <w:noBreakHyphen/>
      </w:r>
      <w:r w:rsidRPr="00596ED3">
        <w:t>formed incident management teams</w:t>
      </w:r>
    </w:p>
    <w:p w:rsidR="00A53D7D" w:rsidRPr="00596ED3" w:rsidRDefault="00A53D7D" w:rsidP="005140B4">
      <w:r w:rsidRPr="00596ED3">
        <w:t>This initiative responds to recommendations made by the Victorian Bushfires Royal Commission to improve the quality and timeliness of bushfire responses. This initiative provides ongoing funding for pre</w:t>
      </w:r>
      <w:r>
        <w:noBreakHyphen/>
      </w:r>
      <w:r w:rsidRPr="00596ED3">
        <w:t>formed incident management teams to ensure that Victorian Communities are better protected on days of high bushfire risk.</w:t>
      </w:r>
    </w:p>
    <w:p w:rsidR="00A53D7D" w:rsidRPr="00596ED3" w:rsidRDefault="00A53D7D" w:rsidP="005140B4">
      <w:r w:rsidRPr="00596ED3">
        <w:t>This initiative contributes to the Department of Environment and Primary Industries</w:t>
      </w:r>
      <w:r>
        <w:t>’</w:t>
      </w:r>
      <w:r w:rsidRPr="00596ED3">
        <w:t xml:space="preserve"> Fire and Emergency Management output.</w:t>
      </w:r>
    </w:p>
    <w:p w:rsidR="00A53D7D" w:rsidRPr="00596ED3" w:rsidRDefault="00A53D7D">
      <w:pPr>
        <w:spacing w:after="0"/>
        <w:rPr>
          <w:rFonts w:ascii="Calibri" w:hAnsi="Calibri"/>
          <w:i/>
          <w:sz w:val="24"/>
          <w:szCs w:val="22"/>
        </w:rPr>
      </w:pPr>
      <w:r w:rsidRPr="00596ED3">
        <w:br w:type="page"/>
      </w:r>
    </w:p>
    <w:p w:rsidR="00A53D7D" w:rsidRPr="00596ED3" w:rsidRDefault="00A53D7D" w:rsidP="005140B4">
      <w:pPr>
        <w:pStyle w:val="Heading4"/>
      </w:pPr>
      <w:r w:rsidRPr="00596ED3">
        <w:t>Effective Management of Victoria</w:t>
      </w:r>
      <w:r>
        <w:t>’</w:t>
      </w:r>
      <w:r w:rsidRPr="00596ED3">
        <w:t>s Land Assets</w:t>
      </w:r>
      <w:r w:rsidRPr="00596ED3">
        <w:fldChar w:fldCharType="begin"/>
      </w:r>
      <w:r w:rsidRPr="00596ED3">
        <w:instrText xml:space="preserve"> XE </w:instrText>
      </w:r>
      <w:r>
        <w:instrText>"</w:instrText>
      </w:r>
      <w:r w:rsidRPr="00596ED3">
        <w:instrText>Department of Environment and Primary Industries:Effective Management of Victoria</w:instrText>
      </w:r>
      <w:r>
        <w:instrText>’</w:instrText>
      </w:r>
      <w:r w:rsidRPr="00596ED3">
        <w:instrText>s Land Assets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Improving biodiversity outcomes for Victorians</w:t>
      </w:r>
    </w:p>
    <w:p w:rsidR="00A53D7D" w:rsidRPr="00596ED3" w:rsidRDefault="00A53D7D" w:rsidP="005140B4">
      <w:r w:rsidRPr="00596ED3">
        <w:t xml:space="preserve">A conservation area will be established at Yellingbo Nature Conservation Reserve to protect biodiversity and habitat for the </w:t>
      </w:r>
      <w:proofErr w:type="spellStart"/>
      <w:r w:rsidRPr="00596ED3">
        <w:t>Leadbeater</w:t>
      </w:r>
      <w:r>
        <w:t>’</w:t>
      </w:r>
      <w:r w:rsidRPr="00596ED3">
        <w:t>s</w:t>
      </w:r>
      <w:proofErr w:type="spellEnd"/>
      <w:r w:rsidRPr="00596ED3">
        <w:t xml:space="preserve"> Possum and Helmeted Honeyeaters found in the reserve. This initiative will implement key recommendations made by the Victorian Environmental Assessment Council.</w:t>
      </w:r>
    </w:p>
    <w:p w:rsidR="00A53D7D" w:rsidRPr="00596ED3" w:rsidRDefault="00A53D7D" w:rsidP="005140B4">
      <w:pPr>
        <w:tabs>
          <w:tab w:val="left" w:pos="3261"/>
        </w:tabs>
      </w:pPr>
      <w:r w:rsidRPr="00596ED3">
        <w:t>This initiative contributes to the Department of Environment and Primary Industries</w:t>
      </w:r>
      <w:r>
        <w:t>’</w:t>
      </w:r>
      <w:r w:rsidRPr="00596ED3">
        <w:t xml:space="preserve"> Management of Forests, Parks and Public Land output.</w:t>
      </w:r>
    </w:p>
    <w:p w:rsidR="00A53D7D" w:rsidRPr="00596ED3" w:rsidRDefault="00A53D7D" w:rsidP="005140B4">
      <w:pPr>
        <w:pStyle w:val="Heading5"/>
      </w:pPr>
      <w:r w:rsidRPr="00596ED3">
        <w:t>Urban fringe weed management</w:t>
      </w:r>
    </w:p>
    <w:p w:rsidR="00A53D7D" w:rsidRPr="00596ED3" w:rsidRDefault="00A53D7D" w:rsidP="005140B4">
      <w:r w:rsidRPr="00596ED3">
        <w:t xml:space="preserve">The Government will continue to work with communities, </w:t>
      </w:r>
      <w:proofErr w:type="gramStart"/>
      <w:r w:rsidRPr="00596ED3">
        <w:t>councils</w:t>
      </w:r>
      <w:proofErr w:type="gramEnd"/>
      <w:r w:rsidRPr="00596ED3">
        <w:t xml:space="preserve"> and government agencies to manage weed threats on public land in peri</w:t>
      </w:r>
      <w:r>
        <w:noBreakHyphen/>
      </w:r>
      <w:r w:rsidRPr="00596ED3">
        <w:t>urban areas. This includes a matching</w:t>
      </w:r>
      <w:r>
        <w:noBreakHyphen/>
      </w:r>
      <w:r w:rsidRPr="00596ED3">
        <w:t xml:space="preserve">funds partnership with local governments. </w:t>
      </w:r>
    </w:p>
    <w:p w:rsidR="00A53D7D" w:rsidRPr="00596ED3" w:rsidRDefault="00A53D7D" w:rsidP="005140B4">
      <w:r w:rsidRPr="00596ED3">
        <w:t>This initiative contributes to the Department of Environment and Primary Industries</w:t>
      </w:r>
      <w:r>
        <w:t>’</w:t>
      </w:r>
      <w:r w:rsidRPr="00596ED3">
        <w:t xml:space="preserve"> Management of Forests, Parks and Public Land output.</w:t>
      </w:r>
    </w:p>
    <w:p w:rsidR="00A53D7D" w:rsidRPr="00596ED3" w:rsidRDefault="00A53D7D" w:rsidP="005140B4">
      <w:pPr>
        <w:pStyle w:val="Heading3"/>
      </w:pPr>
      <w:r w:rsidRPr="00596ED3">
        <w:t>Asset initiatives</w:t>
      </w:r>
    </w:p>
    <w:p w:rsidR="00A53D7D" w:rsidRPr="00596ED3" w:rsidRDefault="00A53D7D" w:rsidP="005140B4">
      <w:pPr>
        <w:pStyle w:val="Tableheading"/>
      </w:pPr>
      <w:r w:rsidRPr="00596ED3">
        <w:t xml:space="preserve">Table 1.6: </w:t>
      </w:r>
      <w:r w:rsidRPr="00596ED3">
        <w:tab/>
        <w:t>Asset initiatives – Environment and Primary Industries</w:t>
      </w:r>
    </w:p>
    <w:p w:rsidR="00A53D7D" w:rsidRPr="00FB64AD" w:rsidRDefault="00A53D7D" w:rsidP="005140B4">
      <w:pPr>
        <w:pStyle w:val="million"/>
        <w:rPr>
          <w:lang w:eastAsia="en-AU"/>
        </w:rPr>
      </w:pPr>
      <w:r w:rsidRPr="00596ED3">
        <w:t>($</w:t>
      </w:r>
      <w:r>
        <w:t> million</w:t>
      </w:r>
      <w:r w:rsidRPr="00596ED3">
        <w:t>)</w:t>
      </w:r>
      <w:bookmarkStart w:id="18" w:name="RANGE!A38:G44"/>
    </w:p>
    <w:tbl>
      <w:tblPr>
        <w:tblW w:w="7776" w:type="dxa"/>
        <w:tblInd w:w="29" w:type="dxa"/>
        <w:tblCellMar>
          <w:left w:w="43" w:type="dxa"/>
          <w:right w:w="43" w:type="dxa"/>
        </w:tblCellMar>
        <w:tblLook w:val="04A0" w:firstRow="1" w:lastRow="0" w:firstColumn="1" w:lastColumn="0" w:noHBand="0" w:noVBand="1"/>
      </w:tblPr>
      <w:tblGrid>
        <w:gridCol w:w="2562"/>
        <w:gridCol w:w="869"/>
        <w:gridCol w:w="869"/>
        <w:gridCol w:w="869"/>
        <w:gridCol w:w="869"/>
        <w:gridCol w:w="869"/>
        <w:gridCol w:w="869"/>
      </w:tblGrid>
      <w:tr w:rsidR="00A53D7D" w:rsidRPr="00FB64AD" w:rsidTr="005140B4">
        <w:trPr>
          <w:divId w:val="1312254218"/>
        </w:trPr>
        <w:tc>
          <w:tcPr>
            <w:tcW w:w="2562" w:type="dxa"/>
            <w:tcBorders>
              <w:top w:val="single" w:sz="4" w:space="0" w:color="auto"/>
              <w:left w:val="single" w:sz="4" w:space="0" w:color="auto"/>
              <w:bottom w:val="single" w:sz="12" w:space="0" w:color="FFFFFF" w:themeColor="background1"/>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869" w:type="dxa"/>
            <w:tcBorders>
              <w:top w:val="single" w:sz="4" w:space="0" w:color="auto"/>
              <w:left w:val="nil"/>
              <w:bottom w:val="single" w:sz="12" w:space="0" w:color="FFFFFF" w:themeColor="background1"/>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869" w:type="dxa"/>
            <w:tcBorders>
              <w:top w:val="single" w:sz="4" w:space="0" w:color="auto"/>
              <w:left w:val="nil"/>
              <w:bottom w:val="single" w:sz="12" w:space="0" w:color="FFFFFF" w:themeColor="background1"/>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869" w:type="dxa"/>
            <w:tcBorders>
              <w:top w:val="single" w:sz="4" w:space="0" w:color="auto"/>
              <w:left w:val="nil"/>
              <w:bottom w:val="single" w:sz="12" w:space="0" w:color="FFFFFF" w:themeColor="background1"/>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869" w:type="dxa"/>
            <w:tcBorders>
              <w:top w:val="single" w:sz="4" w:space="0" w:color="auto"/>
              <w:left w:val="nil"/>
              <w:bottom w:val="single" w:sz="12" w:space="0" w:color="FFFFFF" w:themeColor="background1"/>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869" w:type="dxa"/>
            <w:tcBorders>
              <w:top w:val="single" w:sz="4" w:space="0" w:color="auto"/>
              <w:left w:val="nil"/>
              <w:bottom w:val="single" w:sz="12" w:space="0" w:color="FFFFFF" w:themeColor="background1"/>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c>
          <w:tcPr>
            <w:tcW w:w="869" w:type="dxa"/>
            <w:tcBorders>
              <w:top w:val="single" w:sz="4" w:space="0" w:color="auto"/>
              <w:left w:val="nil"/>
              <w:bottom w:val="single" w:sz="12" w:space="0" w:color="FFFFFF" w:themeColor="background1"/>
              <w:right w:val="single" w:sz="4"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TEI</w:t>
            </w:r>
          </w:p>
        </w:tc>
      </w:tr>
      <w:tr w:rsidR="00A53D7D" w:rsidRPr="00FB64AD" w:rsidTr="005140B4">
        <w:trPr>
          <w:divId w:val="1312254218"/>
        </w:trPr>
        <w:tc>
          <w:tcPr>
            <w:tcW w:w="2562" w:type="dxa"/>
            <w:tcBorders>
              <w:top w:val="single" w:sz="4" w:space="0" w:color="auto"/>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Effective Management of Victoria</w:t>
            </w:r>
            <w:r>
              <w:rPr>
                <w:b/>
                <w:bCs/>
                <w:lang w:eastAsia="en-AU"/>
              </w:rPr>
              <w:t>’</w:t>
            </w:r>
            <w:r w:rsidRPr="00FB64AD">
              <w:rPr>
                <w:b/>
                <w:bCs/>
                <w:lang w:eastAsia="en-AU"/>
              </w:rPr>
              <w:t>s Land Assets</w:t>
            </w:r>
          </w:p>
        </w:tc>
        <w:tc>
          <w:tcPr>
            <w:tcW w:w="869" w:type="dxa"/>
            <w:tcBorders>
              <w:top w:val="single" w:sz="4" w:space="0" w:color="auto"/>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 xml:space="preserve"> </w:t>
            </w:r>
          </w:p>
        </w:tc>
        <w:tc>
          <w:tcPr>
            <w:tcW w:w="869" w:type="dxa"/>
            <w:tcBorders>
              <w:top w:val="single" w:sz="4" w:space="0" w:color="auto"/>
              <w:left w:val="nil"/>
              <w:bottom w:val="nil"/>
              <w:right w:val="nil"/>
            </w:tcBorders>
            <w:shd w:val="clear" w:color="auto" w:fill="auto"/>
            <w:noWrap/>
            <w:vAlign w:val="bottom"/>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 xml:space="preserve"> </w:t>
            </w:r>
          </w:p>
        </w:tc>
        <w:tc>
          <w:tcPr>
            <w:tcW w:w="869" w:type="dxa"/>
            <w:tcBorders>
              <w:top w:val="single" w:sz="4" w:space="0" w:color="auto"/>
              <w:left w:val="nil"/>
              <w:bottom w:val="nil"/>
              <w:right w:val="nil"/>
            </w:tcBorders>
            <w:shd w:val="clear" w:color="auto" w:fill="auto"/>
            <w:noWrap/>
            <w:vAlign w:val="bottom"/>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 xml:space="preserve"> </w:t>
            </w:r>
          </w:p>
        </w:tc>
        <w:tc>
          <w:tcPr>
            <w:tcW w:w="869" w:type="dxa"/>
            <w:tcBorders>
              <w:top w:val="single" w:sz="4" w:space="0" w:color="auto"/>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 xml:space="preserve"> </w:t>
            </w:r>
          </w:p>
        </w:tc>
        <w:tc>
          <w:tcPr>
            <w:tcW w:w="869" w:type="dxa"/>
            <w:tcBorders>
              <w:top w:val="single" w:sz="4" w:space="0" w:color="auto"/>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 xml:space="preserve"> </w:t>
            </w:r>
          </w:p>
        </w:tc>
        <w:tc>
          <w:tcPr>
            <w:tcW w:w="869" w:type="dxa"/>
            <w:tcBorders>
              <w:top w:val="single" w:sz="4" w:space="0" w:color="auto"/>
              <w:left w:val="nil"/>
              <w:bottom w:val="nil"/>
              <w:right w:val="nil"/>
            </w:tcBorders>
            <w:shd w:val="clear" w:color="auto" w:fill="auto"/>
            <w:noWrap/>
            <w:vAlign w:val="bottom"/>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 xml:space="preserve"> </w:t>
            </w:r>
          </w:p>
        </w:tc>
      </w:tr>
      <w:tr w:rsidR="00A53D7D" w:rsidRPr="00FB64AD" w:rsidTr="005140B4">
        <w:trPr>
          <w:divId w:val="1312254218"/>
        </w:trPr>
        <w:tc>
          <w:tcPr>
            <w:tcW w:w="2562"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Improving tourism in National Parks, State Forests and Public Land</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3.3</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13.4</w:t>
            </w:r>
          </w:p>
        </w:tc>
      </w:tr>
      <w:tr w:rsidR="00A53D7D" w:rsidRPr="00FB64AD" w:rsidTr="005140B4">
        <w:trPr>
          <w:divId w:val="1312254218"/>
        </w:trPr>
        <w:tc>
          <w:tcPr>
            <w:tcW w:w="2562"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Swindler</w:t>
            </w:r>
            <w:r>
              <w:rPr>
                <w:color w:val="000000"/>
                <w:lang w:eastAsia="en-AU"/>
              </w:rPr>
              <w:t>’</w:t>
            </w:r>
            <w:r w:rsidRPr="00FB64AD">
              <w:rPr>
                <w:color w:val="000000"/>
                <w:lang w:eastAsia="en-AU"/>
              </w:rPr>
              <w:t>s Valley maintenance works, Mount Hotham</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6.0</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xml:space="preserve"> </w:t>
            </w:r>
            <w:r w:rsidRPr="00FB64AD">
              <w:rPr>
                <w:rFonts w:cs="Calibri"/>
                <w:color w:val="000000"/>
                <w:lang w:eastAsia="en-AU"/>
              </w:rPr>
              <w:t>7.6</w:t>
            </w:r>
          </w:p>
        </w:tc>
      </w:tr>
      <w:tr w:rsidR="00A53D7D" w:rsidRPr="00FB64AD" w:rsidTr="005140B4">
        <w:trPr>
          <w:divId w:val="1312254218"/>
        </w:trPr>
        <w:tc>
          <w:tcPr>
            <w:tcW w:w="2562"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 xml:space="preserve">Reduced Impact of Major Bushfires and other Emergencies </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 xml:space="preserve"> </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 xml:space="preserve"> </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 xml:space="preserve"> </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 xml:space="preserve"> </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 xml:space="preserve"> </w:t>
            </w:r>
          </w:p>
        </w:tc>
        <w:tc>
          <w:tcPr>
            <w:tcW w:w="869"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 xml:space="preserve"> </w:t>
            </w:r>
          </w:p>
        </w:tc>
      </w:tr>
      <w:tr w:rsidR="00A53D7D" w:rsidRPr="00FB64AD" w:rsidTr="005140B4">
        <w:trPr>
          <w:divId w:val="1312254218"/>
        </w:trPr>
        <w:tc>
          <w:tcPr>
            <w:tcW w:w="2562" w:type="dxa"/>
            <w:tcBorders>
              <w:top w:val="nil"/>
              <w:left w:val="nil"/>
              <w:bottom w:val="single" w:sz="4" w:space="0" w:color="auto"/>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Strategic fuel management </w:t>
            </w:r>
          </w:p>
        </w:tc>
        <w:tc>
          <w:tcPr>
            <w:tcW w:w="869"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9"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869"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869"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9"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9"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10.0</w:t>
            </w:r>
          </w:p>
        </w:tc>
      </w:tr>
      <w:tr w:rsidR="00A53D7D" w:rsidRPr="00FB64AD" w:rsidTr="005140B4">
        <w:trPr>
          <w:divId w:val="1312254218"/>
        </w:trPr>
        <w:tc>
          <w:tcPr>
            <w:tcW w:w="2562" w:type="dxa"/>
            <w:tcBorders>
              <w:top w:val="single" w:sz="4" w:space="0" w:color="auto"/>
              <w:left w:val="nil"/>
              <w:bottom w:val="single" w:sz="12"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asset initiatives</w:t>
            </w:r>
          </w:p>
        </w:tc>
        <w:tc>
          <w:tcPr>
            <w:tcW w:w="869"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1.6</w:t>
            </w:r>
          </w:p>
        </w:tc>
        <w:tc>
          <w:tcPr>
            <w:tcW w:w="869"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14.3</w:t>
            </w:r>
          </w:p>
        </w:tc>
        <w:tc>
          <w:tcPr>
            <w:tcW w:w="869"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8.4</w:t>
            </w:r>
          </w:p>
        </w:tc>
        <w:tc>
          <w:tcPr>
            <w:tcW w:w="869"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3.4</w:t>
            </w:r>
          </w:p>
        </w:tc>
        <w:tc>
          <w:tcPr>
            <w:tcW w:w="869"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3.4</w:t>
            </w:r>
          </w:p>
        </w:tc>
        <w:tc>
          <w:tcPr>
            <w:tcW w:w="869"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31.0</w:t>
            </w:r>
          </w:p>
        </w:tc>
      </w:tr>
    </w:tbl>
    <w:bookmarkEnd w:id="18"/>
    <w:p w:rsidR="00A53D7D" w:rsidRPr="00596ED3" w:rsidRDefault="00A53D7D" w:rsidP="005140B4">
      <w:pPr>
        <w:pStyle w:val="Source"/>
      </w:pPr>
      <w:r w:rsidRPr="00596ED3">
        <w:t xml:space="preserve">Source: Department of Treasury and Finance </w:t>
      </w:r>
      <w:r w:rsidRPr="00596ED3">
        <w:fldChar w:fldCharType="begin"/>
      </w:r>
      <w:r w:rsidRPr="00596ED3">
        <w:instrText xml:space="preserve"> XE "Department of Environment and Primary Industries:Asset initiatives" </w:instrText>
      </w:r>
      <w:r w:rsidRPr="00596ED3">
        <w:fldChar w:fldCharType="end"/>
      </w:r>
    </w:p>
    <w:p w:rsidR="00A53D7D" w:rsidRDefault="00A53D7D">
      <w:pPr>
        <w:spacing w:after="0"/>
        <w:rPr>
          <w:rFonts w:ascii="Calibri" w:hAnsi="Calibri"/>
          <w:i/>
          <w:sz w:val="24"/>
          <w:szCs w:val="22"/>
        </w:rPr>
      </w:pPr>
      <w:r>
        <w:br w:type="page"/>
      </w:r>
    </w:p>
    <w:p w:rsidR="00A53D7D" w:rsidRPr="00596ED3" w:rsidRDefault="00A53D7D" w:rsidP="005140B4">
      <w:pPr>
        <w:pStyle w:val="Heading4"/>
      </w:pPr>
      <w:r w:rsidRPr="00596ED3">
        <w:t>Effective Management of Victoria</w:t>
      </w:r>
      <w:r>
        <w:t>’</w:t>
      </w:r>
      <w:r w:rsidRPr="00596ED3">
        <w:t>s Land Assets</w:t>
      </w:r>
    </w:p>
    <w:p w:rsidR="00A53D7D" w:rsidRPr="00596ED3" w:rsidRDefault="00A53D7D" w:rsidP="005140B4">
      <w:pPr>
        <w:pStyle w:val="Heading5"/>
      </w:pPr>
      <w:r w:rsidRPr="00596ED3">
        <w:t>Improving tourism in National Parks, State Forests and Public Land</w:t>
      </w:r>
    </w:p>
    <w:p w:rsidR="00A53D7D" w:rsidRPr="00596ED3" w:rsidRDefault="00A53D7D" w:rsidP="005140B4">
      <w:r w:rsidRPr="00596ED3">
        <w:t xml:space="preserve">Visitor facilities at Victorian national parks, state </w:t>
      </w:r>
      <w:proofErr w:type="gramStart"/>
      <w:r w:rsidRPr="00596ED3">
        <w:t>forests</w:t>
      </w:r>
      <w:proofErr w:type="gramEnd"/>
      <w:r w:rsidRPr="00596ED3">
        <w:t xml:space="preserve"> and public land will be renewed and replaced to encourage tourism and private sector investment. This will include funding for a Grampians National Park/Halls Gap bushfire recovery assistance package.</w:t>
      </w:r>
    </w:p>
    <w:p w:rsidR="00A53D7D" w:rsidRPr="00596ED3" w:rsidRDefault="00A53D7D" w:rsidP="005140B4">
      <w:r w:rsidRPr="00596ED3">
        <w:t>This initiative contributes to the Department of Environment and Primary Industries</w:t>
      </w:r>
      <w:r>
        <w:t>’</w:t>
      </w:r>
      <w:r w:rsidRPr="00596ED3">
        <w:t xml:space="preserve"> Management of Forests, Parks and Public Land output.</w:t>
      </w:r>
    </w:p>
    <w:p w:rsidR="00A53D7D" w:rsidRPr="00596ED3" w:rsidRDefault="00A53D7D" w:rsidP="005140B4">
      <w:pPr>
        <w:pStyle w:val="Heading5"/>
      </w:pPr>
      <w:r w:rsidRPr="00596ED3">
        <w:t>Swindler</w:t>
      </w:r>
      <w:r>
        <w:t>’</w:t>
      </w:r>
      <w:r w:rsidRPr="00596ED3">
        <w:t>s Valley maintenance works, Mount Hotham</w:t>
      </w:r>
    </w:p>
    <w:p w:rsidR="00A53D7D" w:rsidRPr="00596ED3" w:rsidRDefault="00A53D7D" w:rsidP="005140B4">
      <w:r w:rsidRPr="00596ED3">
        <w:t>A new concrete pipeline will be constructed on Crown land at Swindler</w:t>
      </w:r>
      <w:r>
        <w:t>’</w:t>
      </w:r>
      <w:r w:rsidRPr="00596ED3">
        <w:t>s Valley, Mount Hotham. It will replace a principal pipeline at the alpine resort.</w:t>
      </w:r>
    </w:p>
    <w:p w:rsidR="00A53D7D" w:rsidRPr="00596ED3" w:rsidRDefault="00A53D7D" w:rsidP="005140B4">
      <w:r w:rsidRPr="00596ED3">
        <w:t>This initiative contributes to the Department of Environment and Primary Industries</w:t>
      </w:r>
      <w:r>
        <w:t>’</w:t>
      </w:r>
      <w:r w:rsidRPr="00596ED3">
        <w:t xml:space="preserve"> Management of Forests, Parks and Public Land output.</w:t>
      </w:r>
    </w:p>
    <w:p w:rsidR="00A53D7D" w:rsidRPr="00596ED3" w:rsidRDefault="00A53D7D" w:rsidP="005140B4">
      <w:pPr>
        <w:pStyle w:val="Heading4"/>
      </w:pPr>
      <w:r w:rsidRPr="00596ED3">
        <w:t xml:space="preserve">Reduced Impact of Major Bushfires and other Emergencies </w:t>
      </w:r>
    </w:p>
    <w:p w:rsidR="00A53D7D" w:rsidRPr="00596ED3" w:rsidRDefault="00A53D7D" w:rsidP="005140B4">
      <w:pPr>
        <w:pStyle w:val="Heading5"/>
      </w:pPr>
      <w:r w:rsidRPr="00596ED3">
        <w:t>Strategic fuel management</w:t>
      </w:r>
    </w:p>
    <w:p w:rsidR="00A53D7D" w:rsidRPr="00596ED3" w:rsidRDefault="00A53D7D" w:rsidP="005140B4">
      <w:r w:rsidRPr="00596ED3">
        <w:t>Additional funding is provided to upgrade infrastructure to support fire suppression efforts and the Government</w:t>
      </w:r>
      <w:r>
        <w:t>’</w:t>
      </w:r>
      <w:r w:rsidRPr="00596ED3">
        <w:t xml:space="preserve">s planned burning program. Funding will be provided for the upgrading of the vehicle fleet, air bases, </w:t>
      </w:r>
      <w:proofErr w:type="gramStart"/>
      <w:r w:rsidRPr="00596ED3">
        <w:t>bridges</w:t>
      </w:r>
      <w:proofErr w:type="gramEnd"/>
      <w:r w:rsidRPr="00596ED3">
        <w:t xml:space="preserve"> and roads that are utilised in bushfire mitigation and planned burning efforts.</w:t>
      </w:r>
    </w:p>
    <w:p w:rsidR="00A53D7D" w:rsidRPr="00596ED3" w:rsidRDefault="00A53D7D" w:rsidP="005140B4">
      <w:r w:rsidRPr="00596ED3">
        <w:t>This initiative contributes to the Department of Primary Industries</w:t>
      </w:r>
      <w:r>
        <w:t>’</w:t>
      </w:r>
      <w:r w:rsidRPr="00596ED3">
        <w:t xml:space="preserve"> Fire and Emergency Management output. </w:t>
      </w:r>
    </w:p>
    <w:p w:rsidR="00A53D7D" w:rsidRPr="00596ED3" w:rsidRDefault="00A53D7D" w:rsidP="005140B4"/>
    <w:p w:rsidR="00A53D7D" w:rsidRPr="00596ED3" w:rsidRDefault="00A53D7D" w:rsidP="005140B4">
      <w:pPr>
        <w:spacing w:after="0"/>
        <w:rPr>
          <w:rFonts w:ascii="Calibri" w:hAnsi="Calibri"/>
          <w:b/>
          <w:caps/>
          <w:sz w:val="26"/>
          <w:szCs w:val="22"/>
        </w:rPr>
      </w:pPr>
      <w:r w:rsidRPr="00596ED3">
        <w:br w:type="page"/>
      </w:r>
    </w:p>
    <w:p w:rsidR="00A53D7D" w:rsidRPr="00596ED3" w:rsidRDefault="00A53D7D" w:rsidP="005140B4">
      <w:pPr>
        <w:pStyle w:val="Heading1"/>
      </w:pPr>
      <w:bookmarkStart w:id="19" w:name="_Toc386364062"/>
      <w:bookmarkStart w:id="20" w:name="_Toc407116895"/>
      <w:r w:rsidRPr="00596ED3">
        <w:t>Department of Health</w:t>
      </w:r>
      <w:bookmarkEnd w:id="19"/>
      <w:bookmarkEnd w:id="20"/>
    </w:p>
    <w:p w:rsidR="00A53D7D" w:rsidRPr="00596ED3" w:rsidRDefault="00A53D7D" w:rsidP="005140B4">
      <w:r w:rsidRPr="00596ED3">
        <w:t>The 2014</w:t>
      </w:r>
      <w:r>
        <w:noBreakHyphen/>
      </w:r>
      <w:r w:rsidRPr="00596ED3">
        <w:t>15 financial year represents the first year of full implementation of the National Health Reform Agreement (NHRA). The NHRA provides the basis for determining the level of Commonwealth matching funding, which is calculated on the level of activity delivered by the State. Under the agreement, the Commonwealth provides new funding for growth in activity consistent with a national efficient price (NEP) each year. The level of hospital activity is determined by the State, with funding and activity targets set through the annual budget process. The actual level of Commonwealth matching funding for any year is not known until after the completion of the year, based on actual level of activity delivered.</w:t>
      </w:r>
    </w:p>
    <w:p w:rsidR="00A53D7D" w:rsidRPr="00596ED3" w:rsidRDefault="00A53D7D" w:rsidP="005140B4">
      <w:pPr>
        <w:pStyle w:val="Heading3"/>
      </w:pPr>
      <w:r w:rsidRPr="00596ED3">
        <w:t>Output initiatives</w:t>
      </w:r>
    </w:p>
    <w:p w:rsidR="00A53D7D" w:rsidRPr="00596ED3" w:rsidRDefault="00A53D7D" w:rsidP="005140B4">
      <w:pPr>
        <w:pStyle w:val="Tableheading"/>
      </w:pPr>
      <w:r w:rsidRPr="00596ED3">
        <w:t xml:space="preserve">Table 1.7: </w:t>
      </w:r>
      <w:r w:rsidRPr="00596ED3">
        <w:tab/>
        <w:t>Output initiatives – Health</w:t>
      </w:r>
    </w:p>
    <w:p w:rsidR="00A53D7D" w:rsidRDefault="00A53D7D" w:rsidP="005140B4">
      <w:pPr>
        <w:pStyle w:val="million"/>
        <w:rPr>
          <w:rFonts w:ascii="Times New Roman" w:hAnsi="Times New Roman"/>
          <w:sz w:val="20"/>
          <w:lang w:eastAsia="en-AU"/>
        </w:rPr>
      </w:pPr>
      <w:r w:rsidRPr="00596ED3">
        <w:t>($</w:t>
      </w:r>
      <w:r>
        <w:t> million</w:t>
      </w:r>
      <w:r w:rsidRPr="00596ED3">
        <w:t>)</w:t>
      </w:r>
      <w:bookmarkStart w:id="21" w:name="RANGE!A3:F32"/>
    </w:p>
    <w:tbl>
      <w:tblPr>
        <w:tblW w:w="7776" w:type="dxa"/>
        <w:tblInd w:w="29" w:type="dxa"/>
        <w:tblLayout w:type="fixed"/>
        <w:tblCellMar>
          <w:left w:w="43" w:type="dxa"/>
          <w:right w:w="43" w:type="dxa"/>
        </w:tblCellMar>
        <w:tblLook w:val="04A0" w:firstRow="1" w:lastRow="0" w:firstColumn="1" w:lastColumn="0" w:noHBand="0" w:noVBand="1"/>
      </w:tblPr>
      <w:tblGrid>
        <w:gridCol w:w="2810"/>
        <w:gridCol w:w="994"/>
        <w:gridCol w:w="993"/>
        <w:gridCol w:w="993"/>
        <w:gridCol w:w="993"/>
        <w:gridCol w:w="993"/>
      </w:tblGrid>
      <w:tr w:rsidR="00A53D7D" w:rsidRPr="00FB64AD" w:rsidTr="005140B4">
        <w:trPr>
          <w:divId w:val="1069621900"/>
          <w:cantSplit/>
          <w:tblHeader/>
        </w:trPr>
        <w:tc>
          <w:tcPr>
            <w:tcW w:w="2810" w:type="dxa"/>
            <w:tcBorders>
              <w:top w:val="single" w:sz="6" w:space="0" w:color="auto"/>
              <w:left w:val="single" w:sz="6"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994"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993" w:type="dxa"/>
            <w:tcBorders>
              <w:top w:val="single" w:sz="6" w:space="0" w:color="auto"/>
              <w:left w:val="nil"/>
              <w:bottom w:val="single" w:sz="4" w:space="0" w:color="auto"/>
              <w:right w:val="single" w:sz="6"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r>
      <w:tr w:rsidR="00A53D7D" w:rsidRPr="00FB64AD" w:rsidTr="005140B4">
        <w:trPr>
          <w:divId w:val="1069621900"/>
          <w:cantSplit/>
        </w:trPr>
        <w:tc>
          <w:tcPr>
            <w:tcW w:w="2810" w:type="dxa"/>
            <w:tcBorders>
              <w:top w:val="single" w:sz="6" w:space="0" w:color="auto"/>
              <w:left w:val="nil"/>
              <w:bottom w:val="nil"/>
              <w:right w:val="nil"/>
            </w:tcBorders>
            <w:shd w:val="clear" w:color="auto" w:fill="auto"/>
            <w:vAlign w:val="bottom"/>
            <w:hideMark/>
          </w:tcPr>
          <w:p w:rsidR="00A53D7D" w:rsidRPr="00FB64AD" w:rsidRDefault="00A53D7D" w:rsidP="005140B4">
            <w:pPr>
              <w:pStyle w:val="Tabletext"/>
              <w:rPr>
                <w:rFonts w:cs="Calibri"/>
                <w:b/>
                <w:bCs/>
                <w:lang w:eastAsia="en-AU"/>
              </w:rPr>
            </w:pPr>
            <w:r w:rsidRPr="00FB64AD">
              <w:rPr>
                <w:b/>
                <w:bCs/>
                <w:lang w:eastAsia="en-AU"/>
              </w:rPr>
              <w:t xml:space="preserve">Acute Health </w:t>
            </w:r>
            <w:r w:rsidRPr="00FB64AD">
              <w:rPr>
                <w:rFonts w:cs="Calibri"/>
                <w:b/>
                <w:bCs/>
                <w:lang w:eastAsia="en-AU"/>
              </w:rPr>
              <w:t>Services</w:t>
            </w:r>
          </w:p>
        </w:tc>
        <w:tc>
          <w:tcPr>
            <w:tcW w:w="994"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color w:val="000000"/>
                <w:lang w:eastAsia="en-AU"/>
              </w:rPr>
            </w:pPr>
            <w:r w:rsidRPr="00FB64AD">
              <w:rPr>
                <w:color w:val="000000"/>
                <w:lang w:eastAsia="en-AU"/>
              </w:rPr>
              <w:t xml:space="preserve"> </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Addressing violence against women and children</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Boosting elective surgery capacity </w:t>
            </w:r>
            <w:r w:rsidRPr="00FB64AD">
              <w:rPr>
                <w:color w:val="000000"/>
                <w:vertAlign w:val="superscript"/>
                <w:lang w:eastAsia="en-AU"/>
              </w:rPr>
              <w:t>(a)</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45.4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46.8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48.2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49.7</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Enhancing access to health services for rural and regional Victorians</w:t>
            </w:r>
            <w:r>
              <w:rPr>
                <w:color w:val="000000"/>
                <w:lang w:eastAsia="en-AU"/>
              </w:rPr>
              <w:t xml:space="preserve"> – </w:t>
            </w:r>
            <w:r w:rsidRPr="00FB64AD">
              <w:rPr>
                <w:color w:val="000000"/>
                <w:lang w:eastAsia="en-AU"/>
              </w:rPr>
              <w:t>VPTAS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3.6</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Health services winter demand capacity enhancement </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60.0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Improving bariatric patient care and access to services </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Responding to patient demand growth</w:t>
            </w:r>
            <w:r w:rsidRPr="00FB64AD">
              <w:rPr>
                <w:color w:val="000000"/>
                <w:vertAlign w:val="superscript"/>
                <w:lang w:eastAsia="en-AU"/>
              </w:rPr>
              <w:t xml:space="preserve"> (a)</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179.4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183.8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188.4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193.1</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Ageing, Aged and Home Care</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Delivering care in the home</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5.4</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Ambulance Services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r>
      <w:tr w:rsidR="00A53D7D" w:rsidRPr="00FB64AD" w:rsidTr="005140B4">
        <w:trPr>
          <w:divId w:val="1069621900"/>
          <w:cantSplit/>
        </w:trPr>
        <w:tc>
          <w:tcPr>
            <w:tcW w:w="2810" w:type="dxa"/>
            <w:tcBorders>
              <w:top w:val="nil"/>
              <w:left w:val="nil"/>
              <w:bottom w:val="nil"/>
              <w:right w:val="nil"/>
            </w:tcBorders>
            <w:shd w:val="clear" w:color="auto" w:fill="auto"/>
            <w:noWrap/>
            <w:vAlign w:val="bottom"/>
            <w:hideMark/>
          </w:tcPr>
          <w:p w:rsidR="00A53D7D" w:rsidRPr="00FB64AD" w:rsidRDefault="00A53D7D" w:rsidP="005140B4">
            <w:pPr>
              <w:pStyle w:val="Tabletext"/>
              <w:rPr>
                <w:color w:val="000000"/>
                <w:lang w:eastAsia="en-AU"/>
              </w:rPr>
            </w:pPr>
            <w:r w:rsidRPr="00FB64AD">
              <w:rPr>
                <w:color w:val="000000"/>
                <w:lang w:eastAsia="en-AU"/>
              </w:rPr>
              <w:t xml:space="preserve">Responding to ambulance service growth </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6.6</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069621900"/>
          <w:cantSplit/>
        </w:trPr>
        <w:tc>
          <w:tcPr>
            <w:tcW w:w="2810"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Mental Health</w:t>
            </w:r>
          </w:p>
        </w:tc>
        <w:tc>
          <w:tcPr>
            <w:tcW w:w="994" w:type="dxa"/>
            <w:tcBorders>
              <w:top w:val="nil"/>
              <w:left w:val="nil"/>
              <w:bottom w:val="nil"/>
              <w:right w:val="nil"/>
            </w:tcBorders>
            <w:shd w:val="clear" w:color="auto" w:fill="auto"/>
            <w:noWrap/>
            <w:vAlign w:val="bottom"/>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color w:val="000000"/>
                <w:lang w:eastAsia="en-AU"/>
              </w:rPr>
            </w:pPr>
            <w:r w:rsidRPr="00FB64AD">
              <w:rPr>
                <w:color w:val="000000"/>
                <w:lang w:eastAsia="en-AU"/>
              </w:rPr>
              <w:t xml:space="preserve"> </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Housing support for people with a mental illness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Mental health demand management for complex and longer stay patients </w:t>
            </w:r>
            <w:r w:rsidRPr="00FB64AD">
              <w:rPr>
                <w:color w:val="000000"/>
                <w:vertAlign w:val="superscript"/>
                <w:lang w:eastAsia="en-AU"/>
              </w:rPr>
              <w:t>(a)</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9.5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18.2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22.7</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Prevention and recovery care units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5.5</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keepNext/>
              <w:rPr>
                <w:b/>
                <w:bCs/>
                <w:color w:val="000000"/>
                <w:lang w:eastAsia="en-AU"/>
              </w:rPr>
            </w:pPr>
            <w:r w:rsidRPr="00FB64AD">
              <w:rPr>
                <w:b/>
                <w:bCs/>
                <w:color w:val="000000"/>
                <w:lang w:eastAsia="en-AU"/>
              </w:rPr>
              <w:t>Primary, Community and Dental Health</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keepNext/>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keepNext/>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keepNext/>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keepNext/>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keepNext/>
              <w:rPr>
                <w:color w:val="000000"/>
                <w:lang w:eastAsia="en-AU"/>
              </w:rPr>
            </w:pPr>
            <w:r w:rsidRPr="00FB64AD">
              <w:rPr>
                <w:color w:val="000000"/>
                <w:lang w:eastAsia="en-AU"/>
              </w:rPr>
              <w:t xml:space="preserve"> </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Improving health outcomes for at risk pregnant women and their babies </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2.6</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2.6</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National diabetes syringe scheme</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1.8</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Public Health</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w:t>
            </w:r>
            <w:r>
              <w:rPr>
                <w:color w:val="000000"/>
                <w:lang w:eastAsia="en-AU"/>
              </w:rPr>
              <w:t>nzac</w:t>
            </w:r>
            <w:r w:rsidRPr="00FB64AD">
              <w:rPr>
                <w:color w:val="000000"/>
                <w:lang w:eastAsia="en-AU"/>
              </w:rPr>
              <w:t xml:space="preserve"> </w:t>
            </w:r>
            <w:r>
              <w:rPr>
                <w:color w:val="000000"/>
                <w:lang w:eastAsia="en-AU"/>
              </w:rPr>
              <w:t>c</w:t>
            </w:r>
            <w:r w:rsidRPr="00FB64AD">
              <w:rPr>
                <w:color w:val="000000"/>
                <w:lang w:eastAsia="en-AU"/>
              </w:rPr>
              <w:t xml:space="preserve">entenary </w:t>
            </w:r>
            <w:r>
              <w:rPr>
                <w:color w:val="000000"/>
                <w:lang w:eastAsia="en-AU"/>
              </w:rPr>
              <w:t>‘</w:t>
            </w:r>
            <w:r w:rsidRPr="00FB64AD">
              <w:rPr>
                <w:color w:val="000000"/>
                <w:lang w:eastAsia="en-AU"/>
              </w:rPr>
              <w:t>Lest we Forget</w:t>
            </w:r>
            <w:r>
              <w:rPr>
                <w:color w:val="000000"/>
                <w:lang w:eastAsia="en-AU"/>
              </w:rPr>
              <w:t>’</w:t>
            </w:r>
            <w:r w:rsidRPr="00FB64AD">
              <w:rPr>
                <w:color w:val="000000"/>
                <w:lang w:eastAsia="en-AU"/>
              </w:rPr>
              <w:t xml:space="preserve"> grants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Drug Services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Tackling ice and other drug use </w:t>
            </w:r>
            <w:r w:rsidRPr="00FB64AD">
              <w:rPr>
                <w:color w:val="000000"/>
                <w:vertAlign w:val="superscript"/>
                <w:lang w:eastAsia="en-AU"/>
              </w:rPr>
              <w:t>(a)</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7.6</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8.0</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 xml:space="preserve">Other </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Social and Community Services Equal Remuneration Order </w:t>
            </w:r>
            <w:r w:rsidRPr="00FB64AD">
              <w:rPr>
                <w:color w:val="000000"/>
                <w:vertAlign w:val="superscript"/>
                <w:lang w:eastAsia="en-AU"/>
              </w:rPr>
              <w:t>(b)</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2.9</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069621900"/>
          <w:cantSplit/>
        </w:trPr>
        <w:tc>
          <w:tcPr>
            <w:tcW w:w="2810" w:type="dxa"/>
            <w:tcBorders>
              <w:top w:val="single" w:sz="4" w:space="0" w:color="auto"/>
              <w:left w:val="nil"/>
              <w:bottom w:val="single" w:sz="8"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Sub total output initiatives</w:t>
            </w:r>
          </w:p>
        </w:tc>
        <w:tc>
          <w:tcPr>
            <w:tcW w:w="994"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331.3</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277.1</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287.9</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295.8</w:t>
            </w:r>
          </w:p>
        </w:tc>
      </w:tr>
      <w:tr w:rsidR="00A53D7D" w:rsidRPr="00FB64AD" w:rsidTr="005140B4">
        <w:trPr>
          <w:divId w:val="1069621900"/>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Existing resources </w:t>
            </w:r>
            <w:r w:rsidRPr="00FB64AD">
              <w:rPr>
                <w:color w:val="000000"/>
                <w:vertAlign w:val="superscript"/>
                <w:lang w:eastAsia="en-AU"/>
              </w:rPr>
              <w:t>(c)</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( 1.2)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( 1.2)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( 1.5)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( 1.8)</w:t>
            </w:r>
          </w:p>
        </w:tc>
      </w:tr>
      <w:tr w:rsidR="00A53D7D" w:rsidRPr="00FB64AD" w:rsidTr="005140B4">
        <w:trPr>
          <w:divId w:val="1069621900"/>
          <w:cantSplit/>
        </w:trPr>
        <w:tc>
          <w:tcPr>
            <w:tcW w:w="2810" w:type="dxa"/>
            <w:tcBorders>
              <w:top w:val="single" w:sz="4" w:space="0" w:color="auto"/>
              <w:left w:val="nil"/>
              <w:bottom w:val="single" w:sz="8"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output initiatives</w:t>
            </w:r>
          </w:p>
        </w:tc>
        <w:tc>
          <w:tcPr>
            <w:tcW w:w="994"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330.2</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275.9</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286.4</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293.9</w:t>
            </w:r>
          </w:p>
        </w:tc>
      </w:tr>
    </w:tbl>
    <w:bookmarkEnd w:id="21"/>
    <w:p w:rsidR="00A53D7D" w:rsidRPr="00596ED3" w:rsidRDefault="00A53D7D" w:rsidP="005140B4">
      <w:pPr>
        <w:pStyle w:val="Source"/>
      </w:pPr>
      <w:r w:rsidRPr="00596ED3">
        <w:t>Source: Department of Treasury and Finance</w:t>
      </w:r>
      <w:r w:rsidRPr="00596ED3">
        <w:fldChar w:fldCharType="begin"/>
      </w:r>
      <w:r w:rsidRPr="00596ED3">
        <w:instrText xml:space="preserve"> XE "Department of Health:Output initiatives" </w:instrText>
      </w:r>
      <w:r w:rsidRPr="00596ED3">
        <w:fldChar w:fldCharType="end"/>
      </w:r>
    </w:p>
    <w:p w:rsidR="00A53D7D" w:rsidRPr="00596ED3" w:rsidRDefault="00A53D7D" w:rsidP="005140B4">
      <w:pPr>
        <w:pStyle w:val="Notes"/>
      </w:pPr>
      <w:r w:rsidRPr="00596ED3">
        <w:t>Note:</w:t>
      </w:r>
    </w:p>
    <w:p w:rsidR="00A53D7D" w:rsidRPr="00596ED3" w:rsidRDefault="00A53D7D" w:rsidP="005140B4">
      <w:pPr>
        <w:pStyle w:val="Notes"/>
      </w:pPr>
      <w:r w:rsidRPr="00596ED3">
        <w:t>(a)</w:t>
      </w:r>
      <w:r w:rsidRPr="00596ED3">
        <w:tab/>
        <w:t>This initiative contributes to activity that attracts Commonwealth funding under the National Health Reform Agreement. Estimates of the Commonwealth</w:t>
      </w:r>
      <w:r>
        <w:t>’</w:t>
      </w:r>
      <w:r w:rsidRPr="00596ED3">
        <w:t>s contribution are included.</w:t>
      </w:r>
    </w:p>
    <w:p w:rsidR="00A53D7D" w:rsidRPr="00596ED3" w:rsidRDefault="00A53D7D" w:rsidP="005140B4">
      <w:pPr>
        <w:pStyle w:val="Notes"/>
      </w:pPr>
      <w:r w:rsidRPr="00596ED3">
        <w:t>(b)</w:t>
      </w:r>
      <w:r w:rsidRPr="00596ED3">
        <w:tab/>
        <w:t>This funding is in addition to the $200</w:t>
      </w:r>
      <w:r>
        <w:t> million</w:t>
      </w:r>
      <w:r w:rsidRPr="00596ED3">
        <w:t xml:space="preserve"> announced in the </w:t>
      </w:r>
      <w:r w:rsidRPr="00C07E8A">
        <w:rPr>
          <w:i w:val="0"/>
        </w:rPr>
        <w:t>2011</w:t>
      </w:r>
      <w:r w:rsidRPr="00C07E8A">
        <w:rPr>
          <w:i w:val="0"/>
        </w:rPr>
        <w:noBreakHyphen/>
        <w:t>12 Budget</w:t>
      </w:r>
      <w:r w:rsidRPr="00596ED3">
        <w:t xml:space="preserve"> which was provided to the departments of Human Services, Health, Justice and Education and Early Childhood Development. </w:t>
      </w:r>
    </w:p>
    <w:p w:rsidR="00A53D7D" w:rsidRPr="00596ED3" w:rsidRDefault="00A53D7D" w:rsidP="005140B4">
      <w:pPr>
        <w:pStyle w:val="Notes"/>
      </w:pPr>
      <w:r w:rsidRPr="00596ED3">
        <w:t>(c)</w:t>
      </w:r>
      <w:r w:rsidRPr="00596ED3">
        <w:tab/>
        <w:t>Existing departmental resources have been reallocated to contribute to the delivery of new initiatives.</w:t>
      </w:r>
    </w:p>
    <w:p w:rsidR="00A53D7D" w:rsidRPr="00596ED3" w:rsidRDefault="00A53D7D" w:rsidP="005140B4">
      <w:pPr>
        <w:pStyle w:val="Heading4"/>
      </w:pPr>
      <w:bookmarkStart w:id="22" w:name="Acutehealthsvces"/>
      <w:r w:rsidRPr="00596ED3">
        <w:t>Acute Health Services</w:t>
      </w:r>
    </w:p>
    <w:p w:rsidR="00A53D7D" w:rsidRPr="00596ED3" w:rsidRDefault="00A53D7D" w:rsidP="005140B4">
      <w:pPr>
        <w:pStyle w:val="Heading5"/>
      </w:pPr>
      <w:r w:rsidRPr="00596ED3">
        <w:t>Addressing violence against women and children</w:t>
      </w:r>
    </w:p>
    <w:p w:rsidR="00A53D7D" w:rsidRPr="00596ED3" w:rsidRDefault="00A53D7D" w:rsidP="005140B4">
      <w:pPr>
        <w:rPr>
          <w:rFonts w:cstheme="minorHAnsi"/>
          <w:szCs w:val="22"/>
        </w:rPr>
      </w:pPr>
      <w:r w:rsidRPr="00596ED3">
        <w:rPr>
          <w:rFonts w:cstheme="minorHAnsi"/>
          <w:szCs w:val="22"/>
        </w:rPr>
        <w:t xml:space="preserve">Funding is provided for emergency departments to develop quality protocols, </w:t>
      </w:r>
      <w:proofErr w:type="gramStart"/>
      <w:r w:rsidRPr="00596ED3">
        <w:rPr>
          <w:rFonts w:cstheme="minorHAnsi"/>
          <w:szCs w:val="22"/>
        </w:rPr>
        <w:t>tools</w:t>
      </w:r>
      <w:proofErr w:type="gramEnd"/>
      <w:r w:rsidRPr="00596ED3">
        <w:rPr>
          <w:rFonts w:cstheme="minorHAnsi"/>
          <w:szCs w:val="22"/>
        </w:rPr>
        <w:t xml:space="preserve"> and data collection to better identify, respond and intervene early in instances of family violence and sexual assault. </w:t>
      </w:r>
    </w:p>
    <w:p w:rsidR="00A53D7D" w:rsidRPr="00596ED3" w:rsidRDefault="00A53D7D" w:rsidP="005140B4">
      <w:r w:rsidRPr="00596ED3">
        <w:t>This initiative contributes to the Department of Health</w:t>
      </w:r>
      <w:r>
        <w:t>’</w:t>
      </w:r>
      <w:r w:rsidRPr="00596ED3">
        <w:t>s Emergency Services output.</w:t>
      </w:r>
    </w:p>
    <w:p w:rsidR="00A53D7D" w:rsidRPr="00596ED3" w:rsidRDefault="00A53D7D" w:rsidP="005140B4">
      <w:pPr>
        <w:pStyle w:val="Heading5"/>
      </w:pPr>
      <w:r w:rsidRPr="00596ED3">
        <w:t>Boosting elective surgery capacity</w:t>
      </w:r>
    </w:p>
    <w:p w:rsidR="00A53D7D" w:rsidRPr="00596ED3" w:rsidRDefault="00A53D7D" w:rsidP="005140B4">
      <w:pPr>
        <w:rPr>
          <w:rFonts w:cstheme="minorHAnsi"/>
          <w:szCs w:val="22"/>
        </w:rPr>
      </w:pPr>
      <w:r w:rsidRPr="00596ED3">
        <w:rPr>
          <w:rFonts w:cstheme="minorHAnsi"/>
          <w:szCs w:val="22"/>
        </w:rPr>
        <w:t xml:space="preserve">An additional pool of funding will be allocated on a competitive basis to drive efficiencies in elective surgery, meet increasing levels of </w:t>
      </w:r>
      <w:proofErr w:type="gramStart"/>
      <w:r w:rsidRPr="00596ED3">
        <w:rPr>
          <w:rFonts w:cstheme="minorHAnsi"/>
          <w:szCs w:val="22"/>
        </w:rPr>
        <w:t>demand</w:t>
      </w:r>
      <w:proofErr w:type="gramEnd"/>
      <w:r w:rsidRPr="00596ED3">
        <w:rPr>
          <w:rFonts w:cstheme="minorHAnsi"/>
          <w:szCs w:val="22"/>
        </w:rPr>
        <w:t xml:space="preserve"> and treat more Victorian elective surgery patients sooner. </w:t>
      </w:r>
    </w:p>
    <w:p w:rsidR="00A53D7D" w:rsidRPr="00596ED3" w:rsidRDefault="00A53D7D" w:rsidP="005140B4">
      <w:r w:rsidRPr="00596ED3">
        <w:t>This initiative contributes to the Department of Health</w:t>
      </w:r>
      <w:r>
        <w:t>’</w:t>
      </w:r>
      <w:r w:rsidRPr="00596ED3">
        <w:t>s Admitted Services output.</w:t>
      </w:r>
    </w:p>
    <w:p w:rsidR="00A53D7D" w:rsidRPr="00596ED3" w:rsidRDefault="00A53D7D" w:rsidP="005140B4">
      <w:pPr>
        <w:pStyle w:val="Heading5"/>
      </w:pPr>
      <w:r w:rsidRPr="00596ED3">
        <w:t>Enhancing access to health services for rural and regional Victorians – VPTAS</w:t>
      </w:r>
    </w:p>
    <w:p w:rsidR="00A53D7D" w:rsidRPr="00596ED3" w:rsidRDefault="00A53D7D" w:rsidP="005140B4">
      <w:pPr>
        <w:rPr>
          <w:rFonts w:cstheme="minorHAnsi"/>
          <w:szCs w:val="22"/>
        </w:rPr>
      </w:pPr>
      <w:r w:rsidRPr="00596ED3">
        <w:rPr>
          <w:rFonts w:cstheme="minorHAnsi"/>
          <w:szCs w:val="22"/>
        </w:rPr>
        <w:t>Additional funding will be provided to expand Victorian Patient Transport Assistance Scheme (VPTAS) support. The program provides travel and accommodation services for rural Victorians who require specialised care at metropolitan or larger regional services. The funding will meet expected growth in activity and increase the level of subsidies.</w:t>
      </w:r>
    </w:p>
    <w:p w:rsidR="00A53D7D" w:rsidRPr="00596ED3" w:rsidRDefault="00A53D7D" w:rsidP="005140B4">
      <w:r w:rsidRPr="00596ED3">
        <w:t>This initiative contributes to the Department of Health</w:t>
      </w:r>
      <w:r>
        <w:t>’</w:t>
      </w:r>
      <w:r w:rsidRPr="00596ED3">
        <w:t>s Admitted Services output.</w:t>
      </w:r>
    </w:p>
    <w:p w:rsidR="00A53D7D" w:rsidRPr="00596ED3" w:rsidRDefault="00A53D7D" w:rsidP="005140B4">
      <w:pPr>
        <w:pStyle w:val="Heading5"/>
      </w:pPr>
      <w:r w:rsidRPr="00596ED3">
        <w:t>Health services winter demand capacity enhancement</w:t>
      </w:r>
    </w:p>
    <w:p w:rsidR="00A53D7D" w:rsidRPr="00596ED3" w:rsidRDefault="00A53D7D" w:rsidP="005140B4">
      <w:pPr>
        <w:rPr>
          <w:rFonts w:cstheme="minorHAnsi"/>
          <w:szCs w:val="22"/>
        </w:rPr>
      </w:pPr>
      <w:r w:rsidRPr="00596ED3">
        <w:rPr>
          <w:rFonts w:cstheme="minorHAnsi"/>
          <w:szCs w:val="22"/>
        </w:rPr>
        <w:t>Funding is provided to boost health service capacity during the winter months in metropolitan and regional health centres. This initiative will improve patient access to services during periods of significant increase in demand.</w:t>
      </w:r>
    </w:p>
    <w:p w:rsidR="00A53D7D" w:rsidRPr="00596ED3" w:rsidRDefault="00A53D7D" w:rsidP="005140B4">
      <w:r w:rsidRPr="00596ED3">
        <w:t>This initiative contributes to the Department of Health</w:t>
      </w:r>
      <w:r>
        <w:t>’</w:t>
      </w:r>
      <w:r w:rsidRPr="00596ED3">
        <w:t>s Admitted Services output.</w:t>
      </w:r>
    </w:p>
    <w:p w:rsidR="00A53D7D" w:rsidRPr="00596ED3" w:rsidRDefault="00A53D7D" w:rsidP="005140B4">
      <w:pPr>
        <w:pStyle w:val="Heading5"/>
      </w:pPr>
      <w:r w:rsidRPr="00596ED3">
        <w:t>Improving bariatric patient care and access to services</w:t>
      </w:r>
    </w:p>
    <w:p w:rsidR="00A53D7D" w:rsidRPr="00596ED3" w:rsidRDefault="00A53D7D" w:rsidP="005140B4">
      <w:pPr>
        <w:rPr>
          <w:rFonts w:cstheme="minorHAnsi"/>
          <w:szCs w:val="22"/>
        </w:rPr>
      </w:pPr>
      <w:r w:rsidRPr="00596ED3">
        <w:rPr>
          <w:rFonts w:cstheme="minorHAnsi"/>
          <w:szCs w:val="22"/>
        </w:rPr>
        <w:t>Funding is provided to enable necessary care for bariatric patients in Victoria</w:t>
      </w:r>
      <w:r>
        <w:rPr>
          <w:rFonts w:cstheme="minorHAnsi"/>
          <w:szCs w:val="22"/>
        </w:rPr>
        <w:t>’</w:t>
      </w:r>
      <w:r w:rsidRPr="00596ED3">
        <w:rPr>
          <w:rFonts w:cstheme="minorHAnsi"/>
          <w:szCs w:val="22"/>
        </w:rPr>
        <w:t xml:space="preserve">s health system. The initiative improves patient access to services by consolidating services and increasing the number of bariatric procedures undertaken each year, in partnership with Austin Health, Alfred </w:t>
      </w:r>
      <w:proofErr w:type="gramStart"/>
      <w:r w:rsidRPr="00596ED3">
        <w:rPr>
          <w:rFonts w:cstheme="minorHAnsi"/>
          <w:szCs w:val="22"/>
        </w:rPr>
        <w:t>Health</w:t>
      </w:r>
      <w:proofErr w:type="gramEnd"/>
      <w:r w:rsidRPr="00596ED3">
        <w:rPr>
          <w:rFonts w:cstheme="minorHAnsi"/>
          <w:szCs w:val="22"/>
        </w:rPr>
        <w:t xml:space="preserve"> and Western District Health Service. </w:t>
      </w:r>
    </w:p>
    <w:p w:rsidR="00A53D7D" w:rsidRPr="00596ED3" w:rsidRDefault="00A53D7D" w:rsidP="005140B4">
      <w:r w:rsidRPr="00596ED3">
        <w:t>This initiative contributes to the Department of Health</w:t>
      </w:r>
      <w:r>
        <w:t>’</w:t>
      </w:r>
      <w:r w:rsidRPr="00596ED3">
        <w:t>s Admitted Services output.</w:t>
      </w:r>
    </w:p>
    <w:p w:rsidR="00A53D7D" w:rsidRPr="00596ED3" w:rsidRDefault="00A53D7D" w:rsidP="005140B4">
      <w:pPr>
        <w:pStyle w:val="Heading5"/>
      </w:pPr>
      <w:r w:rsidRPr="00596ED3">
        <w:t>Responding to patient demand growth</w:t>
      </w:r>
    </w:p>
    <w:p w:rsidR="00A53D7D" w:rsidRPr="00596ED3" w:rsidRDefault="00A53D7D" w:rsidP="005140B4">
      <w:pPr>
        <w:rPr>
          <w:rFonts w:cstheme="minorHAnsi"/>
          <w:szCs w:val="22"/>
        </w:rPr>
      </w:pPr>
      <w:r w:rsidRPr="00596ED3">
        <w:rPr>
          <w:rFonts w:cstheme="minorHAnsi"/>
          <w:szCs w:val="22"/>
        </w:rPr>
        <w:t xml:space="preserve">Funding is provided to enable Victorian health services to respond to growing patient demand for services, ensuring more patients will receive the services they need. The range of services funded under this initiative includes emergency department presentations and admissions, intensive care and maternity services. More chemotherapy, </w:t>
      </w:r>
      <w:proofErr w:type="gramStart"/>
      <w:r w:rsidRPr="00596ED3">
        <w:rPr>
          <w:rFonts w:cstheme="minorHAnsi"/>
          <w:szCs w:val="22"/>
        </w:rPr>
        <w:t>dialysis</w:t>
      </w:r>
      <w:proofErr w:type="gramEnd"/>
      <w:r w:rsidRPr="00596ED3">
        <w:rPr>
          <w:rFonts w:cstheme="minorHAnsi"/>
          <w:szCs w:val="22"/>
        </w:rPr>
        <w:t xml:space="preserve"> and radiation services will also be funded under this initiative. A pilot funding model for heart, </w:t>
      </w:r>
      <w:proofErr w:type="gramStart"/>
      <w:r w:rsidRPr="00596ED3">
        <w:rPr>
          <w:rFonts w:cstheme="minorHAnsi"/>
          <w:szCs w:val="22"/>
        </w:rPr>
        <w:t>lung</w:t>
      </w:r>
      <w:proofErr w:type="gramEnd"/>
      <w:r w:rsidRPr="00596ED3">
        <w:rPr>
          <w:rFonts w:cstheme="minorHAnsi"/>
          <w:szCs w:val="22"/>
        </w:rPr>
        <w:t xml:space="preserve"> and heart/lung transplants will be implemented with Alfred Health. This will provide greater flexibility in funding arrangements to accommodate variability in transplant activity levels.</w:t>
      </w:r>
    </w:p>
    <w:p w:rsidR="00A53D7D" w:rsidRPr="00596ED3" w:rsidRDefault="00A53D7D" w:rsidP="005140B4">
      <w:r w:rsidRPr="00596ED3">
        <w:t>This initiative contributes to the Department of Health</w:t>
      </w:r>
      <w:r>
        <w:t>’</w:t>
      </w:r>
      <w:r w:rsidRPr="00596ED3">
        <w:t>s:</w:t>
      </w:r>
    </w:p>
    <w:p w:rsidR="00A53D7D" w:rsidRPr="00596ED3" w:rsidRDefault="00A53D7D" w:rsidP="005140B4">
      <w:pPr>
        <w:pStyle w:val="BulletText"/>
      </w:pPr>
      <w:r w:rsidRPr="00596ED3">
        <w:t xml:space="preserve">Admitted Services output; </w:t>
      </w:r>
    </w:p>
    <w:p w:rsidR="00A53D7D" w:rsidRPr="00596ED3" w:rsidRDefault="00A53D7D" w:rsidP="005140B4">
      <w:pPr>
        <w:pStyle w:val="BulletText"/>
      </w:pPr>
      <w:r w:rsidRPr="00596ED3">
        <w:t>Non</w:t>
      </w:r>
      <w:r>
        <w:noBreakHyphen/>
      </w:r>
      <w:r w:rsidRPr="00596ED3">
        <w:t>Admitted Services output; and</w:t>
      </w:r>
    </w:p>
    <w:p w:rsidR="00A53D7D" w:rsidRPr="00596ED3" w:rsidRDefault="00A53D7D" w:rsidP="005140B4">
      <w:pPr>
        <w:pStyle w:val="BulletText"/>
      </w:pPr>
      <w:r w:rsidRPr="00596ED3">
        <w:t>Emergency Services output.</w:t>
      </w:r>
      <w:bookmarkEnd w:id="22"/>
      <w:r w:rsidRPr="00596ED3">
        <w:fldChar w:fldCharType="begin"/>
      </w:r>
      <w:r w:rsidRPr="00596ED3">
        <w:instrText xml:space="preserve"> XE </w:instrText>
      </w:r>
      <w:r>
        <w:instrText>"</w:instrText>
      </w:r>
      <w:r w:rsidRPr="00596ED3">
        <w:instrText>Department of Health:Acute Health Services</w:instrText>
      </w:r>
      <w:r>
        <w:instrText>"</w:instrText>
      </w:r>
      <w:r w:rsidRPr="00596ED3">
        <w:instrText xml:space="preserve"> </w:instrText>
      </w:r>
      <w:r w:rsidRPr="00596ED3">
        <w:fldChar w:fldCharType="end"/>
      </w:r>
    </w:p>
    <w:p w:rsidR="00A53D7D" w:rsidRPr="00596ED3" w:rsidRDefault="00A53D7D" w:rsidP="005140B4">
      <w:pPr>
        <w:pStyle w:val="Heading4"/>
      </w:pPr>
      <w:r w:rsidRPr="00596ED3">
        <w:t>Ageing, Aged and Home Care</w:t>
      </w:r>
      <w:r w:rsidRPr="00596ED3">
        <w:fldChar w:fldCharType="begin"/>
      </w:r>
      <w:r w:rsidRPr="00596ED3">
        <w:instrText xml:space="preserve"> XE </w:instrText>
      </w:r>
      <w:r>
        <w:instrText>"</w:instrText>
      </w:r>
      <w:r w:rsidRPr="00596ED3">
        <w:instrText>Department of Health:Ageing, Aged and Home Care</w:instrText>
      </w:r>
      <w:r>
        <w:instrText>"</w:instrText>
      </w:r>
      <w:r w:rsidRPr="00596ED3">
        <w:instrText xml:space="preserve"> </w:instrText>
      </w:r>
      <w:r w:rsidRPr="00596ED3">
        <w:fldChar w:fldCharType="end"/>
      </w:r>
    </w:p>
    <w:p w:rsidR="00A53D7D" w:rsidRPr="00596ED3" w:rsidRDefault="00A53D7D" w:rsidP="005140B4">
      <w:pPr>
        <w:rPr>
          <w:rFonts w:ascii="Calibri" w:hAnsi="Calibri"/>
          <w:b/>
        </w:rPr>
      </w:pPr>
      <w:r w:rsidRPr="00596ED3">
        <w:rPr>
          <w:rFonts w:ascii="Calibri" w:hAnsi="Calibri"/>
          <w:b/>
        </w:rPr>
        <w:t xml:space="preserve">Delivering care in the home </w:t>
      </w:r>
    </w:p>
    <w:p w:rsidR="00A53D7D" w:rsidRPr="00596ED3" w:rsidRDefault="00A53D7D" w:rsidP="005140B4">
      <w:pPr>
        <w:rPr>
          <w:rFonts w:cstheme="minorHAnsi"/>
          <w:szCs w:val="22"/>
        </w:rPr>
      </w:pPr>
      <w:r w:rsidRPr="00596ED3">
        <w:rPr>
          <w:rFonts w:cstheme="minorHAnsi"/>
          <w:szCs w:val="22"/>
        </w:rPr>
        <w:t xml:space="preserve">Funding is provided to expand the Home and Community Care program. This program provides support to older Victorians to enable them to remain living in their homes for longer. </w:t>
      </w:r>
    </w:p>
    <w:p w:rsidR="00A53D7D" w:rsidRPr="00596ED3" w:rsidRDefault="00A53D7D" w:rsidP="005140B4">
      <w:r w:rsidRPr="00596ED3">
        <w:t>This initiative contributes to the Department of Health</w:t>
      </w:r>
      <w:r>
        <w:t>’</w:t>
      </w:r>
      <w:r w:rsidRPr="00596ED3">
        <w:t>s:</w:t>
      </w:r>
    </w:p>
    <w:p w:rsidR="00A53D7D" w:rsidRPr="00596ED3" w:rsidRDefault="00A53D7D" w:rsidP="005140B4">
      <w:pPr>
        <w:pStyle w:val="BulletText"/>
      </w:pPr>
      <w:r w:rsidRPr="00596ED3">
        <w:t>HACC Primary Health, Community Care and Support output; and</w:t>
      </w:r>
    </w:p>
    <w:p w:rsidR="00A53D7D" w:rsidRPr="00596ED3" w:rsidRDefault="00A53D7D" w:rsidP="005140B4">
      <w:pPr>
        <w:pStyle w:val="BulletText"/>
      </w:pPr>
      <w:r w:rsidRPr="00596ED3">
        <w:t>Small Rural Services – Home and Community Care Services output.</w:t>
      </w:r>
    </w:p>
    <w:p w:rsidR="00A53D7D" w:rsidRDefault="00A53D7D">
      <w:pPr>
        <w:spacing w:after="0"/>
        <w:rPr>
          <w:rFonts w:ascii="Calibri" w:hAnsi="Calibri"/>
          <w:i/>
          <w:sz w:val="24"/>
          <w:szCs w:val="22"/>
        </w:rPr>
      </w:pPr>
      <w:r>
        <w:br w:type="page"/>
      </w:r>
    </w:p>
    <w:p w:rsidR="00A53D7D" w:rsidRPr="00596ED3" w:rsidRDefault="00A53D7D" w:rsidP="005140B4">
      <w:pPr>
        <w:pStyle w:val="Heading4"/>
      </w:pPr>
      <w:r w:rsidRPr="00596ED3">
        <w:t>Ambulance Services</w:t>
      </w:r>
      <w:r w:rsidRPr="00596ED3">
        <w:fldChar w:fldCharType="begin"/>
      </w:r>
      <w:r w:rsidRPr="00596ED3">
        <w:instrText xml:space="preserve"> XE </w:instrText>
      </w:r>
      <w:r>
        <w:instrText>"</w:instrText>
      </w:r>
      <w:r w:rsidRPr="00596ED3">
        <w:instrText>Department of Health:Ambulance Services</w:instrText>
      </w:r>
      <w:r>
        <w:instrText>"</w:instrText>
      </w:r>
      <w:r w:rsidRPr="00596ED3">
        <w:instrText xml:space="preserve"> </w:instrText>
      </w:r>
      <w:r w:rsidRPr="00596ED3">
        <w:fldChar w:fldCharType="end"/>
      </w:r>
    </w:p>
    <w:p w:rsidR="00A53D7D" w:rsidRPr="00596ED3" w:rsidRDefault="00A53D7D" w:rsidP="005140B4">
      <w:pPr>
        <w:rPr>
          <w:rFonts w:ascii="Calibri" w:hAnsi="Calibri"/>
          <w:b/>
        </w:rPr>
      </w:pPr>
      <w:r w:rsidRPr="00596ED3">
        <w:rPr>
          <w:rFonts w:ascii="Calibri" w:hAnsi="Calibri"/>
          <w:b/>
        </w:rPr>
        <w:t xml:space="preserve">Responding to ambulance service growth </w:t>
      </w:r>
    </w:p>
    <w:p w:rsidR="00A53D7D" w:rsidRPr="00596ED3" w:rsidRDefault="00A53D7D" w:rsidP="005140B4">
      <w:pPr>
        <w:rPr>
          <w:rFonts w:cstheme="minorHAnsi"/>
          <w:szCs w:val="22"/>
        </w:rPr>
      </w:pPr>
      <w:r w:rsidRPr="00596ED3">
        <w:rPr>
          <w:rFonts w:cstheme="minorHAnsi"/>
          <w:szCs w:val="22"/>
        </w:rPr>
        <w:t xml:space="preserve">Funding is provided to meet growth in demand for ambulance services. </w:t>
      </w:r>
    </w:p>
    <w:p w:rsidR="00A53D7D" w:rsidRPr="00596ED3" w:rsidRDefault="00A53D7D" w:rsidP="005140B4">
      <w:pPr>
        <w:rPr>
          <w:rFonts w:cstheme="minorHAnsi"/>
          <w:szCs w:val="22"/>
        </w:rPr>
      </w:pPr>
      <w:r w:rsidRPr="00596ED3">
        <w:rPr>
          <w:rFonts w:cstheme="minorHAnsi"/>
          <w:szCs w:val="22"/>
        </w:rPr>
        <w:t>This initiative contributes to the Department of Health</w:t>
      </w:r>
      <w:r>
        <w:rPr>
          <w:rFonts w:cstheme="minorHAnsi"/>
          <w:szCs w:val="22"/>
        </w:rPr>
        <w:t>’</w:t>
      </w:r>
      <w:r w:rsidRPr="00596ED3">
        <w:rPr>
          <w:rFonts w:cstheme="minorHAnsi"/>
          <w:szCs w:val="22"/>
        </w:rPr>
        <w:t xml:space="preserve">s </w:t>
      </w:r>
      <w:r w:rsidRPr="00596ED3">
        <w:t>Ambulance Emergency Services output.</w:t>
      </w:r>
    </w:p>
    <w:p w:rsidR="00A53D7D" w:rsidRPr="00596ED3" w:rsidRDefault="00A53D7D" w:rsidP="005140B4">
      <w:pPr>
        <w:pStyle w:val="Heading4"/>
      </w:pPr>
      <w:bookmarkStart w:id="23" w:name="MentalHealth"/>
      <w:r w:rsidRPr="00596ED3">
        <w:t>Mental Health</w:t>
      </w:r>
    </w:p>
    <w:p w:rsidR="00A53D7D" w:rsidRPr="00596ED3" w:rsidRDefault="00A53D7D" w:rsidP="005140B4">
      <w:pPr>
        <w:pStyle w:val="Heading5"/>
      </w:pPr>
      <w:r w:rsidRPr="00596ED3">
        <w:t>Housing support for people with a mental illness</w:t>
      </w:r>
    </w:p>
    <w:p w:rsidR="00A53D7D" w:rsidRPr="00596ED3" w:rsidRDefault="00A53D7D" w:rsidP="005140B4">
      <w:r w:rsidRPr="00596ED3">
        <w:t xml:space="preserve">People with a mental illness will continue to be </w:t>
      </w:r>
      <w:r w:rsidRPr="00596ED3">
        <w:rPr>
          <w:rFonts w:cstheme="minorHAnsi"/>
          <w:szCs w:val="22"/>
        </w:rPr>
        <w:t>supported through the Doorways project</w:t>
      </w:r>
      <w:r w:rsidRPr="00596ED3">
        <w:t xml:space="preserve"> to secure and maintain private rental accommodation, engage with employment </w:t>
      </w:r>
      <w:proofErr w:type="gramStart"/>
      <w:r w:rsidRPr="00596ED3">
        <w:t>opportunities</w:t>
      </w:r>
      <w:proofErr w:type="gramEnd"/>
      <w:r w:rsidRPr="00596ED3">
        <w:t xml:space="preserve"> and develop daily living skills. </w:t>
      </w:r>
    </w:p>
    <w:p w:rsidR="00A53D7D" w:rsidRPr="00596ED3" w:rsidRDefault="00A53D7D" w:rsidP="005140B4">
      <w:r w:rsidRPr="00596ED3">
        <w:t>This initiative contributes to the Department of Health</w:t>
      </w:r>
      <w:r>
        <w:t>’</w:t>
      </w:r>
      <w:r w:rsidRPr="00596ED3">
        <w:t>s Mental Health Community Support Services output.</w:t>
      </w:r>
    </w:p>
    <w:p w:rsidR="00A53D7D" w:rsidRPr="00596ED3" w:rsidRDefault="00A53D7D" w:rsidP="005140B4">
      <w:pPr>
        <w:pStyle w:val="Heading5"/>
      </w:pPr>
      <w:r w:rsidRPr="00596ED3">
        <w:t>Mental health demand management for complex and longer stay patients</w:t>
      </w:r>
    </w:p>
    <w:p w:rsidR="00A53D7D" w:rsidRPr="00596ED3" w:rsidRDefault="00A53D7D" w:rsidP="005140B4">
      <w:r w:rsidRPr="00596ED3">
        <w:t xml:space="preserve">Services for complex and longer stay mental health clients will be improved to reduce the likelihood these clients will require ongoing clinical mental health services, helping keep people in the community. </w:t>
      </w:r>
    </w:p>
    <w:p w:rsidR="00A53D7D" w:rsidRPr="00596ED3" w:rsidRDefault="00A53D7D" w:rsidP="005140B4">
      <w:r w:rsidRPr="00596ED3">
        <w:t>This initiative contributes to the Department of Health</w:t>
      </w:r>
      <w:r>
        <w:t>’</w:t>
      </w:r>
      <w:r w:rsidRPr="00596ED3">
        <w:t>s Clinical Care output.</w:t>
      </w:r>
    </w:p>
    <w:p w:rsidR="00A53D7D" w:rsidRPr="00596ED3" w:rsidRDefault="00A53D7D" w:rsidP="005140B4">
      <w:pPr>
        <w:pStyle w:val="Heading5"/>
      </w:pPr>
      <w:r w:rsidRPr="00596ED3">
        <w:t>Prevention and recovery care units</w:t>
      </w:r>
    </w:p>
    <w:p w:rsidR="00A53D7D" w:rsidRPr="00596ED3" w:rsidRDefault="00A53D7D" w:rsidP="005140B4">
      <w:r w:rsidRPr="00596ED3">
        <w:t>Three new 10</w:t>
      </w:r>
      <w:r>
        <w:noBreakHyphen/>
      </w:r>
      <w:r w:rsidRPr="00596ED3">
        <w:t xml:space="preserve">bed facilities will be funded in Fitzroy North, Heidelberg </w:t>
      </w:r>
      <w:proofErr w:type="gramStart"/>
      <w:r w:rsidRPr="00596ED3">
        <w:t>Heights</w:t>
      </w:r>
      <w:proofErr w:type="gramEnd"/>
      <w:r w:rsidRPr="00596ED3">
        <w:t xml:space="preserve"> and Wodonga to provide a medium level of care for people with mental illness. This initiative will deliver on the Government</w:t>
      </w:r>
      <w:r>
        <w:t>’</w:t>
      </w:r>
      <w:r w:rsidRPr="00596ED3">
        <w:t>s election commitment to establish prevention and recovery care units.</w:t>
      </w:r>
    </w:p>
    <w:p w:rsidR="00A53D7D" w:rsidRPr="00596ED3" w:rsidRDefault="00A53D7D" w:rsidP="005140B4">
      <w:r w:rsidRPr="00596ED3">
        <w:t>This initiative contributes to the Department of Health</w:t>
      </w:r>
      <w:r>
        <w:t>’</w:t>
      </w:r>
      <w:r w:rsidRPr="00596ED3">
        <w:t>s Clinical Care output.</w:t>
      </w:r>
      <w:r w:rsidRPr="00596ED3">
        <w:fldChar w:fldCharType="begin"/>
      </w:r>
      <w:r w:rsidRPr="00596ED3">
        <w:instrText xml:space="preserve"> XE </w:instrText>
      </w:r>
      <w:r>
        <w:instrText>"</w:instrText>
      </w:r>
      <w:r w:rsidRPr="00596ED3">
        <w:instrText>Department of Health:Mental Health</w:instrText>
      </w:r>
      <w:r>
        <w:instrText>"</w:instrText>
      </w:r>
      <w:r w:rsidRPr="00596ED3">
        <w:instrText xml:space="preserve"> </w:instrText>
      </w:r>
      <w:r w:rsidRPr="00596ED3">
        <w:fldChar w:fldCharType="end"/>
      </w:r>
    </w:p>
    <w:p w:rsidR="00A53D7D" w:rsidRPr="00596ED3" w:rsidRDefault="00A53D7D" w:rsidP="005140B4">
      <w:pPr>
        <w:pStyle w:val="Heading4"/>
      </w:pPr>
      <w:bookmarkStart w:id="24" w:name="PrimCommDentalHlth"/>
      <w:bookmarkEnd w:id="23"/>
      <w:r w:rsidRPr="00596ED3">
        <w:t>Primary, Community and Dental Health</w:t>
      </w:r>
    </w:p>
    <w:p w:rsidR="00A53D7D" w:rsidRPr="00596ED3" w:rsidRDefault="00A53D7D" w:rsidP="005140B4">
      <w:pPr>
        <w:rPr>
          <w:rFonts w:ascii="Calibri" w:hAnsi="Calibri"/>
          <w:b/>
        </w:rPr>
      </w:pPr>
      <w:r w:rsidRPr="00596ED3">
        <w:rPr>
          <w:rFonts w:ascii="Calibri" w:hAnsi="Calibri"/>
          <w:b/>
        </w:rPr>
        <w:t xml:space="preserve">Improving health outcomes for at risk pregnant women and their babies </w:t>
      </w:r>
    </w:p>
    <w:p w:rsidR="00A53D7D" w:rsidRPr="00596ED3" w:rsidRDefault="00A53D7D" w:rsidP="005140B4">
      <w:r w:rsidRPr="00596ED3">
        <w:t xml:space="preserve">Funding is provided on an ongoing basis for targeted support, including home visits and community support for at risk pregnant women. Support includes antenatal and postnatal care programs, peer support, health education, and appropriate referrals to medical specialists. </w:t>
      </w:r>
    </w:p>
    <w:p w:rsidR="00A53D7D" w:rsidRPr="00596ED3" w:rsidRDefault="00A53D7D" w:rsidP="005140B4">
      <w:r w:rsidRPr="00596ED3">
        <w:t>This initiative contributes to the Department of Health</w:t>
      </w:r>
      <w:r>
        <w:t>’</w:t>
      </w:r>
      <w:r w:rsidRPr="00596ED3">
        <w:t>s Community Health Care output.</w:t>
      </w:r>
    </w:p>
    <w:p w:rsidR="00A53D7D" w:rsidRPr="00596ED3" w:rsidRDefault="00A53D7D" w:rsidP="005140B4">
      <w:pPr>
        <w:pStyle w:val="Heading5"/>
      </w:pPr>
      <w:r w:rsidRPr="00596ED3">
        <w:t>National Diabetes Syringe Scheme (NDSS)</w:t>
      </w:r>
    </w:p>
    <w:p w:rsidR="00A53D7D" w:rsidRPr="00596ED3" w:rsidRDefault="00A53D7D" w:rsidP="005140B4">
      <w:pPr>
        <w:rPr>
          <w:rFonts w:cstheme="minorHAnsi"/>
          <w:szCs w:val="22"/>
        </w:rPr>
      </w:pPr>
      <w:r w:rsidRPr="00596ED3">
        <w:rPr>
          <w:rFonts w:cstheme="minorHAnsi"/>
          <w:szCs w:val="22"/>
        </w:rPr>
        <w:t>This funding provides Victorians with diabetes with free access to insulin syringes and pen needles, enabling them to manage their conditions on a daily basis and improve their health and safety.</w:t>
      </w:r>
    </w:p>
    <w:p w:rsidR="00A53D7D" w:rsidRPr="00596ED3" w:rsidRDefault="00A53D7D" w:rsidP="005140B4">
      <w:r w:rsidRPr="00596ED3">
        <w:t>This initiative contributes to the Department of Health</w:t>
      </w:r>
      <w:r>
        <w:t>’</w:t>
      </w:r>
      <w:r w:rsidRPr="00596ED3">
        <w:t>s Community Health Care output.</w:t>
      </w:r>
      <w:r w:rsidRPr="00596ED3">
        <w:fldChar w:fldCharType="begin"/>
      </w:r>
      <w:r w:rsidRPr="00596ED3">
        <w:instrText xml:space="preserve"> XE </w:instrText>
      </w:r>
      <w:r>
        <w:instrText>"</w:instrText>
      </w:r>
      <w:r w:rsidRPr="00596ED3">
        <w:instrText>Department of Health:Primary, Community and Dental Health</w:instrText>
      </w:r>
      <w:r>
        <w:instrText>"</w:instrText>
      </w:r>
      <w:r w:rsidRPr="00596ED3">
        <w:instrText xml:space="preserve"> \r </w:instrText>
      </w:r>
      <w:r>
        <w:instrText>"</w:instrText>
      </w:r>
      <w:r w:rsidRPr="00596ED3">
        <w:instrText>PrimCommDentalHlth</w:instrText>
      </w:r>
      <w:r>
        <w:instrText>"</w:instrText>
      </w:r>
      <w:r w:rsidRPr="00596ED3">
        <w:instrText xml:space="preserve"> </w:instrText>
      </w:r>
      <w:r w:rsidRPr="00596ED3">
        <w:fldChar w:fldCharType="end"/>
      </w:r>
      <w:r w:rsidRPr="00596ED3">
        <w:t xml:space="preserve"> </w:t>
      </w:r>
    </w:p>
    <w:bookmarkEnd w:id="24"/>
    <w:p w:rsidR="00A53D7D" w:rsidRPr="00596ED3" w:rsidRDefault="00A53D7D" w:rsidP="005140B4">
      <w:pPr>
        <w:pStyle w:val="Heading4"/>
      </w:pPr>
      <w:r w:rsidRPr="00596ED3">
        <w:t>Public Health</w:t>
      </w:r>
    </w:p>
    <w:p w:rsidR="00A53D7D" w:rsidRPr="00596ED3" w:rsidRDefault="00A53D7D" w:rsidP="005140B4">
      <w:pPr>
        <w:rPr>
          <w:rFonts w:ascii="Calibri" w:hAnsi="Calibri"/>
          <w:b/>
        </w:rPr>
      </w:pPr>
      <w:r w:rsidRPr="00596ED3">
        <w:rPr>
          <w:rFonts w:ascii="Calibri" w:hAnsi="Calibri"/>
          <w:b/>
        </w:rPr>
        <w:t xml:space="preserve">Anzac centenary </w:t>
      </w:r>
      <w:r>
        <w:rPr>
          <w:rFonts w:ascii="Calibri" w:hAnsi="Calibri"/>
          <w:b/>
        </w:rPr>
        <w:t>‘</w:t>
      </w:r>
      <w:r w:rsidRPr="00596ED3">
        <w:rPr>
          <w:rFonts w:ascii="Calibri" w:hAnsi="Calibri"/>
          <w:b/>
        </w:rPr>
        <w:t>Lest we Forget</w:t>
      </w:r>
      <w:r>
        <w:rPr>
          <w:rFonts w:ascii="Calibri" w:hAnsi="Calibri"/>
          <w:b/>
        </w:rPr>
        <w:t>’</w:t>
      </w:r>
      <w:r w:rsidRPr="00596ED3">
        <w:rPr>
          <w:rFonts w:ascii="Calibri" w:hAnsi="Calibri"/>
          <w:b/>
        </w:rPr>
        <w:t xml:space="preserve"> grants </w:t>
      </w:r>
    </w:p>
    <w:p w:rsidR="00A53D7D" w:rsidRPr="00596ED3" w:rsidRDefault="00A53D7D" w:rsidP="005140B4">
      <w:pPr>
        <w:rPr>
          <w:lang w:eastAsia="en-AU"/>
        </w:rPr>
      </w:pPr>
      <w:r w:rsidRPr="00596ED3">
        <w:rPr>
          <w:lang w:eastAsia="en-AU"/>
        </w:rPr>
        <w:fldChar w:fldCharType="begin"/>
      </w:r>
      <w:r w:rsidRPr="00596ED3">
        <w:instrText xml:space="preserve"> XE </w:instrText>
      </w:r>
      <w:r>
        <w:instrText>"</w:instrText>
      </w:r>
      <w:r w:rsidRPr="00596ED3">
        <w:instrText>World War I centenary</w:instrText>
      </w:r>
      <w:r>
        <w:instrText>"</w:instrText>
      </w:r>
      <w:r w:rsidRPr="00596ED3">
        <w:instrText xml:space="preserve"> </w:instrText>
      </w:r>
      <w:r w:rsidRPr="00596ED3">
        <w:rPr>
          <w:lang w:eastAsia="en-AU"/>
        </w:rPr>
        <w:fldChar w:fldCharType="end"/>
      </w:r>
      <w:r w:rsidRPr="00596ED3">
        <w:rPr>
          <w:lang w:eastAsia="en-AU"/>
        </w:rPr>
        <w:t xml:space="preserve">Grants funding is provided to cemetery trusts to commemorate the valued contribution and sacrifice of Anzac service personnel who fought and died in World War I. </w:t>
      </w:r>
    </w:p>
    <w:p w:rsidR="00A53D7D" w:rsidRPr="00596ED3" w:rsidRDefault="00A53D7D" w:rsidP="005140B4">
      <w:r w:rsidRPr="00596ED3">
        <w:t>This initiative contributes to the Department of Health</w:t>
      </w:r>
      <w:r>
        <w:t>’</w:t>
      </w:r>
      <w:r w:rsidRPr="00596ED3">
        <w:t>s Health Advancement output.</w:t>
      </w:r>
    </w:p>
    <w:p w:rsidR="00A53D7D" w:rsidRPr="00596ED3" w:rsidRDefault="00A53D7D" w:rsidP="005140B4">
      <w:pPr>
        <w:pStyle w:val="Heading4"/>
      </w:pPr>
      <w:r w:rsidRPr="00596ED3">
        <w:t>Drugs Services</w:t>
      </w:r>
      <w:r w:rsidRPr="00596ED3">
        <w:fldChar w:fldCharType="begin"/>
      </w:r>
      <w:r w:rsidRPr="00596ED3">
        <w:instrText xml:space="preserve"> XE </w:instrText>
      </w:r>
      <w:r>
        <w:instrText>"Department of Health:Drug</w:instrText>
      </w:r>
      <w:r w:rsidRPr="00596ED3">
        <w:instrText xml:space="preserve"> Services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Tackling ice and other drug use</w:t>
      </w:r>
    </w:p>
    <w:p w:rsidR="00A53D7D" w:rsidRPr="00596ED3" w:rsidRDefault="00A53D7D" w:rsidP="005140B4">
      <w:r w:rsidRPr="00596ED3">
        <w:t xml:space="preserve">Drug treatment services will be expanded at targeted locations to treat </w:t>
      </w:r>
      <w:r>
        <w:t>more than</w:t>
      </w:r>
      <w:r w:rsidRPr="00596ED3">
        <w:t xml:space="preserve"> 2 000 people each year and support more effective education and treatment responses.</w:t>
      </w:r>
    </w:p>
    <w:p w:rsidR="00A53D7D" w:rsidRPr="00596ED3" w:rsidRDefault="00A53D7D" w:rsidP="005140B4">
      <w:r w:rsidRPr="00596ED3">
        <w:t>This initiative contributes to the Department of Health</w:t>
      </w:r>
      <w:r>
        <w:t>’</w:t>
      </w:r>
      <w:r w:rsidRPr="00596ED3">
        <w:t>s Drug Treatment and Rehabilitation output.</w:t>
      </w:r>
    </w:p>
    <w:p w:rsidR="00A53D7D" w:rsidRPr="00596ED3" w:rsidRDefault="00A53D7D" w:rsidP="005140B4">
      <w:pPr>
        <w:pStyle w:val="Heading4"/>
      </w:pPr>
      <w:r w:rsidRPr="00596ED3">
        <w:t>Other</w:t>
      </w:r>
    </w:p>
    <w:p w:rsidR="00A53D7D" w:rsidRPr="00596ED3" w:rsidRDefault="00A53D7D" w:rsidP="005140B4">
      <w:pPr>
        <w:pStyle w:val="Heading5"/>
      </w:pPr>
      <w:r w:rsidRPr="00596ED3">
        <w:t>Social and Community Services Equal Remuneration Order</w:t>
      </w:r>
    </w:p>
    <w:p w:rsidR="00A53D7D" w:rsidRPr="00596ED3" w:rsidRDefault="00A53D7D" w:rsidP="005140B4">
      <w:pPr>
        <w:widowControl w:val="0"/>
      </w:pPr>
      <w:r w:rsidRPr="00596ED3">
        <w:t>Support will continue for community service organisations to meet the wage increase from the Fair Work Australia Equal Remuneration Order in the Social and Community Services pay equity case in 2014</w:t>
      </w:r>
      <w:r>
        <w:noBreakHyphen/>
      </w:r>
      <w:r w:rsidRPr="00596ED3">
        <w:t>15. This funding is in addition to the $200</w:t>
      </w:r>
      <w:r>
        <w:t> million</w:t>
      </w:r>
      <w:r w:rsidRPr="00596ED3">
        <w:t xml:space="preserve"> announced in the </w:t>
      </w:r>
      <w:r w:rsidRPr="00596ED3">
        <w:rPr>
          <w:i/>
        </w:rPr>
        <w:t>2011</w:t>
      </w:r>
      <w:r>
        <w:rPr>
          <w:i/>
        </w:rPr>
        <w:noBreakHyphen/>
      </w:r>
      <w:r w:rsidRPr="00596ED3">
        <w:rPr>
          <w:i/>
        </w:rPr>
        <w:t>12 Budget</w:t>
      </w:r>
      <w:r w:rsidRPr="00596ED3">
        <w:t xml:space="preserve"> which was provided to the departments of Human Services, Health, Justice and Education and Early Childhood Development. </w:t>
      </w:r>
    </w:p>
    <w:p w:rsidR="00A53D7D" w:rsidRPr="00596ED3" w:rsidRDefault="00A53D7D" w:rsidP="005140B4">
      <w:r w:rsidRPr="00596ED3">
        <w:t>This initiative contributes to the Department of Health</w:t>
      </w:r>
      <w:r>
        <w:t>’</w:t>
      </w:r>
      <w:r w:rsidRPr="00596ED3">
        <w:t>s:</w:t>
      </w:r>
    </w:p>
    <w:p w:rsidR="00A53D7D" w:rsidRPr="00596ED3" w:rsidRDefault="00A53D7D" w:rsidP="005140B4">
      <w:pPr>
        <w:pStyle w:val="BulletText"/>
      </w:pPr>
      <w:r w:rsidRPr="00596ED3">
        <w:t>Non</w:t>
      </w:r>
      <w:r>
        <w:noBreakHyphen/>
      </w:r>
      <w:r w:rsidRPr="00596ED3">
        <w:t>Admitted Services output</w:t>
      </w:r>
      <w:r>
        <w:t>;</w:t>
      </w:r>
    </w:p>
    <w:p w:rsidR="00A53D7D" w:rsidRPr="00596ED3" w:rsidRDefault="00A53D7D" w:rsidP="005140B4">
      <w:pPr>
        <w:pStyle w:val="BulletText"/>
      </w:pPr>
      <w:r w:rsidRPr="00596ED3">
        <w:t>Aged Support Services output;</w:t>
      </w:r>
    </w:p>
    <w:p w:rsidR="00A53D7D" w:rsidRPr="00596ED3" w:rsidRDefault="00A53D7D" w:rsidP="005140B4">
      <w:pPr>
        <w:pStyle w:val="BulletText"/>
      </w:pPr>
      <w:r w:rsidRPr="00596ED3">
        <w:t>Community Health Care output;</w:t>
      </w:r>
    </w:p>
    <w:p w:rsidR="00A53D7D" w:rsidRPr="00596ED3" w:rsidRDefault="00A53D7D" w:rsidP="005140B4">
      <w:pPr>
        <w:pStyle w:val="BulletText"/>
      </w:pPr>
      <w:r w:rsidRPr="00596ED3">
        <w:t>Mental Health Community Support Services output;</w:t>
      </w:r>
    </w:p>
    <w:p w:rsidR="00A53D7D" w:rsidRPr="00596ED3" w:rsidRDefault="00A53D7D" w:rsidP="005140B4">
      <w:pPr>
        <w:pStyle w:val="BulletText"/>
      </w:pPr>
      <w:r w:rsidRPr="00596ED3">
        <w:t>Health Protection output;</w:t>
      </w:r>
    </w:p>
    <w:p w:rsidR="00A53D7D" w:rsidRPr="00596ED3" w:rsidRDefault="00A53D7D" w:rsidP="005140B4">
      <w:pPr>
        <w:pStyle w:val="BulletText"/>
      </w:pPr>
      <w:r w:rsidRPr="00596ED3">
        <w:t>Drug Treatment and Rehabilitation output;</w:t>
      </w:r>
    </w:p>
    <w:p w:rsidR="00A53D7D" w:rsidRPr="00596ED3" w:rsidRDefault="00A53D7D" w:rsidP="005140B4">
      <w:pPr>
        <w:pStyle w:val="BulletText"/>
      </w:pPr>
      <w:r w:rsidRPr="00596ED3">
        <w:t>Drug Prevention and Control output; and</w:t>
      </w:r>
    </w:p>
    <w:p w:rsidR="00A53D7D" w:rsidRPr="00596ED3" w:rsidRDefault="00A53D7D" w:rsidP="005140B4">
      <w:pPr>
        <w:pStyle w:val="BulletText"/>
      </w:pPr>
      <w:r w:rsidRPr="00596ED3">
        <w:t>Small Rural Services – Primary Health output.</w:t>
      </w:r>
    </w:p>
    <w:p w:rsidR="00A53D7D" w:rsidRPr="00596ED3" w:rsidRDefault="00A53D7D">
      <w:pPr>
        <w:spacing w:after="0"/>
        <w:rPr>
          <w:rFonts w:ascii="Calibri" w:hAnsi="Calibri"/>
          <w:b/>
          <w:i/>
          <w:kern w:val="28"/>
          <w:sz w:val="24"/>
          <w:szCs w:val="22"/>
        </w:rPr>
      </w:pPr>
      <w:r w:rsidRPr="00596ED3">
        <w:br w:type="page"/>
      </w:r>
    </w:p>
    <w:p w:rsidR="00A53D7D" w:rsidRPr="00596ED3" w:rsidRDefault="00A53D7D" w:rsidP="005140B4">
      <w:pPr>
        <w:pStyle w:val="Heading3"/>
      </w:pPr>
      <w:r w:rsidRPr="00596ED3">
        <w:t>Asset initiatives</w:t>
      </w:r>
    </w:p>
    <w:p w:rsidR="00A53D7D" w:rsidRPr="00596ED3" w:rsidRDefault="00A53D7D" w:rsidP="005140B4">
      <w:pPr>
        <w:pStyle w:val="Tableheading"/>
      </w:pPr>
      <w:r w:rsidRPr="00596ED3">
        <w:t xml:space="preserve">Table 1.8: </w:t>
      </w:r>
      <w:r w:rsidRPr="00596ED3">
        <w:tab/>
        <w:t>Asset initiatives – Health</w:t>
      </w:r>
    </w:p>
    <w:p w:rsidR="00A53D7D" w:rsidRPr="00FB64AD" w:rsidRDefault="00A53D7D" w:rsidP="005140B4">
      <w:pPr>
        <w:pStyle w:val="million"/>
        <w:rPr>
          <w:rFonts w:ascii="Times New Roman" w:hAnsi="Times New Roman"/>
          <w:sz w:val="20"/>
          <w:lang w:eastAsia="en-AU"/>
        </w:rPr>
      </w:pPr>
      <w:r w:rsidRPr="00596ED3">
        <w:rPr>
          <w:lang w:eastAsia="en-AU"/>
        </w:rPr>
        <w:t>($</w:t>
      </w:r>
      <w:r>
        <w:rPr>
          <w:lang w:eastAsia="en-AU"/>
        </w:rPr>
        <w:t> million</w:t>
      </w:r>
      <w:r w:rsidRPr="00596ED3">
        <w:rPr>
          <w:lang w:eastAsia="en-AU"/>
        </w:rPr>
        <w:t>)</w:t>
      </w:r>
      <w:bookmarkStart w:id="25" w:name="RANGE!A41:G59"/>
      <w:bookmarkStart w:id="26" w:name="RANGE!A40:G58"/>
    </w:p>
    <w:tbl>
      <w:tblPr>
        <w:tblW w:w="7776" w:type="dxa"/>
        <w:tblInd w:w="29" w:type="dxa"/>
        <w:tblCellMar>
          <w:left w:w="43" w:type="dxa"/>
          <w:right w:w="43" w:type="dxa"/>
        </w:tblCellMar>
        <w:tblLook w:val="04A0" w:firstRow="1" w:lastRow="0" w:firstColumn="1" w:lastColumn="0" w:noHBand="0" w:noVBand="1"/>
      </w:tblPr>
      <w:tblGrid>
        <w:gridCol w:w="2590"/>
        <w:gridCol w:w="826"/>
        <w:gridCol w:w="38"/>
        <w:gridCol w:w="388"/>
        <w:gridCol w:w="476"/>
        <w:gridCol w:w="232"/>
        <w:gridCol w:w="633"/>
        <w:gridCol w:w="864"/>
        <w:gridCol w:w="864"/>
        <w:gridCol w:w="865"/>
      </w:tblGrid>
      <w:tr w:rsidR="00A53D7D" w:rsidRPr="00FB64AD" w:rsidTr="005140B4">
        <w:trPr>
          <w:divId w:val="530799427"/>
        </w:trPr>
        <w:tc>
          <w:tcPr>
            <w:tcW w:w="2590" w:type="dxa"/>
            <w:tcBorders>
              <w:top w:val="single" w:sz="4" w:space="0" w:color="auto"/>
              <w:left w:val="single" w:sz="4"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864" w:type="dxa"/>
            <w:gridSpan w:val="2"/>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864" w:type="dxa"/>
            <w:gridSpan w:val="2"/>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865" w:type="dxa"/>
            <w:gridSpan w:val="2"/>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864"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864"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c>
          <w:tcPr>
            <w:tcW w:w="865" w:type="dxa"/>
            <w:tcBorders>
              <w:top w:val="single" w:sz="4" w:space="0" w:color="auto"/>
              <w:left w:val="nil"/>
              <w:bottom w:val="single" w:sz="4" w:space="0" w:color="auto"/>
              <w:right w:val="single" w:sz="4"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TEI</w:t>
            </w:r>
          </w:p>
        </w:tc>
      </w:tr>
      <w:tr w:rsidR="00A53D7D" w:rsidRPr="00FB64AD" w:rsidTr="005140B4">
        <w:trPr>
          <w:divId w:val="530799427"/>
        </w:trPr>
        <w:tc>
          <w:tcPr>
            <w:tcW w:w="2590" w:type="dxa"/>
            <w:tcBorders>
              <w:top w:val="nil"/>
              <w:left w:val="nil"/>
              <w:bottom w:val="nil"/>
              <w:right w:val="nil"/>
            </w:tcBorders>
            <w:shd w:val="clear" w:color="auto" w:fill="auto"/>
            <w:vAlign w:val="bottom"/>
            <w:hideMark/>
          </w:tcPr>
          <w:p w:rsidR="00A53D7D" w:rsidRPr="00FB64AD" w:rsidRDefault="00A53D7D" w:rsidP="005140B4">
            <w:pPr>
              <w:pStyle w:val="Tabletext"/>
              <w:rPr>
                <w:rFonts w:cs="Calibri"/>
                <w:b/>
                <w:bCs/>
                <w:lang w:eastAsia="en-AU"/>
              </w:rPr>
            </w:pPr>
            <w:r w:rsidRPr="00FB64AD">
              <w:rPr>
                <w:b/>
                <w:bCs/>
                <w:lang w:eastAsia="en-AU"/>
              </w:rPr>
              <w:t xml:space="preserve">Acute Health </w:t>
            </w:r>
            <w:r w:rsidRPr="00FB64AD">
              <w:rPr>
                <w:rFonts w:cs="Calibri"/>
                <w:b/>
                <w:bCs/>
                <w:lang w:eastAsia="en-AU"/>
              </w:rPr>
              <w:t>Services</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4"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w:t>
            </w:r>
          </w:p>
        </w:tc>
        <w:tc>
          <w:tcPr>
            <w:tcW w:w="865"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5"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w:t>
            </w:r>
          </w:p>
        </w:tc>
      </w:tr>
      <w:tr w:rsidR="00A53D7D" w:rsidRPr="00FB64AD" w:rsidTr="005140B4">
        <w:trPr>
          <w:divId w:val="530799427"/>
        </w:trPr>
        <w:tc>
          <w:tcPr>
            <w:tcW w:w="2590" w:type="dxa"/>
            <w:tcBorders>
              <w:top w:val="nil"/>
              <w:left w:val="nil"/>
              <w:bottom w:val="nil"/>
              <w:right w:val="nil"/>
            </w:tcBorders>
            <w:shd w:val="clear" w:color="auto" w:fill="auto"/>
            <w:vAlign w:val="bottom"/>
            <w:hideMark/>
          </w:tcPr>
          <w:p w:rsidR="00A53D7D" w:rsidRPr="00FB64AD" w:rsidRDefault="00A53D7D" w:rsidP="005140B4">
            <w:pPr>
              <w:pStyle w:val="Tabletext"/>
              <w:rPr>
                <w:lang w:eastAsia="en-AU"/>
              </w:rPr>
            </w:pPr>
            <w:r w:rsidRPr="00FB64AD">
              <w:rPr>
                <w:lang w:eastAsia="en-AU"/>
              </w:rPr>
              <w:t xml:space="preserve">Austin short stay unit </w:t>
            </w:r>
            <w:r w:rsidRPr="00FB64AD">
              <w:rPr>
                <w:vertAlign w:val="superscript"/>
                <w:lang w:eastAsia="en-AU"/>
              </w:rPr>
              <w:t>(a)</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8.7</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8.7</w:t>
            </w:r>
          </w:p>
        </w:tc>
      </w:tr>
      <w:tr w:rsidR="00A53D7D" w:rsidRPr="00FB64AD" w:rsidTr="005140B4">
        <w:trPr>
          <w:divId w:val="530799427"/>
        </w:trPr>
        <w:tc>
          <w:tcPr>
            <w:tcW w:w="259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Engineering infrastructure replacement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25.0</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25.0</w:t>
            </w:r>
          </w:p>
        </w:tc>
      </w:tr>
      <w:tr w:rsidR="00A53D7D" w:rsidRPr="00FB64AD" w:rsidTr="005140B4">
        <w:trPr>
          <w:divId w:val="530799427"/>
        </w:trPr>
        <w:tc>
          <w:tcPr>
            <w:tcW w:w="259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Increasing critical care capacity</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w:t>
            </w:r>
          </w:p>
        </w:tc>
      </w:tr>
      <w:tr w:rsidR="00A53D7D" w:rsidRPr="00FB64AD" w:rsidTr="005140B4">
        <w:trPr>
          <w:divId w:val="530799427"/>
        </w:trPr>
        <w:tc>
          <w:tcPr>
            <w:tcW w:w="259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Latrobe Regional Hospital redevelopment – stage 2A</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12.5</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43.0</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15.0</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73.0</w:t>
            </w:r>
          </w:p>
        </w:tc>
      </w:tr>
      <w:tr w:rsidR="00A53D7D" w:rsidRPr="00FB64AD" w:rsidTr="005140B4">
        <w:trPr>
          <w:divId w:val="530799427"/>
        </w:trPr>
        <w:tc>
          <w:tcPr>
            <w:tcW w:w="259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Major expansion for Healesville Hospital </w:t>
            </w:r>
            <w:r w:rsidRPr="00FB64AD">
              <w:rPr>
                <w:color w:val="000000"/>
                <w:vertAlign w:val="superscript"/>
                <w:lang w:eastAsia="en-AU"/>
              </w:rPr>
              <w:t>(b)</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4.4</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4.6</w:t>
            </w:r>
          </w:p>
        </w:tc>
      </w:tr>
      <w:tr w:rsidR="00A53D7D" w:rsidRPr="00FB64AD" w:rsidTr="005140B4">
        <w:trPr>
          <w:divId w:val="530799427"/>
        </w:trPr>
        <w:tc>
          <w:tcPr>
            <w:tcW w:w="259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Medical equipment replacement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35.0</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35.0</w:t>
            </w:r>
          </w:p>
        </w:tc>
      </w:tr>
      <w:tr w:rsidR="00A53D7D" w:rsidRPr="00FB64AD" w:rsidTr="005140B4">
        <w:trPr>
          <w:divId w:val="530799427"/>
        </w:trPr>
        <w:tc>
          <w:tcPr>
            <w:tcW w:w="2590"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Mental Health</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r>
      <w:tr w:rsidR="00A53D7D" w:rsidRPr="00FB64AD" w:rsidTr="005140B4">
        <w:trPr>
          <w:divId w:val="530799427"/>
        </w:trPr>
        <w:tc>
          <w:tcPr>
            <w:tcW w:w="2590" w:type="dxa"/>
            <w:tcBorders>
              <w:top w:val="nil"/>
              <w:left w:val="nil"/>
              <w:bottom w:val="nil"/>
              <w:right w:val="nil"/>
            </w:tcBorders>
            <w:shd w:val="clear" w:color="auto" w:fill="auto"/>
            <w:noWrap/>
            <w:hideMark/>
          </w:tcPr>
          <w:p w:rsidR="00A53D7D" w:rsidRPr="00FB64AD" w:rsidRDefault="00A53D7D" w:rsidP="005140B4">
            <w:pPr>
              <w:pStyle w:val="Tabletext"/>
              <w:rPr>
                <w:rFonts w:cs="Calibri"/>
                <w:color w:val="000000"/>
                <w:lang w:eastAsia="en-AU"/>
              </w:rPr>
            </w:pPr>
            <w:r w:rsidRPr="00FB64AD">
              <w:rPr>
                <w:color w:val="000000"/>
                <w:lang w:eastAsia="en-AU"/>
              </w:rPr>
              <w:t xml:space="preserve">Prevention and Recovery Care </w:t>
            </w:r>
            <w:r w:rsidRPr="00FB64AD">
              <w:rPr>
                <w:rFonts w:cs="Calibri"/>
                <w:color w:val="000000"/>
                <w:lang w:eastAsia="en-AU"/>
              </w:rPr>
              <w:t>Services</w:t>
            </w:r>
            <w:r>
              <w:rPr>
                <w:rFonts w:cs="Calibri"/>
                <w:color w:val="000000"/>
                <w:lang w:eastAsia="en-AU"/>
              </w:rPr>
              <w:t xml:space="preserve"> – </w:t>
            </w:r>
            <w:r w:rsidRPr="00FB64AD">
              <w:rPr>
                <w:rFonts w:cs="Calibri"/>
                <w:color w:val="000000"/>
                <w:lang w:eastAsia="en-AU"/>
              </w:rPr>
              <w:t>Mildura and Warrnambool</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5.1</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8.6</w:t>
            </w:r>
          </w:p>
        </w:tc>
      </w:tr>
      <w:tr w:rsidR="00A53D7D" w:rsidRPr="00FB64AD" w:rsidTr="005140B4">
        <w:trPr>
          <w:divId w:val="530799427"/>
        </w:trPr>
        <w:tc>
          <w:tcPr>
            <w:tcW w:w="259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Transitional mental health service</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6.0</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6.1</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2.8</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14.9</w:t>
            </w:r>
          </w:p>
        </w:tc>
      </w:tr>
      <w:tr w:rsidR="00A53D7D" w:rsidRPr="00FB64AD" w:rsidTr="005140B4">
        <w:trPr>
          <w:divId w:val="530799427"/>
        </w:trPr>
        <w:tc>
          <w:tcPr>
            <w:tcW w:w="3416" w:type="dxa"/>
            <w:gridSpan w:val="2"/>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Primary, Community and Dental Health</w:t>
            </w:r>
          </w:p>
        </w:tc>
        <w:tc>
          <w:tcPr>
            <w:tcW w:w="426" w:type="dxa"/>
            <w:gridSpan w:val="2"/>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708" w:type="dxa"/>
            <w:gridSpan w:val="2"/>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63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r>
      <w:tr w:rsidR="00A53D7D" w:rsidRPr="00FB64AD" w:rsidTr="005140B4">
        <w:trPr>
          <w:divId w:val="530799427"/>
        </w:trPr>
        <w:tc>
          <w:tcPr>
            <w:tcW w:w="2590" w:type="dxa"/>
            <w:tcBorders>
              <w:top w:val="nil"/>
              <w:left w:val="nil"/>
              <w:bottom w:val="nil"/>
              <w:right w:val="nil"/>
            </w:tcBorders>
            <w:shd w:val="clear" w:color="auto" w:fill="auto"/>
            <w:vAlign w:val="bottom"/>
            <w:hideMark/>
          </w:tcPr>
          <w:p w:rsidR="00A53D7D" w:rsidRPr="00FB64AD" w:rsidRDefault="00A53D7D" w:rsidP="005140B4">
            <w:pPr>
              <w:pStyle w:val="Tabletext"/>
              <w:rPr>
                <w:lang w:eastAsia="en-AU"/>
              </w:rPr>
            </w:pPr>
            <w:r w:rsidRPr="00FB64AD">
              <w:rPr>
                <w:lang w:eastAsia="en-AU"/>
              </w:rPr>
              <w:t>Barwon Health</w:t>
            </w:r>
            <w:r>
              <w:rPr>
                <w:lang w:eastAsia="en-AU"/>
              </w:rPr>
              <w:t xml:space="preserve"> – </w:t>
            </w:r>
            <w:r w:rsidRPr="00FB64AD">
              <w:rPr>
                <w:lang w:eastAsia="en-AU"/>
              </w:rPr>
              <w:t xml:space="preserve">North </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4.2</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15.6</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28.1</w:t>
            </w:r>
          </w:p>
        </w:tc>
      </w:tr>
      <w:tr w:rsidR="00A53D7D" w:rsidRPr="00FB64AD" w:rsidTr="005140B4">
        <w:trPr>
          <w:divId w:val="530799427"/>
        </w:trPr>
        <w:tc>
          <w:tcPr>
            <w:tcW w:w="2590" w:type="dxa"/>
            <w:tcBorders>
              <w:top w:val="nil"/>
              <w:left w:val="nil"/>
              <w:bottom w:val="nil"/>
              <w:right w:val="nil"/>
            </w:tcBorders>
            <w:shd w:val="clear" w:color="auto" w:fill="auto"/>
            <w:noWrap/>
            <w:hideMark/>
          </w:tcPr>
          <w:p w:rsidR="00A53D7D" w:rsidRPr="00FB64AD" w:rsidRDefault="00A53D7D" w:rsidP="005140B4">
            <w:pPr>
              <w:pStyle w:val="Tabletext"/>
              <w:rPr>
                <w:rFonts w:cs="Calibri"/>
                <w:color w:val="000000"/>
                <w:lang w:eastAsia="en-AU"/>
              </w:rPr>
            </w:pPr>
            <w:r w:rsidRPr="00FB64AD">
              <w:rPr>
                <w:color w:val="000000"/>
                <w:lang w:eastAsia="en-AU"/>
              </w:rPr>
              <w:t xml:space="preserve">Moyne Community Health Service </w:t>
            </w:r>
            <w:r w:rsidRPr="00FB64AD">
              <w:rPr>
                <w:rFonts w:cs="Calibri"/>
                <w:color w:val="000000"/>
                <w:vertAlign w:val="superscript"/>
                <w:lang w:eastAsia="en-AU"/>
              </w:rPr>
              <w:t>(c)</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r>
      <w:tr w:rsidR="00A53D7D" w:rsidRPr="00FB64AD" w:rsidTr="005140B4">
        <w:trPr>
          <w:divId w:val="530799427"/>
        </w:trPr>
        <w:tc>
          <w:tcPr>
            <w:tcW w:w="2590"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Drug Services</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r>
      <w:tr w:rsidR="00A53D7D" w:rsidRPr="00FB64AD" w:rsidTr="005140B4">
        <w:trPr>
          <w:divId w:val="530799427"/>
        </w:trPr>
        <w:tc>
          <w:tcPr>
            <w:tcW w:w="259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Community residential alcohol and drug withdrawal service for mothers with babies</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2.8</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w:t>
            </w:r>
          </w:p>
        </w:tc>
      </w:tr>
      <w:tr w:rsidR="00A53D7D" w:rsidRPr="00FB64AD" w:rsidTr="005140B4">
        <w:trPr>
          <w:divId w:val="530799427"/>
        </w:trPr>
        <w:tc>
          <w:tcPr>
            <w:tcW w:w="259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Small Rural Services</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r>
      <w:tr w:rsidR="00A53D7D" w:rsidRPr="00FB64AD" w:rsidTr="005140B4">
        <w:trPr>
          <w:divId w:val="530799427"/>
        </w:trPr>
        <w:tc>
          <w:tcPr>
            <w:tcW w:w="259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Boort Hospital redevelopment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4"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w:t>
            </w:r>
          </w:p>
        </w:tc>
        <w:tc>
          <w:tcPr>
            <w:tcW w:w="865"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7.8</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w:t>
            </w:r>
          </w:p>
        </w:tc>
        <w:tc>
          <w:tcPr>
            <w:tcW w:w="86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65"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14.0</w:t>
            </w:r>
          </w:p>
        </w:tc>
      </w:tr>
      <w:tr w:rsidR="00A53D7D" w:rsidRPr="00FB64AD" w:rsidTr="005140B4">
        <w:trPr>
          <w:divId w:val="530799427"/>
        </w:trPr>
        <w:tc>
          <w:tcPr>
            <w:tcW w:w="2590" w:type="dxa"/>
            <w:tcBorders>
              <w:top w:val="single" w:sz="4" w:space="0" w:color="auto"/>
              <w:left w:val="nil"/>
              <w:bottom w:val="single" w:sz="8"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asset initiatives</w:t>
            </w:r>
          </w:p>
        </w:tc>
        <w:tc>
          <w:tcPr>
            <w:tcW w:w="864" w:type="dxa"/>
            <w:gridSpan w:val="2"/>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8.8</w:t>
            </w:r>
          </w:p>
        </w:tc>
        <w:tc>
          <w:tcPr>
            <w:tcW w:w="864" w:type="dxa"/>
            <w:gridSpan w:val="2"/>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80.9</w:t>
            </w:r>
          </w:p>
        </w:tc>
        <w:tc>
          <w:tcPr>
            <w:tcW w:w="865" w:type="dxa"/>
            <w:gridSpan w:val="2"/>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37.3</w:t>
            </w:r>
          </w:p>
        </w:tc>
        <w:tc>
          <w:tcPr>
            <w:tcW w:w="864"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60.1</w:t>
            </w:r>
          </w:p>
        </w:tc>
        <w:tc>
          <w:tcPr>
            <w:tcW w:w="864"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31.1</w:t>
            </w:r>
          </w:p>
        </w:tc>
        <w:tc>
          <w:tcPr>
            <w:tcW w:w="865"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lang w:eastAsia="en-AU"/>
              </w:rPr>
            </w:pPr>
            <w:r w:rsidRPr="00FB64AD">
              <w:rPr>
                <w:b/>
                <w:bCs/>
                <w:lang w:eastAsia="en-AU"/>
              </w:rPr>
              <w:t xml:space="preserve"> 222.9</w:t>
            </w:r>
          </w:p>
        </w:tc>
      </w:tr>
    </w:tbl>
    <w:bookmarkEnd w:id="25"/>
    <w:bookmarkEnd w:id="26"/>
    <w:p w:rsidR="00A53D7D" w:rsidRPr="00596ED3" w:rsidRDefault="00A53D7D" w:rsidP="005140B4">
      <w:pPr>
        <w:pStyle w:val="Source"/>
      </w:pPr>
      <w:r w:rsidRPr="00596ED3">
        <w:t>Source: Department of Treasury and Finance</w:t>
      </w:r>
      <w:r w:rsidRPr="00596ED3">
        <w:fldChar w:fldCharType="begin"/>
      </w:r>
      <w:r w:rsidRPr="00596ED3">
        <w:instrText xml:space="preserve"> XE "Department of Health:Asset initiatives" </w:instrText>
      </w:r>
      <w:r w:rsidRPr="00596ED3">
        <w:fldChar w:fldCharType="end"/>
      </w:r>
    </w:p>
    <w:p w:rsidR="00A53D7D" w:rsidRPr="00596ED3" w:rsidRDefault="00A53D7D" w:rsidP="005140B4">
      <w:pPr>
        <w:pStyle w:val="Notes"/>
      </w:pPr>
      <w:r w:rsidRPr="00596ED3">
        <w:t>Note:</w:t>
      </w:r>
    </w:p>
    <w:p w:rsidR="00A53D7D" w:rsidRPr="00596ED3" w:rsidRDefault="00A53D7D" w:rsidP="005140B4">
      <w:pPr>
        <w:pStyle w:val="Notes"/>
        <w:shd w:val="clear" w:color="auto" w:fill="FFFFFF" w:themeFill="background1"/>
      </w:pPr>
      <w:r w:rsidRPr="00596ED3">
        <w:t>(a)</w:t>
      </w:r>
      <w:r w:rsidRPr="00596ED3">
        <w:tab/>
        <w:t>Additional funds of $1.2m have also been committed from the Engineering Infrastructure Replacement Program announced in 2013</w:t>
      </w:r>
      <w:r>
        <w:noBreakHyphen/>
      </w:r>
      <w:r w:rsidRPr="00596ED3">
        <w:t>14 and 2014</w:t>
      </w:r>
      <w:r>
        <w:noBreakHyphen/>
      </w:r>
      <w:r w:rsidRPr="00596ED3">
        <w:t>15 and an additional $1.6</w:t>
      </w:r>
      <w:r>
        <w:t> million</w:t>
      </w:r>
      <w:r w:rsidRPr="00596ED3">
        <w:t xml:space="preserve"> contribution from the Austin Hospital, bringing the total cost of the project to $11.5</w:t>
      </w:r>
      <w:r>
        <w:t> million</w:t>
      </w:r>
      <w:r w:rsidRPr="00596ED3">
        <w:t>. Cash</w:t>
      </w:r>
      <w:r>
        <w:t xml:space="preserve"> </w:t>
      </w:r>
      <w:r w:rsidRPr="00596ED3">
        <w:t>flows for this project are still being finalised.</w:t>
      </w:r>
    </w:p>
    <w:p w:rsidR="00A53D7D" w:rsidRPr="00596ED3" w:rsidRDefault="00A53D7D" w:rsidP="005140B4">
      <w:pPr>
        <w:pStyle w:val="Notes"/>
        <w:shd w:val="clear" w:color="auto" w:fill="FFFFFF" w:themeFill="background1"/>
      </w:pPr>
      <w:r w:rsidRPr="00596ED3">
        <w:t>(b)</w:t>
      </w:r>
      <w:r w:rsidRPr="00596ED3">
        <w:tab/>
        <w:t>Funding of $3</w:t>
      </w:r>
      <w:r>
        <w:t> million</w:t>
      </w:r>
      <w:r w:rsidRPr="00596ED3">
        <w:t xml:space="preserve"> was announced in 2010</w:t>
      </w:r>
      <w:r>
        <w:noBreakHyphen/>
      </w:r>
      <w:r w:rsidRPr="00596ED3">
        <w:t xml:space="preserve">11 for the Healesville Hospital Upgrade. The new expanded project also has additional funds committed by Eastern Health ($500k) and from the </w:t>
      </w:r>
      <w:r>
        <w:t>‘</w:t>
      </w:r>
      <w:r w:rsidRPr="00596ED3">
        <w:t>Rural Capital Support Fund</w:t>
      </w:r>
      <w:r>
        <w:t>’</w:t>
      </w:r>
      <w:r w:rsidRPr="00596ED3">
        <w:t xml:space="preserve"> ($2.77m), bringing the total cost of the project is $7.8</w:t>
      </w:r>
      <w:r>
        <w:t> million</w:t>
      </w:r>
      <w:r w:rsidRPr="00596ED3">
        <w:t>.</w:t>
      </w:r>
    </w:p>
    <w:p w:rsidR="00A53D7D" w:rsidRPr="00596ED3" w:rsidRDefault="00A53D7D" w:rsidP="005140B4">
      <w:pPr>
        <w:pStyle w:val="Notes"/>
        <w:shd w:val="clear" w:color="auto" w:fill="FFFFFF" w:themeFill="background1"/>
      </w:pPr>
      <w:r w:rsidRPr="00596ED3">
        <w:t>(c)</w:t>
      </w:r>
      <w:r w:rsidRPr="00596ED3">
        <w:tab/>
        <w:t>The total cost of the project is $4.5</w:t>
      </w:r>
      <w:r>
        <w:t> million</w:t>
      </w:r>
      <w:r w:rsidRPr="00596ED3">
        <w:t>, including an additional $1.5</w:t>
      </w:r>
      <w:r>
        <w:t> million</w:t>
      </w:r>
      <w:r w:rsidRPr="00596ED3">
        <w:t xml:space="preserve"> from the Moyne Community Health Service.</w:t>
      </w:r>
    </w:p>
    <w:p w:rsidR="00A53D7D" w:rsidRPr="00596ED3" w:rsidRDefault="00A53D7D" w:rsidP="005140B4">
      <w:pPr>
        <w:pStyle w:val="Heading4"/>
      </w:pPr>
      <w:r w:rsidRPr="00596ED3">
        <w:t>Acute Health Services</w:t>
      </w:r>
      <w:r w:rsidRPr="00596ED3">
        <w:fldChar w:fldCharType="begin"/>
      </w:r>
      <w:r w:rsidRPr="00596ED3">
        <w:instrText xml:space="preserve"> XE </w:instrText>
      </w:r>
      <w:r>
        <w:instrText>"</w:instrText>
      </w:r>
      <w:r w:rsidRPr="00596ED3">
        <w:instrText>Department of Health:Acute Health Services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Austin short stay unit</w:t>
      </w:r>
    </w:p>
    <w:p w:rsidR="00A53D7D" w:rsidRPr="00596ED3" w:rsidRDefault="00A53D7D" w:rsidP="005140B4">
      <w:r w:rsidRPr="00596ED3">
        <w:t>Expansion of the short stay unit at the Austin Hospital will deliver an additional 12 beds in a new facility. This additional capacity will improve patient flow through the emergency department for patients with an expected length of stay of less than 24 hours.</w:t>
      </w:r>
    </w:p>
    <w:p w:rsidR="00A53D7D" w:rsidRPr="00596ED3" w:rsidRDefault="00A53D7D" w:rsidP="005140B4">
      <w:r w:rsidRPr="00596ED3">
        <w:t>This initiative contributes to the Department of Health</w:t>
      </w:r>
      <w:r>
        <w:t>’</w:t>
      </w:r>
      <w:r w:rsidRPr="00596ED3">
        <w:t xml:space="preserve">s Admitted Services output. </w:t>
      </w:r>
    </w:p>
    <w:p w:rsidR="00A53D7D" w:rsidRPr="00596ED3" w:rsidRDefault="00A53D7D" w:rsidP="005140B4">
      <w:pPr>
        <w:pStyle w:val="Heading5"/>
      </w:pPr>
      <w:r w:rsidRPr="00596ED3">
        <w:t>Engineering infrastructure replacement</w:t>
      </w:r>
    </w:p>
    <w:p w:rsidR="00A53D7D" w:rsidRPr="00596ED3" w:rsidRDefault="00A53D7D" w:rsidP="005140B4">
      <w:r w:rsidRPr="00596ED3">
        <w:t xml:space="preserve">Critical engineering infrastructure in hospitals, such as lifts, boilers and electrical equipment, will be replaced to ensure continuity of health service delivery and compliance with regulatory requirements. </w:t>
      </w:r>
    </w:p>
    <w:p w:rsidR="00A53D7D" w:rsidRPr="00596ED3" w:rsidRDefault="00A53D7D" w:rsidP="005140B4">
      <w:r w:rsidRPr="00596ED3">
        <w:t>This initiative contributes to the Department of Health</w:t>
      </w:r>
      <w:r>
        <w:t>’</w:t>
      </w:r>
      <w:r w:rsidRPr="00596ED3">
        <w:t xml:space="preserve">s Admitted Services output. </w:t>
      </w:r>
    </w:p>
    <w:p w:rsidR="00A53D7D" w:rsidRPr="00596ED3" w:rsidRDefault="00A53D7D" w:rsidP="005140B4">
      <w:pPr>
        <w:pStyle w:val="Heading5"/>
      </w:pPr>
      <w:r w:rsidRPr="00596ED3">
        <w:t>Increasing critical care capacity</w:t>
      </w:r>
    </w:p>
    <w:p w:rsidR="00A53D7D" w:rsidRPr="00596ED3" w:rsidRDefault="00A53D7D" w:rsidP="005140B4">
      <w:r w:rsidRPr="00596ED3">
        <w:t>This investment will deliver 14 additional intensive care or neonatal intensive care beds, as well as upgraded and suitably equipped retrieval services in public hospitals. This will support provision of acute health services across the state.</w:t>
      </w:r>
    </w:p>
    <w:p w:rsidR="00A53D7D" w:rsidRPr="00596ED3" w:rsidRDefault="00A53D7D" w:rsidP="005140B4">
      <w:r w:rsidRPr="00596ED3">
        <w:t>This initiative contributes to the Department of Health</w:t>
      </w:r>
      <w:r>
        <w:t>’</w:t>
      </w:r>
      <w:r w:rsidRPr="00596ED3">
        <w:t xml:space="preserve">s Admitted Services output. </w:t>
      </w:r>
    </w:p>
    <w:p w:rsidR="00A53D7D" w:rsidRPr="00596ED3" w:rsidRDefault="00A53D7D" w:rsidP="005140B4">
      <w:pPr>
        <w:pStyle w:val="Heading5"/>
      </w:pPr>
      <w:r w:rsidRPr="00596ED3">
        <w:t xml:space="preserve">Latrobe Regional Hospital redevelopment – Stage 2A </w:t>
      </w:r>
    </w:p>
    <w:p w:rsidR="00A53D7D" w:rsidRPr="00596ED3" w:rsidRDefault="00A53D7D" w:rsidP="005140B4">
      <w:r w:rsidRPr="00596ED3">
        <w:t>The Government will expand and enhance the Latrobe Regional Hospital facilities including construction of a new Emergency Department, 12 short stay beds, a new acute 30 bed ward, two day</w:t>
      </w:r>
      <w:r>
        <w:noBreakHyphen/>
      </w:r>
      <w:r w:rsidRPr="00596ED3">
        <w:t>endoscopy rooms, a catheterisation laboratory, a new main entry and admissions area, a new medical records facility and new public parking.</w:t>
      </w:r>
    </w:p>
    <w:p w:rsidR="00A53D7D" w:rsidRPr="00596ED3" w:rsidRDefault="00A53D7D" w:rsidP="005140B4">
      <w:r w:rsidRPr="00596ED3">
        <w:t>This initiative contributes to the Department of Health</w:t>
      </w:r>
      <w:r>
        <w:t>’</w:t>
      </w:r>
      <w:r w:rsidRPr="00596ED3">
        <w:t>s Admitted Services output.</w:t>
      </w:r>
    </w:p>
    <w:p w:rsidR="00A53D7D" w:rsidRPr="00596ED3" w:rsidRDefault="00A53D7D" w:rsidP="005140B4">
      <w:pPr>
        <w:pStyle w:val="Heading5"/>
      </w:pPr>
      <w:r w:rsidRPr="00596ED3">
        <w:t>Major expansion for Healesville Hospital</w:t>
      </w:r>
    </w:p>
    <w:p w:rsidR="00A53D7D" w:rsidRPr="00596ED3" w:rsidRDefault="00A53D7D" w:rsidP="005140B4">
      <w:r w:rsidRPr="00596ED3">
        <w:t>Funding is provided to expand the upgrade of Healesville Hospital to better meet the health service needs of the Yarra Ranges community by boosting general surgical, endoscopy and gynaecological services. The expansion will deliver a new operating theatre and renal dialysis unit, as well as an expansion of the community health centre and new consulting suites.</w:t>
      </w:r>
    </w:p>
    <w:p w:rsidR="00A53D7D" w:rsidRPr="00596ED3" w:rsidRDefault="00A53D7D" w:rsidP="005140B4">
      <w:r w:rsidRPr="00596ED3">
        <w:t>This initiative contributes to the Department of Health</w:t>
      </w:r>
      <w:r>
        <w:t>’</w:t>
      </w:r>
      <w:r w:rsidRPr="00596ED3">
        <w:t xml:space="preserve">s Admitted Services output. </w:t>
      </w:r>
    </w:p>
    <w:p w:rsidR="00A53D7D" w:rsidRPr="00596ED3" w:rsidRDefault="00A53D7D" w:rsidP="005140B4">
      <w:pPr>
        <w:pStyle w:val="Heading5"/>
      </w:pPr>
      <w:r w:rsidRPr="00596ED3">
        <w:t>Medical equipment replacement</w:t>
      </w:r>
    </w:p>
    <w:p w:rsidR="00A53D7D" w:rsidRPr="00596ED3" w:rsidRDefault="00A53D7D" w:rsidP="005140B4">
      <w:r w:rsidRPr="00596ED3">
        <w:t xml:space="preserve">The Government is supporting the continued replacement of medical equipment in metropolitan and rural health services including acute hospitals, dental health services, mental health </w:t>
      </w:r>
      <w:proofErr w:type="gramStart"/>
      <w:r w:rsidRPr="00596ED3">
        <w:t>services</w:t>
      </w:r>
      <w:proofErr w:type="gramEnd"/>
      <w:r w:rsidRPr="00596ED3">
        <w:t xml:space="preserve"> and aged care services. This will enable health services to reduce risk to patients and staff and improve service availability through the introduction of technological advances in medical equipment. </w:t>
      </w:r>
    </w:p>
    <w:p w:rsidR="00A53D7D" w:rsidRPr="00596ED3" w:rsidRDefault="00A53D7D" w:rsidP="005140B4">
      <w:r w:rsidRPr="00596ED3">
        <w:t>This initiative contributes to the Department of Health</w:t>
      </w:r>
      <w:r>
        <w:t>’</w:t>
      </w:r>
      <w:r w:rsidRPr="00596ED3">
        <w:t xml:space="preserve">s Admitted Services output. </w:t>
      </w:r>
    </w:p>
    <w:p w:rsidR="00A53D7D" w:rsidRPr="00596ED3" w:rsidRDefault="00A53D7D" w:rsidP="005140B4">
      <w:pPr>
        <w:pStyle w:val="Heading4"/>
      </w:pPr>
      <w:r w:rsidRPr="00596ED3">
        <w:t>Mental Health</w:t>
      </w:r>
      <w:r w:rsidRPr="00596ED3">
        <w:fldChar w:fldCharType="begin"/>
      </w:r>
      <w:r w:rsidRPr="00596ED3">
        <w:instrText xml:space="preserve"> XE </w:instrText>
      </w:r>
      <w:r>
        <w:instrText>"</w:instrText>
      </w:r>
      <w:r w:rsidRPr="00596ED3">
        <w:instrText>Department of Health:Mental Health</w:instrText>
      </w:r>
      <w:r>
        <w:instrText>"</w:instrText>
      </w:r>
      <w:r w:rsidRPr="00596ED3">
        <w:instrText xml:space="preserve"> </w:instrText>
      </w:r>
      <w:r w:rsidRPr="00596ED3">
        <w:fldChar w:fldCharType="end"/>
      </w:r>
    </w:p>
    <w:p w:rsidR="00A53D7D" w:rsidRPr="00596ED3" w:rsidRDefault="00A53D7D" w:rsidP="005140B4">
      <w:pPr>
        <w:pStyle w:val="Heading5"/>
      </w:pPr>
      <w:r w:rsidRPr="00596ED3">
        <w:t>Prevention and Recovery Care Services – Mildura and Warrnambool</w:t>
      </w:r>
    </w:p>
    <w:p w:rsidR="00A53D7D" w:rsidRPr="00596ED3" w:rsidRDefault="00A53D7D" w:rsidP="005140B4">
      <w:r w:rsidRPr="00596ED3">
        <w:t xml:space="preserve">Two new Prevention and Recovery Care Services will be constructed to increase the range and number of mental health services in regional Victoria. A </w:t>
      </w:r>
      <w:r>
        <w:t>10</w:t>
      </w:r>
      <w:r w:rsidRPr="00596ED3">
        <w:t xml:space="preserve"> bed facility with an outpatient zone will be built in Mildura and an eight</w:t>
      </w:r>
      <w:r>
        <w:noBreakHyphen/>
      </w:r>
      <w:r w:rsidRPr="00596ED3">
        <w:t>bed facility with two additional day places will be built in Warrnambool.</w:t>
      </w:r>
    </w:p>
    <w:p w:rsidR="00A53D7D" w:rsidRPr="00596ED3" w:rsidRDefault="00A53D7D" w:rsidP="005140B4">
      <w:r w:rsidRPr="00596ED3">
        <w:t>This initiative contributes to the Department of Health</w:t>
      </w:r>
      <w:r>
        <w:t>’</w:t>
      </w:r>
      <w:r w:rsidRPr="00596ED3">
        <w:t>s Clinical Care output.</w:t>
      </w:r>
    </w:p>
    <w:p w:rsidR="00A53D7D" w:rsidRPr="00596ED3" w:rsidRDefault="00A53D7D" w:rsidP="005140B4">
      <w:pPr>
        <w:pStyle w:val="Heading5"/>
      </w:pPr>
      <w:r w:rsidRPr="00596ED3">
        <w:t>Transitional mental health services</w:t>
      </w:r>
    </w:p>
    <w:p w:rsidR="00A53D7D" w:rsidRPr="00596ED3" w:rsidRDefault="00A53D7D" w:rsidP="005140B4">
      <w:r w:rsidRPr="00596ED3">
        <w:t>Two 10</w:t>
      </w:r>
      <w:r>
        <w:noBreakHyphen/>
      </w:r>
      <w:r w:rsidRPr="00596ED3">
        <w:t>bed transitional step</w:t>
      </w:r>
      <w:r>
        <w:noBreakHyphen/>
      </w:r>
      <w:r w:rsidRPr="00596ED3">
        <w:t>down care units will be constructed, establishing a new service model for clients receiving long term clinical mental health support. This will improve outcomes for people with severe mental illness by ensuring that they gain access to the right treatment in the right environment.</w:t>
      </w:r>
    </w:p>
    <w:p w:rsidR="00A53D7D" w:rsidRPr="00596ED3" w:rsidRDefault="00A53D7D" w:rsidP="005140B4">
      <w:r w:rsidRPr="00596ED3">
        <w:t>This initiative contributes to the Department of Health</w:t>
      </w:r>
      <w:r>
        <w:t>’</w:t>
      </w:r>
      <w:r w:rsidRPr="00596ED3">
        <w:t>s Clinical Care output.</w:t>
      </w:r>
    </w:p>
    <w:p w:rsidR="00A53D7D" w:rsidRPr="00596ED3" w:rsidRDefault="00A53D7D" w:rsidP="005140B4">
      <w:pPr>
        <w:pStyle w:val="Heading4"/>
      </w:pPr>
      <w:r w:rsidRPr="00596ED3">
        <w:t>Primary, Community and Dental Health</w:t>
      </w:r>
      <w:r w:rsidRPr="00596ED3">
        <w:fldChar w:fldCharType="begin"/>
      </w:r>
      <w:r w:rsidRPr="00596ED3">
        <w:instrText xml:space="preserve"> XE </w:instrText>
      </w:r>
      <w:r>
        <w:instrText>"</w:instrText>
      </w:r>
      <w:r w:rsidRPr="00596ED3">
        <w:instrText>Department of Health:Primary, Community and Dental Health</w:instrText>
      </w:r>
      <w:r>
        <w:instrText>"</w:instrText>
      </w:r>
      <w:r w:rsidRPr="00596ED3">
        <w:instrText xml:space="preserve"> </w:instrText>
      </w:r>
      <w:r w:rsidRPr="00596ED3">
        <w:fldChar w:fldCharType="end"/>
      </w:r>
    </w:p>
    <w:p w:rsidR="00A53D7D" w:rsidRPr="00596ED3" w:rsidRDefault="00A53D7D" w:rsidP="005140B4">
      <w:pPr>
        <w:pStyle w:val="Heading5"/>
      </w:pPr>
      <w:r w:rsidRPr="00596ED3">
        <w:t>Barwon Health – North</w:t>
      </w:r>
      <w:r w:rsidRPr="00596ED3">
        <w:tab/>
      </w:r>
    </w:p>
    <w:p w:rsidR="00A53D7D" w:rsidRPr="00596ED3" w:rsidRDefault="00A53D7D" w:rsidP="005140B4">
      <w:r w:rsidRPr="00596ED3">
        <w:t>The new Barwon Health</w:t>
      </w:r>
      <w:r>
        <w:noBreakHyphen/>
      </w:r>
      <w:r w:rsidRPr="00596ED3">
        <w:t xml:space="preserve">North facility in </w:t>
      </w:r>
      <w:proofErr w:type="gramStart"/>
      <w:r w:rsidRPr="00596ED3">
        <w:t>Geelong</w:t>
      </w:r>
      <w:r>
        <w:t>’</w:t>
      </w:r>
      <w:r w:rsidRPr="00596ED3">
        <w:t>s</w:t>
      </w:r>
      <w:proofErr w:type="gramEnd"/>
      <w:r w:rsidRPr="00596ED3">
        <w:t xml:space="preserve"> north will provide an innovative and integrated community based services model. This will provide access to expanded services and minimise avoidable presentations and admissions at Geelong Hospital, through the development of an urgent care centre and co</w:t>
      </w:r>
      <w:r>
        <w:noBreakHyphen/>
      </w:r>
      <w:r w:rsidRPr="00596ED3">
        <w:t>location of GP services. In addition</w:t>
      </w:r>
      <w:r>
        <w:t>,</w:t>
      </w:r>
      <w:r w:rsidRPr="00596ED3">
        <w:t xml:space="preserve"> this will present opportunities for co</w:t>
      </w:r>
      <w:r>
        <w:noBreakHyphen/>
      </w:r>
      <w:r w:rsidRPr="00596ED3">
        <w:t>investment from a range of health care providers.</w:t>
      </w:r>
    </w:p>
    <w:p w:rsidR="00A53D7D" w:rsidRPr="00596ED3" w:rsidRDefault="00A53D7D" w:rsidP="005140B4">
      <w:r w:rsidRPr="00596ED3">
        <w:t>This initiative contributes to the Department of Health</w:t>
      </w:r>
      <w:r>
        <w:t>’</w:t>
      </w:r>
      <w:r w:rsidRPr="00596ED3">
        <w:t>s Community Health output.</w:t>
      </w:r>
    </w:p>
    <w:p w:rsidR="00A53D7D" w:rsidRPr="00596ED3" w:rsidRDefault="00A53D7D" w:rsidP="005140B4">
      <w:pPr>
        <w:pStyle w:val="Heading5"/>
      </w:pPr>
      <w:r w:rsidRPr="00596ED3">
        <w:t>Moyne Community Health Service</w:t>
      </w:r>
    </w:p>
    <w:p w:rsidR="00A53D7D" w:rsidRPr="00596ED3" w:rsidRDefault="00A53D7D" w:rsidP="005140B4">
      <w:r w:rsidRPr="00596ED3">
        <w:t>A new community health building will be constructed in Port Fairy, enhancing the quality and amenity of services provided through the Moyne Community Health Service. The new facility will allow the health service to respond to local priorities and maintain and enhance its service delivery capacity across a range of primary health services.</w:t>
      </w:r>
    </w:p>
    <w:p w:rsidR="00A53D7D" w:rsidRPr="00596ED3" w:rsidRDefault="00A53D7D" w:rsidP="005140B4">
      <w:r w:rsidRPr="00596ED3">
        <w:t>This initiative contributes to the Department of Health</w:t>
      </w:r>
      <w:r>
        <w:t>’</w:t>
      </w:r>
      <w:r w:rsidRPr="00596ED3">
        <w:t>s Community Health output.</w:t>
      </w:r>
    </w:p>
    <w:p w:rsidR="00A53D7D" w:rsidRPr="00596ED3" w:rsidRDefault="00A53D7D" w:rsidP="005140B4">
      <w:pPr>
        <w:pStyle w:val="Heading4"/>
      </w:pPr>
      <w:r w:rsidRPr="00596ED3">
        <w:t>Drugs Services</w:t>
      </w:r>
      <w:r w:rsidRPr="00596ED3">
        <w:fldChar w:fldCharType="begin"/>
      </w:r>
      <w:r w:rsidRPr="00596ED3">
        <w:instrText xml:space="preserve"> XE </w:instrText>
      </w:r>
      <w:r>
        <w:instrText>"</w:instrText>
      </w:r>
      <w:r w:rsidRPr="00596ED3">
        <w:instrText>Department of Health:Drug Services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Community residential alcohol and drug withdrawal service for mothers with babies</w:t>
      </w:r>
    </w:p>
    <w:p w:rsidR="00A53D7D" w:rsidRPr="00596ED3" w:rsidRDefault="00A53D7D" w:rsidP="005140B4">
      <w:r w:rsidRPr="00596ED3">
        <w:t>A residential independent living unit will be established for mothers withdrawing from drug and alcohol dependencies, with access to a co</w:t>
      </w:r>
      <w:r>
        <w:noBreakHyphen/>
      </w:r>
      <w:r w:rsidRPr="00596ED3">
        <w:t xml:space="preserve">located alcohol and drug centre providing day withdrawal programs. </w:t>
      </w:r>
    </w:p>
    <w:p w:rsidR="00A53D7D" w:rsidRPr="00596ED3" w:rsidRDefault="00A53D7D" w:rsidP="005140B4">
      <w:r w:rsidRPr="00596ED3">
        <w:t>This initiative contributes to the Department of Health</w:t>
      </w:r>
      <w:r>
        <w:t>’</w:t>
      </w:r>
      <w:r w:rsidRPr="00596ED3">
        <w:t>s Drug Treatment and Rehabilitation output.</w:t>
      </w:r>
    </w:p>
    <w:p w:rsidR="00A53D7D" w:rsidRPr="00596ED3" w:rsidRDefault="00A53D7D" w:rsidP="005140B4">
      <w:pPr>
        <w:pStyle w:val="Heading4"/>
      </w:pPr>
      <w:r w:rsidRPr="00596ED3">
        <w:t>Small Rural Services</w:t>
      </w:r>
      <w:r w:rsidRPr="00596ED3">
        <w:fldChar w:fldCharType="begin"/>
      </w:r>
      <w:r w:rsidRPr="00596ED3">
        <w:instrText xml:space="preserve"> XE </w:instrText>
      </w:r>
      <w:r>
        <w:instrText>"</w:instrText>
      </w:r>
      <w:r w:rsidRPr="00596ED3">
        <w:instrText>Department of Health:Small Rural Services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Boort Hospital redevelopment</w:t>
      </w:r>
    </w:p>
    <w:p w:rsidR="00A53D7D" w:rsidRPr="00596ED3" w:rsidRDefault="00A53D7D" w:rsidP="005140B4">
      <w:pPr>
        <w:rPr>
          <w:lang w:eastAsia="en-AU"/>
        </w:rPr>
      </w:pPr>
      <w:r w:rsidRPr="00596ED3">
        <w:rPr>
          <w:lang w:eastAsia="en-AU"/>
        </w:rPr>
        <w:t>The Boort Hospital redevelopment</w:t>
      </w:r>
      <w:r>
        <w:rPr>
          <w:lang w:eastAsia="en-AU"/>
        </w:rPr>
        <w:fldChar w:fldCharType="begin"/>
      </w:r>
      <w:r>
        <w:instrText xml:space="preserve"> XE "</w:instrText>
      </w:r>
      <w:r w:rsidRPr="00342A6A">
        <w:rPr>
          <w:lang w:eastAsia="en-AU"/>
        </w:rPr>
        <w:instrText>Boort Hospital redevelopment</w:instrText>
      </w:r>
      <w:r>
        <w:instrText xml:space="preserve">" </w:instrText>
      </w:r>
      <w:r>
        <w:rPr>
          <w:lang w:eastAsia="en-AU"/>
        </w:rPr>
        <w:fldChar w:fldCharType="end"/>
      </w:r>
      <w:r w:rsidRPr="00596ED3">
        <w:rPr>
          <w:lang w:eastAsia="en-AU"/>
        </w:rPr>
        <w:t xml:space="preserve"> will provide a new integrated 32</w:t>
      </w:r>
      <w:r>
        <w:rPr>
          <w:lang w:eastAsia="en-AU"/>
        </w:rPr>
        <w:noBreakHyphen/>
      </w:r>
      <w:r w:rsidRPr="00596ED3">
        <w:rPr>
          <w:lang w:eastAsia="en-AU"/>
        </w:rPr>
        <w:t>bed facility. The revised configuration will offer improved amenity for patients and staff and ensure the range of services delivered by Boort District Health continues to meet the needs of the community.</w:t>
      </w:r>
    </w:p>
    <w:p w:rsidR="00A53D7D" w:rsidRPr="00596ED3" w:rsidRDefault="00A53D7D" w:rsidP="005140B4">
      <w:r w:rsidRPr="00596ED3">
        <w:t>This initiative contributes to the Department of Health</w:t>
      </w:r>
      <w:r>
        <w:t>’</w:t>
      </w:r>
      <w:r w:rsidRPr="00596ED3">
        <w:t>s Small Rural Services – Aged Care output.</w:t>
      </w:r>
    </w:p>
    <w:p w:rsidR="00A53D7D" w:rsidRPr="00596ED3" w:rsidRDefault="00A53D7D" w:rsidP="005140B4">
      <w:r w:rsidRPr="00596ED3">
        <w:br w:type="page"/>
      </w:r>
    </w:p>
    <w:p w:rsidR="00A53D7D" w:rsidRPr="00596ED3" w:rsidRDefault="00A53D7D" w:rsidP="005140B4">
      <w:pPr>
        <w:pStyle w:val="Heading1"/>
      </w:pPr>
      <w:bookmarkStart w:id="27" w:name="_Toc386364063"/>
      <w:bookmarkStart w:id="28" w:name="_Toc407116896"/>
      <w:r w:rsidRPr="00596ED3">
        <w:t>Department of Human Services</w:t>
      </w:r>
      <w:bookmarkEnd w:id="27"/>
      <w:bookmarkEnd w:id="28"/>
    </w:p>
    <w:p w:rsidR="00A53D7D" w:rsidRPr="00596ED3" w:rsidRDefault="00A53D7D" w:rsidP="005140B4">
      <w:pPr>
        <w:pStyle w:val="Heading3"/>
      </w:pPr>
      <w:r w:rsidRPr="00596ED3">
        <w:t>Output initiatives</w:t>
      </w:r>
    </w:p>
    <w:p w:rsidR="00A53D7D" w:rsidRPr="00596ED3" w:rsidRDefault="00A53D7D" w:rsidP="005140B4">
      <w:pPr>
        <w:pStyle w:val="Tableheading"/>
      </w:pPr>
      <w:r w:rsidRPr="00596ED3">
        <w:t xml:space="preserve">Table 1.9: </w:t>
      </w:r>
      <w:r w:rsidRPr="00596ED3">
        <w:tab/>
        <w:t>Output initiatives – Human Services</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bookmarkStart w:id="29" w:name="RANGE!A3:F34"/>
    </w:p>
    <w:tbl>
      <w:tblPr>
        <w:tblW w:w="7776" w:type="dxa"/>
        <w:tblInd w:w="29" w:type="dxa"/>
        <w:tblCellMar>
          <w:left w:w="43" w:type="dxa"/>
          <w:right w:w="43" w:type="dxa"/>
        </w:tblCellMar>
        <w:tblLook w:val="04A0" w:firstRow="1" w:lastRow="0" w:firstColumn="1" w:lastColumn="0" w:noHBand="0" w:noVBand="1"/>
      </w:tblPr>
      <w:tblGrid>
        <w:gridCol w:w="2810"/>
        <w:gridCol w:w="994"/>
        <w:gridCol w:w="993"/>
        <w:gridCol w:w="993"/>
        <w:gridCol w:w="993"/>
        <w:gridCol w:w="993"/>
      </w:tblGrid>
      <w:tr w:rsidR="00A53D7D" w:rsidRPr="00FB64AD" w:rsidTr="005140B4">
        <w:trPr>
          <w:divId w:val="386105342"/>
          <w:tblHeader/>
        </w:trPr>
        <w:tc>
          <w:tcPr>
            <w:tcW w:w="2810" w:type="dxa"/>
            <w:tcBorders>
              <w:top w:val="single" w:sz="4" w:space="0" w:color="auto"/>
              <w:left w:val="single" w:sz="4"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994"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993"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993"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993"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993" w:type="dxa"/>
            <w:tcBorders>
              <w:top w:val="single" w:sz="4" w:space="0" w:color="auto"/>
              <w:left w:val="nil"/>
              <w:bottom w:val="single" w:sz="4" w:space="0" w:color="auto"/>
              <w:right w:val="single" w:sz="4"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r>
      <w:tr w:rsidR="00A53D7D" w:rsidRPr="00FB64AD" w:rsidTr="005140B4">
        <w:trPr>
          <w:divId w:val="386105342"/>
        </w:trPr>
        <w:tc>
          <w:tcPr>
            <w:tcW w:w="2810" w:type="dxa"/>
            <w:tcBorders>
              <w:top w:val="nil"/>
              <w:left w:val="nil"/>
              <w:bottom w:val="nil"/>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All</w:t>
            </w:r>
          </w:p>
        </w:tc>
        <w:tc>
          <w:tcPr>
            <w:tcW w:w="994"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i/>
                <w:color w:val="000000"/>
                <w:lang w:eastAsia="en-AU"/>
              </w:rPr>
            </w:pPr>
            <w:r w:rsidRPr="00FB64AD">
              <w:rPr>
                <w:i/>
                <w:color w:val="000000"/>
                <w:lang w:eastAsia="en-AU"/>
              </w:rPr>
              <w:t xml:space="preserve">Services Connect </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Social and Community Services Equal Remuneration Order </w:t>
            </w:r>
            <w:r w:rsidRPr="00FB64AD">
              <w:rPr>
                <w:color w:val="000000"/>
                <w:vertAlign w:val="superscript"/>
                <w:lang w:eastAsia="en-AU"/>
              </w:rPr>
              <w:t>(a)</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9.9</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386105342"/>
        </w:trPr>
        <w:tc>
          <w:tcPr>
            <w:tcW w:w="2810" w:type="dxa"/>
            <w:tcBorders>
              <w:top w:val="nil"/>
              <w:left w:val="nil"/>
              <w:bottom w:val="nil"/>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Child Protection and Family Services</w:t>
            </w:r>
          </w:p>
        </w:tc>
        <w:tc>
          <w:tcPr>
            <w:tcW w:w="994"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Aboriginal kinship care </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Expansion of child protection and Child FIRST</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5.7</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5.9</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6.3</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Out</w:t>
            </w:r>
            <w:r>
              <w:rPr>
                <w:color w:val="000000"/>
                <w:lang w:eastAsia="en-AU"/>
              </w:rPr>
              <w:noBreakHyphen/>
            </w:r>
            <w:r w:rsidRPr="00FB64AD">
              <w:rPr>
                <w:color w:val="000000"/>
                <w:lang w:eastAsia="en-AU"/>
              </w:rPr>
              <w:t>of</w:t>
            </w:r>
            <w:r>
              <w:rPr>
                <w:color w:val="000000"/>
                <w:lang w:eastAsia="en-AU"/>
              </w:rPr>
              <w:noBreakHyphen/>
            </w:r>
            <w:r w:rsidRPr="00FB64AD">
              <w:rPr>
                <w:color w:val="000000"/>
                <w:lang w:eastAsia="en-AU"/>
              </w:rPr>
              <w:t>home care</w:t>
            </w:r>
            <w:r>
              <w:rPr>
                <w:color w:val="000000"/>
                <w:lang w:eastAsia="en-AU"/>
              </w:rPr>
              <w:t xml:space="preserve"> – </w:t>
            </w:r>
            <w:r w:rsidRPr="00FB64AD">
              <w:rPr>
                <w:color w:val="000000"/>
                <w:lang w:eastAsia="en-AU"/>
              </w:rPr>
              <w:t>demand and support for therapeutic care</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7.5</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Addressing violence against women and children</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Concessions to Pensioners and Beneficiaries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rFonts w:cs="Calibri"/>
                <w:color w:val="000000"/>
                <w:lang w:eastAsia="en-AU"/>
              </w:rPr>
            </w:pPr>
            <w:r w:rsidRPr="00FB64AD">
              <w:rPr>
                <w:color w:val="000000"/>
                <w:lang w:eastAsia="en-AU"/>
              </w:rPr>
              <w:t xml:space="preserve">Supporting concessions to pensioners and </w:t>
            </w:r>
            <w:r w:rsidRPr="00FB64AD">
              <w:rPr>
                <w:rFonts w:cs="Calibri"/>
                <w:color w:val="000000"/>
                <w:lang w:eastAsia="en-AU"/>
              </w:rPr>
              <w:t>beneficiaries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8.9</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Disability Services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Individualised support for people with a disability, their families and carers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28.2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29.5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30.9</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32.4</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National Disability Insurance Scheme Headquarters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Closing the Oakleigh Centre</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2.6</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Housing Assistance</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National Partnership Agreement on Homelessness </w:t>
            </w:r>
            <w:r w:rsidRPr="00FB64AD">
              <w:rPr>
                <w:color w:val="000000"/>
                <w:vertAlign w:val="superscript"/>
                <w:lang w:eastAsia="en-AU"/>
              </w:rPr>
              <w:t>(b)</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29.1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31.7</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33.1</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Youth Foyer</w:t>
            </w:r>
            <w:r>
              <w:rPr>
                <w:color w:val="000000"/>
                <w:lang w:eastAsia="en-AU"/>
              </w:rPr>
              <w:t xml:space="preserve"> – </w:t>
            </w:r>
            <w:r w:rsidRPr="00FB64AD">
              <w:rPr>
                <w:color w:val="000000"/>
                <w:lang w:eastAsia="en-AU"/>
              </w:rPr>
              <w:t>Shepparton</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Victorian social housing framework</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 xml:space="preserve">Youth Services and Youth Justice </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Community youth diversion</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4.5</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Preparation for expanding the youth justice centre in Malmsbury</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keepNext/>
              <w:rPr>
                <w:b/>
                <w:bCs/>
                <w:color w:val="000000"/>
                <w:lang w:eastAsia="en-AU"/>
              </w:rPr>
            </w:pPr>
            <w:r w:rsidRPr="00FB64AD">
              <w:rPr>
                <w:b/>
                <w:bCs/>
                <w:color w:val="000000"/>
                <w:lang w:eastAsia="en-AU"/>
              </w:rPr>
              <w:t>Empowering Individuals and Communities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keepNext/>
              <w:rPr>
                <w:rFonts w:cs="Calibri"/>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keepNext/>
              <w:rPr>
                <w:rFonts w:cs="Calibri"/>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keepNext/>
              <w:rPr>
                <w:rFonts w:cs="Calibri"/>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keepNext/>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keepNext/>
              <w:rPr>
                <w:color w:val="000000"/>
                <w:lang w:eastAsia="en-AU"/>
              </w:rPr>
            </w:pP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keepNext/>
              <w:rPr>
                <w:color w:val="000000"/>
                <w:lang w:eastAsia="en-AU"/>
              </w:rPr>
            </w:pPr>
            <w:r w:rsidRPr="00FB64AD">
              <w:rPr>
                <w:color w:val="000000"/>
                <w:lang w:eastAsia="en-AU"/>
              </w:rPr>
              <w:t>Economic and social participation opportunities for Victorian women</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keepNext/>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keepNext/>
              <w:rPr>
                <w:color w:val="000000"/>
                <w:lang w:eastAsia="en-AU"/>
              </w:rPr>
            </w:pPr>
            <w:r w:rsidRPr="00FB64AD">
              <w:rPr>
                <w:color w:val="000000"/>
                <w:lang w:eastAsia="en-AU"/>
              </w:rPr>
              <w:t xml:space="preserve"> 0.5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keepNext/>
              <w:rPr>
                <w:color w:val="000000"/>
                <w:lang w:eastAsia="en-AU"/>
              </w:rPr>
            </w:pPr>
            <w:r w:rsidRPr="00FB64AD">
              <w:rPr>
                <w:color w:val="000000"/>
                <w:lang w:eastAsia="en-AU"/>
              </w:rPr>
              <w:t xml:space="preserve"> 0.5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keepNext/>
              <w:rPr>
                <w:color w:val="000000"/>
                <w:lang w:eastAsia="en-AU"/>
              </w:rPr>
            </w:pPr>
            <w:r w:rsidRPr="00FB64AD">
              <w:rPr>
                <w:color w:val="000000"/>
                <w:lang w:eastAsia="en-AU"/>
              </w:rPr>
              <w:t xml:space="preserve"> 0.2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keepNext/>
              <w:rPr>
                <w:color w:val="000000"/>
                <w:lang w:eastAsia="en-AU"/>
              </w:rPr>
            </w:pPr>
            <w:r w:rsidRPr="00FB64AD">
              <w:rPr>
                <w:color w:val="000000"/>
                <w:lang w:eastAsia="en-AU"/>
              </w:rPr>
              <w:t xml:space="preserve"> 0.2</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Good Money</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Strengthening Neighbourhood Houses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0.7</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0.7</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0.7</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0.8</w:t>
            </w:r>
          </w:p>
        </w:tc>
      </w:tr>
      <w:tr w:rsidR="00A53D7D" w:rsidRPr="00FB64AD" w:rsidTr="005140B4">
        <w:trPr>
          <w:divId w:val="386105342"/>
        </w:trPr>
        <w:tc>
          <w:tcPr>
            <w:tcW w:w="2810"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Bushfire Recovery Package</w:t>
            </w:r>
          </w:p>
        </w:tc>
        <w:tc>
          <w:tcPr>
            <w:tcW w:w="994"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9.0</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386105342"/>
        </w:trPr>
        <w:tc>
          <w:tcPr>
            <w:tcW w:w="2810" w:type="dxa"/>
            <w:tcBorders>
              <w:top w:val="nil"/>
              <w:left w:val="nil"/>
              <w:bottom w:val="single" w:sz="4"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Sub total output initiatives</w:t>
            </w:r>
          </w:p>
        </w:tc>
        <w:tc>
          <w:tcPr>
            <w:tcW w:w="994"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13.0</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117.6</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116.7</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109.8</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102.2</w:t>
            </w:r>
          </w:p>
        </w:tc>
      </w:tr>
      <w:tr w:rsidR="00A53D7D" w:rsidRPr="00FB64AD" w:rsidTr="005140B4">
        <w:trPr>
          <w:divId w:val="386105342"/>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Existing resources </w:t>
            </w:r>
            <w:r w:rsidRPr="00FB64AD">
              <w:rPr>
                <w:color w:val="000000"/>
                <w:vertAlign w:val="superscript"/>
                <w:lang w:eastAsia="en-AU"/>
              </w:rPr>
              <w:t>(c )</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( 25.9)</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( 21.0)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( 18.3)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( 13.7)</w:t>
            </w:r>
          </w:p>
        </w:tc>
      </w:tr>
      <w:tr w:rsidR="00A53D7D" w:rsidRPr="00FB64AD" w:rsidTr="005140B4">
        <w:trPr>
          <w:divId w:val="386105342"/>
        </w:trPr>
        <w:tc>
          <w:tcPr>
            <w:tcW w:w="2810" w:type="dxa"/>
            <w:tcBorders>
              <w:top w:val="single" w:sz="4" w:space="0" w:color="auto"/>
              <w:left w:val="nil"/>
              <w:bottom w:val="single" w:sz="8"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output initiatives</w:t>
            </w:r>
          </w:p>
        </w:tc>
        <w:tc>
          <w:tcPr>
            <w:tcW w:w="994"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13.0</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91.7</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95.8</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91.5</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88.5</w:t>
            </w:r>
          </w:p>
        </w:tc>
      </w:tr>
    </w:tbl>
    <w:bookmarkEnd w:id="29"/>
    <w:p w:rsidR="00A53D7D" w:rsidRPr="00596ED3" w:rsidRDefault="00A53D7D" w:rsidP="005140B4">
      <w:pPr>
        <w:pStyle w:val="Source"/>
      </w:pPr>
      <w:r w:rsidRPr="00596ED3">
        <w:t>Source: Department of Treasury and Finance</w:t>
      </w:r>
      <w:r w:rsidRPr="00596ED3">
        <w:fldChar w:fldCharType="begin"/>
      </w:r>
      <w:r w:rsidRPr="00596ED3">
        <w:instrText xml:space="preserve"> XE "Department of Human Services:Output initiatives" </w:instrText>
      </w:r>
      <w:r w:rsidRPr="00596ED3">
        <w:fldChar w:fldCharType="end"/>
      </w:r>
    </w:p>
    <w:p w:rsidR="00A53D7D" w:rsidRPr="00596ED3" w:rsidRDefault="00A53D7D" w:rsidP="005140B4">
      <w:pPr>
        <w:pStyle w:val="Notes"/>
      </w:pPr>
      <w:r w:rsidRPr="00596ED3">
        <w:t>Notes:</w:t>
      </w:r>
    </w:p>
    <w:p w:rsidR="00A53D7D" w:rsidRPr="00596ED3" w:rsidRDefault="00A53D7D" w:rsidP="005140B4">
      <w:pPr>
        <w:pStyle w:val="Notes"/>
      </w:pPr>
      <w:r w:rsidRPr="00596ED3">
        <w:t>(a)</w:t>
      </w:r>
      <w:r w:rsidRPr="00596ED3">
        <w:tab/>
        <w:t xml:space="preserve"> This funding is in addition to the $200</w:t>
      </w:r>
      <w:r>
        <w:t> million</w:t>
      </w:r>
      <w:r w:rsidRPr="00596ED3">
        <w:t xml:space="preserve"> announced in the </w:t>
      </w:r>
      <w:r w:rsidRPr="00C07E8A">
        <w:rPr>
          <w:i w:val="0"/>
        </w:rPr>
        <w:t>2011</w:t>
      </w:r>
      <w:r w:rsidRPr="00C07E8A">
        <w:rPr>
          <w:i w:val="0"/>
        </w:rPr>
        <w:noBreakHyphen/>
        <w:t xml:space="preserve">12 Budget </w:t>
      </w:r>
      <w:r w:rsidRPr="00596ED3">
        <w:t>which was provided to the departments of Human Services, Health, Justice and Education and Early Childhood Development.</w:t>
      </w:r>
    </w:p>
    <w:p w:rsidR="00A53D7D" w:rsidRPr="00596ED3" w:rsidRDefault="00A53D7D" w:rsidP="005140B4">
      <w:pPr>
        <w:pStyle w:val="Notes"/>
      </w:pPr>
      <w:r w:rsidRPr="00596ED3">
        <w:t>(b)</w:t>
      </w:r>
      <w:r w:rsidRPr="00596ED3">
        <w:tab/>
        <w:t>Represents Victoria</w:t>
      </w:r>
      <w:r>
        <w:t>’</w:t>
      </w:r>
      <w:r w:rsidRPr="00596ED3">
        <w:t>s contribution under the National Partnership Agreement on Homelessness. The figures do not include funding expected from the Commonwealth in 2014</w:t>
      </w:r>
      <w:r>
        <w:noBreakHyphen/>
      </w:r>
      <w:r w:rsidRPr="00596ED3">
        <w:t xml:space="preserve">15 (pending final negotiations.) </w:t>
      </w:r>
    </w:p>
    <w:p w:rsidR="00A53D7D" w:rsidRDefault="00A53D7D" w:rsidP="005140B4">
      <w:pPr>
        <w:pStyle w:val="Notes"/>
      </w:pPr>
      <w:r w:rsidRPr="00596ED3">
        <w:t>(c)</w:t>
      </w:r>
      <w:r w:rsidRPr="00596ED3">
        <w:tab/>
        <w:t>Existing departmental resources have been reallocated to contribute to the delivery of new initiatives.</w:t>
      </w:r>
    </w:p>
    <w:p w:rsidR="00F820F9" w:rsidRPr="00596ED3" w:rsidRDefault="00F820F9" w:rsidP="005140B4">
      <w:pPr>
        <w:pStyle w:val="Notes"/>
      </w:pPr>
    </w:p>
    <w:p w:rsidR="00A53D7D" w:rsidRPr="00596ED3" w:rsidRDefault="00A53D7D" w:rsidP="005140B4">
      <w:pPr>
        <w:pStyle w:val="Heading4"/>
      </w:pPr>
      <w:r w:rsidRPr="00596ED3">
        <w:t>All</w:t>
      </w:r>
    </w:p>
    <w:p w:rsidR="00A53D7D" w:rsidRPr="00596ED3" w:rsidRDefault="00A53D7D" w:rsidP="005140B4">
      <w:pPr>
        <w:pStyle w:val="Heading5"/>
        <w:rPr>
          <w:i/>
        </w:rPr>
      </w:pPr>
      <w:r w:rsidRPr="00596ED3">
        <w:rPr>
          <w:i/>
        </w:rPr>
        <w:t>Services Connect</w:t>
      </w:r>
    </w:p>
    <w:p w:rsidR="00A53D7D" w:rsidRPr="00596ED3" w:rsidRDefault="00A53D7D" w:rsidP="005140B4">
      <w:r w:rsidRPr="00596ED3">
        <w:fldChar w:fldCharType="begin"/>
      </w:r>
      <w:r w:rsidRPr="00596ED3">
        <w:instrText xml:space="preserve"> XE </w:instrText>
      </w:r>
      <w:r>
        <w:instrText>"</w:instrText>
      </w:r>
      <w:r w:rsidRPr="00596ED3">
        <w:instrText>Services Connect</w:instrText>
      </w:r>
      <w:r>
        <w:instrText>"</w:instrText>
      </w:r>
      <w:r w:rsidRPr="00596ED3">
        <w:instrText xml:space="preserve"> </w:instrText>
      </w:r>
      <w:r w:rsidRPr="00596ED3">
        <w:fldChar w:fldCharType="end"/>
      </w:r>
      <w:r w:rsidRPr="00596ED3">
        <w:t xml:space="preserve">The Government will continue to roll out the </w:t>
      </w:r>
      <w:r w:rsidRPr="00596ED3">
        <w:rPr>
          <w:i/>
        </w:rPr>
        <w:t>Services Connect</w:t>
      </w:r>
      <w:r w:rsidRPr="00596ED3">
        <w:t xml:space="preserve"> model by extending it to sites in the non</w:t>
      </w:r>
      <w:r>
        <w:noBreakHyphen/>
      </w:r>
      <w:r w:rsidRPr="00596ED3">
        <w:t>government community services sector over the next two years. These sites will test the model</w:t>
      </w:r>
      <w:r>
        <w:t>’</w:t>
      </w:r>
      <w:r w:rsidRPr="00596ED3">
        <w:t>s client support approach and how clients access the service system. Funding is also provided for the first stage of an online system that will increase the number of self</w:t>
      </w:r>
      <w:r>
        <w:noBreakHyphen/>
      </w:r>
      <w:r w:rsidRPr="00596ED3">
        <w:t xml:space="preserve">service activities. </w:t>
      </w:r>
    </w:p>
    <w:p w:rsidR="00A53D7D" w:rsidRPr="00596ED3" w:rsidRDefault="00A53D7D" w:rsidP="005140B4">
      <w:r w:rsidRPr="00596ED3">
        <w:t>This initiative contributes to all the Department of Human Services</w:t>
      </w:r>
      <w:r>
        <w:t>’</w:t>
      </w:r>
      <w:r w:rsidRPr="00596ED3">
        <w:t xml:space="preserve"> service delivery outputs.</w:t>
      </w:r>
    </w:p>
    <w:p w:rsidR="00A53D7D" w:rsidRPr="00596ED3" w:rsidRDefault="00A53D7D" w:rsidP="005140B4">
      <w:pPr>
        <w:rPr>
          <w:rFonts w:ascii="Calibri" w:hAnsi="Calibri"/>
          <w:b/>
        </w:rPr>
      </w:pPr>
      <w:r w:rsidRPr="00596ED3">
        <w:rPr>
          <w:rFonts w:ascii="Calibri" w:hAnsi="Calibri"/>
          <w:b/>
        </w:rPr>
        <w:t>Social and Community Services Equal Remuneration Order</w:t>
      </w:r>
    </w:p>
    <w:p w:rsidR="00A53D7D" w:rsidRPr="00596ED3" w:rsidRDefault="00A53D7D" w:rsidP="005140B4">
      <w:pPr>
        <w:widowControl w:val="0"/>
      </w:pPr>
      <w:r w:rsidRPr="00596ED3">
        <w:t>Support will continue for community services organisations to meet the wage increase from the Fair Work Australia Equal Remuneration Order in the Social and Community Services pay equity case in 2014</w:t>
      </w:r>
      <w:r>
        <w:noBreakHyphen/>
      </w:r>
      <w:r w:rsidRPr="00596ED3">
        <w:t>15. This funding is in addition to the $200</w:t>
      </w:r>
      <w:r>
        <w:t> million</w:t>
      </w:r>
      <w:r w:rsidRPr="00596ED3">
        <w:t xml:space="preserve"> announced in the </w:t>
      </w:r>
      <w:r w:rsidRPr="00596ED3">
        <w:rPr>
          <w:i/>
        </w:rPr>
        <w:t>2011</w:t>
      </w:r>
      <w:r>
        <w:rPr>
          <w:i/>
        </w:rPr>
        <w:noBreakHyphen/>
      </w:r>
      <w:r w:rsidRPr="00596ED3">
        <w:rPr>
          <w:i/>
        </w:rPr>
        <w:t xml:space="preserve">12 Budget </w:t>
      </w:r>
      <w:r w:rsidRPr="00596ED3">
        <w:t xml:space="preserve">which was provided to the departments of Human Services, Health, Justice and Education and Early Childhood Development. </w:t>
      </w:r>
    </w:p>
    <w:p w:rsidR="00A53D7D" w:rsidRPr="00596ED3" w:rsidRDefault="00A53D7D" w:rsidP="005140B4">
      <w:r w:rsidRPr="00596ED3">
        <w:t>This initiative contributes to all the Department of Human Services</w:t>
      </w:r>
      <w:r>
        <w:t>’</w:t>
      </w:r>
      <w:r w:rsidRPr="00596ED3">
        <w:t xml:space="preserve"> service delivery outputs.</w:t>
      </w:r>
    </w:p>
    <w:p w:rsidR="00A53D7D" w:rsidRDefault="00A53D7D">
      <w:pPr>
        <w:spacing w:after="0"/>
        <w:rPr>
          <w:rFonts w:ascii="Calibri" w:hAnsi="Calibri"/>
          <w:i/>
          <w:sz w:val="24"/>
          <w:szCs w:val="22"/>
        </w:rPr>
      </w:pPr>
      <w:r>
        <w:br w:type="page"/>
      </w:r>
    </w:p>
    <w:p w:rsidR="00A53D7D" w:rsidRPr="00596ED3" w:rsidRDefault="00A53D7D" w:rsidP="005140B4">
      <w:pPr>
        <w:pStyle w:val="Heading4"/>
      </w:pPr>
      <w:r w:rsidRPr="00596ED3">
        <w:t>Child Protection and Family Services</w:t>
      </w:r>
      <w:r w:rsidRPr="00596ED3">
        <w:fldChar w:fldCharType="begin"/>
      </w:r>
      <w:r w:rsidRPr="00596ED3">
        <w:instrText xml:space="preserve"> XE </w:instrText>
      </w:r>
      <w:r>
        <w:instrText>"</w:instrText>
      </w:r>
      <w:r w:rsidRPr="00596ED3">
        <w:instrText>Department of Human Services:Child Protection and Family Services</w:instrText>
      </w:r>
      <w:r>
        <w:instrText>"</w:instrText>
      </w:r>
      <w:r w:rsidRPr="00596ED3">
        <w:instrText xml:space="preserve"> </w:instrText>
      </w:r>
      <w:r w:rsidRPr="00596ED3">
        <w:fldChar w:fldCharType="end"/>
      </w:r>
    </w:p>
    <w:p w:rsidR="00A53D7D" w:rsidRPr="00596ED3" w:rsidRDefault="00A53D7D" w:rsidP="005140B4">
      <w:pPr>
        <w:autoSpaceDE w:val="0"/>
        <w:autoSpaceDN w:val="0"/>
        <w:adjustRightInd w:val="0"/>
        <w:rPr>
          <w:rFonts w:ascii="Calibri" w:hAnsi="Calibri"/>
          <w:b/>
        </w:rPr>
      </w:pPr>
      <w:r w:rsidRPr="00596ED3">
        <w:rPr>
          <w:rFonts w:ascii="Calibri" w:hAnsi="Calibri"/>
          <w:b/>
        </w:rPr>
        <w:t>Aboriginal kinship care</w:t>
      </w:r>
    </w:p>
    <w:p w:rsidR="00A53D7D" w:rsidRPr="00596ED3" w:rsidRDefault="00A53D7D" w:rsidP="005140B4">
      <w:pPr>
        <w:autoSpaceDE w:val="0"/>
        <w:autoSpaceDN w:val="0"/>
        <w:adjustRightInd w:val="0"/>
        <w:rPr>
          <w:rFonts w:cs="Garamond"/>
          <w:color w:val="000000"/>
          <w:szCs w:val="22"/>
          <w:lang w:eastAsia="en-AU"/>
        </w:rPr>
      </w:pPr>
      <w:r w:rsidRPr="00596ED3">
        <w:rPr>
          <w:rFonts w:cs="Garamond"/>
          <w:color w:val="000000"/>
          <w:szCs w:val="22"/>
          <w:lang w:eastAsia="en-AU"/>
        </w:rPr>
        <w:fldChar w:fldCharType="begin"/>
      </w:r>
      <w:r w:rsidRPr="00596ED3">
        <w:instrText xml:space="preserve"> XE </w:instrText>
      </w:r>
      <w:r>
        <w:instrText>"</w:instrText>
      </w:r>
      <w:r w:rsidRPr="00596ED3">
        <w:instrText>Aboriginal kinship care</w:instrText>
      </w:r>
      <w:r>
        <w:instrText>"</w:instrText>
      </w:r>
      <w:r w:rsidRPr="00596ED3">
        <w:instrText xml:space="preserve"> </w:instrText>
      </w:r>
      <w:r w:rsidRPr="00596ED3">
        <w:rPr>
          <w:rFonts w:cs="Garamond"/>
          <w:color w:val="000000"/>
          <w:szCs w:val="22"/>
          <w:lang w:eastAsia="en-AU"/>
        </w:rPr>
        <w:fldChar w:fldCharType="end"/>
      </w:r>
      <w:r w:rsidRPr="00596ED3">
        <w:rPr>
          <w:rFonts w:cs="Garamond"/>
          <w:color w:val="000000"/>
          <w:szCs w:val="22"/>
          <w:lang w:eastAsia="en-AU"/>
        </w:rPr>
        <w:t xml:space="preserve">Funding will continue for 10 full time staff </w:t>
      </w:r>
      <w:proofErr w:type="gramStart"/>
      <w:r w:rsidRPr="00596ED3">
        <w:rPr>
          <w:rFonts w:cs="Garamond"/>
          <w:color w:val="000000"/>
          <w:szCs w:val="22"/>
          <w:lang w:eastAsia="en-AU"/>
        </w:rPr>
        <w:t>who</w:t>
      </w:r>
      <w:proofErr w:type="gramEnd"/>
      <w:r w:rsidRPr="00596ED3">
        <w:rPr>
          <w:rFonts w:cs="Garamond"/>
          <w:color w:val="000000"/>
          <w:szCs w:val="22"/>
          <w:lang w:eastAsia="en-AU"/>
        </w:rPr>
        <w:t xml:space="preserve"> provide information, advice, family services and placement support services to approximately 170 Aboriginal children and young people.</w:t>
      </w:r>
    </w:p>
    <w:p w:rsidR="00A53D7D" w:rsidRPr="00596ED3" w:rsidRDefault="00A53D7D" w:rsidP="005140B4">
      <w:pPr>
        <w:autoSpaceDE w:val="0"/>
        <w:autoSpaceDN w:val="0"/>
        <w:adjustRightInd w:val="0"/>
      </w:pPr>
      <w:r w:rsidRPr="00596ED3">
        <w:rPr>
          <w:rFonts w:cs="Garamond"/>
          <w:color w:val="000000"/>
          <w:szCs w:val="22"/>
          <w:lang w:eastAsia="en-AU"/>
        </w:rPr>
        <w:t xml:space="preserve">This initiative contributes to the </w:t>
      </w:r>
      <w:r w:rsidRPr="00596ED3">
        <w:t>Department of Human Services</w:t>
      </w:r>
      <w:r>
        <w:t>’</w:t>
      </w:r>
      <w:r w:rsidRPr="00596ED3">
        <w:t xml:space="preserve"> </w:t>
      </w:r>
      <w:r w:rsidRPr="00596ED3">
        <w:rPr>
          <w:rFonts w:cs="Garamond"/>
          <w:color w:val="000000"/>
          <w:szCs w:val="22"/>
          <w:lang w:eastAsia="en-AU"/>
        </w:rPr>
        <w:t>Child Protection and Family Services Output.</w:t>
      </w:r>
      <w:r w:rsidRPr="00596ED3">
        <w:t xml:space="preserve"> </w:t>
      </w:r>
    </w:p>
    <w:p w:rsidR="00A53D7D" w:rsidRPr="00596ED3" w:rsidRDefault="00A53D7D" w:rsidP="005140B4">
      <w:pPr>
        <w:pStyle w:val="Heading5"/>
      </w:pPr>
      <w:r w:rsidRPr="00596ED3">
        <w:t>Expansion of child protection and Child FIRST</w:t>
      </w:r>
    </w:p>
    <w:p w:rsidR="00A53D7D" w:rsidRPr="00596ED3" w:rsidRDefault="00A53D7D" w:rsidP="005140B4">
      <w:pPr>
        <w:widowControl w:val="0"/>
      </w:pPr>
      <w:r w:rsidRPr="00596ED3">
        <w:t>The number of Child FIRST, family services and child protection workers will be increased to expand the child protection system and respond to families who are the subject of family violence and multiple child protection reports.</w:t>
      </w:r>
    </w:p>
    <w:p w:rsidR="00A53D7D" w:rsidRPr="00596ED3" w:rsidRDefault="00A53D7D" w:rsidP="005140B4">
      <w:r w:rsidRPr="00596ED3">
        <w:t>This initiative will contribute to the Department of Human Services</w:t>
      </w:r>
      <w:r>
        <w:t>’</w:t>
      </w:r>
      <w:r w:rsidRPr="00596ED3">
        <w:t xml:space="preserve"> Child Protection and Family Services output.</w:t>
      </w:r>
    </w:p>
    <w:p w:rsidR="00A53D7D" w:rsidRPr="00596ED3" w:rsidRDefault="00A53D7D" w:rsidP="005140B4">
      <w:pPr>
        <w:pStyle w:val="Heading5"/>
      </w:pPr>
      <w:r w:rsidRPr="00596ED3">
        <w:t>Out</w:t>
      </w:r>
      <w:r>
        <w:noBreakHyphen/>
      </w:r>
      <w:r w:rsidRPr="00596ED3">
        <w:t>of</w:t>
      </w:r>
      <w:r>
        <w:noBreakHyphen/>
      </w:r>
      <w:r w:rsidRPr="00596ED3">
        <w:t>home care – demand and support for therapeutic care</w:t>
      </w:r>
    </w:p>
    <w:p w:rsidR="00A53D7D" w:rsidRPr="00596ED3" w:rsidRDefault="00A53D7D" w:rsidP="005140B4">
      <w:pPr>
        <w:widowControl w:val="0"/>
      </w:pPr>
      <w:r w:rsidRPr="00596ED3">
        <w:t>Additional therapeutic residential and home</w:t>
      </w:r>
      <w:r>
        <w:noBreakHyphen/>
      </w:r>
      <w:r w:rsidRPr="00596ED3">
        <w:t>based care placements will be introduced, along with financial assistance for education, health and other client expenses. The funding will provide placement and support for those children and young people unable to remain safely with their families, including additional therapeutic residential care placements consistent with the Government</w:t>
      </w:r>
      <w:r>
        <w:t>’</w:t>
      </w:r>
      <w:r w:rsidRPr="00596ED3">
        <w:t xml:space="preserve">s </w:t>
      </w:r>
      <w:r w:rsidRPr="00596ED3">
        <w:rPr>
          <w:i/>
        </w:rPr>
        <w:t>Out</w:t>
      </w:r>
      <w:r>
        <w:rPr>
          <w:i/>
        </w:rPr>
        <w:noBreakHyphen/>
      </w:r>
      <w:r w:rsidRPr="00596ED3">
        <w:rPr>
          <w:i/>
        </w:rPr>
        <w:t>of</w:t>
      </w:r>
      <w:r>
        <w:rPr>
          <w:i/>
        </w:rPr>
        <w:noBreakHyphen/>
      </w:r>
      <w:r w:rsidRPr="00596ED3">
        <w:rPr>
          <w:i/>
        </w:rPr>
        <w:t>Home Care: A five year plan</w:t>
      </w:r>
      <w:r w:rsidRPr="00596ED3">
        <w:t>.</w:t>
      </w:r>
    </w:p>
    <w:p w:rsidR="00A53D7D" w:rsidRPr="00596ED3" w:rsidRDefault="00A53D7D" w:rsidP="005140B4">
      <w:pPr>
        <w:widowControl w:val="0"/>
      </w:pPr>
      <w:r w:rsidRPr="00596ED3">
        <w:t>This initiative will contribute to the Department of Human Services</w:t>
      </w:r>
      <w:r>
        <w:t>’</w:t>
      </w:r>
      <w:r w:rsidRPr="00596ED3">
        <w:t xml:space="preserve"> Child Protection and Family Services output.</w:t>
      </w:r>
    </w:p>
    <w:p w:rsidR="00A53D7D" w:rsidRPr="00596ED3" w:rsidRDefault="00A53D7D" w:rsidP="005140B4">
      <w:pPr>
        <w:pStyle w:val="Heading5"/>
      </w:pPr>
      <w:r w:rsidRPr="00596ED3">
        <w:t>Addressing violence against women and children</w:t>
      </w:r>
    </w:p>
    <w:p w:rsidR="00A53D7D" w:rsidRPr="00596ED3" w:rsidRDefault="00A53D7D" w:rsidP="005140B4">
      <w:pPr>
        <w:widowControl w:val="0"/>
      </w:pPr>
      <w:r w:rsidRPr="00596ED3">
        <w:t>Additional places will be funded to provide support services to victims of sexual assault, which will reduce waiting times. Training in the Common Risk Assessment Framework will be expanded to improve consistent identification and responses for women and children who are affected. The Strengthening Risk Management project will be expanded to eight sites.</w:t>
      </w:r>
    </w:p>
    <w:p w:rsidR="00A53D7D" w:rsidRPr="00596ED3" w:rsidRDefault="00A53D7D" w:rsidP="005140B4">
      <w:r w:rsidRPr="00596ED3">
        <w:t>This initiative will contribute to the Department of Human Services</w:t>
      </w:r>
      <w:r>
        <w:t>’</w:t>
      </w:r>
      <w:r w:rsidRPr="00596ED3">
        <w:t xml:space="preserve"> Child Protection and Family Services output.</w:t>
      </w:r>
    </w:p>
    <w:p w:rsidR="00A53D7D" w:rsidRPr="00596ED3" w:rsidRDefault="00A53D7D" w:rsidP="005140B4">
      <w:pPr>
        <w:pStyle w:val="Heading4"/>
      </w:pPr>
      <w:r w:rsidRPr="00596ED3">
        <w:t>Concessions to Pensioners and Beneficiaries</w:t>
      </w:r>
      <w:r w:rsidRPr="00596ED3">
        <w:fldChar w:fldCharType="begin"/>
      </w:r>
      <w:r w:rsidRPr="00596ED3">
        <w:instrText xml:space="preserve"> XE </w:instrText>
      </w:r>
      <w:r>
        <w:instrText>"</w:instrText>
      </w:r>
      <w:r w:rsidRPr="00596ED3">
        <w:instrText>Department of Human Services:Concessions to Pensioners and Beneficiaries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Supporting concessions to pensioners and beneficiaries</w:t>
      </w:r>
    </w:p>
    <w:p w:rsidR="00A53D7D" w:rsidRPr="00596ED3" w:rsidRDefault="00A53D7D" w:rsidP="005140B4">
      <w:pPr>
        <w:widowControl w:val="0"/>
      </w:pPr>
      <w:r w:rsidRPr="00596ED3">
        <w:t xml:space="preserve">Additional funding is allocated in response to an increase in the number of eligible concession card holders. This will enable the Government to continue to assist low income and vulnerable households to meet utility costs, including electricity, gas, </w:t>
      </w:r>
      <w:proofErr w:type="gramStart"/>
      <w:r w:rsidRPr="00596ED3">
        <w:t>water</w:t>
      </w:r>
      <w:proofErr w:type="gramEnd"/>
      <w:r w:rsidRPr="00596ED3">
        <w:t xml:space="preserve"> and property rates. </w:t>
      </w:r>
    </w:p>
    <w:p w:rsidR="00A53D7D" w:rsidRPr="00596ED3" w:rsidRDefault="00A53D7D" w:rsidP="005140B4">
      <w:r w:rsidRPr="00596ED3">
        <w:t>This initiative contributes to the Department of Human Services</w:t>
      </w:r>
      <w:r>
        <w:t>’</w:t>
      </w:r>
      <w:r w:rsidRPr="00596ED3">
        <w:t xml:space="preserve"> Concessions to Pensioners and Beneficiaries output.</w:t>
      </w:r>
    </w:p>
    <w:p w:rsidR="00A53D7D" w:rsidRPr="00596ED3" w:rsidRDefault="00A53D7D" w:rsidP="005140B4">
      <w:pPr>
        <w:pStyle w:val="Heading4"/>
      </w:pPr>
      <w:r w:rsidRPr="00596ED3">
        <w:t>Disability Services</w:t>
      </w:r>
      <w:r w:rsidRPr="00596ED3">
        <w:fldChar w:fldCharType="begin"/>
      </w:r>
      <w:r w:rsidRPr="00596ED3">
        <w:instrText xml:space="preserve"> XE </w:instrText>
      </w:r>
      <w:r>
        <w:instrText>"</w:instrText>
      </w:r>
      <w:r w:rsidRPr="00596ED3">
        <w:instrText>Department of Human Services:Disability Services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Individualised support for people with a disability, their families and carers</w:t>
      </w:r>
    </w:p>
    <w:p w:rsidR="00A53D7D" w:rsidRPr="00596ED3" w:rsidRDefault="00A53D7D" w:rsidP="005140B4">
      <w:r w:rsidRPr="00596ED3">
        <w:t xml:space="preserve">Up to 658 additional individual support packages will be made available to provide care and support for Victorians with a disability, their </w:t>
      </w:r>
      <w:proofErr w:type="gramStart"/>
      <w:r w:rsidRPr="00596ED3">
        <w:t>families</w:t>
      </w:r>
      <w:proofErr w:type="gramEnd"/>
      <w:r w:rsidRPr="00596ED3">
        <w:t xml:space="preserve"> and carers. This initiative also includes funding for clients in the Barwon region related to the National Disability Insurance Scheme trial.</w:t>
      </w:r>
    </w:p>
    <w:p w:rsidR="00A53D7D" w:rsidRPr="00596ED3" w:rsidRDefault="00A53D7D" w:rsidP="005140B4">
      <w:r w:rsidRPr="00596ED3">
        <w:t>This initiative contributes to the Department of Human Services</w:t>
      </w:r>
      <w:r>
        <w:t>’</w:t>
      </w:r>
      <w:r w:rsidRPr="00596ED3">
        <w:t xml:space="preserve"> Disability Services output.</w:t>
      </w:r>
    </w:p>
    <w:p w:rsidR="00A53D7D" w:rsidRPr="00596ED3" w:rsidRDefault="00A53D7D" w:rsidP="005140B4">
      <w:pPr>
        <w:pStyle w:val="Heading5"/>
      </w:pPr>
      <w:r w:rsidRPr="00596ED3">
        <w:t>National Disability Insurance Scheme Headquarters</w:t>
      </w:r>
    </w:p>
    <w:p w:rsidR="00A53D7D" w:rsidRPr="00596ED3" w:rsidRDefault="00A53D7D" w:rsidP="005140B4">
      <w:r w:rsidRPr="00596ED3">
        <w:t>As part of supporting the National Disability Insurance Scheme trial and full scheme rollout, the Victorian Government is committing an additional $25</w:t>
      </w:r>
      <w:r>
        <w:t> million</w:t>
      </w:r>
      <w:r w:rsidRPr="00596ED3">
        <w:t xml:space="preserve"> over three years for the establishment costs of the National Disability Insurance Agency national headquarters in Geelong, creating 300 new jobs.</w:t>
      </w:r>
    </w:p>
    <w:p w:rsidR="00A53D7D" w:rsidRPr="00596ED3" w:rsidRDefault="00A53D7D" w:rsidP="005140B4">
      <w:r w:rsidRPr="00596ED3">
        <w:t>This initiative contributes to the Department of Human Services</w:t>
      </w:r>
      <w:r>
        <w:t>’</w:t>
      </w:r>
      <w:r w:rsidRPr="00596ED3">
        <w:t xml:space="preserve"> Disability Services output. </w:t>
      </w:r>
    </w:p>
    <w:p w:rsidR="00A53D7D" w:rsidRPr="00596ED3" w:rsidRDefault="00A53D7D" w:rsidP="005140B4">
      <w:pPr>
        <w:pStyle w:val="Heading5"/>
      </w:pPr>
      <w:r w:rsidRPr="00596ED3">
        <w:t>Closing the Oakleigh Centre</w:t>
      </w:r>
    </w:p>
    <w:p w:rsidR="00A53D7D" w:rsidRPr="00596ED3" w:rsidRDefault="00A53D7D" w:rsidP="005140B4">
      <w:r w:rsidRPr="00596ED3">
        <w:t>Refer to the asset initiative for a description of this initiative.</w:t>
      </w:r>
    </w:p>
    <w:p w:rsidR="00A53D7D" w:rsidRPr="00596ED3" w:rsidRDefault="00A53D7D" w:rsidP="005140B4">
      <w:pPr>
        <w:pStyle w:val="Heading4"/>
      </w:pPr>
      <w:r w:rsidRPr="00596ED3">
        <w:t>Housing Assistance</w:t>
      </w:r>
      <w:r w:rsidRPr="00596ED3">
        <w:fldChar w:fldCharType="begin"/>
      </w:r>
      <w:r w:rsidRPr="00596ED3">
        <w:instrText xml:space="preserve"> XE </w:instrText>
      </w:r>
      <w:r>
        <w:instrText>"</w:instrText>
      </w:r>
      <w:r w:rsidRPr="00596ED3">
        <w:instrText>Department of Human Services:Housing Assistance</w:instrText>
      </w:r>
      <w:r>
        <w:instrText>"</w:instrText>
      </w:r>
      <w:r w:rsidRPr="00596ED3">
        <w:instrText xml:space="preserve"> </w:instrText>
      </w:r>
      <w:r w:rsidRPr="00596ED3">
        <w:fldChar w:fldCharType="end"/>
      </w:r>
    </w:p>
    <w:p w:rsidR="00A53D7D" w:rsidRPr="00596ED3" w:rsidRDefault="00A53D7D" w:rsidP="005140B4">
      <w:pPr>
        <w:pStyle w:val="Heading5"/>
      </w:pPr>
      <w:r w:rsidRPr="00596ED3">
        <w:t>National Partnership Agreement on Homelessness</w:t>
      </w:r>
    </w:p>
    <w:p w:rsidR="00A53D7D" w:rsidRPr="00596ED3" w:rsidRDefault="00A53D7D" w:rsidP="005140B4">
      <w:r w:rsidRPr="00596ED3">
        <w:t xml:space="preserve">Victoria will support a new National Partnership Agreement on Homelessness with funding to continue over the next four years. The funding will support vulnerable Victorians who are homeless or at risk of homelessness, including rough sleepers, people with a mental illness, women with children experiencing family violence and young people who have experienced family breakdown. The Commonwealth has committed to providing a further 12 months funding, however details are not included in the budget as negotiations are yet to be finalised. </w:t>
      </w:r>
    </w:p>
    <w:p w:rsidR="00A53D7D" w:rsidRPr="00596ED3" w:rsidRDefault="00A53D7D" w:rsidP="005140B4">
      <w:r w:rsidRPr="00596ED3">
        <w:t>This initiative contributes to the Department of Human Services</w:t>
      </w:r>
      <w:r>
        <w:t>’</w:t>
      </w:r>
      <w:r w:rsidRPr="00596ED3">
        <w:t xml:space="preserve"> Housing Assistance output.</w:t>
      </w:r>
    </w:p>
    <w:p w:rsidR="00A53D7D" w:rsidRPr="00596ED3" w:rsidRDefault="00A53D7D" w:rsidP="005140B4">
      <w:pPr>
        <w:pStyle w:val="Heading5"/>
      </w:pPr>
      <w:r w:rsidRPr="00596ED3">
        <w:t>Youth Foyer – Shepparton</w:t>
      </w:r>
    </w:p>
    <w:p w:rsidR="00A53D7D" w:rsidRPr="00596ED3" w:rsidRDefault="00A53D7D" w:rsidP="005140B4">
      <w:r w:rsidRPr="00596ED3">
        <w:t xml:space="preserve">A third 40 </w:t>
      </w:r>
      <w:proofErr w:type="gramStart"/>
      <w:r w:rsidRPr="00596ED3">
        <w:t>bed</w:t>
      </w:r>
      <w:proofErr w:type="gramEnd"/>
      <w:r w:rsidRPr="00596ED3">
        <w:t xml:space="preserve"> Youth Foyer will commence operating in Shepparton from mid</w:t>
      </w:r>
      <w:r>
        <w:noBreakHyphen/>
      </w:r>
      <w:r w:rsidRPr="00596ED3">
        <w:t xml:space="preserve">2015. The Education First Youth Foyer model provides integrated accommodation and support for homeless young people, providing assistance with securing educational, employment and/or training opportunities. This provides operating funding for the Shepparton centre, construction of which was funded in the </w:t>
      </w:r>
      <w:r w:rsidRPr="00C07E8A">
        <w:rPr>
          <w:i/>
        </w:rPr>
        <w:t>2013</w:t>
      </w:r>
      <w:r w:rsidRPr="00C07E8A">
        <w:rPr>
          <w:i/>
        </w:rPr>
        <w:noBreakHyphen/>
        <w:t>14 Budget</w:t>
      </w:r>
      <w:r w:rsidRPr="00596ED3">
        <w:t>.</w:t>
      </w:r>
    </w:p>
    <w:p w:rsidR="00A53D7D" w:rsidRPr="00596ED3" w:rsidRDefault="00A53D7D" w:rsidP="005140B4">
      <w:r w:rsidRPr="00596ED3">
        <w:t>This initiative contributes to the Department of Human Services</w:t>
      </w:r>
      <w:r>
        <w:t>’</w:t>
      </w:r>
      <w:r w:rsidRPr="00596ED3">
        <w:t xml:space="preserve"> Housing Assistance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Victorian social housing framework</w:t>
      </w:r>
    </w:p>
    <w:p w:rsidR="00A53D7D" w:rsidRPr="00596ED3" w:rsidRDefault="00A53D7D" w:rsidP="005140B4">
      <w:pPr>
        <w:autoSpaceDE w:val="0"/>
        <w:autoSpaceDN w:val="0"/>
        <w:adjustRightInd w:val="0"/>
      </w:pPr>
      <w:r w:rsidRPr="00596ED3">
        <w:rPr>
          <w:i/>
        </w:rPr>
        <w:t xml:space="preserve">New Directions for Social Housing: A Framework for a Strong and Sustainable Future </w:t>
      </w:r>
      <w:r w:rsidRPr="00596ED3">
        <w:t>outlines the future direction for Victoria</w:t>
      </w:r>
      <w:r>
        <w:t>’</w:t>
      </w:r>
      <w:r w:rsidRPr="00596ED3">
        <w:t xml:space="preserve">s social housing program. Funding will contribute towards an expanded investment in maintenance, </w:t>
      </w:r>
      <w:proofErr w:type="gramStart"/>
      <w:r w:rsidRPr="00596ED3">
        <w:t>refurbishment</w:t>
      </w:r>
      <w:proofErr w:type="gramEnd"/>
      <w:r w:rsidRPr="00596ED3">
        <w:t xml:space="preserve"> and major upgrades to public housing stock. </w:t>
      </w:r>
    </w:p>
    <w:p w:rsidR="00A53D7D" w:rsidRPr="00596ED3" w:rsidRDefault="00A53D7D" w:rsidP="005140B4">
      <w:r w:rsidRPr="00596ED3">
        <w:t>This initiative contributes to the Department of Human Services</w:t>
      </w:r>
      <w:r>
        <w:t>’</w:t>
      </w:r>
      <w:r w:rsidRPr="00596ED3">
        <w:t xml:space="preserve"> Housing Assistance output.</w:t>
      </w:r>
    </w:p>
    <w:p w:rsidR="00A53D7D" w:rsidRPr="00596ED3" w:rsidRDefault="00A53D7D" w:rsidP="005140B4">
      <w:pPr>
        <w:pStyle w:val="Heading4"/>
      </w:pPr>
      <w:r w:rsidRPr="00596ED3">
        <w:t>Youth Services</w:t>
      </w:r>
      <w:r>
        <w:fldChar w:fldCharType="begin"/>
      </w:r>
      <w:r>
        <w:instrText xml:space="preserve"> XE "</w:instrText>
      </w:r>
      <w:r w:rsidRPr="00306BFF">
        <w:instrText>Youth Services</w:instrText>
      </w:r>
      <w:r>
        <w:instrText xml:space="preserve">" </w:instrText>
      </w:r>
      <w:r>
        <w:fldChar w:fldCharType="end"/>
      </w:r>
      <w:r w:rsidRPr="00596ED3">
        <w:t xml:space="preserve"> and Youth Justice</w:t>
      </w:r>
      <w:r w:rsidRPr="00596ED3">
        <w:fldChar w:fldCharType="begin"/>
      </w:r>
      <w:r w:rsidRPr="00596ED3">
        <w:instrText xml:space="preserve"> XE </w:instrText>
      </w:r>
      <w:r>
        <w:instrText>"</w:instrText>
      </w:r>
      <w:r w:rsidRPr="00596ED3">
        <w:instrText>Department of Human Services:Youth Services and Youth Justice</w:instrText>
      </w:r>
      <w:r>
        <w:instrText>"</w:instrText>
      </w:r>
      <w:r w:rsidRPr="00596ED3">
        <w:instrText xml:space="preserve"> </w:instrText>
      </w:r>
      <w:r w:rsidRPr="00596ED3">
        <w:fldChar w:fldCharType="end"/>
      </w:r>
    </w:p>
    <w:p w:rsidR="00A53D7D" w:rsidRPr="00596ED3" w:rsidRDefault="00A53D7D" w:rsidP="005140B4">
      <w:pPr>
        <w:pStyle w:val="Heading5"/>
      </w:pPr>
      <w:r w:rsidRPr="00596ED3">
        <w:t xml:space="preserve">Community youth diversion </w:t>
      </w:r>
    </w:p>
    <w:p w:rsidR="00A53D7D" w:rsidRPr="00596ED3" w:rsidRDefault="00A53D7D" w:rsidP="005140B4">
      <w:pPr>
        <w:jc w:val="both"/>
      </w:pPr>
      <w:r w:rsidRPr="00596ED3">
        <w:t>Funding is continued for youth workers to support vulnerable young people engaging in risky behaviours through early intervention and diversion responses. This will focus on the underlying causes of offending behaviour before the risky behaviours escalate or become entrenched, preventing the progression of young people into the youth justice or criminal justice systems.</w:t>
      </w:r>
    </w:p>
    <w:p w:rsidR="00A53D7D" w:rsidRPr="00596ED3" w:rsidRDefault="00A53D7D" w:rsidP="005140B4">
      <w:r w:rsidRPr="00596ED3">
        <w:t>This initiative contributes to the Department of Human Services</w:t>
      </w:r>
      <w:r>
        <w:t>’</w:t>
      </w:r>
      <w:r w:rsidRPr="00596ED3">
        <w:t xml:space="preserve"> Community</w:t>
      </w:r>
      <w:r>
        <w:noBreakHyphen/>
      </w:r>
      <w:r w:rsidRPr="00596ED3">
        <w:t>based Services output.</w:t>
      </w:r>
    </w:p>
    <w:p w:rsidR="00A53D7D" w:rsidRPr="00596ED3" w:rsidRDefault="00A53D7D" w:rsidP="005140B4">
      <w:pPr>
        <w:pStyle w:val="Heading5"/>
      </w:pPr>
      <w:r w:rsidRPr="00596ED3">
        <w:t>Preparation for expanding the Youth Justice Centre in Malmsbury</w:t>
      </w:r>
    </w:p>
    <w:p w:rsidR="00A53D7D" w:rsidRPr="00596ED3" w:rsidRDefault="00A53D7D" w:rsidP="005140B4">
      <w:r w:rsidRPr="00596ED3">
        <w:t xml:space="preserve">Preparation for expanding the Youth Justice Centre in Malmsbury will be supported through training of new staff for the facility. The new 45 bed facility was funded in the </w:t>
      </w:r>
      <w:r w:rsidRPr="00596ED3">
        <w:rPr>
          <w:i/>
        </w:rPr>
        <w:t>2012</w:t>
      </w:r>
      <w:r>
        <w:rPr>
          <w:i/>
        </w:rPr>
        <w:noBreakHyphen/>
      </w:r>
      <w:r w:rsidRPr="00596ED3">
        <w:rPr>
          <w:i/>
        </w:rPr>
        <w:t>13 Budget</w:t>
      </w:r>
      <w:r w:rsidRPr="00596ED3">
        <w:t xml:space="preserve"> and will commence operation in 2015</w:t>
      </w:r>
      <w:r>
        <w:noBreakHyphen/>
      </w:r>
      <w:r w:rsidRPr="00596ED3">
        <w:t>16.</w:t>
      </w:r>
    </w:p>
    <w:p w:rsidR="00A53D7D" w:rsidRPr="00596ED3" w:rsidRDefault="00A53D7D" w:rsidP="005140B4">
      <w:r w:rsidRPr="00596ED3">
        <w:t>This initiative will contribute to the Department of Human Services</w:t>
      </w:r>
      <w:r>
        <w:t>’</w:t>
      </w:r>
      <w:r w:rsidRPr="00596ED3">
        <w:t xml:space="preserve"> Youth Justice Custodial Services output.</w:t>
      </w:r>
    </w:p>
    <w:p w:rsidR="00A53D7D" w:rsidRPr="00596ED3" w:rsidRDefault="00A53D7D" w:rsidP="005140B4">
      <w:pPr>
        <w:pStyle w:val="Heading4"/>
      </w:pPr>
      <w:r w:rsidRPr="00596ED3">
        <w:t>Empowering Individuals and Communities</w:t>
      </w:r>
      <w:r w:rsidRPr="00596ED3">
        <w:fldChar w:fldCharType="begin"/>
      </w:r>
      <w:r w:rsidRPr="00596ED3">
        <w:instrText xml:space="preserve"> XE </w:instrText>
      </w:r>
      <w:r>
        <w:instrText>"</w:instrText>
      </w:r>
      <w:r w:rsidRPr="00596ED3">
        <w:instrText>Department of Human Services:Empowering Individuals and Communities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Economic and social participation opportunities for Victorian women</w:t>
      </w:r>
    </w:p>
    <w:p w:rsidR="00A53D7D" w:rsidRPr="00596ED3" w:rsidRDefault="00A53D7D" w:rsidP="005140B4">
      <w:r w:rsidRPr="00596ED3">
        <w:t>Continuing support for the Victorian Women</w:t>
      </w:r>
      <w:r>
        <w:t>’</w:t>
      </w:r>
      <w:r w:rsidRPr="00596ED3">
        <w:t>s Governance Scholarship Program will be provided through the provision of 34 scholarships per year to women serving on Victorian Government funded not</w:t>
      </w:r>
      <w:r>
        <w:noBreakHyphen/>
      </w:r>
      <w:r w:rsidRPr="00596ED3">
        <w:t>for</w:t>
      </w:r>
      <w:r>
        <w:noBreakHyphen/>
      </w:r>
      <w:r w:rsidRPr="00596ED3">
        <w:t>profit boards or committees. The program offers women the opportunity to undertake training at the Australian Institute of Company Directors. Continuing support is also provided to sex workers wishing to leave the sex industry to assist in securing new work and to undertake education and training activities.</w:t>
      </w:r>
    </w:p>
    <w:p w:rsidR="00A53D7D" w:rsidRPr="00596ED3" w:rsidRDefault="00A53D7D" w:rsidP="005140B4">
      <w:r w:rsidRPr="00596ED3">
        <w:t>This initiative will contribute to the Department of Human Services</w:t>
      </w:r>
      <w:r>
        <w:t>’</w:t>
      </w:r>
      <w:r w:rsidRPr="00596ED3">
        <w:t xml:space="preserve"> Women</w:t>
      </w:r>
      <w:r>
        <w:t>’</w:t>
      </w:r>
      <w:r w:rsidRPr="00596ED3">
        <w:t>s Policy output.</w:t>
      </w:r>
    </w:p>
    <w:p w:rsidR="00A53D7D" w:rsidRPr="00596ED3" w:rsidRDefault="00A53D7D" w:rsidP="005140B4">
      <w:pPr>
        <w:pStyle w:val="Heading5"/>
      </w:pPr>
      <w:r w:rsidRPr="00596ED3">
        <w:t>Good Money</w:t>
      </w:r>
    </w:p>
    <w:p w:rsidR="00A53D7D" w:rsidRPr="00596ED3" w:rsidRDefault="00A53D7D" w:rsidP="005140B4">
      <w:r w:rsidRPr="00596ED3">
        <w:t xml:space="preserve">Support is continued for three community finance hubs in Collingwood, </w:t>
      </w:r>
      <w:proofErr w:type="gramStart"/>
      <w:r w:rsidRPr="00596ED3">
        <w:t>Dandenong</w:t>
      </w:r>
      <w:proofErr w:type="gramEnd"/>
      <w:r w:rsidRPr="00596ED3">
        <w:t xml:space="preserve"> and Geelong. These hubs support low income Victorians who are otherwise excluded from mainstream financial services and offer safe, affordable and responsible microfinance services. Focus is given to an increased understanding of personal finances, access to appropriate financial products, local support services, and services that enhance financial capacity.</w:t>
      </w:r>
    </w:p>
    <w:p w:rsidR="00A53D7D" w:rsidRPr="00596ED3" w:rsidRDefault="00A53D7D" w:rsidP="005140B4">
      <w:r w:rsidRPr="00596ED3">
        <w:t>This initiative contributes to the Department of Human Services</w:t>
      </w:r>
      <w:r>
        <w:t>’</w:t>
      </w:r>
      <w:r w:rsidRPr="00596ED3">
        <w:t xml:space="preserve"> Community Participation output.</w:t>
      </w:r>
    </w:p>
    <w:p w:rsidR="00A53D7D" w:rsidRPr="00596ED3" w:rsidRDefault="00A53D7D" w:rsidP="005140B4">
      <w:pPr>
        <w:pStyle w:val="Heading5"/>
      </w:pPr>
      <w:r w:rsidRPr="00596ED3">
        <w:t>Strengthening neighbourhood houses</w:t>
      </w:r>
    </w:p>
    <w:p w:rsidR="00A53D7D" w:rsidRPr="00596ED3" w:rsidRDefault="00A53D7D" w:rsidP="005140B4">
      <w:pPr>
        <w:autoSpaceDE w:val="0"/>
        <w:autoSpaceDN w:val="0"/>
        <w:adjustRightInd w:val="0"/>
        <w:rPr>
          <w:rFonts w:cs="Garamond"/>
          <w:color w:val="000000"/>
          <w:szCs w:val="22"/>
          <w:lang w:eastAsia="en-AU"/>
        </w:rPr>
      </w:pPr>
      <w:r w:rsidRPr="00596ED3">
        <w:rPr>
          <w:rFonts w:cs="Garamond"/>
          <w:color w:val="000000"/>
          <w:szCs w:val="22"/>
          <w:lang w:eastAsia="en-AU"/>
        </w:rPr>
        <w:t xml:space="preserve">Expansion of the Neighbourhood House Coordination Program will provide funding for the coordination of activities such as education and training programs ranging from computer training to fully accredited courses, as well as health and </w:t>
      </w:r>
      <w:proofErr w:type="spellStart"/>
      <w:r w:rsidRPr="00596ED3">
        <w:rPr>
          <w:rFonts w:cs="Garamond"/>
          <w:color w:val="000000"/>
          <w:szCs w:val="22"/>
          <w:lang w:eastAsia="en-AU"/>
        </w:rPr>
        <w:t>well being</w:t>
      </w:r>
      <w:proofErr w:type="spellEnd"/>
      <w:r w:rsidRPr="00596ED3">
        <w:rPr>
          <w:rFonts w:cs="Garamond"/>
          <w:color w:val="000000"/>
          <w:szCs w:val="22"/>
          <w:lang w:eastAsia="en-AU"/>
        </w:rPr>
        <w:t xml:space="preserve"> activities, childcare and community events. This will support the needs of local people at all stages of life.</w:t>
      </w:r>
    </w:p>
    <w:p w:rsidR="00A53D7D" w:rsidRPr="00596ED3" w:rsidRDefault="00A53D7D" w:rsidP="005140B4">
      <w:r w:rsidRPr="00596ED3">
        <w:t>This initiative contributes to the Department of Human Services</w:t>
      </w:r>
      <w:r>
        <w:t>’</w:t>
      </w:r>
      <w:r w:rsidRPr="00596ED3">
        <w:t xml:space="preserve"> Community Participation output. </w:t>
      </w:r>
    </w:p>
    <w:p w:rsidR="00A53D7D" w:rsidRPr="00596ED3" w:rsidRDefault="00A53D7D" w:rsidP="005140B4">
      <w:pPr>
        <w:pStyle w:val="Heading3"/>
      </w:pPr>
      <w:r w:rsidRPr="00596ED3">
        <w:t>Asset initiatives</w:t>
      </w:r>
    </w:p>
    <w:p w:rsidR="00A53D7D" w:rsidRPr="00596ED3" w:rsidRDefault="00A53D7D" w:rsidP="005140B4">
      <w:pPr>
        <w:pStyle w:val="Tableheading"/>
      </w:pPr>
      <w:r w:rsidRPr="00596ED3">
        <w:t xml:space="preserve">Table 1.10: </w:t>
      </w:r>
      <w:r w:rsidRPr="00596ED3">
        <w:tab/>
        <w:t>Asset initiatives – Human Services</w:t>
      </w:r>
    </w:p>
    <w:p w:rsidR="00A53D7D" w:rsidRPr="00FB64AD" w:rsidRDefault="00A53D7D" w:rsidP="005140B4">
      <w:pPr>
        <w:pStyle w:val="million"/>
        <w:rPr>
          <w:rFonts w:ascii="Times New Roman" w:hAnsi="Times New Roman"/>
          <w:i w:val="0"/>
          <w:sz w:val="20"/>
          <w:szCs w:val="20"/>
          <w:lang w:eastAsia="en-AU"/>
        </w:rPr>
      </w:pPr>
      <w:r w:rsidRPr="00596ED3">
        <w:t>($</w:t>
      </w:r>
      <w:r>
        <w:t> million</w:t>
      </w:r>
      <w:r w:rsidRPr="00596ED3">
        <w:t>)</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744"/>
        <w:gridCol w:w="148"/>
        <w:gridCol w:w="892"/>
        <w:gridCol w:w="893"/>
        <w:gridCol w:w="893"/>
        <w:gridCol w:w="893"/>
        <w:gridCol w:w="893"/>
      </w:tblGrid>
      <w:tr w:rsidR="00A53D7D" w:rsidRPr="00FB64AD" w:rsidTr="005140B4">
        <w:tc>
          <w:tcPr>
            <w:tcW w:w="2420" w:type="dxa"/>
            <w:tcBorders>
              <w:top w:val="single" w:sz="12" w:space="0" w:color="FFFFFF" w:themeColor="background1"/>
              <w:left w:val="single" w:sz="12" w:space="0" w:color="FFFFFF" w:themeColor="background1"/>
              <w:bottom w:val="single" w:sz="6" w:space="0" w:color="auto"/>
              <w:right w:val="nil"/>
            </w:tcBorders>
            <w:shd w:val="clear" w:color="auto" w:fill="000000"/>
          </w:tcPr>
          <w:p w:rsidR="00A53D7D" w:rsidRPr="00FB64AD" w:rsidRDefault="00A53D7D" w:rsidP="005140B4">
            <w:pPr>
              <w:pStyle w:val="Tabletext"/>
              <w:rPr>
                <w:rFonts w:eastAsiaTheme="minorEastAsia"/>
                <w:lang w:eastAsia="en-AU"/>
              </w:rPr>
            </w:pPr>
          </w:p>
        </w:tc>
        <w:tc>
          <w:tcPr>
            <w:tcW w:w="892" w:type="dxa"/>
            <w:gridSpan w:val="2"/>
            <w:tcBorders>
              <w:top w:val="single" w:sz="12" w:space="0" w:color="FFFFFF" w:themeColor="background1"/>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2013</w:t>
            </w:r>
            <w:r>
              <w:rPr>
                <w:rFonts w:eastAsiaTheme="minorEastAsia"/>
                <w:lang w:eastAsia="en-AU"/>
              </w:rPr>
              <w:noBreakHyphen/>
            </w:r>
            <w:r w:rsidRPr="00FB64AD">
              <w:rPr>
                <w:rFonts w:eastAsiaTheme="minorEastAsia"/>
                <w:lang w:eastAsia="en-AU"/>
              </w:rPr>
              <w:t>14</w:t>
            </w:r>
          </w:p>
        </w:tc>
        <w:tc>
          <w:tcPr>
            <w:tcW w:w="892" w:type="dxa"/>
            <w:tcBorders>
              <w:top w:val="single" w:sz="12" w:space="0" w:color="FFFFFF" w:themeColor="background1"/>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2014</w:t>
            </w:r>
            <w:r>
              <w:rPr>
                <w:rFonts w:eastAsiaTheme="minorEastAsia"/>
                <w:lang w:eastAsia="en-AU"/>
              </w:rPr>
              <w:noBreakHyphen/>
            </w:r>
            <w:r w:rsidRPr="00FB64AD">
              <w:rPr>
                <w:rFonts w:eastAsiaTheme="minorEastAsia"/>
                <w:lang w:eastAsia="en-AU"/>
              </w:rPr>
              <w:t>15</w:t>
            </w:r>
          </w:p>
        </w:tc>
        <w:tc>
          <w:tcPr>
            <w:tcW w:w="893" w:type="dxa"/>
            <w:tcBorders>
              <w:top w:val="single" w:sz="12" w:space="0" w:color="FFFFFF" w:themeColor="background1"/>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2015</w:t>
            </w:r>
            <w:r>
              <w:rPr>
                <w:rFonts w:eastAsiaTheme="minorEastAsia"/>
                <w:lang w:eastAsia="en-AU"/>
              </w:rPr>
              <w:noBreakHyphen/>
            </w:r>
            <w:r w:rsidRPr="00FB64AD">
              <w:rPr>
                <w:rFonts w:eastAsiaTheme="minorEastAsia"/>
                <w:lang w:eastAsia="en-AU"/>
              </w:rPr>
              <w:t>16</w:t>
            </w:r>
          </w:p>
        </w:tc>
        <w:tc>
          <w:tcPr>
            <w:tcW w:w="893" w:type="dxa"/>
            <w:tcBorders>
              <w:top w:val="single" w:sz="12" w:space="0" w:color="FFFFFF" w:themeColor="background1"/>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2016</w:t>
            </w:r>
            <w:r>
              <w:rPr>
                <w:rFonts w:eastAsiaTheme="minorEastAsia"/>
                <w:lang w:eastAsia="en-AU"/>
              </w:rPr>
              <w:noBreakHyphen/>
            </w:r>
            <w:r w:rsidRPr="00FB64AD">
              <w:rPr>
                <w:rFonts w:eastAsiaTheme="minorEastAsia"/>
                <w:lang w:eastAsia="en-AU"/>
              </w:rPr>
              <w:t>17</w:t>
            </w:r>
          </w:p>
        </w:tc>
        <w:tc>
          <w:tcPr>
            <w:tcW w:w="893" w:type="dxa"/>
            <w:tcBorders>
              <w:top w:val="single" w:sz="12" w:space="0" w:color="FFFFFF" w:themeColor="background1"/>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2017</w:t>
            </w:r>
            <w:r>
              <w:rPr>
                <w:rFonts w:eastAsiaTheme="minorEastAsia"/>
                <w:lang w:eastAsia="en-AU"/>
              </w:rPr>
              <w:noBreakHyphen/>
            </w:r>
            <w:r w:rsidRPr="00FB64AD">
              <w:rPr>
                <w:rFonts w:eastAsiaTheme="minorEastAsia"/>
                <w:lang w:eastAsia="en-AU"/>
              </w:rPr>
              <w:t>18</w:t>
            </w:r>
          </w:p>
        </w:tc>
        <w:tc>
          <w:tcPr>
            <w:tcW w:w="893" w:type="dxa"/>
            <w:tcBorders>
              <w:top w:val="single" w:sz="12" w:space="0" w:color="FFFFFF" w:themeColor="background1"/>
              <w:left w:val="nil"/>
              <w:bottom w:val="single" w:sz="6" w:space="0" w:color="auto"/>
              <w:right w:val="single" w:sz="12" w:space="0" w:color="FFFFFF" w:themeColor="background1"/>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TEI</w:t>
            </w:r>
          </w:p>
        </w:tc>
      </w:tr>
      <w:tr w:rsidR="00A53D7D" w:rsidRPr="00FB64AD" w:rsidTr="005140B4">
        <w:tc>
          <w:tcPr>
            <w:tcW w:w="2420" w:type="dxa"/>
            <w:tcBorders>
              <w:top w:val="single" w:sz="12" w:space="0" w:color="FFFFFF" w:themeColor="background1"/>
              <w:left w:val="nil"/>
              <w:bottom w:val="nil"/>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All</w:t>
            </w:r>
          </w:p>
        </w:tc>
        <w:tc>
          <w:tcPr>
            <w:tcW w:w="892" w:type="dxa"/>
            <w:gridSpan w:val="2"/>
            <w:tcBorders>
              <w:top w:val="single" w:sz="12" w:space="0" w:color="FFFFFF" w:themeColor="background1"/>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2" w:type="dxa"/>
            <w:tcBorders>
              <w:top w:val="single" w:sz="12" w:space="0" w:color="FFFFFF" w:themeColor="background1"/>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single" w:sz="12" w:space="0" w:color="FFFFFF" w:themeColor="background1"/>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single" w:sz="12" w:space="0" w:color="FFFFFF" w:themeColor="background1"/>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single" w:sz="12" w:space="0" w:color="FFFFFF" w:themeColor="background1"/>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single" w:sz="12" w:space="0" w:color="FFFFFF" w:themeColor="background1"/>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r>
      <w:tr w:rsidR="00A53D7D" w:rsidRPr="00FB64AD" w:rsidTr="005140B4">
        <w:tc>
          <w:tcPr>
            <w:tcW w:w="2420" w:type="dxa"/>
            <w:tcBorders>
              <w:top w:val="nil"/>
              <w:left w:val="nil"/>
              <w:bottom w:val="nil"/>
              <w:right w:val="nil"/>
            </w:tcBorders>
          </w:tcPr>
          <w:p w:rsidR="00A53D7D" w:rsidRPr="00FB64AD" w:rsidRDefault="00A53D7D" w:rsidP="005140B4">
            <w:pPr>
              <w:pStyle w:val="Tabletext"/>
              <w:rPr>
                <w:rFonts w:eastAsiaTheme="minorEastAsia"/>
                <w:i/>
                <w:lang w:eastAsia="en-AU"/>
              </w:rPr>
            </w:pPr>
            <w:r w:rsidRPr="00FB64AD">
              <w:rPr>
                <w:rFonts w:eastAsiaTheme="minorEastAsia"/>
                <w:i/>
                <w:lang w:eastAsia="en-AU"/>
              </w:rPr>
              <w:t>Services Connect</w:t>
            </w:r>
          </w:p>
        </w:tc>
        <w:tc>
          <w:tcPr>
            <w:tcW w:w="892"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2"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1.6</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0.5</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2.1</w:t>
            </w:r>
          </w:p>
        </w:tc>
      </w:tr>
      <w:tr w:rsidR="00A53D7D" w:rsidRPr="00FB64AD" w:rsidTr="005140B4">
        <w:tc>
          <w:tcPr>
            <w:tcW w:w="2420" w:type="dxa"/>
            <w:tcBorders>
              <w:top w:val="nil"/>
              <w:left w:val="nil"/>
              <w:bottom w:val="nil"/>
              <w:right w:val="nil"/>
            </w:tcBorders>
          </w:tcPr>
          <w:p w:rsidR="00A53D7D" w:rsidRPr="00FB64AD" w:rsidRDefault="00A53D7D" w:rsidP="005140B4">
            <w:pPr>
              <w:pStyle w:val="Tabletext"/>
              <w:rPr>
                <w:rFonts w:eastAsiaTheme="minorEastAsia" w:cs="Calibri"/>
                <w:color w:val="000000"/>
                <w:lang w:eastAsia="en-AU"/>
              </w:rPr>
            </w:pPr>
            <w:r w:rsidRPr="00FB64AD">
              <w:rPr>
                <w:rFonts w:eastAsiaTheme="minorEastAsia"/>
                <w:i/>
                <w:lang w:eastAsia="en-AU"/>
              </w:rPr>
              <w:t>Services Connect</w:t>
            </w:r>
            <w:r>
              <w:rPr>
                <w:rFonts w:eastAsiaTheme="minorEastAsia"/>
                <w:lang w:eastAsia="en-AU"/>
              </w:rPr>
              <w:t xml:space="preserve"> – </w:t>
            </w:r>
            <w:r w:rsidRPr="00FB64AD">
              <w:rPr>
                <w:rFonts w:eastAsiaTheme="minorEastAsia"/>
                <w:lang w:eastAsia="en-AU"/>
              </w:rPr>
              <w:t xml:space="preserve">Single client </w:t>
            </w:r>
            <w:r w:rsidRPr="00FB64AD">
              <w:rPr>
                <w:rFonts w:eastAsiaTheme="minorEastAsia" w:cs="Calibri"/>
                <w:color w:val="000000"/>
                <w:lang w:eastAsia="en-AU"/>
              </w:rPr>
              <w:t>view stage one</w:t>
            </w:r>
          </w:p>
        </w:tc>
        <w:tc>
          <w:tcPr>
            <w:tcW w:w="892"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0.8</w:t>
            </w:r>
          </w:p>
        </w:tc>
        <w:tc>
          <w:tcPr>
            <w:tcW w:w="892"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6.4</w:t>
            </w:r>
          </w:p>
        </w:tc>
        <w:tc>
          <w:tcPr>
            <w:tcW w:w="893" w:type="dxa"/>
            <w:tcBorders>
              <w:top w:val="nil"/>
              <w:left w:val="nil"/>
              <w:bottom w:val="nil"/>
              <w:right w:val="nil"/>
            </w:tcBorders>
          </w:tcPr>
          <w:p w:rsidR="00A53D7D" w:rsidRPr="00FB64AD" w:rsidRDefault="00A53D7D" w:rsidP="005140B4">
            <w:pPr>
              <w:pStyle w:val="TableofFigures"/>
              <w:rPr>
                <w:rFonts w:eastAsiaTheme="minorEastAsia" w:cs="Calibri"/>
                <w:color w:val="000000"/>
                <w:lang w:eastAsia="en-AU"/>
              </w:rPr>
            </w:pPr>
            <w:r w:rsidRPr="00FB64AD">
              <w:rPr>
                <w:rFonts w:eastAsiaTheme="minorEastAsia"/>
                <w:lang w:eastAsia="en-AU"/>
              </w:rPr>
              <w:t>.</w:t>
            </w:r>
            <w:r w:rsidRPr="00FB64AD">
              <w:rPr>
                <w:rFonts w:eastAsiaTheme="minorEastAsia" w:cs="Calibri"/>
                <w:color w:val="000000"/>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cs="Calibri"/>
                <w:color w:val="000000"/>
                <w:lang w:eastAsia="en-AU"/>
              </w:rPr>
            </w:pPr>
            <w:r w:rsidRPr="00FB64AD">
              <w:rPr>
                <w:rFonts w:eastAsiaTheme="minorEastAsia"/>
                <w:lang w:eastAsia="en-AU"/>
              </w:rPr>
              <w:t>.</w:t>
            </w:r>
            <w:r w:rsidRPr="00FB64AD">
              <w:rPr>
                <w:rFonts w:eastAsiaTheme="minorEastAsia" w:cs="Calibri"/>
                <w:color w:val="000000"/>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cs="Calibri"/>
                <w:color w:val="000000"/>
                <w:lang w:eastAsia="en-AU"/>
              </w:rPr>
            </w:pPr>
            <w:r w:rsidRPr="00FB64AD">
              <w:rPr>
                <w:rFonts w:eastAsiaTheme="minorEastAsia"/>
                <w:lang w:eastAsia="en-AU"/>
              </w:rPr>
              <w:t>.</w:t>
            </w:r>
            <w:r w:rsidRPr="00FB64AD">
              <w:rPr>
                <w:rFonts w:eastAsiaTheme="minorEastAsia" w:cs="Calibri"/>
                <w:color w:val="000000"/>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7.2</w:t>
            </w:r>
          </w:p>
        </w:tc>
      </w:tr>
      <w:tr w:rsidR="00A53D7D" w:rsidRPr="00FB64AD" w:rsidTr="005140B4">
        <w:tc>
          <w:tcPr>
            <w:tcW w:w="3164" w:type="dxa"/>
            <w:gridSpan w:val="2"/>
            <w:tcBorders>
              <w:top w:val="nil"/>
              <w:left w:val="nil"/>
              <w:bottom w:val="nil"/>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Child Protection and Family Services</w:t>
            </w:r>
          </w:p>
        </w:tc>
        <w:tc>
          <w:tcPr>
            <w:tcW w:w="148"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2"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r>
      <w:tr w:rsidR="00A53D7D" w:rsidRPr="00FB64AD" w:rsidTr="005140B4">
        <w:tc>
          <w:tcPr>
            <w:tcW w:w="2420"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Out</w:t>
            </w:r>
            <w:r>
              <w:rPr>
                <w:rFonts w:eastAsiaTheme="minorEastAsia"/>
                <w:lang w:eastAsia="en-AU"/>
              </w:rPr>
              <w:noBreakHyphen/>
            </w:r>
            <w:r w:rsidRPr="00FB64AD">
              <w:rPr>
                <w:rFonts w:eastAsiaTheme="minorEastAsia"/>
                <w:lang w:eastAsia="en-AU"/>
              </w:rPr>
              <w:t>of</w:t>
            </w:r>
            <w:r>
              <w:rPr>
                <w:rFonts w:eastAsiaTheme="minorEastAsia"/>
                <w:lang w:eastAsia="en-AU"/>
              </w:rPr>
              <w:noBreakHyphen/>
            </w:r>
            <w:r w:rsidRPr="00FB64AD">
              <w:rPr>
                <w:rFonts w:eastAsiaTheme="minorEastAsia"/>
                <w:lang w:eastAsia="en-AU"/>
              </w:rPr>
              <w:t>home care residential capacity</w:t>
            </w:r>
          </w:p>
        </w:tc>
        <w:tc>
          <w:tcPr>
            <w:tcW w:w="892"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2"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1.1</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2.9</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2.8</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1.2</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8.0</w:t>
            </w:r>
          </w:p>
        </w:tc>
      </w:tr>
      <w:tr w:rsidR="00A53D7D" w:rsidRPr="00FB64AD" w:rsidTr="005140B4">
        <w:tc>
          <w:tcPr>
            <w:tcW w:w="2420" w:type="dxa"/>
            <w:tcBorders>
              <w:top w:val="nil"/>
              <w:left w:val="nil"/>
              <w:bottom w:val="nil"/>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Disability Services</w:t>
            </w:r>
          </w:p>
        </w:tc>
        <w:tc>
          <w:tcPr>
            <w:tcW w:w="892" w:type="dxa"/>
            <w:gridSpan w:val="2"/>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2"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r>
      <w:tr w:rsidR="00A53D7D" w:rsidRPr="00FB64AD" w:rsidTr="005140B4">
        <w:tc>
          <w:tcPr>
            <w:tcW w:w="2420"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Closing the Oakleigh Centre</w:t>
            </w:r>
          </w:p>
        </w:tc>
        <w:tc>
          <w:tcPr>
            <w:tcW w:w="892"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2"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3.9</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4.8</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8.7</w:t>
            </w:r>
          </w:p>
        </w:tc>
      </w:tr>
      <w:tr w:rsidR="00A53D7D" w:rsidRPr="00FB64AD" w:rsidTr="005140B4">
        <w:tc>
          <w:tcPr>
            <w:tcW w:w="2420" w:type="dxa"/>
            <w:tcBorders>
              <w:top w:val="nil"/>
              <w:left w:val="nil"/>
              <w:bottom w:val="nil"/>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Housing Assistance</w:t>
            </w:r>
          </w:p>
        </w:tc>
        <w:tc>
          <w:tcPr>
            <w:tcW w:w="892" w:type="dxa"/>
            <w:gridSpan w:val="2"/>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2"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 xml:space="preserve"> </w:t>
            </w:r>
          </w:p>
        </w:tc>
      </w:tr>
      <w:tr w:rsidR="00A53D7D" w:rsidRPr="00FB64AD" w:rsidTr="005140B4">
        <w:tc>
          <w:tcPr>
            <w:tcW w:w="2420"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Victorian social housing framework</w:t>
            </w:r>
          </w:p>
        </w:tc>
        <w:tc>
          <w:tcPr>
            <w:tcW w:w="892" w:type="dxa"/>
            <w:gridSpan w:val="2"/>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2"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7.0</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14.0</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24.0</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45.0</w:t>
            </w:r>
          </w:p>
        </w:tc>
      </w:tr>
      <w:tr w:rsidR="00A53D7D" w:rsidRPr="00FB64AD" w:rsidTr="005140B4">
        <w:tc>
          <w:tcPr>
            <w:tcW w:w="2420" w:type="dxa"/>
            <w:tcBorders>
              <w:top w:val="single" w:sz="6" w:space="0" w:color="auto"/>
              <w:left w:val="nil"/>
              <w:bottom w:val="single" w:sz="12" w:space="0" w:color="auto"/>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Total asset initiatives</w:t>
            </w:r>
          </w:p>
        </w:tc>
        <w:tc>
          <w:tcPr>
            <w:tcW w:w="892" w:type="dxa"/>
            <w:gridSpan w:val="2"/>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0.8</w:t>
            </w:r>
          </w:p>
        </w:tc>
        <w:tc>
          <w:tcPr>
            <w:tcW w:w="892"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19.9</w:t>
            </w:r>
          </w:p>
        </w:tc>
        <w:tc>
          <w:tcPr>
            <w:tcW w:w="893"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22.2</w:t>
            </w:r>
          </w:p>
        </w:tc>
        <w:tc>
          <w:tcPr>
            <w:tcW w:w="893"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26.8</w:t>
            </w:r>
          </w:p>
        </w:tc>
        <w:tc>
          <w:tcPr>
            <w:tcW w:w="893"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1.2</w:t>
            </w:r>
          </w:p>
        </w:tc>
        <w:tc>
          <w:tcPr>
            <w:tcW w:w="893"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71.0</w:t>
            </w:r>
          </w:p>
        </w:tc>
      </w:tr>
    </w:tbl>
    <w:p w:rsidR="00A53D7D" w:rsidRPr="00596ED3" w:rsidRDefault="00A53D7D" w:rsidP="005140B4">
      <w:pPr>
        <w:pStyle w:val="Source"/>
      </w:pPr>
      <w:r w:rsidRPr="00596ED3">
        <w:t>Source: Department of Treasury and Finance</w:t>
      </w:r>
      <w:r w:rsidRPr="00596ED3">
        <w:fldChar w:fldCharType="begin"/>
      </w:r>
      <w:r w:rsidRPr="00596ED3">
        <w:instrText xml:space="preserve"> XE "Department of Human Services:Asset initiatives" </w:instrText>
      </w:r>
      <w:r w:rsidRPr="00596ED3">
        <w:fldChar w:fldCharType="end"/>
      </w:r>
    </w:p>
    <w:p w:rsidR="00A53D7D" w:rsidRPr="00596ED3" w:rsidRDefault="00A53D7D" w:rsidP="005140B4">
      <w:pPr>
        <w:pStyle w:val="Heading4"/>
      </w:pPr>
      <w:r w:rsidRPr="00596ED3">
        <w:t>All</w:t>
      </w:r>
    </w:p>
    <w:p w:rsidR="00A53D7D" w:rsidRPr="00596ED3" w:rsidRDefault="00A53D7D" w:rsidP="005140B4">
      <w:pPr>
        <w:pStyle w:val="Heading5"/>
        <w:rPr>
          <w:i/>
        </w:rPr>
      </w:pPr>
      <w:r w:rsidRPr="00596ED3">
        <w:rPr>
          <w:i/>
        </w:rPr>
        <w:t>Services Connect</w:t>
      </w:r>
    </w:p>
    <w:p w:rsidR="00A53D7D" w:rsidRPr="00596ED3" w:rsidRDefault="00A53D7D" w:rsidP="005140B4">
      <w:r w:rsidRPr="00596ED3">
        <w:t>Refer to the output initiative for a description of this initiative.</w:t>
      </w:r>
      <w:r w:rsidRPr="00596ED3">
        <w:fldChar w:fldCharType="begin"/>
      </w:r>
      <w:r w:rsidRPr="00596ED3">
        <w:instrText xml:space="preserve"> XE </w:instrText>
      </w:r>
      <w:r>
        <w:instrText>"</w:instrText>
      </w:r>
      <w:r w:rsidRPr="00596ED3">
        <w:rPr>
          <w:i/>
        </w:rPr>
        <w:instrText>Services Connect</w:instrText>
      </w:r>
      <w:r>
        <w:instrText>"</w:instrText>
      </w:r>
      <w:r w:rsidRPr="00596ED3">
        <w:instrText xml:space="preserve"> </w:instrText>
      </w:r>
      <w:r w:rsidRPr="00596ED3">
        <w:fldChar w:fldCharType="end"/>
      </w:r>
    </w:p>
    <w:p w:rsidR="00A53D7D" w:rsidRPr="00596ED3" w:rsidRDefault="00A53D7D" w:rsidP="005140B4">
      <w:pPr>
        <w:pStyle w:val="Heading5"/>
      </w:pPr>
      <w:r w:rsidRPr="00596ED3">
        <w:rPr>
          <w:i/>
        </w:rPr>
        <w:t>Services Connect</w:t>
      </w:r>
      <w:r w:rsidRPr="00596ED3">
        <w:t xml:space="preserve"> – single client view stage one</w:t>
      </w:r>
    </w:p>
    <w:p w:rsidR="00A53D7D" w:rsidRPr="00596ED3" w:rsidRDefault="00A53D7D" w:rsidP="005140B4">
      <w:r w:rsidRPr="00596ED3">
        <w:fldChar w:fldCharType="begin"/>
      </w:r>
      <w:r w:rsidRPr="00596ED3">
        <w:instrText xml:space="preserve"> XE </w:instrText>
      </w:r>
      <w:r>
        <w:instrText>"</w:instrText>
      </w:r>
      <w:r w:rsidRPr="00596ED3">
        <w:rPr>
          <w:i/>
        </w:rPr>
        <w:instrText>Services Connect</w:instrText>
      </w:r>
      <w:r>
        <w:instrText>"</w:instrText>
      </w:r>
      <w:r w:rsidRPr="00596ED3">
        <w:instrText xml:space="preserve"> </w:instrText>
      </w:r>
      <w:r w:rsidRPr="00596ED3">
        <w:fldChar w:fldCharType="end"/>
      </w:r>
      <w:r w:rsidRPr="00596ED3">
        <w:t>The Government has committed to the first stage of a new electronic system that will provide an aggregated view of client information. This information will include a client</w:t>
      </w:r>
      <w:r>
        <w:t>’</w:t>
      </w:r>
      <w:r w:rsidRPr="00596ED3">
        <w:t xml:space="preserve">s history with various services. This initiative is part of the </w:t>
      </w:r>
      <w:r w:rsidRPr="00596ED3">
        <w:rPr>
          <w:i/>
        </w:rPr>
        <w:t>Services Connect</w:t>
      </w:r>
      <w:r w:rsidRPr="00596ED3">
        <w:t xml:space="preserve"> model.</w:t>
      </w:r>
    </w:p>
    <w:p w:rsidR="00A53D7D" w:rsidRPr="00596ED3" w:rsidRDefault="00A53D7D" w:rsidP="005140B4">
      <w:r w:rsidRPr="00596ED3">
        <w:t>This initiative contributes to all the Department of Human Services</w:t>
      </w:r>
      <w:r>
        <w:t>’</w:t>
      </w:r>
      <w:r w:rsidRPr="00596ED3">
        <w:t xml:space="preserve"> service delivery outputs.</w:t>
      </w:r>
    </w:p>
    <w:p w:rsidR="00A53D7D" w:rsidRDefault="00A53D7D">
      <w:pPr>
        <w:spacing w:after="0"/>
        <w:rPr>
          <w:rFonts w:ascii="Calibri" w:hAnsi="Calibri"/>
          <w:i/>
          <w:sz w:val="24"/>
          <w:szCs w:val="22"/>
        </w:rPr>
      </w:pPr>
      <w:r>
        <w:br w:type="page"/>
      </w:r>
    </w:p>
    <w:p w:rsidR="00A53D7D" w:rsidRPr="00596ED3" w:rsidRDefault="00A53D7D" w:rsidP="005140B4">
      <w:pPr>
        <w:pStyle w:val="Heading4"/>
      </w:pPr>
      <w:r w:rsidRPr="00596ED3">
        <w:t>Child Protection and Family Services</w:t>
      </w:r>
      <w:r w:rsidRPr="00596ED3">
        <w:fldChar w:fldCharType="begin"/>
      </w:r>
      <w:r w:rsidRPr="00596ED3">
        <w:instrText xml:space="preserve"> XE </w:instrText>
      </w:r>
      <w:r>
        <w:instrText>"</w:instrText>
      </w:r>
      <w:r w:rsidRPr="00596ED3">
        <w:instrText>Department of Human Services:Child Protection and Family Services</w:instrText>
      </w:r>
      <w:r>
        <w:instrText>"</w:instrText>
      </w:r>
      <w:r w:rsidRPr="00596ED3">
        <w:instrText xml:space="preserve"> </w:instrText>
      </w:r>
      <w:r w:rsidRPr="00596ED3">
        <w:fldChar w:fldCharType="end"/>
      </w:r>
    </w:p>
    <w:p w:rsidR="00A53D7D" w:rsidRPr="00596ED3" w:rsidRDefault="00A53D7D" w:rsidP="005140B4">
      <w:pPr>
        <w:autoSpaceDE w:val="0"/>
        <w:autoSpaceDN w:val="0"/>
        <w:adjustRightInd w:val="0"/>
        <w:rPr>
          <w:rFonts w:ascii="Calibri" w:hAnsi="Calibri"/>
          <w:b/>
        </w:rPr>
      </w:pPr>
      <w:r w:rsidRPr="00596ED3">
        <w:rPr>
          <w:rFonts w:ascii="Calibri" w:hAnsi="Calibri"/>
          <w:b/>
        </w:rPr>
        <w:t>Out‐of‐home care residential capacity</w:t>
      </w:r>
    </w:p>
    <w:p w:rsidR="00A53D7D" w:rsidRPr="00596ED3" w:rsidRDefault="00A53D7D" w:rsidP="005140B4">
      <w:pPr>
        <w:widowControl w:val="0"/>
      </w:pPr>
      <w:r w:rsidRPr="00596ED3">
        <w:t>Additional residential homes for children and young people unable to remain safely with their families will be established. These properties will be purpose designed and built to meet the complex needs of these children and young people.</w:t>
      </w:r>
    </w:p>
    <w:p w:rsidR="00A53D7D" w:rsidRPr="00596ED3" w:rsidRDefault="00A53D7D" w:rsidP="005140B4">
      <w:pPr>
        <w:autoSpaceDE w:val="0"/>
        <w:autoSpaceDN w:val="0"/>
        <w:adjustRightInd w:val="0"/>
        <w:spacing w:after="0"/>
        <w:rPr>
          <w:rFonts w:ascii="Calibri" w:hAnsi="Calibri" w:cs="Calibri"/>
          <w:color w:val="000000"/>
          <w:szCs w:val="22"/>
        </w:rPr>
      </w:pPr>
      <w:r w:rsidRPr="00596ED3">
        <w:t>This initiative contributes to the Department of Human Services</w:t>
      </w:r>
      <w:r>
        <w:t>’</w:t>
      </w:r>
      <w:r w:rsidRPr="00596ED3">
        <w:t xml:space="preserve"> Child Protection and Family Services output.</w:t>
      </w:r>
    </w:p>
    <w:p w:rsidR="00A53D7D" w:rsidRPr="00596ED3" w:rsidRDefault="00A53D7D" w:rsidP="005140B4">
      <w:pPr>
        <w:pStyle w:val="Heading4"/>
      </w:pPr>
      <w:r w:rsidRPr="00596ED3">
        <w:t>Disability Services</w:t>
      </w:r>
      <w:r w:rsidRPr="00596ED3">
        <w:fldChar w:fldCharType="begin"/>
      </w:r>
      <w:r w:rsidRPr="00596ED3">
        <w:instrText xml:space="preserve"> XE </w:instrText>
      </w:r>
      <w:r>
        <w:instrText>"</w:instrText>
      </w:r>
      <w:r w:rsidRPr="00596ED3">
        <w:instrText>Department of Human Services:Disability Services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Closing the Oakleigh Centre</w:t>
      </w:r>
    </w:p>
    <w:p w:rsidR="00A53D7D" w:rsidRPr="00596ED3" w:rsidRDefault="00A53D7D" w:rsidP="005140B4">
      <w:r w:rsidRPr="00596ED3">
        <w:t>The Oakleigh Centre, an outdated disability congregate care facility, will be closed. New supported accommodation homes in the local area will be developed for the current residents. The new accommodation will provide more personalised home environments that allow for greater involvement in the local community.</w:t>
      </w:r>
    </w:p>
    <w:p w:rsidR="00A53D7D" w:rsidRPr="00596ED3" w:rsidRDefault="00A53D7D" w:rsidP="005140B4">
      <w:r w:rsidRPr="00596ED3">
        <w:t>This initiative contributes to the Department of Human Services</w:t>
      </w:r>
      <w:r>
        <w:t>’</w:t>
      </w:r>
      <w:r w:rsidRPr="00596ED3">
        <w:t xml:space="preserve"> Disability Services output.</w:t>
      </w:r>
    </w:p>
    <w:p w:rsidR="00A53D7D" w:rsidRPr="00596ED3" w:rsidRDefault="00A53D7D" w:rsidP="005140B4">
      <w:pPr>
        <w:pStyle w:val="Heading4"/>
      </w:pPr>
      <w:r w:rsidRPr="00596ED3">
        <w:t>Housing Assistance</w:t>
      </w:r>
      <w:r w:rsidRPr="00596ED3">
        <w:fldChar w:fldCharType="begin"/>
      </w:r>
      <w:r w:rsidRPr="00596ED3">
        <w:instrText xml:space="preserve"> XE </w:instrText>
      </w:r>
      <w:r>
        <w:instrText>"</w:instrText>
      </w:r>
      <w:r w:rsidRPr="00596ED3">
        <w:instrText>Department of Human Services:Housing Assistance</w:instrText>
      </w:r>
      <w:r>
        <w:instrText>"</w:instrText>
      </w:r>
      <w:r w:rsidRPr="00596ED3">
        <w:instrText xml:space="preserve"> </w:instrText>
      </w:r>
      <w:r w:rsidRPr="00596ED3">
        <w:fldChar w:fldCharType="end"/>
      </w:r>
    </w:p>
    <w:p w:rsidR="00A53D7D" w:rsidRPr="00596ED3" w:rsidRDefault="00A53D7D" w:rsidP="005140B4">
      <w:pPr>
        <w:pStyle w:val="Heading5"/>
      </w:pPr>
      <w:r w:rsidRPr="00596ED3">
        <w:t>Victorian social housing framework</w:t>
      </w:r>
    </w:p>
    <w:p w:rsidR="00A53D7D" w:rsidRPr="00596ED3" w:rsidRDefault="00A53D7D" w:rsidP="005140B4">
      <w:r w:rsidRPr="00596ED3">
        <w:t>Refer to the output initiative for a description of this initiative.</w:t>
      </w:r>
    </w:p>
    <w:p w:rsidR="00A53D7D" w:rsidRPr="00596ED3" w:rsidRDefault="00A53D7D" w:rsidP="005140B4">
      <w:pPr>
        <w:spacing w:after="0"/>
        <w:rPr>
          <w:rFonts w:ascii="Calibri" w:hAnsi="Calibri"/>
          <w:b/>
          <w:caps/>
          <w:sz w:val="26"/>
          <w:szCs w:val="22"/>
        </w:rPr>
      </w:pPr>
      <w:r w:rsidRPr="00596ED3">
        <w:br w:type="page"/>
      </w:r>
    </w:p>
    <w:p w:rsidR="00A53D7D" w:rsidRPr="00596ED3" w:rsidRDefault="00A53D7D" w:rsidP="005140B4">
      <w:pPr>
        <w:pStyle w:val="Heading1"/>
      </w:pPr>
      <w:bookmarkStart w:id="30" w:name="_Toc386364064"/>
      <w:bookmarkStart w:id="31" w:name="_Toc407116897"/>
      <w:r w:rsidRPr="00596ED3">
        <w:t>Department of Justice</w:t>
      </w:r>
      <w:bookmarkEnd w:id="30"/>
      <w:bookmarkEnd w:id="31"/>
    </w:p>
    <w:p w:rsidR="00A53D7D" w:rsidRPr="00596ED3" w:rsidRDefault="00A53D7D" w:rsidP="005140B4">
      <w:pPr>
        <w:pStyle w:val="Heading3"/>
      </w:pPr>
      <w:r w:rsidRPr="00596ED3">
        <w:t>Output initiatives</w:t>
      </w:r>
    </w:p>
    <w:p w:rsidR="00A53D7D" w:rsidRPr="00596ED3" w:rsidRDefault="00A53D7D" w:rsidP="005140B4">
      <w:pPr>
        <w:pStyle w:val="Tableheading"/>
        <w:tabs>
          <w:tab w:val="left" w:pos="4678"/>
        </w:tabs>
      </w:pPr>
      <w:r w:rsidRPr="00596ED3">
        <w:t xml:space="preserve">Table 1.11: </w:t>
      </w:r>
      <w:r w:rsidRPr="00596ED3">
        <w:tab/>
        <w:t>Output initiatives – Justice</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bookmarkStart w:id="32" w:name="RANGE!A3:F31"/>
      <w:bookmarkStart w:id="33" w:name="RANGE!A3:F30"/>
    </w:p>
    <w:tbl>
      <w:tblPr>
        <w:tblW w:w="7776" w:type="dxa"/>
        <w:tblInd w:w="29" w:type="dxa"/>
        <w:tblCellMar>
          <w:left w:w="43" w:type="dxa"/>
          <w:right w:w="43" w:type="dxa"/>
        </w:tblCellMar>
        <w:tblLook w:val="04A0" w:firstRow="1" w:lastRow="0" w:firstColumn="1" w:lastColumn="0" w:noHBand="0" w:noVBand="1"/>
      </w:tblPr>
      <w:tblGrid>
        <w:gridCol w:w="3133"/>
        <w:gridCol w:w="928"/>
        <w:gridCol w:w="929"/>
        <w:gridCol w:w="928"/>
        <w:gridCol w:w="929"/>
        <w:gridCol w:w="929"/>
      </w:tblGrid>
      <w:tr w:rsidR="00A53D7D" w:rsidRPr="00FB64AD" w:rsidTr="005140B4">
        <w:trPr>
          <w:divId w:val="912667696"/>
        </w:trPr>
        <w:tc>
          <w:tcPr>
            <w:tcW w:w="3133" w:type="dxa"/>
            <w:tcBorders>
              <w:top w:val="single" w:sz="12" w:space="0" w:color="FFFFFF" w:themeColor="background1"/>
              <w:left w:val="single" w:sz="12" w:space="0" w:color="FFFFFF" w:themeColor="background1"/>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928" w:type="dxa"/>
            <w:tcBorders>
              <w:top w:val="single" w:sz="12" w:space="0" w:color="FFFFFF" w:themeColor="background1"/>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929" w:type="dxa"/>
            <w:tcBorders>
              <w:top w:val="single" w:sz="12" w:space="0" w:color="FFFFFF" w:themeColor="background1"/>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928" w:type="dxa"/>
            <w:tcBorders>
              <w:top w:val="single" w:sz="12" w:space="0" w:color="FFFFFF" w:themeColor="background1"/>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929" w:type="dxa"/>
            <w:tcBorders>
              <w:top w:val="single" w:sz="12" w:space="0" w:color="FFFFFF" w:themeColor="background1"/>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929" w:type="dxa"/>
            <w:tcBorders>
              <w:top w:val="single" w:sz="12" w:space="0" w:color="FFFFFF" w:themeColor="background1"/>
              <w:left w:val="nil"/>
              <w:bottom w:val="single" w:sz="4" w:space="0" w:color="auto"/>
              <w:right w:val="single" w:sz="12" w:space="0" w:color="FFFFFF" w:themeColor="background1"/>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r>
      <w:tr w:rsidR="00A53D7D" w:rsidRPr="00FB64AD" w:rsidTr="005140B4">
        <w:trPr>
          <w:divId w:val="912667696"/>
        </w:trPr>
        <w:tc>
          <w:tcPr>
            <w:tcW w:w="3133" w:type="dxa"/>
            <w:tcBorders>
              <w:top w:val="single" w:sz="12" w:space="0" w:color="FFFFFF" w:themeColor="background1"/>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Enforcing and Managing Correctional Orders</w:t>
            </w:r>
          </w:p>
        </w:tc>
        <w:tc>
          <w:tcPr>
            <w:tcW w:w="928" w:type="dxa"/>
            <w:tcBorders>
              <w:top w:val="single" w:sz="12" w:space="0" w:color="FFFFFF" w:themeColor="background1"/>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29" w:type="dxa"/>
            <w:tcBorders>
              <w:top w:val="single" w:sz="12" w:space="0" w:color="FFFFFF" w:themeColor="background1"/>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28" w:type="dxa"/>
            <w:tcBorders>
              <w:top w:val="single" w:sz="12" w:space="0" w:color="FFFFFF" w:themeColor="background1"/>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29" w:type="dxa"/>
            <w:tcBorders>
              <w:top w:val="single" w:sz="12" w:space="0" w:color="FFFFFF" w:themeColor="background1"/>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29" w:type="dxa"/>
            <w:tcBorders>
              <w:top w:val="single" w:sz="12" w:space="0" w:color="FFFFFF" w:themeColor="background1"/>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Adult parole system funding</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1.8</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19.3</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23.6</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19.9</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19.5</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Corrections system expansion</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21.2</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72.5</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68.3</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71.5</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73.1</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Targeted women</w:t>
            </w:r>
            <w:r>
              <w:rPr>
                <w:color w:val="000000"/>
                <w:lang w:eastAsia="en-AU"/>
              </w:rPr>
              <w:t>’</w:t>
            </w:r>
            <w:r w:rsidRPr="00FB64AD">
              <w:rPr>
                <w:color w:val="000000"/>
                <w:lang w:eastAsia="en-AU"/>
              </w:rPr>
              <w:t>s correctional response</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7.0</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 xml:space="preserve">Policing </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Arrest warrants</w:t>
            </w:r>
            <w:r>
              <w:rPr>
                <w:color w:val="000000"/>
                <w:lang w:eastAsia="en-AU"/>
              </w:rPr>
              <w:t xml:space="preserve"> – </w:t>
            </w:r>
            <w:r w:rsidRPr="00FB64AD">
              <w:rPr>
                <w:color w:val="000000"/>
                <w:lang w:eastAsia="en-AU"/>
              </w:rPr>
              <w:t>system improvements</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xml:space="preserve"> </w:t>
            </w:r>
            <w:r w:rsidRPr="00FB64AD">
              <w:rPr>
                <w:rFonts w:cs="Calibri"/>
                <w:color w:val="000000"/>
                <w:lang w:eastAsia="en-AU"/>
              </w:rPr>
              <w:t>0.3</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rFonts w:cs="Calibri"/>
                <w:color w:val="000000"/>
                <w:lang w:eastAsia="en-AU"/>
              </w:rPr>
            </w:pPr>
            <w:r w:rsidRPr="00FB64AD">
              <w:rPr>
                <w:color w:val="000000"/>
                <w:lang w:eastAsia="en-AU"/>
              </w:rPr>
              <w:t xml:space="preserve">Ballarat West Emergency Services </w:t>
            </w:r>
            <w:r w:rsidRPr="00FB64AD">
              <w:rPr>
                <w:rFonts w:cs="Calibri"/>
                <w:color w:val="000000"/>
                <w:lang w:eastAsia="en-AU"/>
              </w:rPr>
              <w:t>Precinct</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w:t>
            </w:r>
            <w:r w:rsidRPr="00FB64AD">
              <w:rPr>
                <w:rFonts w:cs="Calibri"/>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r>
      <w:tr w:rsidR="00A53D7D" w:rsidRPr="00FB64AD" w:rsidTr="005140B4">
        <w:trPr>
          <w:divId w:val="912667696"/>
        </w:trPr>
        <w:tc>
          <w:tcPr>
            <w:tcW w:w="3133" w:type="dxa"/>
            <w:tcBorders>
              <w:top w:val="nil"/>
              <w:left w:val="nil"/>
              <w:bottom w:val="nil"/>
              <w:right w:val="nil"/>
            </w:tcBorders>
            <w:shd w:val="clear" w:color="auto" w:fill="auto"/>
            <w:noWrap/>
            <w:vAlign w:val="bottom"/>
            <w:hideMark/>
          </w:tcPr>
          <w:p w:rsidR="00A53D7D" w:rsidRPr="00FB64AD" w:rsidRDefault="00A53D7D" w:rsidP="005140B4">
            <w:pPr>
              <w:pStyle w:val="Tabletext"/>
              <w:rPr>
                <w:rFonts w:cs="Calibri"/>
                <w:color w:val="000000"/>
                <w:lang w:eastAsia="en-AU"/>
              </w:rPr>
            </w:pPr>
            <w:r w:rsidRPr="00FB64AD">
              <w:rPr>
                <w:color w:val="000000"/>
                <w:lang w:eastAsia="en-AU"/>
              </w:rPr>
              <w:t>Conducted energy devices (commonly</w:t>
            </w:r>
            <w:r w:rsidRPr="00FB64AD">
              <w:rPr>
                <w:rFonts w:cs="Calibri"/>
                <w:color w:val="000000"/>
                <w:lang w:eastAsia="en-AU"/>
              </w:rPr>
              <w:t xml:space="preserve"> known as Tasers)</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w:t>
            </w:r>
            <w:r w:rsidRPr="00FB64AD">
              <w:rPr>
                <w:rFonts w:cs="Calibri"/>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3.2</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3.2</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3.2</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Echuca Police Station replacement</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0.7</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0.9</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rFonts w:cs="Calibri"/>
                <w:color w:val="000000"/>
                <w:lang w:eastAsia="en-AU"/>
              </w:rPr>
            </w:pPr>
            <w:r w:rsidRPr="00FB64AD">
              <w:rPr>
                <w:color w:val="000000"/>
                <w:lang w:eastAsia="en-AU"/>
              </w:rPr>
              <w:t>Protective Services Officers</w:t>
            </w:r>
            <w:r>
              <w:rPr>
                <w:color w:val="000000"/>
                <w:lang w:eastAsia="en-AU"/>
              </w:rPr>
              <w:t xml:space="preserve"> – </w:t>
            </w:r>
            <w:r w:rsidRPr="00FB64AD">
              <w:rPr>
                <w:color w:val="000000"/>
                <w:lang w:eastAsia="en-AU"/>
              </w:rPr>
              <w:t xml:space="preserve">radio black </w:t>
            </w:r>
            <w:r w:rsidRPr="00FB64AD">
              <w:rPr>
                <w:rFonts w:cs="Calibri"/>
                <w:color w:val="000000"/>
                <w:lang w:eastAsia="en-AU"/>
              </w:rPr>
              <w:t>spot funding</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4.8</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2.1</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0.8</w:t>
            </w:r>
          </w:p>
        </w:tc>
      </w:tr>
      <w:tr w:rsidR="00A53D7D" w:rsidRPr="00FB64AD" w:rsidTr="005140B4">
        <w:trPr>
          <w:divId w:val="912667696"/>
        </w:trPr>
        <w:tc>
          <w:tcPr>
            <w:tcW w:w="3133" w:type="dxa"/>
            <w:tcBorders>
              <w:top w:val="nil"/>
              <w:left w:val="nil"/>
              <w:bottom w:val="nil"/>
              <w:right w:val="nil"/>
            </w:tcBorders>
            <w:shd w:val="clear" w:color="auto" w:fill="auto"/>
            <w:noWrap/>
            <w:vAlign w:val="bottom"/>
            <w:hideMark/>
          </w:tcPr>
          <w:p w:rsidR="00A53D7D" w:rsidRPr="00FB64AD" w:rsidRDefault="00A53D7D" w:rsidP="005140B4">
            <w:pPr>
              <w:pStyle w:val="Tabletext"/>
              <w:rPr>
                <w:color w:val="000000"/>
                <w:lang w:eastAsia="en-AU"/>
              </w:rPr>
            </w:pPr>
            <w:r w:rsidRPr="00FB64AD">
              <w:rPr>
                <w:color w:val="000000"/>
                <w:lang w:eastAsia="en-AU"/>
              </w:rPr>
              <w:t>St Kilda Road Police Station replacement</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w:t>
            </w:r>
          </w:p>
        </w:tc>
      </w:tr>
      <w:tr w:rsidR="00A53D7D" w:rsidRPr="00FB64AD" w:rsidTr="005140B4">
        <w:trPr>
          <w:divId w:val="912667696"/>
        </w:trPr>
        <w:tc>
          <w:tcPr>
            <w:tcW w:w="3133" w:type="dxa"/>
            <w:tcBorders>
              <w:top w:val="nil"/>
              <w:left w:val="nil"/>
              <w:bottom w:val="nil"/>
              <w:right w:val="nil"/>
            </w:tcBorders>
            <w:shd w:val="clear" w:color="auto" w:fill="auto"/>
            <w:noWrap/>
            <w:vAlign w:val="bottom"/>
            <w:hideMark/>
          </w:tcPr>
          <w:p w:rsidR="00A53D7D" w:rsidRPr="00FB64AD" w:rsidRDefault="00A53D7D" w:rsidP="005140B4">
            <w:pPr>
              <w:pStyle w:val="Tabletext"/>
              <w:rPr>
                <w:color w:val="000000"/>
                <w:lang w:eastAsia="en-AU"/>
              </w:rPr>
            </w:pPr>
            <w:r w:rsidRPr="00FB64AD">
              <w:rPr>
                <w:color w:val="000000"/>
                <w:lang w:eastAsia="en-AU"/>
              </w:rPr>
              <w:t>Victoria Police critical equipment</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0.0</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0.0</w:t>
            </w:r>
          </w:p>
        </w:tc>
      </w:tr>
      <w:tr w:rsidR="00A53D7D" w:rsidRPr="00FB64AD" w:rsidTr="005140B4">
        <w:trPr>
          <w:divId w:val="912667696"/>
        </w:trPr>
        <w:tc>
          <w:tcPr>
            <w:tcW w:w="3133"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Supporting Legal Processes and Law Reform</w:t>
            </w:r>
          </w:p>
        </w:tc>
        <w:tc>
          <w:tcPr>
            <w:tcW w:w="928"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29"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28"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29"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29"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Office of Public Prosecutions accommodation project</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Personal safety intervention orders</w:t>
            </w:r>
            <w:r>
              <w:rPr>
                <w:color w:val="000000"/>
                <w:lang w:eastAsia="en-AU"/>
              </w:rPr>
              <w:t xml:space="preserve"> – </w:t>
            </w:r>
            <w:r w:rsidRPr="00FB64AD">
              <w:rPr>
                <w:color w:val="000000"/>
                <w:lang w:eastAsia="en-AU"/>
              </w:rPr>
              <w:t>demand growth</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0.7</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0.7</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0.7</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0.7</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Social and Community Services Equal Remuneration Order </w:t>
            </w:r>
            <w:r w:rsidRPr="00FB64AD">
              <w:rPr>
                <w:color w:val="000000"/>
                <w:vertAlign w:val="superscript"/>
                <w:lang w:eastAsia="en-AU"/>
              </w:rPr>
              <w:t>(a)</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Supporting the State</w:t>
            </w:r>
            <w:r>
              <w:rPr>
                <w:b/>
                <w:bCs/>
                <w:color w:val="000000"/>
                <w:lang w:eastAsia="en-AU"/>
              </w:rPr>
              <w:t>’</w:t>
            </w:r>
            <w:r w:rsidRPr="00FB64AD">
              <w:rPr>
                <w:b/>
                <w:bCs/>
                <w:color w:val="000000"/>
                <w:lang w:eastAsia="en-AU"/>
              </w:rPr>
              <w:t>s Fire and Emergency Services</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ESTA Triple Zero communications enhancement</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2.1</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2.3</w:t>
            </w:r>
          </w:p>
        </w:tc>
      </w:tr>
      <w:tr w:rsidR="00A53D7D" w:rsidRPr="00FB64AD" w:rsidTr="005140B4">
        <w:trPr>
          <w:divId w:val="912667696"/>
        </w:trPr>
        <w:tc>
          <w:tcPr>
            <w:tcW w:w="3133"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Replacement of respiratory protection equipment</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2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0.9</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29"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r>
      <w:tr w:rsidR="00A53D7D" w:rsidRPr="00FB64AD" w:rsidTr="005140B4">
        <w:trPr>
          <w:divId w:val="912667696"/>
        </w:trPr>
        <w:tc>
          <w:tcPr>
            <w:tcW w:w="3133" w:type="dxa"/>
            <w:tcBorders>
              <w:top w:val="single" w:sz="4" w:space="0" w:color="auto"/>
              <w:left w:val="nil"/>
              <w:bottom w:val="single" w:sz="4"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Sub total output initiatives</w:t>
            </w:r>
          </w:p>
        </w:tc>
        <w:tc>
          <w:tcPr>
            <w:tcW w:w="928"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28.2</w:t>
            </w:r>
          </w:p>
        </w:tc>
        <w:tc>
          <w:tcPr>
            <w:tcW w:w="929"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107.0</w:t>
            </w:r>
          </w:p>
        </w:tc>
        <w:tc>
          <w:tcPr>
            <w:tcW w:w="928"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102.8</w:t>
            </w:r>
          </w:p>
        </w:tc>
        <w:tc>
          <w:tcPr>
            <w:tcW w:w="929"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101.2</w:t>
            </w:r>
          </w:p>
        </w:tc>
        <w:tc>
          <w:tcPr>
            <w:tcW w:w="929"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103.8</w:t>
            </w:r>
          </w:p>
        </w:tc>
      </w:tr>
      <w:tr w:rsidR="00A53D7D" w:rsidRPr="00FB64AD" w:rsidTr="005140B4">
        <w:trPr>
          <w:divId w:val="912667696"/>
        </w:trPr>
        <w:tc>
          <w:tcPr>
            <w:tcW w:w="3133" w:type="dxa"/>
            <w:tcBorders>
              <w:top w:val="nil"/>
              <w:left w:val="nil"/>
              <w:bottom w:val="single" w:sz="4" w:space="0" w:color="auto"/>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Existing resources </w:t>
            </w:r>
            <w:r w:rsidRPr="00FB64AD">
              <w:rPr>
                <w:color w:val="000000"/>
                <w:vertAlign w:val="superscript"/>
                <w:lang w:eastAsia="en-AU"/>
              </w:rPr>
              <w:t>(b)</w:t>
            </w:r>
          </w:p>
        </w:tc>
        <w:tc>
          <w:tcPr>
            <w:tcW w:w="928"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( 24.8)</w:t>
            </w:r>
          </w:p>
        </w:tc>
        <w:tc>
          <w:tcPr>
            <w:tcW w:w="929"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( 7.3)</w:t>
            </w:r>
          </w:p>
        </w:tc>
        <w:tc>
          <w:tcPr>
            <w:tcW w:w="928"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( 5.7)</w:t>
            </w:r>
          </w:p>
        </w:tc>
        <w:tc>
          <w:tcPr>
            <w:tcW w:w="929"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( 4.6)</w:t>
            </w:r>
          </w:p>
        </w:tc>
        <w:tc>
          <w:tcPr>
            <w:tcW w:w="929"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( 4.3)</w:t>
            </w:r>
          </w:p>
        </w:tc>
      </w:tr>
      <w:tr w:rsidR="00A53D7D" w:rsidRPr="00FB64AD" w:rsidTr="005140B4">
        <w:trPr>
          <w:divId w:val="912667696"/>
        </w:trPr>
        <w:tc>
          <w:tcPr>
            <w:tcW w:w="3133" w:type="dxa"/>
            <w:tcBorders>
              <w:top w:val="single" w:sz="4" w:space="0" w:color="auto"/>
              <w:left w:val="nil"/>
              <w:bottom w:val="single" w:sz="12"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output initiatives</w:t>
            </w:r>
          </w:p>
        </w:tc>
        <w:tc>
          <w:tcPr>
            <w:tcW w:w="928"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3.3</w:t>
            </w:r>
          </w:p>
        </w:tc>
        <w:tc>
          <w:tcPr>
            <w:tcW w:w="929"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99.7</w:t>
            </w:r>
          </w:p>
        </w:tc>
        <w:tc>
          <w:tcPr>
            <w:tcW w:w="928"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97.1</w:t>
            </w:r>
          </w:p>
        </w:tc>
        <w:tc>
          <w:tcPr>
            <w:tcW w:w="929"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96.6</w:t>
            </w:r>
          </w:p>
        </w:tc>
        <w:tc>
          <w:tcPr>
            <w:tcW w:w="929"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99.5</w:t>
            </w:r>
          </w:p>
        </w:tc>
      </w:tr>
    </w:tbl>
    <w:bookmarkEnd w:id="32"/>
    <w:bookmarkEnd w:id="33"/>
    <w:p w:rsidR="00A53D7D" w:rsidRPr="00596ED3" w:rsidRDefault="00A53D7D" w:rsidP="005140B4">
      <w:pPr>
        <w:pStyle w:val="Source"/>
      </w:pPr>
      <w:r w:rsidRPr="00596ED3">
        <w:t xml:space="preserve">Source: Department of Treasury and Finance </w:t>
      </w:r>
      <w:r w:rsidRPr="00596ED3">
        <w:fldChar w:fldCharType="begin"/>
      </w:r>
      <w:r w:rsidRPr="00596ED3">
        <w:instrText xml:space="preserve"> XE "Department of Justice:Output initiatives" </w:instrText>
      </w:r>
      <w:r w:rsidRPr="00596ED3">
        <w:fldChar w:fldCharType="end"/>
      </w:r>
    </w:p>
    <w:p w:rsidR="00A53D7D" w:rsidRPr="00596ED3" w:rsidRDefault="00A53D7D" w:rsidP="005140B4">
      <w:pPr>
        <w:pStyle w:val="Notes"/>
      </w:pPr>
      <w:r w:rsidRPr="00596ED3">
        <w:t>Notes:</w:t>
      </w:r>
    </w:p>
    <w:p w:rsidR="00A53D7D" w:rsidRPr="00596ED3" w:rsidRDefault="00A53D7D" w:rsidP="005140B4">
      <w:pPr>
        <w:pStyle w:val="Notes"/>
      </w:pPr>
      <w:r w:rsidRPr="00596ED3">
        <w:t>(a)</w:t>
      </w:r>
      <w:r w:rsidRPr="00596ED3">
        <w:tab/>
        <w:t>This funding is in addition to the $200</w:t>
      </w:r>
      <w:r>
        <w:t> million</w:t>
      </w:r>
      <w:r w:rsidRPr="00596ED3">
        <w:t xml:space="preserve"> announced in the </w:t>
      </w:r>
      <w:r w:rsidRPr="00C07E8A">
        <w:rPr>
          <w:i w:val="0"/>
        </w:rPr>
        <w:t>2011</w:t>
      </w:r>
      <w:r w:rsidRPr="00C07E8A">
        <w:rPr>
          <w:i w:val="0"/>
        </w:rPr>
        <w:noBreakHyphen/>
        <w:t>12 Budget</w:t>
      </w:r>
      <w:r w:rsidRPr="00596ED3">
        <w:t xml:space="preserve"> which was provided to the departments of Human Services, Health, Justice and Education and Early Childhood Development.</w:t>
      </w:r>
    </w:p>
    <w:p w:rsidR="00A53D7D" w:rsidRPr="00596ED3" w:rsidRDefault="00A53D7D" w:rsidP="005140B4">
      <w:pPr>
        <w:pStyle w:val="Notes"/>
      </w:pPr>
      <w:r w:rsidRPr="00596ED3">
        <w:t>(b)</w:t>
      </w:r>
      <w:r w:rsidRPr="00596ED3">
        <w:tab/>
        <w:t>Existing departmental resources have been reallocated to contribute to the delivery of new initiatives.</w:t>
      </w:r>
    </w:p>
    <w:p w:rsidR="00A53D7D" w:rsidRPr="00596ED3" w:rsidRDefault="00A53D7D" w:rsidP="005140B4">
      <w:pPr>
        <w:pStyle w:val="Heading4"/>
      </w:pPr>
      <w:r w:rsidRPr="00596ED3">
        <w:t>Enforcing and Managing Correctional Orders</w:t>
      </w:r>
      <w:r w:rsidRPr="00596ED3">
        <w:fldChar w:fldCharType="begin"/>
      </w:r>
      <w:r w:rsidRPr="00596ED3">
        <w:instrText xml:space="preserve"> XE </w:instrText>
      </w:r>
      <w:r>
        <w:instrText>"</w:instrText>
      </w:r>
      <w:r w:rsidRPr="00596ED3">
        <w:instrText>Department of Justice:Enforcing and Managing Correctional Orders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Adult parole system funding</w:t>
      </w:r>
    </w:p>
    <w:p w:rsidR="00A53D7D" w:rsidRPr="00596ED3" w:rsidRDefault="00A53D7D" w:rsidP="005140B4">
      <w:r w:rsidRPr="00596ED3">
        <w:t xml:space="preserve">Funding is allocated to support system wide reforms to the adult parole system, implementing the recommendations of former High Court Justice, the Hon Ian </w:t>
      </w:r>
      <w:proofErr w:type="spellStart"/>
      <w:r w:rsidRPr="00596ED3">
        <w:t>Callinan</w:t>
      </w:r>
      <w:proofErr w:type="spellEnd"/>
      <w:r w:rsidRPr="00596ED3">
        <w:t xml:space="preserve"> AC, in the </w:t>
      </w:r>
      <w:r w:rsidRPr="00596ED3">
        <w:rPr>
          <w:i/>
        </w:rPr>
        <w:t xml:space="preserve">Review of the Parole System in Victoria. </w:t>
      </w:r>
      <w:r w:rsidRPr="00596ED3">
        <w:t>This includes dedicated resources to strengthen the management of parole orders and additional resources for the Adult Parole Board to further strengthen the adult parole system.</w:t>
      </w:r>
    </w:p>
    <w:p w:rsidR="00A53D7D" w:rsidRPr="00596ED3" w:rsidRDefault="00A53D7D" w:rsidP="005140B4">
      <w:r w:rsidRPr="00596ED3">
        <w:t>This initiative contributes to the Department of Justice</w:t>
      </w:r>
      <w:r>
        <w:t>’</w:t>
      </w:r>
      <w:r w:rsidRPr="00596ED3">
        <w:t>s:</w:t>
      </w:r>
    </w:p>
    <w:p w:rsidR="00A53D7D" w:rsidRPr="00596ED3" w:rsidRDefault="00A53D7D" w:rsidP="005140B4">
      <w:pPr>
        <w:pStyle w:val="BulletText"/>
      </w:pPr>
      <w:r w:rsidRPr="00596ED3">
        <w:t>Prisoner Supervision and Support output; and</w:t>
      </w:r>
    </w:p>
    <w:p w:rsidR="00A53D7D" w:rsidRPr="00596ED3" w:rsidRDefault="00A53D7D" w:rsidP="005140B4">
      <w:pPr>
        <w:pStyle w:val="BulletText"/>
      </w:pPr>
      <w:r w:rsidRPr="00596ED3">
        <w:t>Policing Services output.</w:t>
      </w:r>
    </w:p>
    <w:p w:rsidR="00A53D7D" w:rsidRPr="00596ED3" w:rsidRDefault="00A53D7D" w:rsidP="005140B4">
      <w:pPr>
        <w:pStyle w:val="Heading5"/>
      </w:pPr>
      <w:r w:rsidRPr="00596ED3">
        <w:t>Corrections system expansion</w:t>
      </w:r>
    </w:p>
    <w:p w:rsidR="00A53D7D" w:rsidRPr="00596ED3" w:rsidRDefault="00A53D7D" w:rsidP="005140B4">
      <w:pPr>
        <w:autoSpaceDE w:val="0"/>
        <w:autoSpaceDN w:val="0"/>
        <w:adjustRightInd w:val="0"/>
        <w:rPr>
          <w:rFonts w:cs="Garamond"/>
          <w:color w:val="000000"/>
          <w:szCs w:val="22"/>
          <w:lang w:eastAsia="en-AU"/>
        </w:rPr>
      </w:pPr>
      <w:r w:rsidRPr="00596ED3">
        <w:rPr>
          <w:rFonts w:cs="Garamond"/>
          <w:color w:val="000000"/>
          <w:szCs w:val="22"/>
          <w:lang w:eastAsia="en-AU"/>
        </w:rPr>
        <w:t>Funding is provided for the operation of various men</w:t>
      </w:r>
      <w:r>
        <w:rPr>
          <w:rFonts w:cs="Garamond"/>
          <w:color w:val="000000"/>
          <w:szCs w:val="22"/>
          <w:lang w:eastAsia="en-AU"/>
        </w:rPr>
        <w:t>’</w:t>
      </w:r>
      <w:r w:rsidRPr="00596ED3">
        <w:rPr>
          <w:rFonts w:cs="Garamond"/>
          <w:color w:val="000000"/>
          <w:szCs w:val="22"/>
          <w:lang w:eastAsia="en-AU"/>
        </w:rPr>
        <w:t>s prisons and the women</w:t>
      </w:r>
      <w:r>
        <w:rPr>
          <w:rFonts w:cs="Garamond"/>
          <w:color w:val="000000"/>
          <w:szCs w:val="22"/>
          <w:lang w:eastAsia="en-AU"/>
        </w:rPr>
        <w:t>’</w:t>
      </w:r>
      <w:r w:rsidRPr="00596ED3">
        <w:rPr>
          <w:rFonts w:cs="Garamond"/>
          <w:color w:val="000000"/>
          <w:szCs w:val="22"/>
          <w:lang w:eastAsia="en-AU"/>
        </w:rPr>
        <w:t>s Dame Phyllis Frost Centre in order to accommodate additional prisoners. Funding is also provided for strategies to manage demand on police cells.</w:t>
      </w:r>
    </w:p>
    <w:p w:rsidR="00A53D7D" w:rsidRPr="00596ED3" w:rsidRDefault="00A53D7D" w:rsidP="005140B4">
      <w:pPr>
        <w:keepNext/>
        <w:tabs>
          <w:tab w:val="left" w:pos="504"/>
        </w:tabs>
        <w:autoSpaceDE w:val="0"/>
        <w:autoSpaceDN w:val="0"/>
        <w:adjustRightInd w:val="0"/>
        <w:spacing w:before="120"/>
        <w:rPr>
          <w:rFonts w:cs="Garamond"/>
          <w:color w:val="000000"/>
          <w:szCs w:val="22"/>
          <w:lang w:eastAsia="en-AU"/>
        </w:rPr>
      </w:pPr>
      <w:r w:rsidRPr="00596ED3">
        <w:rPr>
          <w:rFonts w:cs="Garamond"/>
          <w:color w:val="000000"/>
          <w:szCs w:val="22"/>
          <w:lang w:eastAsia="en-AU"/>
        </w:rPr>
        <w:t>The male and female corrections systems</w:t>
      </w:r>
      <w:r>
        <w:rPr>
          <w:rFonts w:cs="Garamond"/>
          <w:color w:val="000000"/>
          <w:szCs w:val="22"/>
          <w:lang w:eastAsia="en-AU"/>
        </w:rPr>
        <w:t>’</w:t>
      </w:r>
      <w:r w:rsidRPr="00596ED3">
        <w:rPr>
          <w:rFonts w:cs="Garamond"/>
          <w:color w:val="000000"/>
          <w:szCs w:val="22"/>
          <w:lang w:eastAsia="en-AU"/>
        </w:rPr>
        <w:t xml:space="preserve"> infrastructure will be expanded to meet growth in the prisoner population.</w:t>
      </w:r>
      <w:r w:rsidR="0020764E">
        <w:rPr>
          <w:rFonts w:cs="Garamond"/>
          <w:color w:val="000000"/>
          <w:szCs w:val="22"/>
          <w:lang w:eastAsia="en-AU"/>
        </w:rPr>
        <w:t xml:space="preserve"> </w:t>
      </w:r>
      <w:r w:rsidRPr="00596ED3">
        <w:rPr>
          <w:rFonts w:cs="Garamond"/>
          <w:color w:val="000000"/>
          <w:szCs w:val="22"/>
          <w:lang w:eastAsia="en-AU"/>
        </w:rPr>
        <w:t xml:space="preserve">This includes new units, relocatable </w:t>
      </w:r>
      <w:proofErr w:type="gramStart"/>
      <w:r w:rsidRPr="00596ED3">
        <w:rPr>
          <w:rFonts w:cs="Garamond"/>
          <w:color w:val="000000"/>
          <w:szCs w:val="22"/>
          <w:lang w:eastAsia="en-AU"/>
        </w:rPr>
        <w:t>units</w:t>
      </w:r>
      <w:proofErr w:type="gramEnd"/>
      <w:r w:rsidRPr="00596ED3">
        <w:rPr>
          <w:rFonts w:cs="Garamond"/>
          <w:color w:val="000000"/>
          <w:szCs w:val="22"/>
          <w:lang w:eastAsia="en-AU"/>
        </w:rPr>
        <w:t xml:space="preserve"> and infrastructure upgrades across the prison system, including additional beds at Beechworth, </w:t>
      </w:r>
      <w:proofErr w:type="spellStart"/>
      <w:r w:rsidRPr="00596ED3">
        <w:rPr>
          <w:rFonts w:cs="Garamond"/>
          <w:color w:val="000000"/>
          <w:szCs w:val="22"/>
          <w:lang w:eastAsia="en-AU"/>
        </w:rPr>
        <w:t>Langi</w:t>
      </w:r>
      <w:proofErr w:type="spellEnd"/>
      <w:r w:rsidRPr="00596ED3">
        <w:rPr>
          <w:rFonts w:cs="Garamond"/>
          <w:color w:val="000000"/>
          <w:szCs w:val="22"/>
          <w:lang w:eastAsia="en-AU"/>
        </w:rPr>
        <w:t xml:space="preserve"> </w:t>
      </w:r>
      <w:proofErr w:type="spellStart"/>
      <w:r w:rsidRPr="00596ED3">
        <w:rPr>
          <w:rFonts w:cs="Garamond"/>
          <w:color w:val="000000"/>
          <w:szCs w:val="22"/>
          <w:lang w:eastAsia="en-AU"/>
        </w:rPr>
        <w:t>Kal</w:t>
      </w:r>
      <w:proofErr w:type="spellEnd"/>
      <w:r w:rsidRPr="00596ED3">
        <w:rPr>
          <w:rFonts w:cs="Garamond"/>
          <w:color w:val="000000"/>
          <w:szCs w:val="22"/>
          <w:lang w:eastAsia="en-AU"/>
        </w:rPr>
        <w:t xml:space="preserve"> </w:t>
      </w:r>
      <w:proofErr w:type="spellStart"/>
      <w:r w:rsidRPr="00596ED3">
        <w:rPr>
          <w:rFonts w:cs="Garamond"/>
          <w:color w:val="000000"/>
          <w:szCs w:val="22"/>
          <w:lang w:eastAsia="en-AU"/>
        </w:rPr>
        <w:t>Kal</w:t>
      </w:r>
      <w:proofErr w:type="spellEnd"/>
      <w:r w:rsidRPr="00596ED3">
        <w:rPr>
          <w:rFonts w:cs="Garamond"/>
          <w:color w:val="000000"/>
          <w:szCs w:val="22"/>
          <w:lang w:eastAsia="en-AU"/>
        </w:rPr>
        <w:t xml:space="preserve"> and the Dame Phyllis Frost Centre correctional facilities. </w:t>
      </w:r>
    </w:p>
    <w:p w:rsidR="00A53D7D" w:rsidRPr="00596ED3" w:rsidRDefault="00A53D7D" w:rsidP="005140B4">
      <w:pPr>
        <w:rPr>
          <w:lang w:eastAsia="en-AU"/>
        </w:rPr>
      </w:pPr>
      <w:r w:rsidRPr="00596ED3">
        <w:rPr>
          <w:lang w:eastAsia="en-AU"/>
        </w:rPr>
        <w:t>This initiative contributes to the Department of Justice</w:t>
      </w:r>
      <w:r>
        <w:rPr>
          <w:lang w:eastAsia="en-AU"/>
        </w:rPr>
        <w:t>’</w:t>
      </w:r>
      <w:r w:rsidRPr="00596ED3">
        <w:rPr>
          <w:lang w:eastAsia="en-AU"/>
        </w:rPr>
        <w:t>s Prisoner Supervision and Support output.</w:t>
      </w:r>
    </w:p>
    <w:p w:rsidR="00A53D7D" w:rsidRPr="00596ED3" w:rsidRDefault="00A53D7D" w:rsidP="005140B4">
      <w:pPr>
        <w:pStyle w:val="Heading5"/>
      </w:pPr>
      <w:r w:rsidRPr="00596ED3">
        <w:t>Targeted women</w:t>
      </w:r>
      <w:r>
        <w:t>’</w:t>
      </w:r>
      <w:r w:rsidRPr="00596ED3">
        <w:t>s correctional response</w:t>
      </w:r>
    </w:p>
    <w:p w:rsidR="00A53D7D" w:rsidRPr="00596ED3" w:rsidRDefault="00A53D7D" w:rsidP="005140B4">
      <w:r w:rsidRPr="00596ED3">
        <w:t>Specialist mental health care will continue to be provided to improve mental health outcomes for women prisoners. Rehabilitation services will also continue to be provided to reduce reoffending.</w:t>
      </w:r>
    </w:p>
    <w:p w:rsidR="00A53D7D" w:rsidRPr="00596ED3" w:rsidRDefault="00A53D7D" w:rsidP="005140B4">
      <w:r w:rsidRPr="00596ED3">
        <w:t>This initiative contributes to the Department of Justice</w:t>
      </w:r>
      <w:r>
        <w:t>’</w:t>
      </w:r>
      <w:r w:rsidRPr="00596ED3">
        <w:t>s:</w:t>
      </w:r>
    </w:p>
    <w:p w:rsidR="00A53D7D" w:rsidRPr="00596ED3" w:rsidRDefault="00A53D7D" w:rsidP="005140B4">
      <w:pPr>
        <w:pStyle w:val="BulletText"/>
      </w:pPr>
      <w:r w:rsidRPr="00596ED3">
        <w:t>Prisoner Supervision and Support output; and</w:t>
      </w:r>
    </w:p>
    <w:p w:rsidR="00A53D7D" w:rsidRPr="00596ED3" w:rsidRDefault="00A53D7D" w:rsidP="005140B4">
      <w:pPr>
        <w:pStyle w:val="BulletText"/>
      </w:pPr>
      <w:r w:rsidRPr="00596ED3">
        <w:t>Community Based Offender Supervision output.</w:t>
      </w:r>
    </w:p>
    <w:p w:rsidR="00A53D7D" w:rsidRPr="00596ED3" w:rsidRDefault="00A53D7D" w:rsidP="005140B4">
      <w:pPr>
        <w:pStyle w:val="Heading4"/>
      </w:pPr>
      <w:r w:rsidRPr="00596ED3">
        <w:t>Policing</w:t>
      </w:r>
      <w:r w:rsidRPr="00596ED3">
        <w:fldChar w:fldCharType="begin"/>
      </w:r>
      <w:r w:rsidRPr="00596ED3">
        <w:instrText xml:space="preserve"> XE </w:instrText>
      </w:r>
      <w:r>
        <w:instrText>"</w:instrText>
      </w:r>
      <w:r w:rsidRPr="00596ED3">
        <w:instrText>Department of Justice:Policing</w:instrText>
      </w:r>
      <w:r>
        <w:instrText>"</w:instrText>
      </w:r>
      <w:r w:rsidRPr="00596ED3">
        <w:instrText xml:space="preserve"> </w:instrText>
      </w:r>
      <w:r w:rsidRPr="00596ED3">
        <w:fldChar w:fldCharType="end"/>
      </w:r>
      <w:r w:rsidRPr="00596ED3">
        <w:t xml:space="preserve"> </w:t>
      </w:r>
    </w:p>
    <w:p w:rsidR="00A53D7D" w:rsidRPr="00596ED3" w:rsidRDefault="00A53D7D" w:rsidP="005140B4">
      <w:pPr>
        <w:rPr>
          <w:rFonts w:ascii="Calibri" w:hAnsi="Calibri"/>
          <w:b/>
        </w:rPr>
      </w:pPr>
      <w:r w:rsidRPr="00596ED3">
        <w:rPr>
          <w:rFonts w:ascii="Calibri" w:hAnsi="Calibri"/>
          <w:b/>
        </w:rPr>
        <w:t>Arrest warrants – system improvements</w:t>
      </w:r>
    </w:p>
    <w:p w:rsidR="00A53D7D" w:rsidRPr="00596ED3" w:rsidRDefault="00A53D7D" w:rsidP="005140B4">
      <w:pPr>
        <w:rPr>
          <w:rFonts w:cs="Garamond"/>
          <w:color w:val="000000"/>
          <w:szCs w:val="22"/>
          <w:lang w:eastAsia="en-AU"/>
        </w:rPr>
      </w:pPr>
      <w:r w:rsidRPr="00596ED3">
        <w:rPr>
          <w:rFonts w:cs="Garamond"/>
          <w:color w:val="000000"/>
          <w:szCs w:val="22"/>
          <w:lang w:eastAsia="en-AU"/>
        </w:rPr>
        <w:t>The implementation of an interim model, including system and procedural improvements will improve the ability of Victoria Police to locate and apprehend persons with outstanding arrest warrants within four days.</w:t>
      </w:r>
    </w:p>
    <w:p w:rsidR="00A53D7D" w:rsidRPr="00596ED3" w:rsidRDefault="00A53D7D" w:rsidP="005140B4">
      <w:r w:rsidRPr="00596ED3">
        <w:t>This initiative contributes to the Department of Justice</w:t>
      </w:r>
      <w:r>
        <w:t>’</w:t>
      </w:r>
      <w:r w:rsidRPr="00596ED3">
        <w:t>s Policing Services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Ballarat West Emergency Services Precinct</w:t>
      </w:r>
      <w:r>
        <w:fldChar w:fldCharType="begin"/>
      </w:r>
      <w:r>
        <w:instrText xml:space="preserve"> XE "</w:instrText>
      </w:r>
      <w:r w:rsidRPr="00EE1C3F">
        <w:instrText>Ballarat West Emergency Services Precinct</w:instrText>
      </w:r>
      <w:r>
        <w:instrText xml:space="preserve">" </w:instrText>
      </w:r>
      <w:r>
        <w:fldChar w:fldCharType="end"/>
      </w:r>
    </w:p>
    <w:p w:rsidR="00A53D7D" w:rsidRPr="00596ED3" w:rsidRDefault="00A53D7D" w:rsidP="005140B4">
      <w:r w:rsidRPr="00596ED3">
        <w:t xml:space="preserve">A new emergency services precinct will be established to service the growing suburbs of Lucas, Alfredton, </w:t>
      </w:r>
      <w:proofErr w:type="spellStart"/>
      <w:proofErr w:type="gramStart"/>
      <w:r w:rsidRPr="00596ED3">
        <w:t>Delacombe</w:t>
      </w:r>
      <w:proofErr w:type="spellEnd"/>
      <w:proofErr w:type="gramEnd"/>
      <w:r w:rsidRPr="00596ED3">
        <w:t xml:space="preserve"> and the broader Ballarat West area. This will include a police station and sites for future co</w:t>
      </w:r>
      <w:r>
        <w:noBreakHyphen/>
      </w:r>
      <w:r w:rsidRPr="00596ED3">
        <w:t>location of fire and ambulance stations to meet current and future emergency service needs.</w:t>
      </w:r>
    </w:p>
    <w:p w:rsidR="00A53D7D" w:rsidRPr="00596ED3" w:rsidRDefault="00A53D7D" w:rsidP="005140B4">
      <w:r w:rsidRPr="00596ED3">
        <w:t>This initiative contributes to the Department of Justice</w:t>
      </w:r>
      <w:r>
        <w:t>’</w:t>
      </w:r>
      <w:r w:rsidRPr="00596ED3">
        <w:t>s Policing Services output.</w:t>
      </w:r>
    </w:p>
    <w:p w:rsidR="00A53D7D" w:rsidRPr="00596ED3" w:rsidRDefault="00A53D7D" w:rsidP="005140B4">
      <w:pPr>
        <w:pStyle w:val="Heading5"/>
      </w:pPr>
      <w:r w:rsidRPr="00596ED3">
        <w:t>Conducted energy devices (commonly known as Tasers)</w:t>
      </w:r>
    </w:p>
    <w:p w:rsidR="00A53D7D" w:rsidRPr="00596ED3" w:rsidRDefault="00A53D7D" w:rsidP="005140B4">
      <w:r w:rsidRPr="00596ED3">
        <w:t>First response operational police units stationed at 24</w:t>
      </w:r>
      <w:r>
        <w:noBreakHyphen/>
      </w:r>
      <w:r w:rsidRPr="00596ED3">
        <w:t>hour regional police stations will be equipped with conducted energy devices to provide police with an alternative response to safety threats.</w:t>
      </w:r>
    </w:p>
    <w:p w:rsidR="00A53D7D" w:rsidRPr="00596ED3" w:rsidRDefault="00A53D7D" w:rsidP="005140B4">
      <w:r w:rsidRPr="00596ED3">
        <w:t>This initiative contributes to the Department of Justice</w:t>
      </w:r>
      <w:r>
        <w:t>’</w:t>
      </w:r>
      <w:r w:rsidRPr="00596ED3">
        <w:t>s Policing</w:t>
      </w:r>
      <w:r>
        <w:fldChar w:fldCharType="begin"/>
      </w:r>
      <w:r>
        <w:instrText xml:space="preserve"> XE "</w:instrText>
      </w:r>
      <w:r w:rsidRPr="00F37EB9">
        <w:instrText>Policing</w:instrText>
      </w:r>
      <w:r>
        <w:instrText xml:space="preserve">" </w:instrText>
      </w:r>
      <w:r>
        <w:fldChar w:fldCharType="end"/>
      </w:r>
      <w:r w:rsidRPr="00596ED3">
        <w:t xml:space="preserve"> Services output.</w:t>
      </w:r>
    </w:p>
    <w:p w:rsidR="00A53D7D" w:rsidRPr="00596ED3" w:rsidRDefault="00A53D7D" w:rsidP="005140B4">
      <w:pPr>
        <w:pStyle w:val="Heading5"/>
      </w:pPr>
      <w:r w:rsidRPr="00596ED3">
        <w:t>Echuca Police Station replacement</w:t>
      </w:r>
    </w:p>
    <w:p w:rsidR="00A53D7D" w:rsidRPr="00596ED3" w:rsidRDefault="00A53D7D" w:rsidP="005140B4">
      <w:r w:rsidRPr="00596ED3">
        <w:t>Refer to the asset initiative for a description of this initiative.</w:t>
      </w:r>
    </w:p>
    <w:p w:rsidR="00A53D7D" w:rsidRPr="00596ED3" w:rsidRDefault="00A53D7D" w:rsidP="005140B4">
      <w:pPr>
        <w:rPr>
          <w:rFonts w:ascii="Calibri" w:hAnsi="Calibri"/>
          <w:b/>
        </w:rPr>
      </w:pPr>
      <w:r w:rsidRPr="00596ED3">
        <w:rPr>
          <w:rFonts w:ascii="Calibri" w:hAnsi="Calibri"/>
          <w:b/>
        </w:rPr>
        <w:t xml:space="preserve">Protective Services Officers – radio black spot funding </w:t>
      </w:r>
    </w:p>
    <w:p w:rsidR="00A53D7D" w:rsidRPr="00596ED3" w:rsidRDefault="00A53D7D" w:rsidP="005140B4">
      <w:r w:rsidRPr="00596ED3">
        <w:t>Additional funding is provided to address identified radio network coverage black spots across the rail network where Protective Services Officers will be deployed. Funding is also provided to meet increased equipment and training needs of Protective Services Officers.</w:t>
      </w:r>
    </w:p>
    <w:p w:rsidR="00A53D7D" w:rsidRPr="00596ED3" w:rsidRDefault="00A53D7D" w:rsidP="005140B4">
      <w:r w:rsidRPr="00596ED3">
        <w:t>This initiatives contributes to the Department of Justice</w:t>
      </w:r>
      <w:r>
        <w:t>’</w:t>
      </w:r>
      <w:r w:rsidRPr="00596ED3">
        <w:t>s Policing Services output.</w:t>
      </w:r>
    </w:p>
    <w:p w:rsidR="00A53D7D" w:rsidRPr="00596ED3" w:rsidRDefault="00A53D7D" w:rsidP="005140B4">
      <w:pPr>
        <w:pStyle w:val="Heading5"/>
      </w:pPr>
      <w:r w:rsidRPr="00596ED3">
        <w:t>St Kilda Road Police Station replacement</w:t>
      </w:r>
    </w:p>
    <w:p w:rsidR="00A53D7D" w:rsidRPr="00596ED3" w:rsidRDefault="00A53D7D" w:rsidP="005140B4">
      <w:r w:rsidRPr="00596ED3">
        <w:t>The current St Kilda Road Police Station will be replaced with a new centrally located police station within the Southbank precinct.</w:t>
      </w:r>
    </w:p>
    <w:p w:rsidR="00A53D7D" w:rsidRPr="00596ED3" w:rsidRDefault="00A53D7D" w:rsidP="005140B4">
      <w:r w:rsidRPr="00596ED3">
        <w:t>This initiative contributes to the Department of Justice</w:t>
      </w:r>
      <w:r>
        <w:t>’</w:t>
      </w:r>
      <w:r w:rsidRPr="00596ED3">
        <w:t>s Policing Services output.</w:t>
      </w:r>
    </w:p>
    <w:p w:rsidR="00A53D7D" w:rsidRPr="00596ED3" w:rsidRDefault="00A53D7D" w:rsidP="005140B4">
      <w:pPr>
        <w:pStyle w:val="Heading5"/>
      </w:pPr>
      <w:r w:rsidRPr="00596ED3">
        <w:t>Victoria Police critical equipment</w:t>
      </w:r>
    </w:p>
    <w:p w:rsidR="00A53D7D" w:rsidRPr="00596ED3" w:rsidRDefault="00A53D7D" w:rsidP="005140B4">
      <w:r w:rsidRPr="00596ED3">
        <w:t>Victoria Police</w:t>
      </w:r>
      <w:r>
        <w:t>’</w:t>
      </w:r>
      <w:r w:rsidRPr="00596ED3">
        <w:t>s closed</w:t>
      </w:r>
      <w:r>
        <w:noBreakHyphen/>
      </w:r>
      <w:r w:rsidRPr="00596ED3">
        <w:t>circuit television equipment and speed measuring devices will be replaced to ensure continued frontline service delivery.</w:t>
      </w:r>
    </w:p>
    <w:p w:rsidR="00A53D7D" w:rsidRPr="00596ED3" w:rsidRDefault="00A53D7D" w:rsidP="005140B4">
      <w:r w:rsidRPr="00596ED3">
        <w:t>This initiative contributes to the Department of Justice</w:t>
      </w:r>
      <w:r>
        <w:t>’</w:t>
      </w:r>
      <w:r w:rsidRPr="00596ED3">
        <w:t>s Policing Services output.</w:t>
      </w:r>
    </w:p>
    <w:p w:rsidR="00A53D7D" w:rsidRPr="00596ED3" w:rsidRDefault="00A53D7D" w:rsidP="005140B4">
      <w:pPr>
        <w:pStyle w:val="Heading4"/>
      </w:pPr>
      <w:r w:rsidRPr="00596ED3">
        <w:t>Supporting Legal Processes and Law Reform</w:t>
      </w:r>
      <w:r w:rsidRPr="00596ED3">
        <w:fldChar w:fldCharType="begin"/>
      </w:r>
      <w:r w:rsidRPr="00596ED3">
        <w:instrText xml:space="preserve"> XE </w:instrText>
      </w:r>
      <w:r>
        <w:instrText>"</w:instrText>
      </w:r>
      <w:r w:rsidRPr="00596ED3">
        <w:instrText>Department of Justice:Supporting Legal Processes and Law Reform</w:instrText>
      </w:r>
      <w:r>
        <w:instrText>"</w:instrText>
      </w:r>
      <w:r w:rsidRPr="00596ED3">
        <w:instrText xml:space="preserve"> </w:instrText>
      </w:r>
      <w:r w:rsidRPr="00596ED3">
        <w:fldChar w:fldCharType="end"/>
      </w:r>
    </w:p>
    <w:p w:rsidR="00A53D7D" w:rsidRPr="00596ED3" w:rsidRDefault="00A53D7D" w:rsidP="005140B4">
      <w:pPr>
        <w:pStyle w:val="Heading5"/>
      </w:pPr>
      <w:r w:rsidRPr="00596ED3">
        <w:t>Office of Public Prosecutions accommodation project</w:t>
      </w:r>
    </w:p>
    <w:p w:rsidR="00A53D7D" w:rsidRPr="00596ED3" w:rsidRDefault="00A53D7D" w:rsidP="005140B4">
      <w:r w:rsidRPr="00596ED3">
        <w:t>The Office of Public Prosecutions</w:t>
      </w:r>
      <w:r>
        <w:t>’</w:t>
      </w:r>
      <w:r w:rsidRPr="00596ED3">
        <w:t xml:space="preserve"> Central Business District offices will be consolidated in one central location to provide appropriate security and amenity for victims and witnesses and a collaborative work environment for OPP staff. Funding will also be provided to upgrade the base infrastructure, which will improve service delivery efficiency.</w:t>
      </w:r>
    </w:p>
    <w:p w:rsidR="00A53D7D" w:rsidRPr="00596ED3" w:rsidRDefault="00A53D7D" w:rsidP="005140B4">
      <w:r w:rsidRPr="00596ED3">
        <w:t>This initiative contributes to the Department of Justice</w:t>
      </w:r>
      <w:r>
        <w:t>’</w:t>
      </w:r>
      <w:r w:rsidRPr="00596ED3">
        <w:t>s Public Prosecutions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Personal safety intervention orders – demand growth</w:t>
      </w:r>
    </w:p>
    <w:p w:rsidR="00A53D7D" w:rsidRPr="00596ED3" w:rsidRDefault="00A53D7D" w:rsidP="005140B4">
      <w:r w:rsidRPr="00596ED3">
        <w:t xml:space="preserve">Additional staff will respond to increasing demand for personal safety intervention orders dealt with by courts. </w:t>
      </w:r>
    </w:p>
    <w:p w:rsidR="00A53D7D" w:rsidRPr="00596ED3" w:rsidRDefault="00A53D7D" w:rsidP="005140B4">
      <w:r w:rsidRPr="00596ED3">
        <w:t>This initiative contributes to the Department of Justice</w:t>
      </w:r>
      <w:r>
        <w:t>’</w:t>
      </w:r>
      <w:r w:rsidRPr="00596ED3">
        <w:t>s Access to Justice and Support Services output.</w:t>
      </w:r>
    </w:p>
    <w:p w:rsidR="00A53D7D" w:rsidRPr="00596ED3" w:rsidRDefault="00A53D7D" w:rsidP="005140B4">
      <w:pPr>
        <w:pStyle w:val="Heading5"/>
      </w:pPr>
      <w:r w:rsidRPr="00596ED3">
        <w:t xml:space="preserve">Social and Community Services Equal Remuneration Order </w:t>
      </w:r>
    </w:p>
    <w:p w:rsidR="00A53D7D" w:rsidRPr="00596ED3" w:rsidRDefault="00A53D7D" w:rsidP="005140B4">
      <w:pPr>
        <w:widowControl w:val="0"/>
      </w:pPr>
      <w:r w:rsidRPr="00596ED3">
        <w:t>Support will continue for community service organisations to meet the wage increase from the Fair Work Australia Equal Remuneration Order in the Social and Community Services pay equity case in 2014</w:t>
      </w:r>
      <w:r>
        <w:noBreakHyphen/>
      </w:r>
      <w:r w:rsidRPr="00596ED3">
        <w:t>15. This funding is in addition to the $200</w:t>
      </w:r>
      <w:r>
        <w:t> million</w:t>
      </w:r>
      <w:r w:rsidRPr="00596ED3">
        <w:t xml:space="preserve"> announced in the </w:t>
      </w:r>
      <w:r w:rsidRPr="00596ED3">
        <w:rPr>
          <w:i/>
        </w:rPr>
        <w:t>2011</w:t>
      </w:r>
      <w:r>
        <w:rPr>
          <w:i/>
        </w:rPr>
        <w:noBreakHyphen/>
      </w:r>
      <w:r w:rsidRPr="00596ED3">
        <w:rPr>
          <w:i/>
        </w:rPr>
        <w:t xml:space="preserve">12 Budget </w:t>
      </w:r>
      <w:r w:rsidRPr="00596ED3">
        <w:t xml:space="preserve">which was provided to the departments of Human Services, Health, Justice and Education and Early Childhood Development. </w:t>
      </w:r>
    </w:p>
    <w:p w:rsidR="00A53D7D" w:rsidRPr="00596ED3" w:rsidRDefault="00A53D7D" w:rsidP="005140B4">
      <w:r w:rsidRPr="00596ED3">
        <w:t>This initiative contributes to the Department of Justice</w:t>
      </w:r>
      <w:r>
        <w:t>’</w:t>
      </w:r>
      <w:r w:rsidRPr="00596ED3">
        <w:t>s:</w:t>
      </w:r>
    </w:p>
    <w:p w:rsidR="00A53D7D" w:rsidRPr="00596ED3" w:rsidRDefault="00A53D7D" w:rsidP="005140B4">
      <w:pPr>
        <w:pStyle w:val="BulletText"/>
      </w:pPr>
      <w:r w:rsidRPr="00596ED3">
        <w:t>Access to Justice and Support Services output; and</w:t>
      </w:r>
    </w:p>
    <w:p w:rsidR="00A53D7D" w:rsidRPr="00596ED3" w:rsidRDefault="00A53D7D" w:rsidP="005140B4">
      <w:pPr>
        <w:pStyle w:val="BulletText"/>
      </w:pPr>
      <w:r w:rsidRPr="00596ED3">
        <w:t>Promoting and Protecting Consumer Interests output.</w:t>
      </w:r>
    </w:p>
    <w:p w:rsidR="00A53D7D" w:rsidRPr="00596ED3" w:rsidRDefault="00A53D7D" w:rsidP="005140B4">
      <w:pPr>
        <w:pStyle w:val="Heading4"/>
      </w:pPr>
      <w:r w:rsidRPr="00596ED3">
        <w:t>Supporting the State</w:t>
      </w:r>
      <w:r>
        <w:t>’</w:t>
      </w:r>
      <w:r w:rsidRPr="00596ED3">
        <w:t>s Fire and Emergency Services</w:t>
      </w:r>
      <w:r w:rsidRPr="00596ED3">
        <w:fldChar w:fldCharType="begin"/>
      </w:r>
      <w:r w:rsidRPr="00596ED3">
        <w:instrText xml:space="preserve"> XE </w:instrText>
      </w:r>
      <w:r>
        <w:instrText>"</w:instrText>
      </w:r>
      <w:r w:rsidRPr="00596ED3">
        <w:instrText>Department of Justice:Supporting the State</w:instrText>
      </w:r>
      <w:r>
        <w:instrText>’</w:instrText>
      </w:r>
      <w:r w:rsidRPr="00596ED3">
        <w:instrText>s Fire and Emergency Services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ESTA Triple Zero communications enhancement</w:t>
      </w:r>
    </w:p>
    <w:p w:rsidR="00A53D7D" w:rsidRPr="00596ED3" w:rsidRDefault="00A53D7D" w:rsidP="005140B4">
      <w:r w:rsidRPr="00596ED3">
        <w:t>The Emergency Services Telecommunication Authority will upgrade critical systems to support emergency call</w:t>
      </w:r>
      <w:r>
        <w:noBreakHyphen/>
      </w:r>
      <w:r w:rsidRPr="00596ED3">
        <w:t>taking and dispatch services and plan for further improvements in emergency service delivery.</w:t>
      </w:r>
    </w:p>
    <w:p w:rsidR="00A53D7D" w:rsidRPr="00596ED3" w:rsidRDefault="00A53D7D" w:rsidP="005140B4">
      <w:r w:rsidRPr="00596ED3">
        <w:t>This initiative contributes to the Department of Justice</w:t>
      </w:r>
      <w:r>
        <w:t>’</w:t>
      </w:r>
      <w:r w:rsidRPr="00596ED3">
        <w:t>s Emergency Management Capability output.</w:t>
      </w:r>
    </w:p>
    <w:p w:rsidR="00A53D7D" w:rsidRPr="00596ED3" w:rsidRDefault="00A53D7D" w:rsidP="005140B4">
      <w:pPr>
        <w:pStyle w:val="Heading5"/>
      </w:pPr>
      <w:r w:rsidRPr="00596ED3">
        <w:t>Replacement of respiratory protection equipment</w:t>
      </w:r>
    </w:p>
    <w:p w:rsidR="00A53D7D" w:rsidRPr="00596ED3" w:rsidRDefault="00A53D7D" w:rsidP="005140B4">
      <w:r w:rsidRPr="00596ED3">
        <w:t>Additional funding is provided to replace existing respiratory protection equipment units for fire services to enable safe delivery of emergency services including fire suppression and rescue. This will also enable interoperability amongst agencies in significant emergencies.</w:t>
      </w:r>
    </w:p>
    <w:p w:rsidR="00A53D7D" w:rsidRPr="00596ED3" w:rsidRDefault="00A53D7D" w:rsidP="005140B4">
      <w:r w:rsidRPr="00596ED3">
        <w:t>This initiative contributes to the Department of Justice</w:t>
      </w:r>
      <w:r>
        <w:t>’</w:t>
      </w:r>
      <w:r w:rsidRPr="00596ED3">
        <w:t>s Emergency Management Capability output.</w:t>
      </w:r>
    </w:p>
    <w:p w:rsidR="00A53D7D" w:rsidRPr="00596ED3" w:rsidRDefault="00A53D7D" w:rsidP="005140B4">
      <w:pPr>
        <w:pStyle w:val="HighlightBoxHeading"/>
        <w:shd w:val="clear" w:color="auto" w:fill="auto"/>
        <w:rPr>
          <w:kern w:val="28"/>
          <w:sz w:val="24"/>
          <w:szCs w:val="22"/>
        </w:rPr>
      </w:pPr>
      <w:r w:rsidRPr="00596ED3">
        <w:br w:type="page"/>
      </w:r>
    </w:p>
    <w:p w:rsidR="00A53D7D" w:rsidRPr="00596ED3" w:rsidRDefault="00A53D7D" w:rsidP="005140B4">
      <w:pPr>
        <w:pStyle w:val="Heading3"/>
      </w:pPr>
      <w:r w:rsidRPr="00596ED3">
        <w:t>Asset initiatives</w:t>
      </w:r>
    </w:p>
    <w:p w:rsidR="00A53D7D" w:rsidRPr="00596ED3" w:rsidRDefault="00A53D7D" w:rsidP="005140B4">
      <w:pPr>
        <w:pStyle w:val="Tableheading"/>
      </w:pPr>
      <w:r w:rsidRPr="00596ED3">
        <w:t xml:space="preserve">Table 1.12: </w:t>
      </w:r>
      <w:r w:rsidRPr="00596ED3">
        <w:tab/>
        <w:t>Asset initiatives – Justice</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bookmarkStart w:id="34" w:name="RANGE!A39:G58"/>
      <w:bookmarkStart w:id="35" w:name="RANGE!A40:G59"/>
    </w:p>
    <w:tbl>
      <w:tblPr>
        <w:tblW w:w="7776" w:type="dxa"/>
        <w:tblInd w:w="29" w:type="dxa"/>
        <w:tblLayout w:type="fixed"/>
        <w:tblCellMar>
          <w:left w:w="43" w:type="dxa"/>
          <w:right w:w="43" w:type="dxa"/>
        </w:tblCellMar>
        <w:tblLook w:val="04A0" w:firstRow="1" w:lastRow="0" w:firstColumn="1" w:lastColumn="0" w:noHBand="0" w:noVBand="1"/>
      </w:tblPr>
      <w:tblGrid>
        <w:gridCol w:w="2420"/>
        <w:gridCol w:w="892"/>
        <w:gridCol w:w="892"/>
        <w:gridCol w:w="893"/>
        <w:gridCol w:w="893"/>
        <w:gridCol w:w="893"/>
        <w:gridCol w:w="893"/>
      </w:tblGrid>
      <w:tr w:rsidR="00A53D7D" w:rsidRPr="00FB64AD" w:rsidTr="005140B4">
        <w:trPr>
          <w:divId w:val="2016805944"/>
          <w:cantSplit/>
        </w:trPr>
        <w:tc>
          <w:tcPr>
            <w:tcW w:w="2420" w:type="dxa"/>
            <w:tcBorders>
              <w:top w:val="single" w:sz="6" w:space="0" w:color="auto"/>
              <w:left w:val="single" w:sz="6"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892"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892"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8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8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8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c>
          <w:tcPr>
            <w:tcW w:w="893" w:type="dxa"/>
            <w:tcBorders>
              <w:top w:val="single" w:sz="6" w:space="0" w:color="auto"/>
              <w:left w:val="nil"/>
              <w:bottom w:val="single" w:sz="4" w:space="0" w:color="auto"/>
              <w:right w:val="single" w:sz="6"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TEI</w:t>
            </w:r>
          </w:p>
        </w:tc>
      </w:tr>
      <w:tr w:rsidR="00A53D7D" w:rsidRPr="00FB64AD" w:rsidTr="005140B4">
        <w:trPr>
          <w:divId w:val="2016805944"/>
          <w:cantSplit/>
        </w:trPr>
        <w:tc>
          <w:tcPr>
            <w:tcW w:w="2420" w:type="dxa"/>
            <w:tcBorders>
              <w:top w:val="single" w:sz="6" w:space="0" w:color="auto"/>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Enforcing and Managing Correctional Orders</w:t>
            </w:r>
          </w:p>
        </w:tc>
        <w:tc>
          <w:tcPr>
            <w:tcW w:w="892" w:type="dxa"/>
            <w:tcBorders>
              <w:top w:val="single" w:sz="6" w:space="0" w:color="auto"/>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2"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single" w:sz="6" w:space="0" w:color="auto"/>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single" w:sz="6" w:space="0" w:color="auto"/>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Adult parole system funding</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Corrections system expansion</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19.5</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47.4</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60.0</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14.0</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140.8</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Policing</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Arrest warrants</w:t>
            </w:r>
            <w:r>
              <w:rPr>
                <w:color w:val="000000"/>
                <w:lang w:eastAsia="en-AU"/>
              </w:rPr>
              <w:t xml:space="preserve"> – </w:t>
            </w:r>
            <w:r w:rsidRPr="00FB64AD">
              <w:rPr>
                <w:color w:val="000000"/>
                <w:lang w:eastAsia="en-AU"/>
              </w:rPr>
              <w:t>system improvements</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Ballarat West Emergency Services Precinct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3.5</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8.0</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rFonts w:cs="Calibri"/>
                <w:color w:val="000000"/>
                <w:lang w:eastAsia="en-AU"/>
              </w:rPr>
            </w:pPr>
            <w:r w:rsidRPr="00FB64AD">
              <w:rPr>
                <w:color w:val="000000"/>
                <w:lang w:eastAsia="en-AU"/>
              </w:rPr>
              <w:t>Conducted energy devices (commonly</w:t>
            </w:r>
            <w:r w:rsidRPr="00FB64AD">
              <w:rPr>
                <w:rFonts w:cs="Calibri"/>
                <w:color w:val="000000"/>
                <w:lang w:eastAsia="en-AU"/>
              </w:rPr>
              <w:t xml:space="preserve"> known as Tasers)</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2.3</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0.0</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0.0</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2.4</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Echuca Police Station replacement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9.5</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12.7</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rFonts w:cs="Calibri"/>
                <w:color w:val="000000"/>
                <w:lang w:eastAsia="en-AU"/>
              </w:rPr>
            </w:pPr>
            <w:r w:rsidRPr="00FB64AD">
              <w:rPr>
                <w:color w:val="000000"/>
                <w:lang w:eastAsia="en-AU"/>
              </w:rPr>
              <w:t>Protective Services Officers</w:t>
            </w:r>
            <w:r>
              <w:rPr>
                <w:color w:val="000000"/>
                <w:lang w:eastAsia="en-AU"/>
              </w:rPr>
              <w:t xml:space="preserve"> – </w:t>
            </w:r>
            <w:r w:rsidRPr="00FB64AD">
              <w:rPr>
                <w:color w:val="000000"/>
                <w:lang w:eastAsia="en-AU"/>
              </w:rPr>
              <w:t xml:space="preserve">radio black </w:t>
            </w:r>
            <w:r w:rsidRPr="00FB64AD">
              <w:rPr>
                <w:rFonts w:cs="Calibri"/>
                <w:color w:val="000000"/>
                <w:lang w:eastAsia="en-AU"/>
              </w:rPr>
              <w:t>spot funding</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3.7</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5.2</w:t>
            </w:r>
          </w:p>
        </w:tc>
      </w:tr>
      <w:tr w:rsidR="00A53D7D" w:rsidRPr="00FB64AD" w:rsidTr="005140B4">
        <w:trPr>
          <w:divId w:val="2016805944"/>
          <w:cantSplit/>
        </w:trPr>
        <w:tc>
          <w:tcPr>
            <w:tcW w:w="2420" w:type="dxa"/>
            <w:tcBorders>
              <w:top w:val="nil"/>
              <w:left w:val="nil"/>
              <w:bottom w:val="nil"/>
              <w:right w:val="nil"/>
            </w:tcBorders>
            <w:shd w:val="clear" w:color="auto" w:fill="auto"/>
            <w:noWrap/>
            <w:vAlign w:val="bottom"/>
            <w:hideMark/>
          </w:tcPr>
          <w:p w:rsidR="00A53D7D" w:rsidRPr="00FB64AD" w:rsidRDefault="00A53D7D" w:rsidP="005140B4">
            <w:pPr>
              <w:pStyle w:val="Tabletext"/>
              <w:rPr>
                <w:color w:val="000000"/>
                <w:lang w:eastAsia="en-AU"/>
              </w:rPr>
            </w:pPr>
            <w:r w:rsidRPr="00FB64AD">
              <w:rPr>
                <w:color w:val="000000"/>
                <w:lang w:eastAsia="en-AU"/>
              </w:rPr>
              <w:t>St Kilda Road Police Station replacement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0.8</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4.8</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Victoria Police critical equipment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Victoria Police Mounted Branch relocation project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3.2</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6.0</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11.9</w:t>
            </w:r>
          </w:p>
        </w:tc>
      </w:tr>
      <w:tr w:rsidR="00A53D7D" w:rsidRPr="00FB64AD" w:rsidTr="005140B4">
        <w:trPr>
          <w:divId w:val="2016805944"/>
          <w:cantSplit/>
        </w:trPr>
        <w:tc>
          <w:tcPr>
            <w:tcW w:w="2420"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Supporting Legal Processes and Law Reform</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Office of Public Prosecutions accommodation project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2.7</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6.4</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11.2</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Supporting the State</w:t>
            </w:r>
            <w:r>
              <w:rPr>
                <w:b/>
                <w:bCs/>
                <w:color w:val="000000"/>
                <w:lang w:eastAsia="en-AU"/>
              </w:rPr>
              <w:t>’</w:t>
            </w:r>
            <w:r w:rsidRPr="00FB64AD">
              <w:rPr>
                <w:b/>
                <w:bCs/>
                <w:color w:val="000000"/>
                <w:lang w:eastAsia="en-AU"/>
              </w:rPr>
              <w:t>s Fire and Emergency Services</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Emergency Services fleet upgrade</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17.2</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17.2</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ESTA Triple Zero communications enhancement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8.1</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8.1</w:t>
            </w:r>
          </w:p>
        </w:tc>
      </w:tr>
      <w:tr w:rsidR="00A53D7D" w:rsidRPr="00FB64AD" w:rsidTr="005140B4">
        <w:trPr>
          <w:divId w:val="2016805944"/>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Replacement of respiratory protection equipment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8.8</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7.0</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17.3</w:t>
            </w:r>
          </w:p>
        </w:tc>
      </w:tr>
      <w:tr w:rsidR="00A53D7D" w:rsidRPr="00FB64AD" w:rsidTr="005140B4">
        <w:trPr>
          <w:divId w:val="2016805944"/>
          <w:cantSplit/>
        </w:trPr>
        <w:tc>
          <w:tcPr>
            <w:tcW w:w="2420" w:type="dxa"/>
            <w:tcBorders>
              <w:top w:val="single" w:sz="4" w:space="0" w:color="auto"/>
              <w:left w:val="nil"/>
              <w:bottom w:val="single" w:sz="8"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asset initiatives</w:t>
            </w:r>
          </w:p>
        </w:tc>
        <w:tc>
          <w:tcPr>
            <w:tcW w:w="892"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19.9</w:t>
            </w:r>
          </w:p>
        </w:tc>
        <w:tc>
          <w:tcPr>
            <w:tcW w:w="892"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100.2</w:t>
            </w:r>
          </w:p>
        </w:tc>
        <w:tc>
          <w:tcPr>
            <w:tcW w:w="8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95.9</w:t>
            </w:r>
          </w:p>
        </w:tc>
        <w:tc>
          <w:tcPr>
            <w:tcW w:w="8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24.3</w:t>
            </w:r>
          </w:p>
        </w:tc>
        <w:tc>
          <w:tcPr>
            <w:tcW w:w="8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2.1</w:t>
            </w:r>
          </w:p>
        </w:tc>
        <w:tc>
          <w:tcPr>
            <w:tcW w:w="8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242.4</w:t>
            </w:r>
          </w:p>
        </w:tc>
      </w:tr>
    </w:tbl>
    <w:bookmarkEnd w:id="34"/>
    <w:bookmarkEnd w:id="35"/>
    <w:p w:rsidR="00A53D7D" w:rsidRPr="00596ED3" w:rsidRDefault="00A53D7D" w:rsidP="005140B4">
      <w:pPr>
        <w:pStyle w:val="Source"/>
      </w:pPr>
      <w:r w:rsidRPr="00596ED3">
        <w:t xml:space="preserve">Source: Department of Treasury and Finance </w:t>
      </w:r>
      <w:r w:rsidRPr="00596ED3">
        <w:fldChar w:fldCharType="begin"/>
      </w:r>
      <w:r w:rsidRPr="00596ED3">
        <w:instrText xml:space="preserve"> XE "Department of Justice:Asset initiatives" </w:instrText>
      </w:r>
      <w:r w:rsidRPr="00596ED3">
        <w:fldChar w:fldCharType="end"/>
      </w:r>
    </w:p>
    <w:p w:rsidR="00A53D7D" w:rsidRPr="00596ED3" w:rsidRDefault="00A53D7D" w:rsidP="005140B4">
      <w:pPr>
        <w:spacing w:after="0"/>
        <w:rPr>
          <w:rFonts w:ascii="Calibri" w:hAnsi="Calibri"/>
          <w:i/>
          <w:sz w:val="24"/>
          <w:szCs w:val="22"/>
        </w:rPr>
      </w:pPr>
      <w:r w:rsidRPr="00596ED3">
        <w:br w:type="page"/>
      </w:r>
    </w:p>
    <w:p w:rsidR="00A53D7D" w:rsidRPr="00596ED3" w:rsidRDefault="00A53D7D" w:rsidP="005140B4">
      <w:pPr>
        <w:pStyle w:val="Heading4"/>
      </w:pPr>
      <w:r w:rsidRPr="00596ED3">
        <w:t>Enforcing and Managing Correctional Orders</w:t>
      </w:r>
      <w:r w:rsidRPr="00596ED3">
        <w:fldChar w:fldCharType="begin"/>
      </w:r>
      <w:r w:rsidRPr="00596ED3">
        <w:instrText xml:space="preserve"> XE </w:instrText>
      </w:r>
      <w:r>
        <w:instrText>"</w:instrText>
      </w:r>
      <w:r w:rsidRPr="00596ED3">
        <w:instrText>Department of Justice:Enforcing and Managing Correctional Orders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Adult parole system funding</w:t>
      </w:r>
    </w:p>
    <w:p w:rsidR="00A53D7D" w:rsidRPr="00596ED3" w:rsidRDefault="00A53D7D" w:rsidP="005140B4">
      <w:r w:rsidRPr="00596ED3">
        <w:t>Refer to the output initiative for a description of this initiative.</w:t>
      </w:r>
    </w:p>
    <w:p w:rsidR="00A53D7D" w:rsidRPr="00596ED3" w:rsidRDefault="00A53D7D" w:rsidP="005140B4">
      <w:pPr>
        <w:pStyle w:val="Heading5"/>
      </w:pPr>
      <w:r w:rsidRPr="00596ED3">
        <w:t>Corrections system expansion</w:t>
      </w:r>
    </w:p>
    <w:p w:rsidR="00A53D7D" w:rsidRPr="00596ED3" w:rsidRDefault="00A53D7D" w:rsidP="005140B4">
      <w:r w:rsidRPr="00596ED3">
        <w:t>Refer to the output initiative for a description of this initiative.</w:t>
      </w:r>
    </w:p>
    <w:p w:rsidR="00A53D7D" w:rsidRPr="00596ED3" w:rsidRDefault="00A53D7D" w:rsidP="005140B4">
      <w:pPr>
        <w:pStyle w:val="Heading4"/>
      </w:pPr>
      <w:r w:rsidRPr="00596ED3">
        <w:t>Policing</w:t>
      </w:r>
      <w:r w:rsidRPr="00596ED3">
        <w:fldChar w:fldCharType="begin"/>
      </w:r>
      <w:r w:rsidRPr="00596ED3">
        <w:instrText xml:space="preserve"> XE </w:instrText>
      </w:r>
      <w:r>
        <w:instrText>"</w:instrText>
      </w:r>
      <w:r w:rsidRPr="00596ED3">
        <w:instrText>Department of Justice:Policing</w:instrText>
      </w:r>
      <w:r>
        <w:instrText>"</w:instrText>
      </w:r>
      <w:r w:rsidRPr="00596ED3">
        <w:instrText xml:space="preserve"> </w:instrText>
      </w:r>
      <w:r w:rsidRPr="00596ED3">
        <w:fldChar w:fldCharType="end"/>
      </w:r>
      <w:r w:rsidRPr="00596ED3">
        <w:t xml:space="preserve"> </w:t>
      </w:r>
    </w:p>
    <w:p w:rsidR="00A53D7D" w:rsidRPr="00596ED3" w:rsidRDefault="00A53D7D" w:rsidP="005140B4">
      <w:pPr>
        <w:rPr>
          <w:rFonts w:ascii="Calibri" w:hAnsi="Calibri"/>
          <w:b/>
        </w:rPr>
      </w:pPr>
      <w:r w:rsidRPr="00596ED3">
        <w:rPr>
          <w:rFonts w:ascii="Calibri" w:hAnsi="Calibri"/>
          <w:b/>
        </w:rPr>
        <w:t>Arrest warrants – system improvements</w:t>
      </w:r>
    </w:p>
    <w:p w:rsidR="00A53D7D" w:rsidRPr="00596ED3" w:rsidRDefault="00A53D7D" w:rsidP="005140B4">
      <w:r w:rsidRPr="00596ED3">
        <w:t>Refer to the output initiative for a description of this initiative.</w:t>
      </w:r>
    </w:p>
    <w:p w:rsidR="00A53D7D" w:rsidRPr="00596ED3" w:rsidRDefault="00A53D7D" w:rsidP="005140B4">
      <w:pPr>
        <w:pStyle w:val="Heading5"/>
      </w:pPr>
      <w:r w:rsidRPr="00596ED3">
        <w:t>Ballarat West Emergency Services Precinct</w:t>
      </w:r>
      <w:r>
        <w:fldChar w:fldCharType="begin"/>
      </w:r>
      <w:r>
        <w:instrText xml:space="preserve"> XE "</w:instrText>
      </w:r>
      <w:r w:rsidRPr="00EE1C3F">
        <w:instrText>Ballarat West Emergency Services Precinct</w:instrText>
      </w:r>
      <w:r>
        <w:instrText xml:space="preserve">" </w:instrText>
      </w:r>
      <w:r>
        <w:fldChar w:fldCharType="end"/>
      </w:r>
      <w:r w:rsidRPr="00596ED3">
        <w:t xml:space="preserve"> </w:t>
      </w:r>
    </w:p>
    <w:p w:rsidR="00A53D7D" w:rsidRPr="00596ED3" w:rsidRDefault="00A53D7D" w:rsidP="005140B4">
      <w:r w:rsidRPr="00596ED3">
        <w:t>Refer to the output initiative for a description of this initiative.</w:t>
      </w:r>
    </w:p>
    <w:p w:rsidR="00A53D7D" w:rsidRPr="00596ED3" w:rsidRDefault="00A53D7D" w:rsidP="005140B4">
      <w:pPr>
        <w:pStyle w:val="Heading5"/>
      </w:pPr>
      <w:r w:rsidRPr="00596ED3">
        <w:t>Conducted energy devices (commonly known as Tasers)</w:t>
      </w:r>
    </w:p>
    <w:p w:rsidR="00A53D7D" w:rsidRPr="00596ED3" w:rsidRDefault="00A53D7D" w:rsidP="005140B4">
      <w:r w:rsidRPr="00596ED3">
        <w:t>Refer to the output initiative for a description of this initiative.</w:t>
      </w:r>
    </w:p>
    <w:p w:rsidR="00A53D7D" w:rsidRPr="00596ED3" w:rsidRDefault="00A53D7D" w:rsidP="005140B4">
      <w:pPr>
        <w:pStyle w:val="Heading5"/>
      </w:pPr>
      <w:r w:rsidRPr="00596ED3">
        <w:t>Echuca Police Station replacement</w:t>
      </w:r>
    </w:p>
    <w:p w:rsidR="00A53D7D" w:rsidRPr="00596ED3" w:rsidRDefault="00A53D7D" w:rsidP="005140B4">
      <w:r w:rsidRPr="00596ED3">
        <w:t>The existing Echuca Police Station will be replaced with a new police station to meet future demand in the Echuca area.</w:t>
      </w:r>
    </w:p>
    <w:p w:rsidR="00A53D7D" w:rsidRPr="00596ED3" w:rsidRDefault="00A53D7D" w:rsidP="005140B4">
      <w:r w:rsidRPr="00596ED3">
        <w:t>This initiative contributes to the Department of Justice</w:t>
      </w:r>
      <w:r>
        <w:t>’</w:t>
      </w:r>
      <w:r w:rsidRPr="00596ED3">
        <w:t>s Policing Services output.</w:t>
      </w:r>
    </w:p>
    <w:p w:rsidR="00A53D7D" w:rsidRPr="00596ED3" w:rsidRDefault="00A53D7D" w:rsidP="005140B4">
      <w:pPr>
        <w:rPr>
          <w:rFonts w:ascii="Calibri" w:hAnsi="Calibri"/>
          <w:b/>
        </w:rPr>
      </w:pPr>
      <w:r w:rsidRPr="00596ED3">
        <w:rPr>
          <w:rFonts w:ascii="Calibri" w:hAnsi="Calibri"/>
          <w:b/>
        </w:rPr>
        <w:t xml:space="preserve">Protective Services Officers – radio black spot funding </w:t>
      </w:r>
    </w:p>
    <w:p w:rsidR="00A53D7D" w:rsidRPr="00596ED3" w:rsidRDefault="00A53D7D" w:rsidP="005140B4">
      <w:r w:rsidRPr="00596ED3">
        <w:t>Refer to the output initiative for a description of this initiative.</w:t>
      </w:r>
    </w:p>
    <w:p w:rsidR="00A53D7D" w:rsidRPr="00596ED3" w:rsidRDefault="00A53D7D" w:rsidP="005140B4">
      <w:pPr>
        <w:pStyle w:val="Heading5"/>
      </w:pPr>
      <w:r w:rsidRPr="00596ED3">
        <w:t>St Kilda Road Police Station replacement</w:t>
      </w:r>
    </w:p>
    <w:p w:rsidR="00A53D7D" w:rsidRPr="00596ED3" w:rsidRDefault="00A53D7D" w:rsidP="005140B4">
      <w:r w:rsidRPr="00596ED3">
        <w:t>Refer to the output initiative for a description of this initiative.</w:t>
      </w:r>
    </w:p>
    <w:p w:rsidR="00A53D7D" w:rsidRPr="00596ED3" w:rsidRDefault="00A53D7D" w:rsidP="005140B4">
      <w:pPr>
        <w:pStyle w:val="Heading5"/>
      </w:pPr>
      <w:r w:rsidRPr="00596ED3">
        <w:t>Victoria Police critical equipment</w:t>
      </w:r>
    </w:p>
    <w:p w:rsidR="00A53D7D" w:rsidRPr="00596ED3" w:rsidRDefault="00A53D7D" w:rsidP="005140B4">
      <w:r w:rsidRPr="00596ED3">
        <w:t>Refer to the output initiative for a description of this initiative.</w:t>
      </w:r>
    </w:p>
    <w:p w:rsidR="00A53D7D" w:rsidRPr="00596ED3" w:rsidRDefault="00A53D7D" w:rsidP="005140B4">
      <w:pPr>
        <w:pStyle w:val="Heading5"/>
      </w:pPr>
      <w:r w:rsidRPr="00596ED3">
        <w:t>Victoria Police Mounted Branch relocation project</w:t>
      </w:r>
    </w:p>
    <w:p w:rsidR="00A53D7D" w:rsidRPr="00596ED3" w:rsidRDefault="00A53D7D" w:rsidP="005140B4">
      <w:pPr>
        <w:rPr>
          <w:rFonts w:cs="Garamond"/>
          <w:color w:val="000000"/>
          <w:szCs w:val="22"/>
          <w:lang w:eastAsia="en-AU"/>
        </w:rPr>
      </w:pPr>
      <w:r w:rsidRPr="00596ED3">
        <w:rPr>
          <w:rFonts w:cs="Garamond"/>
          <w:color w:val="000000"/>
          <w:szCs w:val="22"/>
          <w:lang w:eastAsia="en-AU"/>
        </w:rPr>
        <w:t xml:space="preserve">The Victoria Police Mounted Branch will be relocated from the current location in South Melbourne to redeveloped stables in Attwood. A centrally located staging post will also be constructed near the central business district. This will enable the expansion of the Victorian College of the Arts into the South Melbourne site. </w:t>
      </w:r>
    </w:p>
    <w:p w:rsidR="00A53D7D" w:rsidRPr="00596ED3" w:rsidRDefault="00A53D7D" w:rsidP="005140B4">
      <w:r w:rsidRPr="00596ED3">
        <w:t>This initiative contributes to the Department of Justice</w:t>
      </w:r>
      <w:r>
        <w:t>’</w:t>
      </w:r>
      <w:r w:rsidRPr="00596ED3">
        <w:t>s Policing Services output.</w:t>
      </w:r>
    </w:p>
    <w:p w:rsidR="00A53D7D" w:rsidRPr="00596ED3" w:rsidRDefault="00A53D7D" w:rsidP="005140B4">
      <w:pPr>
        <w:pStyle w:val="Heading4"/>
      </w:pPr>
      <w:r w:rsidRPr="00596ED3">
        <w:t>Supporting Legal Process and Law Reform</w:t>
      </w:r>
      <w:r w:rsidRPr="00596ED3">
        <w:fldChar w:fldCharType="begin"/>
      </w:r>
      <w:r w:rsidRPr="00596ED3">
        <w:instrText xml:space="preserve"> XE </w:instrText>
      </w:r>
      <w:r>
        <w:instrText>"</w:instrText>
      </w:r>
      <w:r w:rsidRPr="00596ED3">
        <w:instrText>Department of Justice:Supporting Legal Process</w:instrText>
      </w:r>
      <w:r>
        <w:instrText>es</w:instrText>
      </w:r>
      <w:r w:rsidRPr="00596ED3">
        <w:instrText xml:space="preserve"> and Law Reform</w:instrText>
      </w:r>
      <w:r>
        <w:instrText>"</w:instrText>
      </w:r>
      <w:r w:rsidRPr="00596ED3">
        <w:instrText xml:space="preserve"> </w:instrText>
      </w:r>
      <w:r w:rsidRPr="00596ED3">
        <w:fldChar w:fldCharType="end"/>
      </w:r>
    </w:p>
    <w:p w:rsidR="00A53D7D" w:rsidRPr="00596ED3" w:rsidRDefault="00A53D7D" w:rsidP="005140B4">
      <w:pPr>
        <w:pStyle w:val="Heading5"/>
      </w:pPr>
      <w:r w:rsidRPr="00596ED3">
        <w:t>Office of Public Prosecutions accommodation project</w:t>
      </w:r>
    </w:p>
    <w:p w:rsidR="00A53D7D" w:rsidRPr="00596ED3" w:rsidRDefault="00A53D7D" w:rsidP="005140B4">
      <w:r w:rsidRPr="00596ED3">
        <w:t>Refer to the output initiative for a description of this initiative.</w:t>
      </w:r>
    </w:p>
    <w:p w:rsidR="00A53D7D" w:rsidRPr="00596ED3" w:rsidRDefault="00A53D7D" w:rsidP="005140B4">
      <w:pPr>
        <w:pStyle w:val="Heading4"/>
      </w:pPr>
      <w:r w:rsidRPr="00596ED3">
        <w:t>Supporting the State</w:t>
      </w:r>
      <w:r>
        <w:t>’</w:t>
      </w:r>
      <w:r w:rsidRPr="00596ED3">
        <w:t>s Fire and Emergency Services</w:t>
      </w:r>
      <w:r w:rsidRPr="00596ED3">
        <w:fldChar w:fldCharType="begin"/>
      </w:r>
      <w:r w:rsidRPr="00596ED3">
        <w:instrText xml:space="preserve"> XE </w:instrText>
      </w:r>
      <w:r>
        <w:instrText>"</w:instrText>
      </w:r>
      <w:r w:rsidRPr="00596ED3">
        <w:instrText>Department of Justice:Supporting the State</w:instrText>
      </w:r>
      <w:r>
        <w:instrText>’</w:instrText>
      </w:r>
      <w:r w:rsidRPr="00596ED3">
        <w:instrText>s Fire and Emergency Services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Emergency Services fleet upgrade</w:t>
      </w:r>
    </w:p>
    <w:p w:rsidR="00A53D7D" w:rsidRPr="00596ED3" w:rsidRDefault="00A53D7D" w:rsidP="005140B4">
      <w:r>
        <w:t>Seventy</w:t>
      </w:r>
      <w:r>
        <w:noBreakHyphen/>
        <w:t>eight</w:t>
      </w:r>
      <w:r w:rsidRPr="00596ED3">
        <w:t xml:space="preserve"> new trucks (74 medium tankers and </w:t>
      </w:r>
      <w:r>
        <w:t>four</w:t>
      </w:r>
      <w:r w:rsidRPr="00596ED3">
        <w:t xml:space="preserve"> prototypes) are to be purchased for Country Fire Authority (CFA) brigades across the state. This $29</w:t>
      </w:r>
      <w:r>
        <w:t> million</w:t>
      </w:r>
      <w:r w:rsidRPr="00596ED3">
        <w:t xml:space="preserve"> funding initiative includes $17.2</w:t>
      </w:r>
      <w:r>
        <w:t> million</w:t>
      </w:r>
      <w:r w:rsidRPr="00596ED3">
        <w:t xml:space="preserve"> in additional budget funding on top of a planned allocation from the CFA</w:t>
      </w:r>
      <w:r>
        <w:t>’</w:t>
      </w:r>
      <w:r w:rsidRPr="00596ED3">
        <w:t>s existing budget for 2014</w:t>
      </w:r>
      <w:r>
        <w:noBreakHyphen/>
      </w:r>
      <w:r w:rsidRPr="00596ED3">
        <w:t>15.</w:t>
      </w:r>
    </w:p>
    <w:p w:rsidR="00A53D7D" w:rsidRPr="00596ED3" w:rsidRDefault="00A53D7D" w:rsidP="005140B4">
      <w:r w:rsidRPr="00596ED3">
        <w:t>This initiative contributes to the Department of Justice</w:t>
      </w:r>
      <w:r>
        <w:t>’</w:t>
      </w:r>
      <w:r w:rsidRPr="00596ED3">
        <w:t>s Emergency Management Capability output.</w:t>
      </w:r>
    </w:p>
    <w:p w:rsidR="00A53D7D" w:rsidRPr="00596ED3" w:rsidRDefault="00A53D7D" w:rsidP="005140B4">
      <w:pPr>
        <w:pStyle w:val="Heading5"/>
      </w:pPr>
      <w:r w:rsidRPr="00596ED3">
        <w:t>ESTA Triple Zero communications enhancement</w:t>
      </w:r>
    </w:p>
    <w:p w:rsidR="00A53D7D" w:rsidRPr="00596ED3" w:rsidRDefault="00A53D7D" w:rsidP="005140B4">
      <w:r w:rsidRPr="00596ED3">
        <w:t>Refer to the output initiative for a description of this initiative.</w:t>
      </w:r>
    </w:p>
    <w:p w:rsidR="00A53D7D" w:rsidRPr="00596ED3" w:rsidRDefault="00A53D7D" w:rsidP="005140B4">
      <w:pPr>
        <w:pStyle w:val="Heading5"/>
      </w:pPr>
      <w:r w:rsidRPr="00596ED3">
        <w:t>Replacement of respiratory protection equipment</w:t>
      </w:r>
    </w:p>
    <w:p w:rsidR="00A53D7D" w:rsidRPr="00596ED3" w:rsidRDefault="00A53D7D" w:rsidP="005140B4">
      <w:r w:rsidRPr="00596ED3">
        <w:t>Refer to the output initiative for a description of this initiative.</w:t>
      </w:r>
    </w:p>
    <w:p w:rsidR="00A53D7D" w:rsidRPr="00596ED3" w:rsidRDefault="00A53D7D" w:rsidP="005140B4">
      <w:pPr>
        <w:spacing w:after="0"/>
        <w:rPr>
          <w:rFonts w:ascii="Calibri" w:hAnsi="Calibri"/>
          <w:b/>
          <w:caps/>
          <w:sz w:val="26"/>
          <w:szCs w:val="22"/>
        </w:rPr>
      </w:pPr>
      <w:r w:rsidRPr="00596ED3">
        <w:br w:type="page"/>
      </w:r>
    </w:p>
    <w:p w:rsidR="00A53D7D" w:rsidRPr="00596ED3" w:rsidRDefault="00A53D7D" w:rsidP="005140B4">
      <w:pPr>
        <w:pStyle w:val="Heading1"/>
      </w:pPr>
      <w:bookmarkStart w:id="36" w:name="_Toc386364065"/>
      <w:bookmarkStart w:id="37" w:name="_Toc407116898"/>
      <w:r w:rsidRPr="00596ED3">
        <w:t>Department of Premier and Cabinet</w:t>
      </w:r>
      <w:bookmarkEnd w:id="36"/>
      <w:bookmarkEnd w:id="37"/>
    </w:p>
    <w:p w:rsidR="00A53D7D" w:rsidRPr="00596ED3" w:rsidRDefault="00A53D7D" w:rsidP="005140B4">
      <w:pPr>
        <w:pStyle w:val="Heading3"/>
      </w:pPr>
      <w:r w:rsidRPr="00596ED3">
        <w:t>Output initiatives</w:t>
      </w:r>
    </w:p>
    <w:p w:rsidR="00A53D7D" w:rsidRPr="00596ED3" w:rsidRDefault="00A53D7D" w:rsidP="005140B4">
      <w:pPr>
        <w:pStyle w:val="Tableheading"/>
      </w:pPr>
      <w:r w:rsidRPr="00596ED3">
        <w:t xml:space="preserve">Table 1.13: </w:t>
      </w:r>
      <w:r w:rsidRPr="00596ED3">
        <w:tab/>
        <w:t>Output initiatives – Premier and Cabinet</w:t>
      </w:r>
    </w:p>
    <w:p w:rsidR="00A53D7D" w:rsidRPr="00FB64AD" w:rsidRDefault="00A53D7D" w:rsidP="005140B4">
      <w:pPr>
        <w:pStyle w:val="million"/>
        <w:rPr>
          <w:rFonts w:ascii="Times New Roman" w:hAnsi="Times New Roman"/>
          <w:sz w:val="20"/>
          <w:lang w:eastAsia="en-AU"/>
        </w:rPr>
      </w:pPr>
      <w:r w:rsidRPr="00596ED3">
        <w:rPr>
          <w:lang w:eastAsia="en-AU"/>
        </w:rPr>
        <w:t>($</w:t>
      </w:r>
      <w:r>
        <w:rPr>
          <w:lang w:eastAsia="en-AU"/>
        </w:rPr>
        <w:t> million</w:t>
      </w:r>
      <w:r w:rsidRPr="00596ED3">
        <w:rPr>
          <w:lang w:eastAsia="en-AU"/>
        </w:rPr>
        <w:t>)</w:t>
      </w:r>
    </w:p>
    <w:tbl>
      <w:tblPr>
        <w:tblW w:w="7776" w:type="dxa"/>
        <w:tblInd w:w="29" w:type="dxa"/>
        <w:tblCellMar>
          <w:left w:w="43" w:type="dxa"/>
          <w:right w:w="43" w:type="dxa"/>
        </w:tblCellMar>
        <w:tblLook w:val="04A0" w:firstRow="1" w:lastRow="0" w:firstColumn="1" w:lastColumn="0" w:noHBand="0" w:noVBand="1"/>
      </w:tblPr>
      <w:tblGrid>
        <w:gridCol w:w="2810"/>
        <w:gridCol w:w="994"/>
        <w:gridCol w:w="993"/>
        <w:gridCol w:w="993"/>
        <w:gridCol w:w="993"/>
        <w:gridCol w:w="993"/>
      </w:tblGrid>
      <w:tr w:rsidR="00A53D7D" w:rsidRPr="00FB64AD" w:rsidTr="005140B4">
        <w:trPr>
          <w:divId w:val="272052034"/>
        </w:trPr>
        <w:tc>
          <w:tcPr>
            <w:tcW w:w="2810" w:type="dxa"/>
            <w:tcBorders>
              <w:top w:val="single" w:sz="4" w:space="0" w:color="auto"/>
              <w:left w:val="single" w:sz="4"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994"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993"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993"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993"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993" w:type="dxa"/>
            <w:tcBorders>
              <w:top w:val="single" w:sz="4" w:space="0" w:color="auto"/>
              <w:left w:val="nil"/>
              <w:bottom w:val="single" w:sz="4" w:space="0" w:color="auto"/>
              <w:right w:val="single" w:sz="4"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r>
      <w:tr w:rsidR="00A53D7D" w:rsidRPr="00FB64AD" w:rsidTr="005140B4">
        <w:trPr>
          <w:divId w:val="272052034"/>
        </w:trPr>
        <w:tc>
          <w:tcPr>
            <w:tcW w:w="2810"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Arts and Cultural Development</w:t>
            </w:r>
          </w:p>
        </w:tc>
        <w:tc>
          <w:tcPr>
            <w:tcW w:w="994"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Arts Centre Melbourne additional funding</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Expansion of the Victorian College of the Arts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Summer in Southbank</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proofErr w:type="spellStart"/>
            <w:r w:rsidRPr="00FB64AD">
              <w:rPr>
                <w:color w:val="000000"/>
                <w:lang w:eastAsia="en-AU"/>
              </w:rPr>
              <w:t>VicArts</w:t>
            </w:r>
            <w:proofErr w:type="spellEnd"/>
            <w:r w:rsidRPr="00FB64AD">
              <w:rPr>
                <w:color w:val="000000"/>
                <w:lang w:eastAsia="en-AU"/>
              </w:rPr>
              <w:t xml:space="preserve"> Grants </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0.9</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72052034"/>
        </w:trPr>
        <w:tc>
          <w:tcPr>
            <w:tcW w:w="2810"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Supporting and Strengthening Communities</w:t>
            </w:r>
          </w:p>
        </w:tc>
        <w:tc>
          <w:tcPr>
            <w:tcW w:w="994"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w:t>
            </w: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New and emerging community leadership program</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Multicultural community infrastructure fund</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Lake Tyers transition to self</w:t>
            </w:r>
            <w:r>
              <w:rPr>
                <w:color w:val="000000"/>
                <w:lang w:eastAsia="en-AU"/>
              </w:rPr>
              <w:noBreakHyphen/>
            </w:r>
            <w:r w:rsidRPr="00FB64AD">
              <w:rPr>
                <w:color w:val="000000"/>
                <w:lang w:eastAsia="en-AU"/>
              </w:rPr>
              <w:t>governance</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Victorian Aboriginal Economic Strategy</w:t>
            </w:r>
            <w:r>
              <w:rPr>
                <w:color w:val="000000"/>
                <w:lang w:eastAsia="en-AU"/>
              </w:rPr>
              <w:t xml:space="preserve"> – </w:t>
            </w:r>
            <w:r w:rsidRPr="00FB64AD">
              <w:rPr>
                <w:color w:val="000000"/>
                <w:lang w:eastAsia="en-AU"/>
              </w:rPr>
              <w:t>leadership and coordination</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Victorian Aboriginal cultural heritage strategy</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Victorian Indigenous honour roll in schools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b/>
                <w:bCs/>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World War I centenary commemoration</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r>
      <w:tr w:rsidR="00A53D7D" w:rsidRPr="00FB64AD" w:rsidTr="005140B4">
        <w:trPr>
          <w:divId w:val="272052034"/>
        </w:trPr>
        <w:tc>
          <w:tcPr>
            <w:tcW w:w="2810"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Public Sector Management, Governance and Support</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w:t>
            </w: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Sustaining a viable Ombudsman for Victorians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w:t>
            </w: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Strategic Advice and Support</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proofErr w:type="spellStart"/>
            <w:r w:rsidRPr="00FB64AD">
              <w:rPr>
                <w:color w:val="000000"/>
                <w:lang w:eastAsia="en-AU"/>
              </w:rPr>
              <w:t>Hazlewood</w:t>
            </w:r>
            <w:proofErr w:type="spellEnd"/>
            <w:r w:rsidRPr="00FB64AD">
              <w:rPr>
                <w:color w:val="000000"/>
                <w:lang w:eastAsia="en-AU"/>
              </w:rPr>
              <w:t xml:space="preserve"> Mine Fire Inquiry</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72052034"/>
        </w:trPr>
        <w:tc>
          <w:tcPr>
            <w:tcW w:w="2810" w:type="dxa"/>
            <w:tcBorders>
              <w:top w:val="single" w:sz="4" w:space="0" w:color="auto"/>
              <w:left w:val="nil"/>
              <w:bottom w:val="single" w:sz="4"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Sub total output initiatives</w:t>
            </w:r>
          </w:p>
        </w:tc>
        <w:tc>
          <w:tcPr>
            <w:tcW w:w="994"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1.5</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23.4</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11.6</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12.1</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3.6</w:t>
            </w:r>
          </w:p>
        </w:tc>
      </w:tr>
      <w:tr w:rsidR="00A53D7D" w:rsidRPr="00FB64AD" w:rsidTr="005140B4">
        <w:trPr>
          <w:divId w:val="272052034"/>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Existing resources </w:t>
            </w:r>
            <w:r w:rsidRPr="00FB64AD">
              <w:rPr>
                <w:color w:val="000000"/>
                <w:vertAlign w:val="superscript"/>
                <w:lang w:eastAsia="en-AU"/>
              </w:rPr>
              <w:t>(a)</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( 4.4)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( 2.3)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72052034"/>
        </w:trPr>
        <w:tc>
          <w:tcPr>
            <w:tcW w:w="2810" w:type="dxa"/>
            <w:tcBorders>
              <w:top w:val="single" w:sz="4" w:space="0" w:color="auto"/>
              <w:left w:val="nil"/>
              <w:bottom w:val="single" w:sz="8"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output initiatives</w:t>
            </w:r>
          </w:p>
        </w:tc>
        <w:tc>
          <w:tcPr>
            <w:tcW w:w="994"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1.5</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19.0</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9.3</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12.1</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3.6</w:t>
            </w:r>
          </w:p>
        </w:tc>
      </w:tr>
    </w:tbl>
    <w:p w:rsidR="00A53D7D" w:rsidRPr="00596ED3" w:rsidRDefault="00A53D7D" w:rsidP="005140B4">
      <w:pPr>
        <w:pStyle w:val="Source"/>
        <w:rPr>
          <w:lang w:eastAsia="en-AU"/>
        </w:rPr>
      </w:pPr>
      <w:r w:rsidRPr="00596ED3">
        <w:t xml:space="preserve">Source: Department of Treasury and Finance </w:t>
      </w:r>
      <w:r w:rsidRPr="00596ED3">
        <w:fldChar w:fldCharType="begin"/>
      </w:r>
      <w:r w:rsidRPr="00596ED3">
        <w:instrText xml:space="preserve"> XE "Department of Premier and Cabinet:Output initiatives" </w:instrText>
      </w:r>
      <w:r w:rsidRPr="00596ED3">
        <w:fldChar w:fldCharType="end"/>
      </w:r>
    </w:p>
    <w:p w:rsidR="00A53D7D" w:rsidRPr="00596ED3" w:rsidRDefault="00A53D7D" w:rsidP="005140B4">
      <w:pPr>
        <w:pStyle w:val="Notes"/>
        <w:rPr>
          <w:lang w:eastAsia="en-AU"/>
        </w:rPr>
      </w:pPr>
      <w:r w:rsidRPr="00596ED3">
        <w:rPr>
          <w:lang w:eastAsia="en-AU"/>
        </w:rPr>
        <w:t>Note:</w:t>
      </w:r>
    </w:p>
    <w:p w:rsidR="00A53D7D" w:rsidRPr="00596ED3" w:rsidRDefault="00A53D7D" w:rsidP="005140B4">
      <w:pPr>
        <w:pStyle w:val="Notes"/>
      </w:pPr>
      <w:r w:rsidRPr="00596ED3">
        <w:t>(a)</w:t>
      </w:r>
      <w:r w:rsidRPr="00596ED3">
        <w:tab/>
        <w:t>Existing departmental resources have been reallocated to contribute to the delivery of new initiatives.</w:t>
      </w:r>
    </w:p>
    <w:p w:rsidR="00A53D7D" w:rsidRPr="00596ED3" w:rsidRDefault="00A53D7D" w:rsidP="005140B4">
      <w:pPr>
        <w:spacing w:after="0"/>
      </w:pPr>
    </w:p>
    <w:p w:rsidR="00A53D7D" w:rsidRPr="00596ED3" w:rsidRDefault="00A53D7D" w:rsidP="005140B4">
      <w:pPr>
        <w:pStyle w:val="Heading4"/>
      </w:pPr>
      <w:r w:rsidRPr="00596ED3">
        <w:t>Arts and Cultural Development</w:t>
      </w:r>
      <w:r w:rsidRPr="00596ED3">
        <w:fldChar w:fldCharType="begin"/>
      </w:r>
      <w:r w:rsidRPr="00596ED3">
        <w:instrText xml:space="preserve"> XE </w:instrText>
      </w:r>
      <w:r>
        <w:instrText>"</w:instrText>
      </w:r>
      <w:r w:rsidRPr="00596ED3">
        <w:instrText>Department of Premier and Cabinet:Arts and Cultural Development</w:instrText>
      </w:r>
      <w:r>
        <w:instrText>"</w:instrText>
      </w:r>
      <w:r w:rsidRPr="00596ED3">
        <w:instrText xml:space="preserve"> </w:instrText>
      </w:r>
      <w:r w:rsidRPr="00596ED3">
        <w:fldChar w:fldCharType="end"/>
      </w:r>
      <w:r w:rsidRPr="00596ED3">
        <w:t xml:space="preserve"> </w:t>
      </w:r>
    </w:p>
    <w:p w:rsidR="00A53D7D" w:rsidRPr="00596ED3" w:rsidRDefault="00A53D7D" w:rsidP="005140B4">
      <w:pPr>
        <w:pStyle w:val="Heading5"/>
      </w:pPr>
      <w:r w:rsidRPr="00596ED3">
        <w:t>Arts Centre Melbourne additional funding</w:t>
      </w:r>
    </w:p>
    <w:p w:rsidR="00A53D7D" w:rsidRPr="00596ED3" w:rsidRDefault="00A53D7D" w:rsidP="005140B4">
      <w:r w:rsidRPr="00596ED3">
        <w:fldChar w:fldCharType="begin"/>
      </w:r>
      <w:r w:rsidRPr="00596ED3">
        <w:instrText xml:space="preserve"> XE </w:instrText>
      </w:r>
      <w:r>
        <w:instrText>"</w:instrText>
      </w:r>
      <w:r w:rsidRPr="00596ED3">
        <w:instrText>Arts and Cultural Development</w:instrText>
      </w:r>
      <w:r>
        <w:instrText>"</w:instrText>
      </w:r>
      <w:r w:rsidRPr="00596ED3">
        <w:instrText xml:space="preserve"> </w:instrText>
      </w:r>
      <w:r w:rsidRPr="00596ED3">
        <w:fldChar w:fldCharType="end"/>
      </w:r>
      <w:r w:rsidRPr="00596ED3">
        <w:t>Additional funding is provided to support operations that will strengthen the Arts Centre</w:t>
      </w:r>
      <w:r>
        <w:t>’</w:t>
      </w:r>
      <w:r w:rsidRPr="00596ED3">
        <w:t>s ability to deliver vibrant and relevant performing arts programming.</w:t>
      </w:r>
    </w:p>
    <w:p w:rsidR="00A53D7D" w:rsidRPr="00596ED3" w:rsidRDefault="00A53D7D" w:rsidP="005140B4">
      <w:r w:rsidRPr="00596ED3">
        <w:t>This initiative contributes to the Department of Premier and Cabinet</w:t>
      </w:r>
      <w:r>
        <w:t>’</w:t>
      </w:r>
      <w:r w:rsidRPr="00596ED3">
        <w:t>s Arts Portfolio Agencies output.</w:t>
      </w:r>
    </w:p>
    <w:p w:rsidR="00A53D7D" w:rsidRPr="00596ED3" w:rsidRDefault="00A53D7D" w:rsidP="005140B4">
      <w:pPr>
        <w:pStyle w:val="Heading5"/>
      </w:pPr>
      <w:r w:rsidRPr="00596ED3">
        <w:t xml:space="preserve">Expansion of the Victorian College of the Arts </w:t>
      </w:r>
    </w:p>
    <w:p w:rsidR="00A53D7D" w:rsidRPr="00596ED3" w:rsidRDefault="00A53D7D" w:rsidP="005140B4">
      <w:r w:rsidRPr="00596ED3">
        <w:t xml:space="preserve">The Government will contribute towards the redevelopment of the former Victorian Police Mounted Branch stables in Dodd Street Southbank to open up the visual arts wing of the Victorian College of the Arts. The redevelopment will create public performance, </w:t>
      </w:r>
      <w:proofErr w:type="gramStart"/>
      <w:r w:rsidRPr="00596ED3">
        <w:t>even</w:t>
      </w:r>
      <w:r>
        <w:t>t</w:t>
      </w:r>
      <w:proofErr w:type="gramEnd"/>
      <w:r w:rsidRPr="00596ED3">
        <w:t xml:space="preserve"> and exhibition spaces across the campus and surrounding streets, as well as a series of laneways, public thoroughfares and gardens. </w:t>
      </w:r>
    </w:p>
    <w:p w:rsidR="00A53D7D" w:rsidRPr="00596ED3" w:rsidRDefault="00A53D7D" w:rsidP="005140B4">
      <w:r w:rsidRPr="00596ED3">
        <w:t>This initiative contributes to the Department of Premier and Cabinet</w:t>
      </w:r>
      <w:r>
        <w:t>’</w:t>
      </w:r>
      <w:r w:rsidRPr="00596ED3">
        <w:t>s Access, Industry Development and Innovation output.</w:t>
      </w:r>
    </w:p>
    <w:p w:rsidR="00A53D7D" w:rsidRPr="00596ED3" w:rsidRDefault="00A53D7D" w:rsidP="005140B4">
      <w:pPr>
        <w:pStyle w:val="Heading5"/>
      </w:pPr>
      <w:r w:rsidRPr="00596ED3">
        <w:t>Summer in Southbank</w:t>
      </w:r>
    </w:p>
    <w:p w:rsidR="00A53D7D" w:rsidRPr="00596ED3" w:rsidRDefault="00A53D7D" w:rsidP="005140B4">
      <w:r w:rsidRPr="00596ED3">
        <w:t>Funding is provided for a significant outdoor festival coordinated by the Melbourne Recital Centre and involving major cultural agencies of the Melbourne Arts Precinct. The festival will enliven the precinct by also involving a range of small and independent artists and encourag</w:t>
      </w:r>
      <w:r>
        <w:t>ing people from all walks of lif</w:t>
      </w:r>
      <w:r w:rsidRPr="00596ED3">
        <w:t>e to participate.</w:t>
      </w:r>
    </w:p>
    <w:p w:rsidR="00A53D7D" w:rsidRPr="00596ED3" w:rsidRDefault="00A53D7D" w:rsidP="005140B4">
      <w:r w:rsidRPr="00596ED3">
        <w:t>This initiative contributes to the Department of Premier and Cabinet</w:t>
      </w:r>
      <w:r>
        <w:t>’</w:t>
      </w:r>
      <w:r w:rsidRPr="00596ED3">
        <w:t>s Arts Portfolio Agencies output.</w:t>
      </w:r>
    </w:p>
    <w:p w:rsidR="00A53D7D" w:rsidRPr="00596ED3" w:rsidRDefault="00A53D7D" w:rsidP="005140B4">
      <w:pPr>
        <w:pStyle w:val="Heading5"/>
      </w:pPr>
      <w:proofErr w:type="spellStart"/>
      <w:r w:rsidRPr="00596ED3">
        <w:t>VicArts</w:t>
      </w:r>
      <w:proofErr w:type="spellEnd"/>
      <w:r w:rsidRPr="00596ED3">
        <w:t xml:space="preserve"> Grants </w:t>
      </w:r>
    </w:p>
    <w:p w:rsidR="00A53D7D" w:rsidRPr="00596ED3" w:rsidRDefault="00A53D7D" w:rsidP="005140B4">
      <w:r w:rsidRPr="00596ED3">
        <w:t xml:space="preserve">The </w:t>
      </w:r>
      <w:proofErr w:type="spellStart"/>
      <w:r w:rsidRPr="00596ED3">
        <w:t>VicArts</w:t>
      </w:r>
      <w:proofErr w:type="spellEnd"/>
      <w:r w:rsidRPr="00596ED3">
        <w:t xml:space="preserve"> project grant program, which supports Victoria</w:t>
      </w:r>
      <w:r>
        <w:t>’</w:t>
      </w:r>
      <w:r w:rsidRPr="00596ED3">
        <w:t>s independent arts sector will continue and build on existing funding, bringing the total to $3</w:t>
      </w:r>
      <w:r>
        <w:t> million</w:t>
      </w:r>
      <w:r w:rsidRPr="00596ED3">
        <w:t xml:space="preserve"> for 2014</w:t>
      </w:r>
      <w:r>
        <w:noBreakHyphen/>
      </w:r>
      <w:r w:rsidRPr="00596ED3">
        <w:t xml:space="preserve">15. </w:t>
      </w:r>
      <w:proofErr w:type="spellStart"/>
      <w:r w:rsidRPr="00596ED3">
        <w:t>VicArts</w:t>
      </w:r>
      <w:proofErr w:type="spellEnd"/>
      <w:r w:rsidRPr="00596ED3">
        <w:t xml:space="preserve"> Grants support career development opportunities for artists, international exchange</w:t>
      </w:r>
      <w:r>
        <w:t>s</w:t>
      </w:r>
      <w:r w:rsidRPr="00596ED3">
        <w:t>, contemporary music, dance projects, operas, community and multi</w:t>
      </w:r>
      <w:r>
        <w:noBreakHyphen/>
      </w:r>
      <w:r w:rsidRPr="00596ED3">
        <w:t xml:space="preserve">cultural events, </w:t>
      </w:r>
      <w:proofErr w:type="gramStart"/>
      <w:r w:rsidRPr="00596ED3">
        <w:t>tours</w:t>
      </w:r>
      <w:proofErr w:type="gramEnd"/>
      <w:r w:rsidRPr="00596ED3">
        <w:t xml:space="preserve"> and festivals. </w:t>
      </w:r>
    </w:p>
    <w:p w:rsidR="00A53D7D" w:rsidRPr="00596ED3" w:rsidRDefault="00A53D7D" w:rsidP="005140B4">
      <w:r w:rsidRPr="00596ED3">
        <w:t>This initiative contributes to the Department of Premier and Cabinet</w:t>
      </w:r>
      <w:r>
        <w:t>’</w:t>
      </w:r>
      <w:r w:rsidRPr="00596ED3">
        <w:t>s Access, Industry Development and Innovation output.</w:t>
      </w:r>
    </w:p>
    <w:p w:rsidR="00A53D7D" w:rsidRPr="00596ED3" w:rsidRDefault="00A53D7D" w:rsidP="005140B4">
      <w:pPr>
        <w:pStyle w:val="Heading4"/>
      </w:pPr>
      <w:r w:rsidRPr="00596ED3">
        <w:t>Supporting and Strengthening Communities</w:t>
      </w:r>
      <w:r w:rsidRPr="00596ED3">
        <w:fldChar w:fldCharType="begin"/>
      </w:r>
      <w:r w:rsidRPr="00596ED3">
        <w:instrText xml:space="preserve"> XE </w:instrText>
      </w:r>
      <w:r>
        <w:instrText>"</w:instrText>
      </w:r>
      <w:r w:rsidRPr="00596ED3">
        <w:instrText>Department of Premier and Cabinet:Supporting and Strengthening Communities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New and emerging community leadership program</w:t>
      </w:r>
    </w:p>
    <w:p w:rsidR="00A53D7D" w:rsidRPr="00596ED3" w:rsidRDefault="00A53D7D" w:rsidP="005140B4">
      <w:r w:rsidRPr="00596ED3">
        <w:t>Funding is provided to support a new and emerging community leadership program, which includes the Nelson Mandela Ubuntu Leadership program. The program will build and strengthen skills of both existing and potential leaders in new and emerging communities across metropolitan and regional Victoria.</w:t>
      </w:r>
    </w:p>
    <w:p w:rsidR="00A53D7D" w:rsidRPr="00596ED3" w:rsidRDefault="00A53D7D" w:rsidP="005140B4">
      <w:r w:rsidRPr="00596ED3">
        <w:t>This initiative contributes to the Department of Premier and Cabinet</w:t>
      </w:r>
      <w:r>
        <w:t>’</w:t>
      </w:r>
      <w:r w:rsidRPr="00596ED3">
        <w:t>s Multicultural Affairs output.</w:t>
      </w:r>
    </w:p>
    <w:p w:rsidR="00A53D7D" w:rsidRPr="00596ED3" w:rsidRDefault="00A53D7D" w:rsidP="005140B4">
      <w:pPr>
        <w:spacing w:after="0"/>
        <w:rPr>
          <w:rFonts w:ascii="Calibri" w:hAnsi="Calibri"/>
          <w:b/>
        </w:rPr>
      </w:pPr>
      <w:r w:rsidRPr="00596ED3">
        <w:br w:type="page"/>
      </w:r>
    </w:p>
    <w:p w:rsidR="00A53D7D" w:rsidRPr="00596ED3" w:rsidRDefault="00A53D7D" w:rsidP="005140B4">
      <w:pPr>
        <w:pStyle w:val="Heading5"/>
      </w:pPr>
      <w:r w:rsidRPr="00596ED3">
        <w:t>Multicultural community infrastructure fund</w:t>
      </w:r>
    </w:p>
    <w:p w:rsidR="00A53D7D" w:rsidRPr="00596ED3" w:rsidRDefault="00A53D7D" w:rsidP="005140B4">
      <w:r w:rsidRPr="00596ED3">
        <w:t>Funding is continued to help build new and enhance existing multicultural community facilities as well as revitalise cultural precincts.</w:t>
      </w:r>
    </w:p>
    <w:p w:rsidR="00A53D7D" w:rsidRPr="00596ED3" w:rsidRDefault="00A53D7D" w:rsidP="005140B4">
      <w:r w:rsidRPr="00596ED3">
        <w:t>This initiative contributes to the Department of Premier and Cabinet</w:t>
      </w:r>
      <w:r>
        <w:t>’</w:t>
      </w:r>
      <w:r w:rsidRPr="00596ED3">
        <w:t>s Multicultural Affairs output.</w:t>
      </w:r>
    </w:p>
    <w:p w:rsidR="00A53D7D" w:rsidRPr="00596ED3" w:rsidRDefault="00A53D7D" w:rsidP="005140B4">
      <w:pPr>
        <w:pStyle w:val="Heading5"/>
      </w:pPr>
      <w:r w:rsidRPr="00596ED3">
        <w:t>Lake Tyers transition to self</w:t>
      </w:r>
      <w:r>
        <w:noBreakHyphen/>
      </w:r>
      <w:r w:rsidRPr="00596ED3">
        <w:t>governance</w:t>
      </w:r>
    </w:p>
    <w:p w:rsidR="00A53D7D" w:rsidRPr="00596ED3" w:rsidRDefault="00A53D7D" w:rsidP="005140B4">
      <w:r w:rsidRPr="00596ED3">
        <w:fldChar w:fldCharType="begin"/>
      </w:r>
      <w:r w:rsidRPr="00596ED3">
        <w:instrText xml:space="preserve"> XE </w:instrText>
      </w:r>
      <w:r>
        <w:instrText>"</w:instrText>
      </w:r>
      <w:r w:rsidRPr="00596ED3">
        <w:instrText>Aboriginal Trust</w:instrText>
      </w:r>
      <w:r>
        <w:instrText>"</w:instrText>
      </w:r>
      <w:r w:rsidRPr="00596ED3">
        <w:instrText xml:space="preserve"> </w:instrText>
      </w:r>
      <w:r w:rsidRPr="00596ED3">
        <w:fldChar w:fldCharType="end"/>
      </w:r>
      <w:r w:rsidRPr="00596ED3">
        <w:t xml:space="preserve">An administrator position for the Lake Tyers Aboriginal Trust will continue to ensure that obligations under the </w:t>
      </w:r>
      <w:r w:rsidRPr="00596ED3">
        <w:rPr>
          <w:i/>
        </w:rPr>
        <w:t>Aboriginal Lands Act 1970</w:t>
      </w:r>
      <w:r w:rsidRPr="00596ED3">
        <w:t xml:space="preserve"> can be met. Funding will enable the Trust to transition to community self</w:t>
      </w:r>
      <w:r>
        <w:noBreakHyphen/>
      </w:r>
      <w:r w:rsidRPr="00596ED3">
        <w:t>governance through the appointment of a Committee of Management during 2015.</w:t>
      </w:r>
    </w:p>
    <w:p w:rsidR="00A53D7D" w:rsidRPr="00596ED3" w:rsidRDefault="00A53D7D" w:rsidP="005140B4">
      <w:r w:rsidRPr="00596ED3">
        <w:t>This initiative contributes to the Department of Premier and Cabinet</w:t>
      </w:r>
      <w:r>
        <w:t>’</w:t>
      </w:r>
      <w:r w:rsidRPr="00596ED3">
        <w:t>s Aboriginal Affairs output.</w:t>
      </w:r>
    </w:p>
    <w:p w:rsidR="00A53D7D" w:rsidRPr="00596ED3" w:rsidRDefault="00A53D7D" w:rsidP="005140B4">
      <w:pPr>
        <w:pStyle w:val="Heading5"/>
      </w:pPr>
      <w:r w:rsidRPr="00596ED3">
        <w:t>Victorian Aboriginal Economic Strategy – leadership and coordination</w:t>
      </w:r>
    </w:p>
    <w:p w:rsidR="00A53D7D" w:rsidRPr="00596ED3" w:rsidRDefault="00A53D7D" w:rsidP="005140B4">
      <w:r w:rsidRPr="00596ED3">
        <w:fldChar w:fldCharType="begin"/>
      </w:r>
      <w:r w:rsidRPr="00596ED3">
        <w:instrText xml:space="preserve"> XE </w:instrText>
      </w:r>
      <w:r>
        <w:instrText>"</w:instrText>
      </w:r>
      <w:r w:rsidRPr="00596ED3">
        <w:instrText>Aboriginal Economic Strategy</w:instrText>
      </w:r>
      <w:r>
        <w:instrText>"</w:instrText>
      </w:r>
      <w:r w:rsidRPr="00596ED3">
        <w:instrText xml:space="preserve"> </w:instrText>
      </w:r>
      <w:r w:rsidRPr="00596ED3">
        <w:fldChar w:fldCharType="end"/>
      </w:r>
      <w:r w:rsidRPr="00596ED3">
        <w:t>Funding is provided to support the Victorian Aboriginal Economic Strategy which will deliver better outcomes for Aboriginal Victorians in areas ranging from education and employment opportunities with career pathways, to growing Aboriginal business enterprise and investment.</w:t>
      </w:r>
    </w:p>
    <w:p w:rsidR="00A53D7D" w:rsidRPr="00596ED3" w:rsidRDefault="00A53D7D" w:rsidP="005140B4">
      <w:r w:rsidRPr="00596ED3">
        <w:t>This initiative contributes to the Department of Premier and Cabinet</w:t>
      </w:r>
      <w:r>
        <w:t>’</w:t>
      </w:r>
      <w:r w:rsidRPr="00596ED3">
        <w:t>s Aboriginal Affairs output.</w:t>
      </w:r>
    </w:p>
    <w:p w:rsidR="00A53D7D" w:rsidRPr="00596ED3" w:rsidRDefault="00A53D7D" w:rsidP="005140B4">
      <w:pPr>
        <w:pStyle w:val="Heading5"/>
      </w:pPr>
      <w:r w:rsidRPr="00596ED3">
        <w:t>Victorian Aboriginal cultural heritage strategy</w:t>
      </w:r>
    </w:p>
    <w:p w:rsidR="00A53D7D" w:rsidRPr="00596ED3" w:rsidRDefault="00A53D7D" w:rsidP="005140B4">
      <w:r w:rsidRPr="00596ED3">
        <w:fldChar w:fldCharType="begin"/>
      </w:r>
      <w:r w:rsidRPr="00596ED3">
        <w:instrText xml:space="preserve"> XE </w:instrText>
      </w:r>
      <w:r>
        <w:instrText>"</w:instrText>
      </w:r>
      <w:r w:rsidRPr="00596ED3">
        <w:instrText>Aboriginal cultural heritage strategy</w:instrText>
      </w:r>
      <w:r>
        <w:instrText>"</w:instrText>
      </w:r>
      <w:r w:rsidRPr="00596ED3">
        <w:instrText xml:space="preserve"> </w:instrText>
      </w:r>
      <w:r w:rsidRPr="00596ED3">
        <w:fldChar w:fldCharType="end"/>
      </w:r>
      <w:r w:rsidRPr="00596ED3">
        <w:t>Funding will continue for Victoria</w:t>
      </w:r>
      <w:r>
        <w:t>’</w:t>
      </w:r>
      <w:r w:rsidRPr="00596ED3">
        <w:t>s Aboriginal cultural heritage management system and to implement the Government</w:t>
      </w:r>
      <w:r>
        <w:t>’</w:t>
      </w:r>
      <w:r w:rsidRPr="00596ED3">
        <w:t xml:space="preserve">s response to the Parliamentary Inquiry into the establishment and effectiveness of Registered Aboriginal Parties (RAPs) and the recommendations of the review of the </w:t>
      </w:r>
      <w:r w:rsidRPr="00596ED3">
        <w:rPr>
          <w:i/>
        </w:rPr>
        <w:t>Aboriginal Heritage Act 2006.</w:t>
      </w:r>
    </w:p>
    <w:p w:rsidR="00A53D7D" w:rsidRPr="00596ED3" w:rsidRDefault="00A53D7D" w:rsidP="005140B4">
      <w:r w:rsidRPr="00596ED3">
        <w:t>This initiative contributes to the Department of Premier and Cabinet</w:t>
      </w:r>
      <w:r>
        <w:t>’</w:t>
      </w:r>
      <w:r w:rsidRPr="00596ED3">
        <w:t>s Aboriginal Affairs output.</w:t>
      </w:r>
    </w:p>
    <w:p w:rsidR="00A53D7D" w:rsidRPr="00596ED3" w:rsidRDefault="00A53D7D" w:rsidP="005140B4">
      <w:pPr>
        <w:pStyle w:val="Heading5"/>
      </w:pPr>
      <w:r w:rsidRPr="00596ED3">
        <w:t>Victorian Indigenous honour roll in schools</w:t>
      </w:r>
    </w:p>
    <w:p w:rsidR="00A53D7D" w:rsidRPr="00596ED3" w:rsidRDefault="00A53D7D" w:rsidP="005140B4">
      <w:r w:rsidRPr="00596ED3">
        <w:t xml:space="preserve">Curriculum resource materials will be developed to strengthen Victorian Aboriginal perspectives within the school curriculum. This will be based on the Indigenous Honour Roll which recognises the achievements of Aboriginal Victorians past and present who have been high achievers in the fields of art, sport, education, health, community </w:t>
      </w:r>
      <w:proofErr w:type="gramStart"/>
      <w:r w:rsidRPr="00596ED3">
        <w:t>service</w:t>
      </w:r>
      <w:proofErr w:type="gramEnd"/>
      <w:r w:rsidRPr="00596ED3">
        <w:t xml:space="preserve"> and military service.</w:t>
      </w:r>
    </w:p>
    <w:p w:rsidR="00A53D7D" w:rsidRPr="00596ED3" w:rsidRDefault="00A53D7D" w:rsidP="005140B4">
      <w:r w:rsidRPr="00596ED3">
        <w:t>This initiative contributes to the Department of Premier and Cabinet</w:t>
      </w:r>
      <w:r>
        <w:t>’</w:t>
      </w:r>
      <w:r w:rsidRPr="00596ED3">
        <w:t>s Aboriginal Affairs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World War I centenary commemoration</w:t>
      </w:r>
    </w:p>
    <w:p w:rsidR="00A53D7D" w:rsidRPr="00596ED3" w:rsidRDefault="00A53D7D" w:rsidP="005140B4">
      <w:r w:rsidRPr="00596ED3">
        <w:fldChar w:fldCharType="begin"/>
      </w:r>
      <w:r w:rsidRPr="00596ED3">
        <w:instrText xml:space="preserve"> XE </w:instrText>
      </w:r>
      <w:r>
        <w:instrText>"</w:instrText>
      </w:r>
      <w:r w:rsidRPr="00596ED3">
        <w:instrText>World War I centenary</w:instrText>
      </w:r>
      <w:r>
        <w:instrText>"</w:instrText>
      </w:r>
      <w:r w:rsidRPr="00596ED3">
        <w:instrText xml:space="preserve"> </w:instrText>
      </w:r>
      <w:r w:rsidRPr="00596ED3">
        <w:fldChar w:fldCharType="end"/>
      </w:r>
      <w:r w:rsidRPr="00596ED3">
        <w:t xml:space="preserve">Key events, </w:t>
      </w:r>
      <w:proofErr w:type="gramStart"/>
      <w:r w:rsidRPr="00596ED3">
        <w:t>legacy</w:t>
      </w:r>
      <w:proofErr w:type="gramEnd"/>
      <w:r w:rsidRPr="00596ED3">
        <w:t xml:space="preserve"> and commemorative programs will be established to commemorate the centenary of World War I including support for Anzac and Remembrance days, support for students to attend the Dawn Service at Gallipoli on Anzac Day 2015 and continued support for commemorative, educational and infrastructure projects across the State with a strong focus on regional Victoria.</w:t>
      </w:r>
    </w:p>
    <w:p w:rsidR="00A53D7D" w:rsidRPr="00596ED3" w:rsidRDefault="00A53D7D" w:rsidP="005140B4">
      <w:r w:rsidRPr="00596ED3">
        <w:t>This initiative contributes to the Department of Premier and Cabinet</w:t>
      </w:r>
      <w:r>
        <w:t>’</w:t>
      </w:r>
      <w:r w:rsidRPr="00596ED3">
        <w:t>s Veterans</w:t>
      </w:r>
      <w:r>
        <w:t>’</w:t>
      </w:r>
      <w:r w:rsidRPr="00596ED3">
        <w:t xml:space="preserve"> Affairs output.</w:t>
      </w:r>
    </w:p>
    <w:p w:rsidR="00A53D7D" w:rsidRPr="00596ED3" w:rsidRDefault="00A53D7D" w:rsidP="005140B4">
      <w:pPr>
        <w:pStyle w:val="Heading4"/>
      </w:pPr>
      <w:r w:rsidRPr="00596ED3">
        <w:t>Public Sector Management, Governance and Support</w:t>
      </w:r>
      <w:r w:rsidRPr="00596ED3">
        <w:fldChar w:fldCharType="begin"/>
      </w:r>
      <w:r w:rsidRPr="00596ED3">
        <w:instrText xml:space="preserve"> XE </w:instrText>
      </w:r>
      <w:r>
        <w:instrText>"</w:instrText>
      </w:r>
      <w:r w:rsidRPr="00596ED3">
        <w:instrText>Department of Premier and Cabinet:Public Sector Management, Governance and Support</w:instrText>
      </w:r>
      <w:r>
        <w:instrText>"</w:instrText>
      </w:r>
      <w:r w:rsidRPr="00596ED3">
        <w:instrText xml:space="preserve"> </w:instrText>
      </w:r>
      <w:r w:rsidRPr="00596ED3">
        <w:fldChar w:fldCharType="end"/>
      </w:r>
    </w:p>
    <w:p w:rsidR="00A53D7D" w:rsidRPr="00596ED3" w:rsidRDefault="00A53D7D" w:rsidP="005140B4">
      <w:pPr>
        <w:pStyle w:val="Heading5"/>
      </w:pPr>
      <w:r w:rsidRPr="00596ED3">
        <w:t>Sustaining a viable Ombudsman for Victorians</w:t>
      </w:r>
    </w:p>
    <w:p w:rsidR="00A53D7D" w:rsidRPr="00596ED3" w:rsidRDefault="00A53D7D" w:rsidP="005140B4">
      <w:r w:rsidRPr="00596ED3">
        <w:t>Funding is provided to support the increased workload of the Ombudsman</w:t>
      </w:r>
      <w:r>
        <w:t>’</w:t>
      </w:r>
      <w:r w:rsidRPr="00596ED3">
        <w:t>s office. The Ombudsman promotes excellence in public administration in Victoria and seeks to ensure the highest possible standards of public sector service delivery.</w:t>
      </w:r>
    </w:p>
    <w:p w:rsidR="00A53D7D" w:rsidRPr="00596ED3" w:rsidRDefault="00A53D7D" w:rsidP="005140B4">
      <w:r w:rsidRPr="00596ED3">
        <w:t>This initiative contributes to the Department of Premier and Cabinet</w:t>
      </w:r>
      <w:r>
        <w:t>’</w:t>
      </w:r>
      <w:r w:rsidRPr="00596ED3">
        <w:t>s Ombudsman Services output.</w:t>
      </w:r>
    </w:p>
    <w:p w:rsidR="00A53D7D" w:rsidRPr="00596ED3" w:rsidRDefault="00A53D7D" w:rsidP="005140B4">
      <w:pPr>
        <w:pStyle w:val="Heading4"/>
      </w:pPr>
      <w:r>
        <w:t>Strategic Advice and Support</w:t>
      </w:r>
    </w:p>
    <w:p w:rsidR="00A53D7D" w:rsidRPr="00596ED3" w:rsidRDefault="00A53D7D" w:rsidP="005140B4">
      <w:pPr>
        <w:pStyle w:val="Heading5"/>
      </w:pPr>
      <w:r w:rsidRPr="00596ED3">
        <w:t>Hazelwood Mine Fire Inquiry</w:t>
      </w:r>
    </w:p>
    <w:p w:rsidR="00A53D7D" w:rsidRPr="00596ED3" w:rsidRDefault="00A53D7D" w:rsidP="005140B4">
      <w:r w:rsidRPr="00596ED3">
        <w:t>Funding is provided to conduct the independent inquiry into the Hazelwood Mine Fire which occurred in February 2014. The smoke and ash from the fire adversely affected the people of Morwell and other residents of the Latrobe Valley. The inquiry will investigate the emergency response to the fire and the State</w:t>
      </w:r>
      <w:r>
        <w:t>’</w:t>
      </w:r>
      <w:r w:rsidRPr="00596ED3">
        <w:t>s response to and support of affected communities.</w:t>
      </w:r>
    </w:p>
    <w:p w:rsidR="00A53D7D" w:rsidRPr="00B5500C" w:rsidRDefault="00A53D7D" w:rsidP="005140B4">
      <w:r w:rsidRPr="00596ED3">
        <w:t>This contributes to the Department of Premier and Cabinet</w:t>
      </w:r>
      <w:r>
        <w:t>’</w:t>
      </w:r>
      <w:r w:rsidRPr="00596ED3">
        <w:t>s Government</w:t>
      </w:r>
      <w:r>
        <w:noBreakHyphen/>
      </w:r>
      <w:r w:rsidRPr="00596ED3">
        <w:t>wide Leader</w:t>
      </w:r>
      <w:r>
        <w:t>ship and Implementation output.</w:t>
      </w:r>
    </w:p>
    <w:p w:rsidR="00A53D7D" w:rsidRDefault="00A53D7D">
      <w:pPr>
        <w:spacing w:after="0"/>
        <w:rPr>
          <w:rFonts w:ascii="Calibri" w:hAnsi="Calibri"/>
          <w:b/>
          <w:i/>
          <w:kern w:val="28"/>
          <w:sz w:val="24"/>
          <w:szCs w:val="22"/>
        </w:rPr>
      </w:pPr>
      <w:r>
        <w:br w:type="page"/>
      </w:r>
    </w:p>
    <w:p w:rsidR="00A53D7D" w:rsidRPr="00596ED3" w:rsidRDefault="00A53D7D" w:rsidP="005140B4">
      <w:pPr>
        <w:pStyle w:val="Heading3"/>
      </w:pPr>
      <w:r w:rsidRPr="00596ED3">
        <w:t>Asset initiatives</w:t>
      </w:r>
    </w:p>
    <w:p w:rsidR="00A53D7D" w:rsidRPr="00596ED3" w:rsidRDefault="00A53D7D" w:rsidP="005140B4">
      <w:pPr>
        <w:pStyle w:val="Tableheading"/>
      </w:pPr>
      <w:r w:rsidRPr="00596ED3">
        <w:t xml:space="preserve">Table 1.14: </w:t>
      </w:r>
      <w:r w:rsidRPr="00596ED3">
        <w:tab/>
        <w:t>Asset initiatives – Premier and Cabinet</w:t>
      </w:r>
    </w:p>
    <w:p w:rsidR="00A53D7D" w:rsidRDefault="00A53D7D" w:rsidP="00A53D7D">
      <w:pPr>
        <w:pStyle w:val="million"/>
        <w:rPr>
          <w:rFonts w:ascii="Times New Roman" w:hAnsi="Times New Roman"/>
          <w:sz w:val="20"/>
          <w:lang w:eastAsia="en-AU"/>
        </w:rPr>
      </w:pPr>
      <w:r w:rsidRPr="00596ED3">
        <w:t>($</w:t>
      </w:r>
      <w:r>
        <w:t> million</w:t>
      </w:r>
      <w:r w:rsidRPr="00596ED3">
        <w:t>)</w:t>
      </w:r>
      <w:bookmarkStart w:id="38" w:name="RANGE!A38:G45"/>
    </w:p>
    <w:tbl>
      <w:tblPr>
        <w:tblW w:w="7776" w:type="dxa"/>
        <w:tblInd w:w="29" w:type="dxa"/>
        <w:tblCellMar>
          <w:left w:w="43" w:type="dxa"/>
          <w:right w:w="43" w:type="dxa"/>
        </w:tblCellMar>
        <w:tblLook w:val="04A0" w:firstRow="1" w:lastRow="0" w:firstColumn="1" w:lastColumn="0" w:noHBand="0" w:noVBand="1"/>
      </w:tblPr>
      <w:tblGrid>
        <w:gridCol w:w="2420"/>
        <w:gridCol w:w="892"/>
        <w:gridCol w:w="892"/>
        <w:gridCol w:w="893"/>
        <w:gridCol w:w="893"/>
        <w:gridCol w:w="893"/>
        <w:gridCol w:w="893"/>
      </w:tblGrid>
      <w:tr w:rsidR="00A53D7D" w:rsidRPr="00FB64AD" w:rsidTr="005140B4">
        <w:trPr>
          <w:divId w:val="828903568"/>
        </w:trPr>
        <w:tc>
          <w:tcPr>
            <w:tcW w:w="2420" w:type="dxa"/>
            <w:tcBorders>
              <w:top w:val="single" w:sz="4" w:space="0" w:color="auto"/>
              <w:left w:val="single" w:sz="4"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892"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892"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893"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893"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893"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c>
          <w:tcPr>
            <w:tcW w:w="893" w:type="dxa"/>
            <w:tcBorders>
              <w:top w:val="single" w:sz="4" w:space="0" w:color="auto"/>
              <w:left w:val="nil"/>
              <w:bottom w:val="single" w:sz="4" w:space="0" w:color="auto"/>
              <w:right w:val="single" w:sz="4"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TEI</w:t>
            </w:r>
          </w:p>
        </w:tc>
      </w:tr>
      <w:tr w:rsidR="00A53D7D" w:rsidRPr="00FB64AD" w:rsidTr="005140B4">
        <w:trPr>
          <w:divId w:val="828903568"/>
        </w:trPr>
        <w:tc>
          <w:tcPr>
            <w:tcW w:w="2420"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Arts and Cultural Development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2"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828903568"/>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Arts and cultural facilities maintenance fund</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r>
      <w:tr w:rsidR="00A53D7D" w:rsidRPr="00FB64AD" w:rsidTr="005140B4">
        <w:trPr>
          <w:divId w:val="828903568"/>
        </w:trPr>
        <w:tc>
          <w:tcPr>
            <w:tcW w:w="2420" w:type="dxa"/>
            <w:tcBorders>
              <w:top w:val="nil"/>
              <w:left w:val="nil"/>
              <w:bottom w:val="nil"/>
              <w:right w:val="nil"/>
            </w:tcBorders>
            <w:shd w:val="clear" w:color="auto" w:fill="auto"/>
            <w:hideMark/>
          </w:tcPr>
          <w:p w:rsidR="00A53D7D" w:rsidRPr="00FB64AD" w:rsidRDefault="00A53D7D" w:rsidP="005140B4">
            <w:pPr>
              <w:pStyle w:val="Tabletext"/>
              <w:rPr>
                <w:color w:val="000000"/>
                <w:lang w:eastAsia="en-AU"/>
              </w:rPr>
            </w:pPr>
            <w:r w:rsidRPr="00FB64AD">
              <w:rPr>
                <w:color w:val="000000"/>
                <w:lang w:eastAsia="en-AU"/>
              </w:rPr>
              <w:t>Arts Centre Melbourne building services upgrade</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3.1</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7.9</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5.4</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16.4</w:t>
            </w:r>
          </w:p>
        </w:tc>
      </w:tr>
      <w:tr w:rsidR="00A53D7D" w:rsidRPr="00FB64AD" w:rsidTr="005140B4">
        <w:trPr>
          <w:divId w:val="828903568"/>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Museum Victoria exhibition renewal</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r>
      <w:tr w:rsidR="00A53D7D" w:rsidRPr="00FB64AD" w:rsidTr="005140B4">
        <w:trPr>
          <w:divId w:val="828903568"/>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Supporting and Strengthening Communities</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
        </w:tc>
      </w:tr>
      <w:tr w:rsidR="00A53D7D" w:rsidRPr="00FB64AD" w:rsidTr="005140B4">
        <w:trPr>
          <w:divId w:val="828903568"/>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rFonts w:cs="Calibri"/>
                <w:color w:val="000000"/>
                <w:lang w:eastAsia="en-AU"/>
              </w:rPr>
            </w:pPr>
            <w:r w:rsidRPr="00FB64AD">
              <w:rPr>
                <w:color w:val="000000"/>
                <w:lang w:eastAsia="en-AU"/>
              </w:rPr>
              <w:t xml:space="preserve">Shrine Galleries of Remembrance </w:t>
            </w:r>
            <w:r w:rsidRPr="00FB64AD">
              <w:rPr>
                <w:color w:val="000000"/>
                <w:vertAlign w:val="superscript"/>
                <w:lang w:eastAsia="en-AU"/>
              </w:rPr>
              <w:t>(</w:t>
            </w:r>
            <w:r w:rsidRPr="00FB64AD">
              <w:rPr>
                <w:rFonts w:cs="Calibri"/>
                <w:color w:val="000000"/>
                <w:vertAlign w:val="superscript"/>
                <w:lang w:eastAsia="en-AU"/>
              </w:rPr>
              <w:t>a)</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22.4</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22.5</w:t>
            </w:r>
          </w:p>
        </w:tc>
      </w:tr>
      <w:tr w:rsidR="00A53D7D" w:rsidRPr="00FB64AD" w:rsidTr="005140B4">
        <w:trPr>
          <w:divId w:val="828903568"/>
        </w:trPr>
        <w:tc>
          <w:tcPr>
            <w:tcW w:w="2420" w:type="dxa"/>
            <w:tcBorders>
              <w:top w:val="single" w:sz="4" w:space="0" w:color="auto"/>
              <w:left w:val="nil"/>
              <w:bottom w:val="single" w:sz="8"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asset initiatives</w:t>
            </w:r>
          </w:p>
        </w:tc>
        <w:tc>
          <w:tcPr>
            <w:tcW w:w="892"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22.4</w:t>
            </w:r>
          </w:p>
        </w:tc>
        <w:tc>
          <w:tcPr>
            <w:tcW w:w="892"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11.2</w:t>
            </w:r>
          </w:p>
        </w:tc>
        <w:tc>
          <w:tcPr>
            <w:tcW w:w="8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7.9</w:t>
            </w:r>
          </w:p>
        </w:tc>
        <w:tc>
          <w:tcPr>
            <w:tcW w:w="8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5.4</w:t>
            </w:r>
          </w:p>
        </w:tc>
        <w:tc>
          <w:tcPr>
            <w:tcW w:w="8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8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46.9</w:t>
            </w:r>
          </w:p>
        </w:tc>
      </w:tr>
    </w:tbl>
    <w:bookmarkEnd w:id="38"/>
    <w:p w:rsidR="00A53D7D" w:rsidRPr="00596ED3" w:rsidRDefault="00A53D7D" w:rsidP="005140B4">
      <w:pPr>
        <w:pStyle w:val="Source"/>
      </w:pPr>
      <w:r w:rsidRPr="00596ED3">
        <w:t xml:space="preserve">Source: Department of Treasury and Finance </w:t>
      </w:r>
    </w:p>
    <w:p w:rsidR="00A53D7D" w:rsidRPr="00596ED3" w:rsidRDefault="00A53D7D" w:rsidP="005140B4">
      <w:pPr>
        <w:pStyle w:val="Source"/>
      </w:pPr>
      <w:r w:rsidRPr="00596ED3">
        <w:t>Note:</w:t>
      </w:r>
    </w:p>
    <w:p w:rsidR="00A53D7D" w:rsidRPr="00596ED3" w:rsidRDefault="00A53D7D" w:rsidP="005140B4">
      <w:pPr>
        <w:pStyle w:val="Source"/>
      </w:pPr>
      <w:r w:rsidRPr="00596ED3">
        <w:t>(a)</w:t>
      </w:r>
      <w:r w:rsidRPr="00596ED3">
        <w:tab/>
        <w:t>This funding combined with the $22.5</w:t>
      </w:r>
      <w:r>
        <w:t> million</w:t>
      </w:r>
      <w:r w:rsidRPr="00596ED3">
        <w:t xml:space="preserve"> announced in the </w:t>
      </w:r>
      <w:r w:rsidRPr="00F54833">
        <w:rPr>
          <w:i w:val="0"/>
        </w:rPr>
        <w:t>2012</w:t>
      </w:r>
      <w:r w:rsidRPr="00F54833">
        <w:rPr>
          <w:i w:val="0"/>
        </w:rPr>
        <w:noBreakHyphen/>
        <w:t>13 Budget</w:t>
      </w:r>
      <w:r w:rsidRPr="00596ED3">
        <w:t xml:space="preserve"> brings the total funding for this </w:t>
      </w:r>
      <w:r w:rsidRPr="00596ED3">
        <w:tab/>
        <w:t>project to $45</w:t>
      </w:r>
      <w:r>
        <w:t> million</w:t>
      </w:r>
      <w:r w:rsidRPr="00596ED3">
        <w:t>.</w:t>
      </w:r>
      <w:r w:rsidRPr="00596ED3">
        <w:fldChar w:fldCharType="begin"/>
      </w:r>
      <w:r w:rsidRPr="00596ED3">
        <w:instrText xml:space="preserve"> XE "Department of Premier and Cabinet:Asset initiatives" </w:instrText>
      </w:r>
      <w:r w:rsidRPr="00596ED3">
        <w:fldChar w:fldCharType="end"/>
      </w:r>
    </w:p>
    <w:p w:rsidR="00A53D7D" w:rsidRPr="00596ED3" w:rsidRDefault="00A53D7D" w:rsidP="005140B4">
      <w:pPr>
        <w:pStyle w:val="Heading4"/>
      </w:pPr>
      <w:r w:rsidRPr="00596ED3">
        <w:t>Arts and Cultural Development</w:t>
      </w:r>
      <w:r w:rsidRPr="00596ED3">
        <w:fldChar w:fldCharType="begin"/>
      </w:r>
      <w:r w:rsidRPr="00596ED3">
        <w:instrText xml:space="preserve"> XE </w:instrText>
      </w:r>
      <w:r>
        <w:instrText>"</w:instrText>
      </w:r>
      <w:r w:rsidRPr="00596ED3">
        <w:instrText>Department of Premier and Cabinet:Arts and Cultural Development</w:instrText>
      </w:r>
      <w:r>
        <w:instrText>"</w:instrText>
      </w:r>
      <w:r w:rsidRPr="00596ED3">
        <w:instrText xml:space="preserve"> </w:instrText>
      </w:r>
      <w:r w:rsidRPr="00596ED3">
        <w:fldChar w:fldCharType="end"/>
      </w:r>
    </w:p>
    <w:p w:rsidR="00A53D7D" w:rsidRPr="00596ED3" w:rsidRDefault="00A53D7D" w:rsidP="005140B4">
      <w:pPr>
        <w:pStyle w:val="Heading5"/>
      </w:pPr>
      <w:r w:rsidRPr="00596ED3">
        <w:t>Arts and cultural facilities maintenance fund</w:t>
      </w:r>
    </w:p>
    <w:p w:rsidR="00A53D7D" w:rsidRPr="00596ED3" w:rsidRDefault="00A53D7D" w:rsidP="005140B4">
      <w:r w:rsidRPr="00596ED3">
        <w:t>Maintenance works will continue at State owned arts facilities that house a range of government and non</w:t>
      </w:r>
      <w:r>
        <w:noBreakHyphen/>
      </w:r>
      <w:r w:rsidRPr="00596ED3">
        <w:t xml:space="preserve">government arts organisations. </w:t>
      </w:r>
    </w:p>
    <w:p w:rsidR="00A53D7D" w:rsidRPr="00596ED3" w:rsidRDefault="00A53D7D" w:rsidP="005140B4">
      <w:r w:rsidRPr="00596ED3">
        <w:t>This initiative contributes to the Department of Premier and Cabinet</w:t>
      </w:r>
      <w:r>
        <w:t>’</w:t>
      </w:r>
      <w:r w:rsidRPr="00596ED3">
        <w:t xml:space="preserve">s Arts Portfolio Agencies output. </w:t>
      </w:r>
    </w:p>
    <w:p w:rsidR="00A53D7D" w:rsidRPr="00596ED3" w:rsidRDefault="00A53D7D" w:rsidP="005140B4">
      <w:pPr>
        <w:pStyle w:val="Heading5"/>
      </w:pPr>
      <w:r w:rsidRPr="00596ED3">
        <w:t>Arts Centre Melbourne building services upgrade</w:t>
      </w:r>
    </w:p>
    <w:p w:rsidR="00A53D7D" w:rsidRPr="00596ED3" w:rsidRDefault="00A53D7D" w:rsidP="005140B4">
      <w:r w:rsidRPr="00596ED3">
        <w:fldChar w:fldCharType="begin"/>
      </w:r>
      <w:r w:rsidRPr="00596ED3">
        <w:instrText xml:space="preserve"> XE </w:instrText>
      </w:r>
      <w:r>
        <w:instrText>"</w:instrText>
      </w:r>
      <w:r w:rsidRPr="00596ED3">
        <w:instrText>Arts and Cultural Development</w:instrText>
      </w:r>
      <w:r>
        <w:instrText>"</w:instrText>
      </w:r>
      <w:r w:rsidRPr="00596ED3">
        <w:instrText xml:space="preserve"> </w:instrText>
      </w:r>
      <w:r w:rsidRPr="00596ED3">
        <w:fldChar w:fldCharType="end"/>
      </w:r>
      <w:r w:rsidRPr="00596ED3">
        <w:t>Upgrades to critical building service infrastructure will be undertaken at the Arts Centre Melbourne including chillers, hot water plants, escalators and plumbing systems. A number of these upgrades jointly service the National Gallery of Victoria.</w:t>
      </w:r>
    </w:p>
    <w:p w:rsidR="00A53D7D" w:rsidRPr="00596ED3" w:rsidRDefault="00A53D7D" w:rsidP="005140B4">
      <w:r w:rsidRPr="00596ED3">
        <w:t>This initiative contributes to the Department of Premier and Cabinet</w:t>
      </w:r>
      <w:r>
        <w:t>’</w:t>
      </w:r>
      <w:r w:rsidRPr="00596ED3">
        <w:t xml:space="preserve">s Arts Portfolio Agencies output. </w:t>
      </w:r>
    </w:p>
    <w:p w:rsidR="00A53D7D" w:rsidRPr="00596ED3" w:rsidRDefault="00A53D7D" w:rsidP="005140B4">
      <w:pPr>
        <w:pStyle w:val="Heading5"/>
      </w:pPr>
      <w:r w:rsidRPr="00596ED3">
        <w:t>Museum Victoria exhibition renewal</w:t>
      </w:r>
    </w:p>
    <w:p w:rsidR="00A53D7D" w:rsidRPr="00596ED3" w:rsidRDefault="00A53D7D" w:rsidP="005140B4">
      <w:r w:rsidRPr="00596ED3">
        <w:t xml:space="preserve">Funding is provided to support renewal of permanent exhibitions at the Melbourne Museum and </w:t>
      </w:r>
      <w:proofErr w:type="spellStart"/>
      <w:r w:rsidRPr="00596ED3">
        <w:t>Scienceworks</w:t>
      </w:r>
      <w:proofErr w:type="spellEnd"/>
      <w:r w:rsidRPr="00596ED3">
        <w:t xml:space="preserve">. </w:t>
      </w:r>
    </w:p>
    <w:p w:rsidR="00A53D7D" w:rsidRPr="00596ED3" w:rsidRDefault="00A53D7D" w:rsidP="005140B4">
      <w:r w:rsidRPr="00596ED3">
        <w:t>This initiative contributes to the Department of Premier and Cabinet</w:t>
      </w:r>
      <w:r>
        <w:t>’</w:t>
      </w:r>
      <w:r w:rsidRPr="00596ED3">
        <w:t xml:space="preserve">s Arts Portfolio Agencies output. </w:t>
      </w:r>
    </w:p>
    <w:p w:rsidR="00A53D7D" w:rsidRPr="00596ED3" w:rsidRDefault="00A53D7D" w:rsidP="005140B4">
      <w:pPr>
        <w:pStyle w:val="Heading4"/>
      </w:pPr>
      <w:bookmarkStart w:id="39" w:name="_Toc386364066"/>
      <w:r w:rsidRPr="00596ED3">
        <w:t>Supporting and Strengthening Communities</w:t>
      </w:r>
      <w:r w:rsidRPr="00596ED3">
        <w:tab/>
      </w:r>
    </w:p>
    <w:p w:rsidR="00A53D7D" w:rsidRPr="00596ED3" w:rsidRDefault="00A53D7D" w:rsidP="005140B4">
      <w:pPr>
        <w:pStyle w:val="Heading5"/>
      </w:pPr>
      <w:r w:rsidRPr="00596ED3">
        <w:t>Shrine Galleries of Remembrance</w:t>
      </w:r>
    </w:p>
    <w:p w:rsidR="00A53D7D" w:rsidRPr="00596ED3" w:rsidRDefault="00A53D7D" w:rsidP="005140B4">
      <w:r w:rsidRPr="00596ED3">
        <w:t>Funding is allocated to the Galleries of Remembrance project at the Shrine of Remembrance.</w:t>
      </w:r>
    </w:p>
    <w:p w:rsidR="00A53D7D" w:rsidRPr="00596ED3" w:rsidRDefault="00A53D7D" w:rsidP="005140B4">
      <w:pPr>
        <w:rPr>
          <w:rFonts w:ascii="Calibri" w:hAnsi="Calibri"/>
          <w:b/>
          <w:caps/>
          <w:sz w:val="26"/>
          <w:szCs w:val="22"/>
        </w:rPr>
      </w:pPr>
      <w:r w:rsidRPr="00596ED3">
        <w:t>This initiative contributes to the Department of Premier and Cabinet</w:t>
      </w:r>
      <w:r>
        <w:t>’</w:t>
      </w:r>
      <w:r w:rsidRPr="00596ED3">
        <w:t>s Veterans</w:t>
      </w:r>
      <w:r>
        <w:t>’</w:t>
      </w:r>
      <w:r w:rsidRPr="00596ED3">
        <w:t xml:space="preserve"> Affairs output. </w:t>
      </w:r>
      <w:r w:rsidRPr="00596ED3">
        <w:br w:type="page"/>
      </w:r>
    </w:p>
    <w:p w:rsidR="00A53D7D" w:rsidRPr="00596ED3" w:rsidRDefault="00A53D7D" w:rsidP="005140B4">
      <w:pPr>
        <w:pStyle w:val="Heading1"/>
      </w:pPr>
      <w:bookmarkStart w:id="40" w:name="_Toc407116899"/>
      <w:r w:rsidRPr="00596ED3">
        <w:t>Department of State Development, Business and Innovation</w:t>
      </w:r>
      <w:bookmarkEnd w:id="39"/>
      <w:bookmarkEnd w:id="40"/>
    </w:p>
    <w:p w:rsidR="00A53D7D" w:rsidRPr="00596ED3" w:rsidRDefault="00A53D7D" w:rsidP="005140B4">
      <w:pPr>
        <w:pStyle w:val="Heading3"/>
      </w:pPr>
      <w:r w:rsidRPr="00596ED3">
        <w:t>Output initiatives</w:t>
      </w:r>
    </w:p>
    <w:p w:rsidR="00A53D7D" w:rsidRPr="00596ED3" w:rsidRDefault="00A53D7D" w:rsidP="005140B4">
      <w:pPr>
        <w:pStyle w:val="Tableheading"/>
      </w:pPr>
      <w:r w:rsidRPr="00596ED3">
        <w:t xml:space="preserve">Table 1.15: </w:t>
      </w:r>
      <w:r w:rsidRPr="00596ED3">
        <w:tab/>
        <w:t xml:space="preserve">Output initiatives – State Development, </w:t>
      </w:r>
      <w:proofErr w:type="gramStart"/>
      <w:r w:rsidRPr="00596ED3">
        <w:t>Business</w:t>
      </w:r>
      <w:proofErr w:type="gramEnd"/>
      <w:r w:rsidRPr="00596ED3">
        <w:t xml:space="preserve"> and Innovation</w:t>
      </w:r>
    </w:p>
    <w:p w:rsidR="00A53D7D" w:rsidRDefault="00A53D7D" w:rsidP="005140B4">
      <w:pPr>
        <w:pStyle w:val="million"/>
        <w:rPr>
          <w:rFonts w:ascii="Times New Roman" w:hAnsi="Times New Roman"/>
          <w:sz w:val="20"/>
          <w:lang w:eastAsia="en-AU"/>
        </w:rPr>
      </w:pPr>
      <w:r w:rsidRPr="00596ED3">
        <w:t>($</w:t>
      </w:r>
      <w:r>
        <w:t> million</w:t>
      </w:r>
      <w:r w:rsidRPr="00596ED3">
        <w:t>)</w:t>
      </w:r>
      <w:bookmarkStart w:id="41" w:name="RANGE!A3:F40"/>
    </w:p>
    <w:tbl>
      <w:tblPr>
        <w:tblW w:w="7776" w:type="dxa"/>
        <w:tblInd w:w="29" w:type="dxa"/>
        <w:tblLayout w:type="fixed"/>
        <w:tblCellMar>
          <w:left w:w="43" w:type="dxa"/>
          <w:right w:w="43" w:type="dxa"/>
        </w:tblCellMar>
        <w:tblLook w:val="04A0" w:firstRow="1" w:lastRow="0" w:firstColumn="1" w:lastColumn="0" w:noHBand="0" w:noVBand="1"/>
      </w:tblPr>
      <w:tblGrid>
        <w:gridCol w:w="2810"/>
        <w:gridCol w:w="994"/>
        <w:gridCol w:w="993"/>
        <w:gridCol w:w="993"/>
        <w:gridCol w:w="993"/>
        <w:gridCol w:w="993"/>
      </w:tblGrid>
      <w:tr w:rsidR="00A53D7D" w:rsidRPr="00FB64AD" w:rsidTr="005140B4">
        <w:trPr>
          <w:divId w:val="2106265896"/>
          <w:cantSplit/>
          <w:tblHeader/>
        </w:trPr>
        <w:tc>
          <w:tcPr>
            <w:tcW w:w="2810" w:type="dxa"/>
            <w:tcBorders>
              <w:top w:val="single" w:sz="6" w:space="0" w:color="auto"/>
              <w:left w:val="single" w:sz="6"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820F9">
              <w:rPr>
                <w:color w:val="0D0D0D" w:themeColor="text1" w:themeTint="F2"/>
                <w:lang w:eastAsia="en-AU"/>
              </w:rPr>
              <w:t>.</w:t>
            </w:r>
            <w:bookmarkEnd w:id="41"/>
          </w:p>
        </w:tc>
        <w:tc>
          <w:tcPr>
            <w:tcW w:w="994"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993" w:type="dxa"/>
            <w:tcBorders>
              <w:top w:val="single" w:sz="6" w:space="0" w:color="auto"/>
              <w:left w:val="nil"/>
              <w:bottom w:val="single" w:sz="4" w:space="0" w:color="auto"/>
              <w:right w:val="single" w:sz="6"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r>
      <w:tr w:rsidR="00A53D7D" w:rsidRPr="00FB64AD" w:rsidTr="005140B4">
        <w:trPr>
          <w:divId w:val="2106265896"/>
          <w:cantSplit/>
        </w:trPr>
        <w:tc>
          <w:tcPr>
            <w:tcW w:w="2810" w:type="dxa"/>
            <w:tcBorders>
              <w:top w:val="single" w:sz="6" w:space="0" w:color="auto"/>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Energy and Resources</w:t>
            </w:r>
          </w:p>
        </w:tc>
        <w:tc>
          <w:tcPr>
            <w:tcW w:w="994"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National energy market reform</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2.9</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106265896"/>
          <w:cantSplit/>
        </w:trPr>
        <w:tc>
          <w:tcPr>
            <w:tcW w:w="2810" w:type="dxa"/>
            <w:tcBorders>
              <w:top w:val="nil"/>
              <w:left w:val="nil"/>
              <w:bottom w:val="nil"/>
              <w:right w:val="nil"/>
            </w:tcBorders>
            <w:shd w:val="clear" w:color="auto" w:fill="auto"/>
            <w:noWrap/>
            <w:vAlign w:val="bottom"/>
            <w:hideMark/>
          </w:tcPr>
          <w:p w:rsidR="00A53D7D" w:rsidRPr="00FB64AD" w:rsidRDefault="00A53D7D" w:rsidP="005140B4">
            <w:pPr>
              <w:pStyle w:val="Tabletext"/>
              <w:rPr>
                <w:color w:val="000000"/>
                <w:lang w:eastAsia="en-AU"/>
              </w:rPr>
            </w:pPr>
            <w:r w:rsidRPr="00FB64AD">
              <w:rPr>
                <w:i/>
                <w:iCs/>
                <w:color w:val="000000"/>
                <w:lang w:eastAsia="en-AU"/>
              </w:rPr>
              <w:t>My power planner</w:t>
            </w:r>
            <w:r>
              <w:rPr>
                <w:color w:val="000000"/>
                <w:lang w:eastAsia="en-AU"/>
              </w:rPr>
              <w:t xml:space="preserve"> – </w:t>
            </w:r>
            <w:r w:rsidRPr="00FB64AD">
              <w:rPr>
                <w:color w:val="000000"/>
                <w:lang w:eastAsia="en-AU"/>
              </w:rPr>
              <w:t>extension</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2.6</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Target: accelerating investment in minerals exploration and development</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6.3</w:t>
            </w:r>
          </w:p>
        </w:tc>
      </w:tr>
      <w:tr w:rsidR="00A53D7D" w:rsidRPr="00FB64AD" w:rsidTr="005140B4">
        <w:trPr>
          <w:divId w:val="2106265896"/>
          <w:cantSplit/>
        </w:trPr>
        <w:tc>
          <w:tcPr>
            <w:tcW w:w="2810" w:type="dxa"/>
            <w:tcBorders>
              <w:top w:val="nil"/>
              <w:left w:val="nil"/>
              <w:bottom w:val="nil"/>
              <w:right w:val="nil"/>
            </w:tcBorders>
            <w:shd w:val="clear" w:color="auto" w:fill="auto"/>
            <w:hideMark/>
          </w:tcPr>
          <w:p w:rsidR="00A53D7D" w:rsidRPr="00FB64AD" w:rsidRDefault="00A53D7D" w:rsidP="005140B4">
            <w:pPr>
              <w:pStyle w:val="Tabletext"/>
              <w:rPr>
                <w:b/>
                <w:bCs/>
                <w:lang w:eastAsia="en-AU"/>
              </w:rPr>
            </w:pPr>
            <w:r w:rsidRPr="00FB64AD">
              <w:rPr>
                <w:b/>
                <w:bCs/>
                <w:lang w:eastAsia="en-AU"/>
              </w:rPr>
              <w:t>Innovation and Technology</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r>
      <w:tr w:rsidR="00A53D7D" w:rsidRPr="00FB64AD" w:rsidTr="005140B4">
        <w:trPr>
          <w:divId w:val="2106265896"/>
          <w:cantSplit/>
        </w:trPr>
        <w:tc>
          <w:tcPr>
            <w:tcW w:w="2810" w:type="dxa"/>
            <w:tcBorders>
              <w:top w:val="nil"/>
              <w:left w:val="nil"/>
              <w:bottom w:val="nil"/>
              <w:right w:val="nil"/>
            </w:tcBorders>
            <w:shd w:val="clear" w:color="auto" w:fill="auto"/>
            <w:hideMark/>
          </w:tcPr>
          <w:p w:rsidR="00A53D7D" w:rsidRPr="00FB64AD" w:rsidRDefault="00A53D7D" w:rsidP="005140B4">
            <w:pPr>
              <w:pStyle w:val="Tabletext"/>
              <w:rPr>
                <w:lang w:eastAsia="en-AU"/>
              </w:rPr>
            </w:pPr>
            <w:r w:rsidRPr="00FB64AD">
              <w:rPr>
                <w:lang w:eastAsia="en-AU"/>
              </w:rPr>
              <w:t>CenITex transformation</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Innovation initiatives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Regional Connectivity program</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7.8</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proofErr w:type="spellStart"/>
            <w:r w:rsidRPr="00FB64AD">
              <w:rPr>
                <w:color w:val="000000"/>
                <w:lang w:eastAsia="en-AU"/>
              </w:rPr>
              <w:t>VicConnect</w:t>
            </w:r>
            <w:proofErr w:type="spellEnd"/>
            <w:r w:rsidRPr="00FB64AD">
              <w:rPr>
                <w:color w:val="000000"/>
                <w:lang w:eastAsia="en-AU"/>
              </w:rPr>
              <w:t xml:space="preserve"> </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Investment Attraction, Facilitation and Major Projects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Development projects along the Richmond to Footscray rail corridor</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Investment Support Program</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32.1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32.1</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Implementation of the Victorian Coal Development Strategy</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Securing the future</w:t>
            </w:r>
            <w:r>
              <w:rPr>
                <w:color w:val="000000"/>
                <w:lang w:eastAsia="en-AU"/>
              </w:rPr>
              <w:t xml:space="preserve"> – </w:t>
            </w:r>
            <w:r w:rsidRPr="00FB64AD">
              <w:rPr>
                <w:color w:val="000000"/>
                <w:lang w:eastAsia="en-AU"/>
              </w:rPr>
              <w:t>Victoria</w:t>
            </w:r>
            <w:r>
              <w:rPr>
                <w:color w:val="000000"/>
                <w:lang w:eastAsia="en-AU"/>
              </w:rPr>
              <w:t>’</w:t>
            </w:r>
            <w:r w:rsidRPr="00FB64AD">
              <w:rPr>
                <w:color w:val="000000"/>
                <w:lang w:eastAsia="en-AU"/>
              </w:rPr>
              <w:t>s defence and security sector strategy 2014</w:t>
            </w:r>
            <w:r>
              <w:rPr>
                <w:color w:val="000000"/>
                <w:lang w:eastAsia="en-AU"/>
              </w:rPr>
              <w:noBreakHyphen/>
            </w:r>
            <w:r w:rsidRPr="00FB64AD">
              <w:rPr>
                <w:color w:val="000000"/>
                <w:lang w:eastAsia="en-AU"/>
              </w:rPr>
              <w:t>2018</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Victorian contribution to the automotive structural adjustment and growth fund</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Small Business Assistance</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Supporting small business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4.5</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Tourism and Marketing</w:t>
            </w:r>
          </w:p>
        </w:tc>
        <w:tc>
          <w:tcPr>
            <w:tcW w:w="994" w:type="dxa"/>
            <w:tcBorders>
              <w:top w:val="nil"/>
              <w:left w:val="nil"/>
              <w:bottom w:val="nil"/>
              <w:right w:val="nil"/>
            </w:tcBorders>
            <w:shd w:val="clear" w:color="auto" w:fill="auto"/>
            <w:noWrap/>
            <w:hideMark/>
          </w:tcPr>
          <w:p w:rsidR="00A53D7D" w:rsidRPr="00D418A8" w:rsidRDefault="00A53D7D" w:rsidP="005140B4">
            <w:pPr>
              <w:pStyle w:val="TableofFigures"/>
              <w:rPr>
                <w:color w:val="FFFFFF" w:themeColor="background1"/>
                <w:lang w:eastAsia="en-AU"/>
              </w:rPr>
            </w:pPr>
            <w:r w:rsidRPr="00D418A8">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D418A8" w:rsidRDefault="00A53D7D" w:rsidP="005140B4">
            <w:pPr>
              <w:pStyle w:val="TableofFigures"/>
              <w:rPr>
                <w:color w:val="FFFFFF" w:themeColor="background1"/>
                <w:lang w:eastAsia="en-AU"/>
              </w:rPr>
            </w:pPr>
            <w:r w:rsidRPr="00D418A8">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D418A8" w:rsidRDefault="00A53D7D" w:rsidP="005140B4">
            <w:pPr>
              <w:pStyle w:val="TableofFigures"/>
              <w:rPr>
                <w:color w:val="FFFFFF" w:themeColor="background1"/>
                <w:lang w:eastAsia="en-AU"/>
              </w:rPr>
            </w:pPr>
            <w:r w:rsidRPr="00D418A8">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D418A8" w:rsidRDefault="00A53D7D" w:rsidP="005140B4">
            <w:pPr>
              <w:pStyle w:val="TableofFigures"/>
              <w:rPr>
                <w:color w:val="FFFFFF" w:themeColor="background1"/>
                <w:lang w:eastAsia="en-AU"/>
              </w:rPr>
            </w:pPr>
            <w:r w:rsidRPr="00D418A8">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D418A8" w:rsidRDefault="00A53D7D" w:rsidP="005140B4">
            <w:pPr>
              <w:pStyle w:val="TableofFigures"/>
              <w:rPr>
                <w:color w:val="FFFFFF" w:themeColor="background1"/>
                <w:lang w:eastAsia="en-AU"/>
              </w:rPr>
            </w:pPr>
            <w:r w:rsidRPr="00D418A8">
              <w:rPr>
                <w:color w:val="FFFFFF" w:themeColor="background1"/>
                <w:lang w:eastAsia="en-AU"/>
              </w:rPr>
              <w:t>.</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Melbourne marketing</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Regional tourism</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Air services attraction</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Business events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5.7</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6.0</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b/>
                <w:bCs/>
                <w:color w:val="000000"/>
                <w:lang w:eastAsia="en-AU"/>
              </w:rPr>
            </w:pPr>
            <w:r w:rsidRPr="00FB64AD">
              <w:rPr>
                <w:b/>
                <w:bCs/>
                <w:color w:val="000000"/>
                <w:lang w:eastAsia="en-AU"/>
              </w:rPr>
              <w:t>Trade and Export Facilitation</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FFFFFF" w:themeColor="background1"/>
                <w:lang w:eastAsia="en-AU"/>
              </w:rPr>
            </w:pPr>
            <w:r w:rsidRPr="00FB64AD">
              <w:rPr>
                <w:color w:val="FFFFFF" w:themeColor="background1"/>
                <w:lang w:eastAsia="en-AU"/>
              </w:rPr>
              <w:t>.</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i/>
                <w:iCs/>
                <w:color w:val="000000"/>
                <w:lang w:eastAsia="en-AU"/>
              </w:rPr>
            </w:pPr>
            <w:r w:rsidRPr="00FB64AD">
              <w:rPr>
                <w:i/>
                <w:iCs/>
                <w:color w:val="000000"/>
                <w:lang w:eastAsia="en-AU"/>
              </w:rPr>
              <w:t>Global Health Melbourne Plan</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6.6</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5.2</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Fostering international business partnerships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Victoria</w:t>
            </w:r>
            <w:r>
              <w:rPr>
                <w:color w:val="000000"/>
                <w:lang w:eastAsia="en-AU"/>
              </w:rPr>
              <w:t>’</w:t>
            </w:r>
            <w:r w:rsidRPr="00FB64AD">
              <w:rPr>
                <w:color w:val="000000"/>
                <w:lang w:eastAsia="en-AU"/>
              </w:rPr>
              <w:t>s international engagement in the Republic of Korea</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r>
      <w:tr w:rsidR="00A53D7D" w:rsidRPr="00FB64AD" w:rsidTr="005140B4">
        <w:trPr>
          <w:divId w:val="2106265896"/>
          <w:cantSplit/>
        </w:trPr>
        <w:tc>
          <w:tcPr>
            <w:tcW w:w="2810"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Bushfire Recovery Package</w:t>
            </w:r>
          </w:p>
        </w:tc>
        <w:tc>
          <w:tcPr>
            <w:tcW w:w="994"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106265896"/>
          <w:cantSplit/>
        </w:trPr>
        <w:tc>
          <w:tcPr>
            <w:tcW w:w="2810" w:type="dxa"/>
            <w:tcBorders>
              <w:top w:val="nil"/>
              <w:left w:val="nil"/>
              <w:bottom w:val="single" w:sz="4"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Sub total output initiatives</w:t>
            </w:r>
          </w:p>
        </w:tc>
        <w:tc>
          <w:tcPr>
            <w:tcW w:w="994"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3.0</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71.0</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60.6</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79.4</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76.7</w:t>
            </w:r>
          </w:p>
        </w:tc>
      </w:tr>
      <w:tr w:rsidR="00A53D7D" w:rsidRPr="00FB64AD" w:rsidTr="005140B4">
        <w:trPr>
          <w:divId w:val="2106265896"/>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Existing resources </w:t>
            </w:r>
            <w:r w:rsidRPr="00FB64AD">
              <w:rPr>
                <w:color w:val="000000"/>
                <w:vertAlign w:val="superscript"/>
                <w:lang w:eastAsia="en-AU"/>
              </w:rPr>
              <w:t>(a)</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( 0.5)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( 10.4)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( 14.7)</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( 9.9)</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( 9.8)</w:t>
            </w:r>
          </w:p>
        </w:tc>
      </w:tr>
      <w:tr w:rsidR="00A53D7D" w:rsidRPr="00FB64AD" w:rsidTr="005140B4">
        <w:trPr>
          <w:divId w:val="2106265896"/>
          <w:cantSplit/>
        </w:trPr>
        <w:tc>
          <w:tcPr>
            <w:tcW w:w="2810" w:type="dxa"/>
            <w:tcBorders>
              <w:top w:val="single" w:sz="4" w:space="0" w:color="auto"/>
              <w:left w:val="nil"/>
              <w:bottom w:val="single" w:sz="8"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output initiatives</w:t>
            </w:r>
          </w:p>
        </w:tc>
        <w:tc>
          <w:tcPr>
            <w:tcW w:w="994"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2.5</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60.6</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45.9</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69.5</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66.9</w:t>
            </w:r>
          </w:p>
        </w:tc>
      </w:tr>
    </w:tbl>
    <w:p w:rsidR="00A53D7D" w:rsidRPr="00596ED3" w:rsidRDefault="00A53D7D" w:rsidP="005140B4">
      <w:pPr>
        <w:pStyle w:val="Source"/>
      </w:pPr>
      <w:r w:rsidRPr="00596ED3">
        <w:t xml:space="preserve">Source: Department of Treasury and Finance </w:t>
      </w:r>
      <w:r w:rsidRPr="00596ED3">
        <w:fldChar w:fldCharType="begin"/>
      </w:r>
      <w:r w:rsidRPr="00596ED3">
        <w:instrText xml:space="preserve"> XE "Department of State Development, Business and Innovation:Output initiatives" </w:instrText>
      </w:r>
      <w:r w:rsidRPr="00596ED3">
        <w:fldChar w:fldCharType="end"/>
      </w:r>
    </w:p>
    <w:p w:rsidR="00A53D7D" w:rsidRPr="00596ED3" w:rsidRDefault="00A53D7D" w:rsidP="005140B4">
      <w:pPr>
        <w:pStyle w:val="Notes"/>
      </w:pPr>
      <w:r w:rsidRPr="00596ED3">
        <w:t>Note:</w:t>
      </w:r>
    </w:p>
    <w:p w:rsidR="00A53D7D" w:rsidRDefault="00A53D7D" w:rsidP="005140B4">
      <w:pPr>
        <w:pStyle w:val="Notes"/>
      </w:pPr>
      <w:r w:rsidRPr="00596ED3">
        <w:t>(a)</w:t>
      </w:r>
      <w:r w:rsidRPr="00596ED3">
        <w:tab/>
        <w:t>Existing departmental resources have been reallocated to contribute to the delivery of new initiatives.</w:t>
      </w:r>
    </w:p>
    <w:p w:rsidR="00F820F9" w:rsidRPr="00596ED3" w:rsidRDefault="00F820F9" w:rsidP="005140B4">
      <w:pPr>
        <w:pStyle w:val="Notes"/>
      </w:pPr>
    </w:p>
    <w:p w:rsidR="00A53D7D" w:rsidRPr="00596ED3" w:rsidRDefault="00A53D7D" w:rsidP="005140B4">
      <w:pPr>
        <w:pStyle w:val="Heading4"/>
      </w:pPr>
      <w:r w:rsidRPr="00596ED3">
        <w:t>Energy and Resources</w:t>
      </w:r>
      <w:r w:rsidRPr="00596ED3">
        <w:fldChar w:fldCharType="begin"/>
      </w:r>
      <w:r w:rsidRPr="00596ED3">
        <w:instrText xml:space="preserve"> XE </w:instrText>
      </w:r>
      <w:r>
        <w:instrText>"</w:instrText>
      </w:r>
      <w:r w:rsidRPr="00596ED3">
        <w:instrText>Department of State Development, Business and Innovation:Energy and Resources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National energy market reform</w:t>
      </w:r>
    </w:p>
    <w:p w:rsidR="00A53D7D" w:rsidRPr="00596ED3" w:rsidRDefault="00A53D7D" w:rsidP="005140B4">
      <w:r w:rsidRPr="00596ED3">
        <w:t>Victoria contributes to the cost of regulating and reforming the national energy markets. This initiative includes funding Victoria</w:t>
      </w:r>
      <w:r>
        <w:t>’</w:t>
      </w:r>
      <w:r w:rsidRPr="00596ED3">
        <w:t>s contribution towards the Australian Energy Market Commission and funding for technical reviews and reforms which seek to improve the efficient operation of electricity and gas markets.</w:t>
      </w:r>
    </w:p>
    <w:p w:rsidR="00A53D7D" w:rsidRPr="00596ED3" w:rsidRDefault="00A53D7D" w:rsidP="005140B4">
      <w:r w:rsidRPr="00596ED3">
        <w:t>This initiative contributes to the Department of State Development, Business and Innovation</w:t>
      </w:r>
      <w:r>
        <w:t>’</w:t>
      </w:r>
      <w:r w:rsidRPr="00596ED3">
        <w:t>s Energy and Resources output.</w:t>
      </w:r>
    </w:p>
    <w:p w:rsidR="00A53D7D" w:rsidRPr="00596ED3" w:rsidRDefault="00A53D7D" w:rsidP="005140B4">
      <w:pPr>
        <w:pStyle w:val="Heading5"/>
      </w:pPr>
      <w:r w:rsidRPr="00596ED3">
        <w:rPr>
          <w:i/>
        </w:rPr>
        <w:t>My power planner</w:t>
      </w:r>
      <w:r w:rsidRPr="00596ED3">
        <w:t xml:space="preserve"> – extension</w:t>
      </w:r>
    </w:p>
    <w:p w:rsidR="00A53D7D" w:rsidRPr="00596ED3" w:rsidRDefault="00A53D7D" w:rsidP="005140B4">
      <w:r w:rsidRPr="00596ED3">
        <w:rPr>
          <w:rFonts w:cs="Garamond"/>
          <w:i/>
          <w:color w:val="000000"/>
          <w:szCs w:val="22"/>
          <w:lang w:eastAsia="en-AU"/>
        </w:rPr>
        <w:t>My power planner</w:t>
      </w:r>
      <w:r w:rsidRPr="00596ED3">
        <w:rPr>
          <w:rFonts w:cs="Garamond"/>
          <w:color w:val="000000"/>
          <w:szCs w:val="22"/>
          <w:lang w:eastAsia="en-AU"/>
        </w:rPr>
        <w:t xml:space="preserve"> is a pricing tool available online that enables consumers to better understand their electricity consumption and to compare electricity offers to find a plan that best meets their needs. This initiative provides funding to maintain and improve the tool, including expanding the service to enable comparison of gas offers, support consumers with solar </w:t>
      </w:r>
      <w:proofErr w:type="gramStart"/>
      <w:r w:rsidRPr="00596ED3">
        <w:rPr>
          <w:rFonts w:cs="Garamond"/>
          <w:color w:val="000000"/>
          <w:szCs w:val="22"/>
          <w:lang w:eastAsia="en-AU"/>
        </w:rPr>
        <w:t>panels</w:t>
      </w:r>
      <w:proofErr w:type="gramEnd"/>
      <w:r w:rsidRPr="00596ED3">
        <w:rPr>
          <w:rFonts w:cs="Garamond"/>
          <w:color w:val="000000"/>
          <w:szCs w:val="22"/>
          <w:lang w:eastAsia="en-AU"/>
        </w:rPr>
        <w:t xml:space="preserve"> and assist those from culturally and linguistically diverse communities.</w:t>
      </w:r>
    </w:p>
    <w:p w:rsidR="00A53D7D" w:rsidRPr="00596ED3" w:rsidRDefault="00A53D7D" w:rsidP="005140B4">
      <w:r w:rsidRPr="00596ED3">
        <w:t>This initiative contributes to the Department of State Development, Business and Innovation</w:t>
      </w:r>
      <w:r>
        <w:t>’</w:t>
      </w:r>
      <w:r w:rsidRPr="00596ED3">
        <w:t>s Energy and Resources output.</w:t>
      </w:r>
    </w:p>
    <w:p w:rsidR="00A53D7D" w:rsidRPr="00596ED3" w:rsidRDefault="00A53D7D" w:rsidP="005140B4">
      <w:pPr>
        <w:pStyle w:val="Heading5"/>
      </w:pPr>
      <w:r w:rsidRPr="00596ED3">
        <w:t>Target: accelerating investment in minerals exploration and development</w:t>
      </w:r>
    </w:p>
    <w:p w:rsidR="00A53D7D" w:rsidRPr="00596ED3" w:rsidRDefault="00A53D7D" w:rsidP="005140B4">
      <w:r w:rsidRPr="00596ED3">
        <w:rPr>
          <w:rFonts w:cs="Garamond"/>
          <w:color w:val="000000"/>
          <w:szCs w:val="22"/>
          <w:lang w:eastAsia="en-AU"/>
        </w:rPr>
        <w:t>Support for investment and development in the Victorian minerals and resources sector will be provided to reduce the barriers to exploration activities through co</w:t>
      </w:r>
      <w:r>
        <w:rPr>
          <w:rFonts w:cs="Garamond"/>
          <w:color w:val="000000"/>
          <w:szCs w:val="22"/>
          <w:lang w:eastAsia="en-AU"/>
        </w:rPr>
        <w:noBreakHyphen/>
      </w:r>
      <w:r w:rsidRPr="00596ED3">
        <w:rPr>
          <w:rFonts w:cs="Garamond"/>
          <w:color w:val="000000"/>
          <w:szCs w:val="22"/>
          <w:lang w:eastAsia="en-AU"/>
        </w:rPr>
        <w:t xml:space="preserve">funded grants for minerals exploration. The areas targeted for base metals and gold </w:t>
      </w:r>
      <w:proofErr w:type="gramStart"/>
      <w:r w:rsidRPr="00596ED3">
        <w:rPr>
          <w:rFonts w:cs="Garamond"/>
          <w:color w:val="000000"/>
          <w:szCs w:val="22"/>
          <w:lang w:eastAsia="en-AU"/>
        </w:rPr>
        <w:t>exploration are</w:t>
      </w:r>
      <w:proofErr w:type="gramEnd"/>
      <w:r w:rsidRPr="00596ED3">
        <w:rPr>
          <w:rFonts w:cs="Garamond"/>
          <w:color w:val="000000"/>
          <w:szCs w:val="22"/>
          <w:lang w:eastAsia="en-AU"/>
        </w:rPr>
        <w:t xml:space="preserve"> in Victoria</w:t>
      </w:r>
      <w:r>
        <w:rPr>
          <w:rFonts w:cs="Garamond"/>
          <w:color w:val="000000"/>
          <w:szCs w:val="22"/>
          <w:lang w:eastAsia="en-AU"/>
        </w:rPr>
        <w:t>’</w:t>
      </w:r>
      <w:r w:rsidRPr="00596ED3">
        <w:rPr>
          <w:rFonts w:cs="Garamond"/>
          <w:color w:val="000000"/>
          <w:szCs w:val="22"/>
          <w:lang w:eastAsia="en-AU"/>
        </w:rPr>
        <w:t>s north</w:t>
      </w:r>
      <w:r>
        <w:rPr>
          <w:rFonts w:cs="Garamond"/>
          <w:color w:val="000000"/>
          <w:szCs w:val="22"/>
          <w:lang w:eastAsia="en-AU"/>
        </w:rPr>
        <w:noBreakHyphen/>
      </w:r>
      <w:r w:rsidRPr="00596ED3">
        <w:rPr>
          <w:rFonts w:cs="Garamond"/>
          <w:color w:val="000000"/>
          <w:szCs w:val="22"/>
          <w:lang w:eastAsia="en-AU"/>
        </w:rPr>
        <w:t>east, north and west. Data acquired during the initiative will be recorded on the Geological Survey of Victoria and made available online to assist future exploration.</w:t>
      </w:r>
    </w:p>
    <w:p w:rsidR="00A53D7D" w:rsidRPr="00596ED3" w:rsidRDefault="00A53D7D" w:rsidP="005140B4">
      <w:r w:rsidRPr="00596ED3">
        <w:t>This initiative contributes to the Department of State Development, Business and Innovation</w:t>
      </w:r>
      <w:r>
        <w:t>’</w:t>
      </w:r>
      <w:r w:rsidRPr="00596ED3">
        <w:t>s Energy and Resources output.</w:t>
      </w:r>
    </w:p>
    <w:p w:rsidR="00A53D7D" w:rsidRDefault="00A53D7D">
      <w:pPr>
        <w:spacing w:after="0"/>
        <w:rPr>
          <w:rFonts w:ascii="Calibri" w:hAnsi="Calibri"/>
          <w:i/>
          <w:sz w:val="24"/>
          <w:szCs w:val="22"/>
        </w:rPr>
      </w:pPr>
      <w:r>
        <w:br w:type="page"/>
      </w:r>
    </w:p>
    <w:p w:rsidR="00A53D7D" w:rsidRPr="00596ED3" w:rsidRDefault="00A53D7D" w:rsidP="005140B4">
      <w:pPr>
        <w:pStyle w:val="Heading4"/>
      </w:pPr>
      <w:r w:rsidRPr="00596ED3">
        <w:t>Innovation and Technology</w:t>
      </w:r>
      <w:r w:rsidRPr="00596ED3">
        <w:fldChar w:fldCharType="begin"/>
      </w:r>
      <w:r w:rsidRPr="00596ED3">
        <w:instrText xml:space="preserve"> XE </w:instrText>
      </w:r>
      <w:r>
        <w:instrText>"</w:instrText>
      </w:r>
      <w:r w:rsidRPr="00596ED3">
        <w:instrText>Department of State Development, Business and Innovation:Innovation and Technology</w:instrText>
      </w:r>
      <w:r>
        <w:instrText>"</w:instrText>
      </w:r>
      <w:r w:rsidRPr="00596ED3">
        <w:instrText xml:space="preserve"> </w:instrText>
      </w:r>
      <w:r w:rsidRPr="00596ED3">
        <w:fldChar w:fldCharType="end"/>
      </w:r>
    </w:p>
    <w:p w:rsidR="00A53D7D" w:rsidRPr="00596ED3" w:rsidRDefault="00A53D7D" w:rsidP="005140B4">
      <w:pPr>
        <w:pStyle w:val="Heading5"/>
      </w:pPr>
      <w:r w:rsidRPr="00596ED3">
        <w:t>CenITex transformation</w:t>
      </w:r>
    </w:p>
    <w:p w:rsidR="00A53D7D" w:rsidRPr="00596ED3" w:rsidRDefault="00A53D7D" w:rsidP="005140B4">
      <w:r w:rsidRPr="00596ED3">
        <w:t>The CenITex transformation supports the Government</w:t>
      </w:r>
      <w:r>
        <w:t>’</w:t>
      </w:r>
      <w:r w:rsidRPr="00596ED3">
        <w:t>s commitment to improving the procurement and management of ICT in the Victorian Government in order to achieve better value for money outcomes and service delivery. This initiative seeks to outsource the ICT services currently provided by CenITex, the Victorian Government ICT shared services provider. The funding will support the process to procure outsourced services.</w:t>
      </w:r>
    </w:p>
    <w:p w:rsidR="00A53D7D" w:rsidRPr="00596ED3" w:rsidRDefault="00A53D7D" w:rsidP="005140B4">
      <w:r w:rsidRPr="00596ED3">
        <w:t>This initiative contributes to the Department of State Development, Business and Innovation</w:t>
      </w:r>
      <w:r>
        <w:t>’</w:t>
      </w:r>
      <w:r w:rsidRPr="00596ED3">
        <w:t>s Innovation and Technology output.</w:t>
      </w:r>
    </w:p>
    <w:p w:rsidR="00A53D7D" w:rsidRPr="00596ED3" w:rsidRDefault="00A53D7D" w:rsidP="005140B4">
      <w:pPr>
        <w:pStyle w:val="Heading5"/>
      </w:pPr>
      <w:r w:rsidRPr="00596ED3">
        <w:t>Innovation initiatives</w:t>
      </w:r>
    </w:p>
    <w:p w:rsidR="00A53D7D" w:rsidRPr="00596ED3" w:rsidRDefault="00A53D7D" w:rsidP="005140B4">
      <w:r w:rsidRPr="00596ED3">
        <w:t xml:space="preserve">Funding will be continued for additional Victoria Prizes, Victoria </w:t>
      </w:r>
      <w:proofErr w:type="gramStart"/>
      <w:r w:rsidRPr="00596ED3">
        <w:t>Fellowships</w:t>
      </w:r>
      <w:proofErr w:type="gramEnd"/>
      <w:r w:rsidRPr="00596ED3">
        <w:t xml:space="preserve"> and Victorian Postdoctoral Research fellowships to recognise excellence in science and innovation and for Victorian researchers to take up opportunities for science research positions and build international connections. This supports the productivity and growth of the Victorian research sector.</w:t>
      </w:r>
    </w:p>
    <w:p w:rsidR="00A53D7D" w:rsidRPr="00596ED3" w:rsidRDefault="00A53D7D" w:rsidP="005140B4">
      <w:r w:rsidRPr="00596ED3">
        <w:t>This initiative contributes to the Department of State Development, Business and Innovation</w:t>
      </w:r>
      <w:r>
        <w:t>’</w:t>
      </w:r>
      <w:r w:rsidRPr="00596ED3">
        <w:t>s Innovation and Technology output.</w:t>
      </w:r>
    </w:p>
    <w:p w:rsidR="00A53D7D" w:rsidRPr="00596ED3" w:rsidRDefault="00A53D7D" w:rsidP="005140B4">
      <w:pPr>
        <w:pStyle w:val="Heading5"/>
      </w:pPr>
      <w:r w:rsidRPr="00596ED3">
        <w:t>Regional Connectivity program</w:t>
      </w:r>
    </w:p>
    <w:p w:rsidR="00A53D7D" w:rsidRPr="00596ED3" w:rsidRDefault="00A53D7D" w:rsidP="005140B4">
      <w:pPr>
        <w:rPr>
          <w:rFonts w:cs="Arial"/>
        </w:rPr>
      </w:pPr>
      <w:r w:rsidRPr="00596ED3">
        <w:t xml:space="preserve">The Regional Connectivity program aims to address mobile phone coverage gaps in fire and flood prone areas and internet connectivity on regional rail services operating between Melbourne and Ballarat, Bendigo, Geelong, Seymour and Traralgon. This initiative will be jointly implemented with the Commonwealth Government. It </w:t>
      </w:r>
      <w:r w:rsidRPr="00596ED3">
        <w:rPr>
          <w:rFonts w:cs="Arial"/>
        </w:rPr>
        <w:t>will improve public safety, deliver productivity and economic development benefits for small regional communities</w:t>
      </w:r>
      <w:r>
        <w:rPr>
          <w:rFonts w:cs="Arial"/>
        </w:rPr>
        <w:t>.</w:t>
      </w:r>
      <w:r w:rsidRPr="00596ED3">
        <w:rPr>
          <w:rFonts w:cs="Arial"/>
        </w:rPr>
        <w:t xml:space="preserve"> </w:t>
      </w:r>
    </w:p>
    <w:p w:rsidR="00A53D7D" w:rsidRPr="00596ED3" w:rsidRDefault="00A53D7D" w:rsidP="005140B4">
      <w:r w:rsidRPr="00596ED3">
        <w:t>This initiative contributes to the Department of State Development, Business and Innovation</w:t>
      </w:r>
      <w:r>
        <w:t>’</w:t>
      </w:r>
      <w:r w:rsidRPr="00596ED3">
        <w:t>s Innovation and Technology output.</w:t>
      </w:r>
    </w:p>
    <w:p w:rsidR="00A53D7D" w:rsidRPr="00596ED3" w:rsidRDefault="00A53D7D" w:rsidP="005140B4">
      <w:pPr>
        <w:pStyle w:val="Heading5"/>
      </w:pPr>
      <w:proofErr w:type="spellStart"/>
      <w:r w:rsidRPr="00596ED3">
        <w:t>VicConnect</w:t>
      </w:r>
      <w:proofErr w:type="spellEnd"/>
    </w:p>
    <w:p w:rsidR="00A53D7D" w:rsidRPr="00596ED3" w:rsidRDefault="00A53D7D" w:rsidP="005140B4">
      <w:r w:rsidRPr="00596ED3">
        <w:t xml:space="preserve">The </w:t>
      </w:r>
      <w:proofErr w:type="spellStart"/>
      <w:r w:rsidRPr="00596ED3">
        <w:t>VicConnect</w:t>
      </w:r>
      <w:proofErr w:type="spellEnd"/>
      <w:r w:rsidRPr="00596ED3">
        <w:t xml:space="preserve"> project will transform the way the Victorian Government purchases and manages telecommunications and other Information Communication Technology (ICT) services. The funding for </w:t>
      </w:r>
      <w:proofErr w:type="spellStart"/>
      <w:r w:rsidRPr="00596ED3">
        <w:t>VicConnect</w:t>
      </w:r>
      <w:proofErr w:type="spellEnd"/>
      <w:r w:rsidRPr="00596ED3">
        <w:t xml:space="preserve"> project will create a Government cloud – a secure private data network – and Government ICT marketplace for the existing Telecommunications Purchasing and Management Strategy. The </w:t>
      </w:r>
      <w:proofErr w:type="spellStart"/>
      <w:r w:rsidRPr="00596ED3">
        <w:t>VicConnect</w:t>
      </w:r>
      <w:proofErr w:type="spellEnd"/>
      <w:r w:rsidRPr="00596ED3">
        <w:t xml:space="preserve"> project will contribute to the commitments in the Victorian Government ICT strategy. </w:t>
      </w:r>
    </w:p>
    <w:p w:rsidR="00A53D7D" w:rsidRPr="00596ED3" w:rsidRDefault="00A53D7D" w:rsidP="005140B4">
      <w:r w:rsidRPr="00596ED3">
        <w:t>This initiative contributes to the Department of State Development, Business and Innovation</w:t>
      </w:r>
      <w:r>
        <w:t>’</w:t>
      </w:r>
      <w:r w:rsidRPr="00596ED3">
        <w:t>s Innovation and Technology output.</w:t>
      </w:r>
    </w:p>
    <w:p w:rsidR="00A53D7D" w:rsidRDefault="00A53D7D">
      <w:pPr>
        <w:spacing w:after="0"/>
        <w:rPr>
          <w:rFonts w:ascii="Calibri" w:hAnsi="Calibri"/>
          <w:i/>
          <w:sz w:val="24"/>
          <w:szCs w:val="22"/>
        </w:rPr>
      </w:pPr>
      <w:r>
        <w:br w:type="page"/>
      </w:r>
    </w:p>
    <w:p w:rsidR="00A53D7D" w:rsidRPr="00596ED3" w:rsidRDefault="00A53D7D" w:rsidP="005140B4">
      <w:pPr>
        <w:pStyle w:val="Heading4"/>
      </w:pPr>
      <w:r w:rsidRPr="00596ED3">
        <w:t>Investment Attraction, Facilitation and Major Projects</w:t>
      </w:r>
      <w:r w:rsidRPr="00596ED3">
        <w:fldChar w:fldCharType="begin"/>
      </w:r>
      <w:r w:rsidRPr="00596ED3">
        <w:instrText xml:space="preserve"> XE </w:instrText>
      </w:r>
      <w:r>
        <w:instrText>"</w:instrText>
      </w:r>
      <w:r w:rsidRPr="00596ED3">
        <w:instrText>Department of State Development, Business and Innovation:Investment Attraction, Facilitation and Major Projects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Development projects along the Richmond to Footscray rail corridor</w:t>
      </w:r>
    </w:p>
    <w:p w:rsidR="00A53D7D" w:rsidRPr="00596ED3" w:rsidRDefault="00A53D7D" w:rsidP="005140B4">
      <w:r w:rsidRPr="00596ED3">
        <w:t>Funding is provided to commence planning and development of significant projects along the Richmond to Footscray rail corridor encompassing E</w:t>
      </w:r>
      <w:r>
        <w:noBreakHyphen/>
      </w:r>
      <w:r w:rsidRPr="00596ED3">
        <w:t xml:space="preserve">Gate, Flinders Street Station, Federation Square East and Richmond Station projects. </w:t>
      </w:r>
    </w:p>
    <w:p w:rsidR="00A53D7D" w:rsidRPr="00596ED3" w:rsidRDefault="00A53D7D" w:rsidP="005140B4">
      <w:r w:rsidRPr="00596ED3">
        <w:t>This initiative contributes to the Department of State Development, Business and Innovation</w:t>
      </w:r>
      <w:r>
        <w:t>’</w:t>
      </w:r>
      <w:r w:rsidRPr="00596ED3">
        <w:t>s Investment Attraction, Facilitation and Major Projects output.</w:t>
      </w:r>
    </w:p>
    <w:p w:rsidR="00A53D7D" w:rsidRPr="00596ED3" w:rsidRDefault="00A53D7D" w:rsidP="005140B4">
      <w:pPr>
        <w:pStyle w:val="Heading5"/>
      </w:pPr>
      <w:r w:rsidRPr="00596ED3">
        <w:t>Investment Support Program</w:t>
      </w:r>
    </w:p>
    <w:p w:rsidR="00A53D7D" w:rsidRPr="00596ED3" w:rsidRDefault="00A53D7D" w:rsidP="005140B4">
      <w:r w:rsidRPr="00596ED3">
        <w:t>Funding is continued for the Investment Support Program which aims to continue to attract valuable investment to Victoria that has a net economic benefit to the State.</w:t>
      </w:r>
    </w:p>
    <w:p w:rsidR="00A53D7D" w:rsidRPr="00596ED3" w:rsidRDefault="00A53D7D" w:rsidP="005140B4">
      <w:r w:rsidRPr="00596ED3">
        <w:t>This initiative contributes to the Department of State Development, Business and Innovation</w:t>
      </w:r>
      <w:r>
        <w:t>’</w:t>
      </w:r>
      <w:r w:rsidRPr="00596ED3">
        <w:t>s Investment Attraction, Facilitation and Major Projects output.</w:t>
      </w:r>
    </w:p>
    <w:p w:rsidR="00A53D7D" w:rsidRPr="00596ED3" w:rsidRDefault="00A53D7D" w:rsidP="005140B4">
      <w:pPr>
        <w:pStyle w:val="Heading5"/>
      </w:pPr>
      <w:r w:rsidRPr="00596ED3">
        <w:t>Implementation of the Victorian Coal Development Strategy</w:t>
      </w:r>
    </w:p>
    <w:p w:rsidR="00A53D7D" w:rsidRPr="00596ED3" w:rsidRDefault="00A53D7D" w:rsidP="005140B4">
      <w:r>
        <w:t>T</w:t>
      </w:r>
      <w:r w:rsidRPr="00596ED3">
        <w:t>he Victorian Coal Development Strategy</w:t>
      </w:r>
      <w:r>
        <w:t xml:space="preserve"> will continue</w:t>
      </w:r>
      <w:r w:rsidRPr="00596ED3">
        <w:t>, involv</w:t>
      </w:r>
      <w:r>
        <w:t>ing</w:t>
      </w:r>
      <w:r w:rsidRPr="00596ED3">
        <w:t xml:space="preserve"> market testing and development, and is based upon a commitment to economic development in the Latrobe Valley. Market development will be undertaken to maximise the opportunities and economic benefits to the State.</w:t>
      </w:r>
    </w:p>
    <w:p w:rsidR="00A53D7D" w:rsidRPr="00596ED3" w:rsidRDefault="00A53D7D" w:rsidP="005140B4">
      <w:r w:rsidRPr="00596ED3">
        <w:t>This initiative contributes to the Department of State Development, Business and Innovation</w:t>
      </w:r>
      <w:r>
        <w:t>’</w:t>
      </w:r>
      <w:r w:rsidRPr="00596ED3">
        <w:t>s Investment Attraction, Facilitation and Major Projects output.</w:t>
      </w:r>
    </w:p>
    <w:p w:rsidR="00A53D7D" w:rsidRPr="00596ED3" w:rsidRDefault="00A53D7D" w:rsidP="005140B4">
      <w:pPr>
        <w:pStyle w:val="Heading5"/>
      </w:pPr>
      <w:r w:rsidRPr="00596ED3">
        <w:t>Securing the future – Victoria</w:t>
      </w:r>
      <w:r>
        <w:t>’</w:t>
      </w:r>
      <w:r w:rsidRPr="00596ED3">
        <w:t>s defence and security sector strategy 2014</w:t>
      </w:r>
      <w:r>
        <w:noBreakHyphen/>
      </w:r>
      <w:r w:rsidRPr="00596ED3">
        <w:t>2018</w:t>
      </w:r>
    </w:p>
    <w:p w:rsidR="00A53D7D" w:rsidRPr="00596ED3" w:rsidRDefault="00A53D7D" w:rsidP="005140B4">
      <w:r w:rsidRPr="00596ED3">
        <w:t>Dedicated funding is provided to implement the Securing the Future Strategy. Implementation of the strategy will support Victorian</w:t>
      </w:r>
      <w:r>
        <w:noBreakHyphen/>
      </w:r>
      <w:r w:rsidRPr="00596ED3">
        <w:t xml:space="preserve">based defence national security companies to capitalise on opportunities for growth by targeting major defence projects and identifying market opportunities domestically and internationally, assist defence businesses to participate in domestic and global supply chains, target major defence projects that will boost competitiveness, facilitate collaborative projects which will lead to innovation and help sustain existing defence capability. </w:t>
      </w:r>
    </w:p>
    <w:p w:rsidR="00A53D7D" w:rsidRPr="00596ED3" w:rsidRDefault="00A53D7D" w:rsidP="005140B4">
      <w:r w:rsidRPr="00596ED3">
        <w:t>This initiative contributes to the Department of State Development, Business and Innovation</w:t>
      </w:r>
      <w:r>
        <w:t>’</w:t>
      </w:r>
      <w:r w:rsidRPr="00596ED3">
        <w:t>s Investment Attraction, Facilitation and Major Projects output.</w:t>
      </w:r>
    </w:p>
    <w:p w:rsidR="00A53D7D" w:rsidRPr="00596ED3" w:rsidRDefault="00A53D7D" w:rsidP="005140B4">
      <w:pPr>
        <w:pStyle w:val="Heading5"/>
      </w:pPr>
      <w:r w:rsidRPr="00596ED3">
        <w:t>Victorian contribution to the automotive structural adjustment and growth fund</w:t>
      </w:r>
    </w:p>
    <w:p w:rsidR="00A53D7D" w:rsidRPr="00596ED3" w:rsidRDefault="00A53D7D" w:rsidP="005140B4">
      <w:r w:rsidRPr="00596ED3">
        <w:t>The Government will contribute $12</w:t>
      </w:r>
      <w:r>
        <w:t> million</w:t>
      </w:r>
      <w:r w:rsidRPr="00596ED3">
        <w:t xml:space="preserve"> to a structural adjustment package for the automotive industry established by the Commonwealth Government. This new automotive structural adjustment fund will assist Victorian manufacturing to transition by attracting innovative, </w:t>
      </w:r>
      <w:proofErr w:type="gramStart"/>
      <w:r w:rsidRPr="00596ED3">
        <w:t>sustainable</w:t>
      </w:r>
      <w:proofErr w:type="gramEnd"/>
      <w:r w:rsidRPr="00596ED3">
        <w:t xml:space="preserve"> and footloose investment.</w:t>
      </w:r>
    </w:p>
    <w:p w:rsidR="00A53D7D" w:rsidRPr="00596ED3" w:rsidRDefault="00A53D7D" w:rsidP="005140B4">
      <w:r w:rsidRPr="00596ED3">
        <w:t>This initiative contributes to the Department of State Development, Business and Innovation</w:t>
      </w:r>
      <w:r>
        <w:t>’</w:t>
      </w:r>
      <w:r w:rsidRPr="00596ED3">
        <w:t>s Investment Attraction, Facilitation and Major Projects output.</w:t>
      </w:r>
    </w:p>
    <w:p w:rsidR="00A53D7D" w:rsidRPr="00596ED3" w:rsidRDefault="00A53D7D" w:rsidP="005140B4">
      <w:pPr>
        <w:pStyle w:val="Heading4"/>
      </w:pPr>
      <w:r w:rsidRPr="00596ED3">
        <w:t>Small Business Assistance</w:t>
      </w:r>
      <w:r w:rsidRPr="00596ED3">
        <w:fldChar w:fldCharType="begin"/>
      </w:r>
      <w:r w:rsidRPr="00596ED3">
        <w:instrText xml:space="preserve"> XE </w:instrText>
      </w:r>
      <w:r>
        <w:instrText>"</w:instrText>
      </w:r>
      <w:r w:rsidRPr="00596ED3">
        <w:instrText>Department of State Development, Business and Innovation:Small Business Assistance</w:instrText>
      </w:r>
      <w:r>
        <w:instrText>"</w:instrText>
      </w:r>
      <w:r w:rsidRPr="00596ED3">
        <w:instrText xml:space="preserve"> </w:instrText>
      </w:r>
      <w:r w:rsidRPr="00596ED3">
        <w:fldChar w:fldCharType="end"/>
      </w:r>
    </w:p>
    <w:p w:rsidR="00A53D7D" w:rsidRPr="00596ED3" w:rsidRDefault="00A53D7D" w:rsidP="005140B4">
      <w:pPr>
        <w:pStyle w:val="Heading5"/>
      </w:pPr>
      <w:r w:rsidRPr="00596ED3">
        <w:t>Supporting small business</w:t>
      </w:r>
    </w:p>
    <w:p w:rsidR="00A53D7D" w:rsidRPr="00596ED3" w:rsidRDefault="00A53D7D" w:rsidP="005140B4">
      <w:r w:rsidRPr="00596ED3">
        <w:t>Victoria</w:t>
      </w:r>
      <w:r>
        <w:t>’</w:t>
      </w:r>
      <w:r w:rsidRPr="00596ED3">
        <w:t xml:space="preserve">s small business sector will be supported with enhanced access to business information, </w:t>
      </w:r>
      <w:proofErr w:type="gramStart"/>
      <w:r w:rsidRPr="00596ED3">
        <w:t>tools</w:t>
      </w:r>
      <w:proofErr w:type="gramEnd"/>
      <w:r w:rsidRPr="00596ED3">
        <w:t xml:space="preserve"> and assistance. Small business operators will have access to seminars, </w:t>
      </w:r>
      <w:proofErr w:type="gramStart"/>
      <w:r w:rsidRPr="00596ED3">
        <w:t>workshops</w:t>
      </w:r>
      <w:proofErr w:type="gramEnd"/>
      <w:r w:rsidRPr="00596ED3">
        <w:t xml:space="preserve"> and mentoring programs. </w:t>
      </w:r>
    </w:p>
    <w:p w:rsidR="00A53D7D" w:rsidRPr="00596ED3" w:rsidRDefault="00A53D7D" w:rsidP="005140B4">
      <w:r w:rsidRPr="00596ED3">
        <w:t>This initiative contributes to the Department of State Development, Business and Innovation</w:t>
      </w:r>
      <w:r>
        <w:t>’</w:t>
      </w:r>
      <w:r w:rsidRPr="00596ED3">
        <w:t>s Small Business Assistance output.</w:t>
      </w:r>
    </w:p>
    <w:p w:rsidR="00A53D7D" w:rsidRPr="00596ED3" w:rsidRDefault="00A53D7D" w:rsidP="005140B4">
      <w:pPr>
        <w:pStyle w:val="Heading4"/>
      </w:pPr>
      <w:r w:rsidRPr="00596ED3">
        <w:t>Tourism and Marketing</w:t>
      </w:r>
      <w:r w:rsidRPr="00596ED3">
        <w:fldChar w:fldCharType="begin"/>
      </w:r>
      <w:r w:rsidRPr="00596ED3">
        <w:instrText xml:space="preserve"> XE </w:instrText>
      </w:r>
      <w:r>
        <w:instrText>"</w:instrText>
      </w:r>
      <w:r w:rsidRPr="00596ED3">
        <w:instrText>Department of State Development, Business and Innovation:Tourism and Marketing</w:instrText>
      </w:r>
      <w:r>
        <w:instrText>"</w:instrText>
      </w:r>
      <w:r w:rsidRPr="00596ED3">
        <w:instrText xml:space="preserve"> </w:instrText>
      </w:r>
      <w:r w:rsidRPr="00596ED3">
        <w:fldChar w:fldCharType="end"/>
      </w:r>
    </w:p>
    <w:p w:rsidR="00A53D7D" w:rsidRPr="00596ED3" w:rsidRDefault="00A53D7D" w:rsidP="005140B4">
      <w:pPr>
        <w:pStyle w:val="Heading5"/>
      </w:pPr>
      <w:r w:rsidRPr="00596ED3">
        <w:t>Melbourne marketing</w:t>
      </w:r>
    </w:p>
    <w:p w:rsidR="00A53D7D" w:rsidRPr="00596ED3" w:rsidRDefault="00A53D7D" w:rsidP="005140B4">
      <w:r w:rsidRPr="00596ED3">
        <w:t>Continued support is provided for marketing activities, including advertising campaigns and cooperative partnerships to promote Melbourne as a destination to interstate markets.</w:t>
      </w:r>
    </w:p>
    <w:p w:rsidR="00A53D7D" w:rsidRPr="00596ED3" w:rsidRDefault="00A53D7D" w:rsidP="005140B4">
      <w:r w:rsidRPr="00596ED3">
        <w:t>This initiative contributes to the Department of State Development, Business and Innovation</w:t>
      </w:r>
      <w:r>
        <w:t>’</w:t>
      </w:r>
      <w:r w:rsidRPr="00596ED3">
        <w:t xml:space="preserve">s Tourism and Marketing output. </w:t>
      </w:r>
    </w:p>
    <w:p w:rsidR="00A53D7D" w:rsidRPr="00596ED3" w:rsidRDefault="00A53D7D" w:rsidP="005140B4">
      <w:pPr>
        <w:pStyle w:val="Heading5"/>
      </w:pPr>
      <w:r w:rsidRPr="00596ED3">
        <w:t>Regional tourism</w:t>
      </w:r>
    </w:p>
    <w:p w:rsidR="00A53D7D" w:rsidRPr="00596ED3" w:rsidRDefault="00A53D7D" w:rsidP="005140B4">
      <w:r w:rsidRPr="00596ED3">
        <w:t>Continued support is provided for regional tourism to increase visitation to regional Victoria. Specific initiatives include marketing activities in interstate and intrastate markets.</w:t>
      </w:r>
    </w:p>
    <w:p w:rsidR="00A53D7D" w:rsidRPr="00596ED3" w:rsidRDefault="00A53D7D" w:rsidP="005140B4">
      <w:r w:rsidRPr="00596ED3">
        <w:t>This initiative contributes to the Department of State Development, Business and Innovation</w:t>
      </w:r>
      <w:r>
        <w:t>’</w:t>
      </w:r>
      <w:r w:rsidRPr="00596ED3">
        <w:t>s Tourism and Marketing output.</w:t>
      </w:r>
    </w:p>
    <w:p w:rsidR="00A53D7D" w:rsidRPr="00596ED3" w:rsidRDefault="00A53D7D" w:rsidP="005140B4">
      <w:pPr>
        <w:pStyle w:val="Heading5"/>
      </w:pPr>
      <w:r w:rsidRPr="00596ED3">
        <w:t>Air services attraction</w:t>
      </w:r>
    </w:p>
    <w:p w:rsidR="00A53D7D" w:rsidRPr="00596ED3" w:rsidRDefault="00A53D7D" w:rsidP="005140B4">
      <w:r w:rsidRPr="00596ED3">
        <w:t>Funding is provided to attract new air passenger services from priority international markets as part of the airline attraction strategy for direct air services from key inbound markets. This will grow Melbourne as a hub between other popular short haul destinations and support the growth of Melbourne Airport and Avalon Airport.</w:t>
      </w:r>
    </w:p>
    <w:p w:rsidR="00A53D7D" w:rsidRPr="00596ED3" w:rsidRDefault="00A53D7D" w:rsidP="005140B4">
      <w:r w:rsidRPr="00596ED3">
        <w:t>This initiative contributes to the Department of State Development, Business and Innovation</w:t>
      </w:r>
      <w:r>
        <w:t>’</w:t>
      </w:r>
      <w:r w:rsidRPr="00596ED3">
        <w:t>s Tourism and Marketing output.</w:t>
      </w:r>
    </w:p>
    <w:p w:rsidR="00A53D7D" w:rsidRPr="00596ED3" w:rsidRDefault="00A53D7D" w:rsidP="005140B4">
      <w:pPr>
        <w:pStyle w:val="Heading5"/>
      </w:pPr>
      <w:r w:rsidRPr="00596ED3">
        <w:t xml:space="preserve">Business events </w:t>
      </w:r>
    </w:p>
    <w:p w:rsidR="00A53D7D" w:rsidRPr="00596ED3" w:rsidRDefault="00A53D7D" w:rsidP="005140B4">
      <w:r w:rsidRPr="00596ED3">
        <w:t xml:space="preserve">Funding is provided to further develop Melbourne as a key destination for international business events and maximise the contribution business events make to Victoria. Further support is provided for the Melbourne Convention Bureau, Business Events Fund and marketing programs to continue to attract </w:t>
      </w:r>
      <w:r>
        <w:t>business events to</w:t>
      </w:r>
      <w:r w:rsidRPr="00596ED3">
        <w:t xml:space="preserve"> the State.</w:t>
      </w:r>
    </w:p>
    <w:p w:rsidR="00A53D7D" w:rsidRPr="00596ED3" w:rsidRDefault="00A53D7D" w:rsidP="005140B4">
      <w:r w:rsidRPr="00596ED3">
        <w:t>This initiative contributes to the Department of State Development, Business and Innovation</w:t>
      </w:r>
      <w:r>
        <w:t>’</w:t>
      </w:r>
      <w:r w:rsidRPr="00596ED3">
        <w:t>s Tourism and Marketing output.</w:t>
      </w:r>
    </w:p>
    <w:p w:rsidR="00A53D7D" w:rsidRDefault="00A53D7D">
      <w:pPr>
        <w:spacing w:after="0"/>
        <w:rPr>
          <w:rFonts w:ascii="Calibri" w:hAnsi="Calibri"/>
          <w:i/>
          <w:sz w:val="24"/>
          <w:szCs w:val="22"/>
        </w:rPr>
      </w:pPr>
      <w:r>
        <w:br w:type="page"/>
      </w:r>
    </w:p>
    <w:p w:rsidR="00A53D7D" w:rsidRPr="00596ED3" w:rsidRDefault="00A53D7D" w:rsidP="005140B4">
      <w:pPr>
        <w:pStyle w:val="Heading4"/>
      </w:pPr>
      <w:r w:rsidRPr="00596ED3">
        <w:t>Trade and Export Facilitation</w:t>
      </w:r>
      <w:r w:rsidRPr="00596ED3">
        <w:fldChar w:fldCharType="begin"/>
      </w:r>
      <w:r w:rsidRPr="00596ED3">
        <w:instrText xml:space="preserve"> XE </w:instrText>
      </w:r>
      <w:r>
        <w:instrText>"</w:instrText>
      </w:r>
      <w:r w:rsidRPr="00596ED3">
        <w:instrText>Department of State Development, Business and Innovation:Trade and Export Facilitation</w:instrText>
      </w:r>
      <w:r>
        <w:instrText>"</w:instrText>
      </w:r>
      <w:r w:rsidRPr="00596ED3">
        <w:instrText xml:space="preserve"> </w:instrText>
      </w:r>
      <w:r w:rsidRPr="00596ED3">
        <w:fldChar w:fldCharType="end"/>
      </w:r>
    </w:p>
    <w:p w:rsidR="00A53D7D" w:rsidRPr="00596ED3" w:rsidRDefault="00A53D7D" w:rsidP="005140B4">
      <w:pPr>
        <w:pStyle w:val="Heading5"/>
        <w:rPr>
          <w:i/>
        </w:rPr>
      </w:pPr>
      <w:r w:rsidRPr="00596ED3">
        <w:rPr>
          <w:i/>
        </w:rPr>
        <w:t>Global Health Melbourne Plan</w:t>
      </w:r>
    </w:p>
    <w:p w:rsidR="00A53D7D" w:rsidRPr="00596ED3" w:rsidRDefault="00A53D7D" w:rsidP="005140B4">
      <w:pPr>
        <w:rPr>
          <w:rFonts w:cs="Arial"/>
        </w:rPr>
      </w:pPr>
      <w:r w:rsidRPr="00596ED3">
        <w:t xml:space="preserve">The </w:t>
      </w:r>
      <w:r w:rsidRPr="00596ED3">
        <w:rPr>
          <w:i/>
        </w:rPr>
        <w:t>Global Health Melbourne Plan</w:t>
      </w:r>
      <w:r w:rsidRPr="00596ED3">
        <w:rPr>
          <w:i/>
        </w:rPr>
        <w:fldChar w:fldCharType="begin"/>
      </w:r>
      <w:r w:rsidRPr="00596ED3">
        <w:rPr>
          <w:i/>
        </w:rPr>
        <w:instrText xml:space="preserve"> XE </w:instrText>
      </w:r>
      <w:r>
        <w:instrText>"</w:instrText>
      </w:r>
      <w:r w:rsidRPr="00596ED3">
        <w:rPr>
          <w:i/>
        </w:rPr>
        <w:instrText>Global Health Melbourne Plan</w:instrText>
      </w:r>
      <w:r>
        <w:instrText>"</w:instrText>
      </w:r>
      <w:r w:rsidRPr="00596ED3">
        <w:rPr>
          <w:i/>
        </w:rPr>
        <w:instrText xml:space="preserve"> </w:instrText>
      </w:r>
      <w:r w:rsidRPr="00596ED3">
        <w:rPr>
          <w:i/>
        </w:rPr>
        <w:fldChar w:fldCharType="end"/>
      </w:r>
      <w:r w:rsidRPr="00596ED3">
        <w:t xml:space="preserve"> aims to leverage Victoria</w:t>
      </w:r>
      <w:r>
        <w:t>’</w:t>
      </w:r>
      <w:r w:rsidRPr="00596ED3">
        <w:t xml:space="preserve">s competitive advantages in the health and aged care sectors to generate new trade opportunities, create </w:t>
      </w:r>
      <w:proofErr w:type="gramStart"/>
      <w:r w:rsidRPr="00596ED3">
        <w:t>jobs</w:t>
      </w:r>
      <w:proofErr w:type="gramEnd"/>
      <w:r w:rsidRPr="00596ED3">
        <w:t xml:space="preserve"> and ensure the highest quality health systems in Victoria. This will be achieved through enabling collaboration and partnerships, building capability and growing inbound investment. This in turn will improve Victoria</w:t>
      </w:r>
      <w:r>
        <w:t>’</w:t>
      </w:r>
      <w:r w:rsidRPr="00596ED3">
        <w:t>s ability to develop and deliver high</w:t>
      </w:r>
      <w:r>
        <w:noBreakHyphen/>
      </w:r>
      <w:r w:rsidRPr="00596ED3">
        <w:t xml:space="preserve">quality health services for all Victorians through increased revenue, </w:t>
      </w:r>
      <w:proofErr w:type="gramStart"/>
      <w:r w:rsidRPr="00596ED3">
        <w:t>investment</w:t>
      </w:r>
      <w:proofErr w:type="gramEnd"/>
      <w:r w:rsidRPr="00596ED3">
        <w:t xml:space="preserve"> and skills.</w:t>
      </w:r>
    </w:p>
    <w:p w:rsidR="00A53D7D" w:rsidRPr="00596ED3" w:rsidRDefault="00A53D7D" w:rsidP="005140B4">
      <w:r w:rsidRPr="00596ED3">
        <w:t xml:space="preserve">This initiative contributes to the Department of State Development, </w:t>
      </w:r>
      <w:proofErr w:type="gramStart"/>
      <w:r w:rsidRPr="00596ED3">
        <w:t>Business</w:t>
      </w:r>
      <w:proofErr w:type="gramEnd"/>
      <w:r w:rsidRPr="00596ED3">
        <w:t xml:space="preserve"> and Innovation</w:t>
      </w:r>
      <w:r>
        <w:t>’</w:t>
      </w:r>
      <w:r w:rsidRPr="00596ED3">
        <w:t>s:</w:t>
      </w:r>
    </w:p>
    <w:p w:rsidR="00A53D7D" w:rsidRPr="00596ED3" w:rsidRDefault="00A53D7D" w:rsidP="005140B4">
      <w:pPr>
        <w:pStyle w:val="BulletText"/>
      </w:pPr>
      <w:r w:rsidRPr="00596ED3">
        <w:t>Trade and Export Facilitation output; and</w:t>
      </w:r>
    </w:p>
    <w:p w:rsidR="00A53D7D" w:rsidRPr="00596ED3" w:rsidRDefault="00A53D7D" w:rsidP="005140B4">
      <w:pPr>
        <w:pStyle w:val="BulletText"/>
      </w:pPr>
      <w:r w:rsidRPr="00596ED3">
        <w:t xml:space="preserve">Investment Attraction, </w:t>
      </w:r>
      <w:proofErr w:type="gramStart"/>
      <w:r w:rsidRPr="00596ED3">
        <w:t>Facilitation</w:t>
      </w:r>
      <w:proofErr w:type="gramEnd"/>
      <w:r w:rsidRPr="00596ED3">
        <w:t xml:space="preserve"> and Major Projects output.</w:t>
      </w:r>
    </w:p>
    <w:p w:rsidR="00A53D7D" w:rsidRPr="00596ED3" w:rsidRDefault="00A53D7D" w:rsidP="005140B4">
      <w:pPr>
        <w:pStyle w:val="Heading5"/>
      </w:pPr>
      <w:r w:rsidRPr="00596ED3">
        <w:t xml:space="preserve">Fostering international business partnerships </w:t>
      </w:r>
    </w:p>
    <w:p w:rsidR="00A53D7D" w:rsidRPr="00596ED3" w:rsidRDefault="00A53D7D" w:rsidP="005140B4">
      <w:r w:rsidRPr="00596ED3">
        <w:t>Funding is provided to support Victoria</w:t>
      </w:r>
      <w:r>
        <w:t>’</w:t>
      </w:r>
      <w:r w:rsidRPr="00596ED3">
        <w:t xml:space="preserve">s participation at Expo Milano 2015, Italy and the establishment of the International Partnership Fund. The funding will help develop partnerships that will support new trade and investment opportunities for Victorian organisations, promote Victorian capabilities and support potential export opportunities. </w:t>
      </w:r>
    </w:p>
    <w:p w:rsidR="00A53D7D" w:rsidRPr="00596ED3" w:rsidRDefault="00A53D7D" w:rsidP="005140B4">
      <w:r w:rsidRPr="00596ED3">
        <w:t>This initiative contributes to the Department of State Development, Business and Innovation</w:t>
      </w:r>
      <w:r>
        <w:t>’</w:t>
      </w:r>
      <w:r w:rsidRPr="00596ED3">
        <w:t>s Trade and Export Facilitation output.</w:t>
      </w:r>
    </w:p>
    <w:p w:rsidR="00A53D7D" w:rsidRPr="00596ED3" w:rsidRDefault="00A53D7D" w:rsidP="005140B4">
      <w:pPr>
        <w:pStyle w:val="Heading5"/>
      </w:pPr>
      <w:r w:rsidRPr="00596ED3">
        <w:t>Victoria</w:t>
      </w:r>
      <w:r>
        <w:t>’</w:t>
      </w:r>
      <w:r w:rsidRPr="00596ED3">
        <w:t>s international engagement in the Republic of Korea</w:t>
      </w:r>
    </w:p>
    <w:p w:rsidR="00A53D7D" w:rsidRPr="00596ED3" w:rsidRDefault="00A53D7D" w:rsidP="005140B4">
      <w:r w:rsidRPr="00596ED3">
        <w:t>Funding is allocated to open a Victorian Government Business Office in the Republic of Korea.</w:t>
      </w:r>
    </w:p>
    <w:p w:rsidR="00A53D7D" w:rsidRPr="00596ED3" w:rsidRDefault="00A53D7D" w:rsidP="005140B4">
      <w:r w:rsidRPr="00596ED3">
        <w:t xml:space="preserve">This initiative contributes to the Department of State Development, </w:t>
      </w:r>
      <w:proofErr w:type="gramStart"/>
      <w:r w:rsidRPr="00596ED3">
        <w:t>Business</w:t>
      </w:r>
      <w:proofErr w:type="gramEnd"/>
      <w:r w:rsidRPr="00596ED3">
        <w:t xml:space="preserve"> and Innovation</w:t>
      </w:r>
      <w:r>
        <w:t>’</w:t>
      </w:r>
      <w:r w:rsidRPr="00596ED3">
        <w:t>s:</w:t>
      </w:r>
    </w:p>
    <w:p w:rsidR="00A53D7D" w:rsidRPr="00596ED3" w:rsidRDefault="00A53D7D" w:rsidP="005140B4">
      <w:pPr>
        <w:pStyle w:val="BulletText"/>
      </w:pPr>
      <w:r w:rsidRPr="00596ED3">
        <w:t>Trade and Export Facilitation output; and</w:t>
      </w:r>
    </w:p>
    <w:p w:rsidR="00A53D7D" w:rsidRPr="00596ED3" w:rsidRDefault="00A53D7D" w:rsidP="005140B4">
      <w:pPr>
        <w:pStyle w:val="BulletText"/>
      </w:pPr>
      <w:r w:rsidRPr="00596ED3">
        <w:t xml:space="preserve">Investment Attraction, </w:t>
      </w:r>
      <w:proofErr w:type="gramStart"/>
      <w:r w:rsidRPr="00596ED3">
        <w:t>Facilitation</w:t>
      </w:r>
      <w:proofErr w:type="gramEnd"/>
      <w:r w:rsidRPr="00596ED3">
        <w:t xml:space="preserve"> and Major Projects output.</w:t>
      </w:r>
    </w:p>
    <w:p w:rsidR="00A53D7D" w:rsidRPr="00596ED3" w:rsidRDefault="00A53D7D">
      <w:pPr>
        <w:spacing w:after="0"/>
        <w:rPr>
          <w:rFonts w:ascii="Calibri" w:hAnsi="Calibri"/>
          <w:b/>
          <w:i/>
          <w:kern w:val="28"/>
          <w:sz w:val="24"/>
          <w:szCs w:val="22"/>
        </w:rPr>
      </w:pPr>
      <w:r w:rsidRPr="00596ED3">
        <w:br w:type="page"/>
      </w:r>
    </w:p>
    <w:p w:rsidR="00A53D7D" w:rsidRPr="00596ED3" w:rsidRDefault="00A53D7D" w:rsidP="005140B4">
      <w:pPr>
        <w:pStyle w:val="Heading3"/>
      </w:pPr>
      <w:r w:rsidRPr="00596ED3">
        <w:t>Asset initiatives</w:t>
      </w:r>
    </w:p>
    <w:p w:rsidR="00A53D7D" w:rsidRPr="00596ED3" w:rsidRDefault="00A53D7D" w:rsidP="005140B4">
      <w:pPr>
        <w:pStyle w:val="Tableheading"/>
      </w:pPr>
      <w:r w:rsidRPr="00596ED3">
        <w:t xml:space="preserve">Table 1.16: </w:t>
      </w:r>
      <w:r w:rsidRPr="00596ED3">
        <w:tab/>
        <w:t xml:space="preserve">Asset initiatives – State Development, </w:t>
      </w:r>
      <w:proofErr w:type="gramStart"/>
      <w:r w:rsidRPr="00596ED3">
        <w:t>Business</w:t>
      </w:r>
      <w:proofErr w:type="gramEnd"/>
      <w:r w:rsidRPr="00596ED3">
        <w:t xml:space="preserve"> and Innovation</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bookmarkStart w:id="42" w:name="RANGE!A49:G58"/>
      <w:bookmarkEnd w:id="42"/>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A53D7D" w:rsidRPr="00FB64AD" w:rsidTr="005140B4">
        <w:tc>
          <w:tcPr>
            <w:tcW w:w="2420" w:type="dxa"/>
            <w:tcBorders>
              <w:top w:val="single" w:sz="4" w:space="0" w:color="auto"/>
              <w:left w:val="single" w:sz="4" w:space="0" w:color="auto"/>
              <w:bottom w:val="single" w:sz="6" w:space="0" w:color="auto"/>
              <w:right w:val="nil"/>
            </w:tcBorders>
            <w:shd w:val="clear" w:color="auto" w:fill="000000"/>
          </w:tcPr>
          <w:p w:rsidR="00A53D7D" w:rsidRPr="00FB64AD" w:rsidRDefault="00A53D7D" w:rsidP="005140B4">
            <w:pPr>
              <w:pStyle w:val="Tabletext"/>
              <w:rPr>
                <w:rFonts w:eastAsiaTheme="minorEastAsia"/>
                <w:lang w:eastAsia="en-AU"/>
              </w:rPr>
            </w:pPr>
          </w:p>
        </w:tc>
        <w:tc>
          <w:tcPr>
            <w:tcW w:w="892" w:type="dxa"/>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2013</w:t>
            </w:r>
            <w:r>
              <w:rPr>
                <w:rFonts w:eastAsiaTheme="minorEastAsia"/>
                <w:lang w:eastAsia="en-AU"/>
              </w:rPr>
              <w:noBreakHyphen/>
            </w:r>
            <w:r w:rsidRPr="00FB64AD">
              <w:rPr>
                <w:rFonts w:eastAsiaTheme="minorEastAsia"/>
                <w:lang w:eastAsia="en-AU"/>
              </w:rPr>
              <w:t>14</w:t>
            </w:r>
          </w:p>
        </w:tc>
        <w:tc>
          <w:tcPr>
            <w:tcW w:w="892" w:type="dxa"/>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2014</w:t>
            </w:r>
            <w:r>
              <w:rPr>
                <w:rFonts w:eastAsiaTheme="minorEastAsia"/>
                <w:lang w:eastAsia="en-AU"/>
              </w:rPr>
              <w:noBreakHyphen/>
            </w:r>
            <w:r w:rsidRPr="00FB64AD">
              <w:rPr>
                <w:rFonts w:eastAsiaTheme="minorEastAsia"/>
                <w:lang w:eastAsia="en-AU"/>
              </w:rPr>
              <w:t>15</w:t>
            </w:r>
          </w:p>
        </w:tc>
        <w:tc>
          <w:tcPr>
            <w:tcW w:w="893" w:type="dxa"/>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2015</w:t>
            </w:r>
            <w:r>
              <w:rPr>
                <w:rFonts w:eastAsiaTheme="minorEastAsia"/>
                <w:lang w:eastAsia="en-AU"/>
              </w:rPr>
              <w:noBreakHyphen/>
            </w:r>
            <w:r w:rsidRPr="00FB64AD">
              <w:rPr>
                <w:rFonts w:eastAsiaTheme="minorEastAsia"/>
                <w:lang w:eastAsia="en-AU"/>
              </w:rPr>
              <w:t>16</w:t>
            </w:r>
          </w:p>
        </w:tc>
        <w:tc>
          <w:tcPr>
            <w:tcW w:w="893" w:type="dxa"/>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2016</w:t>
            </w:r>
            <w:r>
              <w:rPr>
                <w:rFonts w:eastAsiaTheme="minorEastAsia"/>
                <w:lang w:eastAsia="en-AU"/>
              </w:rPr>
              <w:noBreakHyphen/>
            </w:r>
            <w:r w:rsidRPr="00FB64AD">
              <w:rPr>
                <w:rFonts w:eastAsiaTheme="minorEastAsia"/>
                <w:lang w:eastAsia="en-AU"/>
              </w:rPr>
              <w:t>17</w:t>
            </w:r>
          </w:p>
        </w:tc>
        <w:tc>
          <w:tcPr>
            <w:tcW w:w="893" w:type="dxa"/>
            <w:tcBorders>
              <w:top w:val="single" w:sz="4" w:space="0" w:color="auto"/>
              <w:left w:val="nil"/>
              <w:bottom w:val="single" w:sz="6" w:space="0" w:color="auto"/>
              <w:right w:val="nil"/>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2017</w:t>
            </w:r>
            <w:r>
              <w:rPr>
                <w:rFonts w:eastAsiaTheme="minorEastAsia"/>
                <w:lang w:eastAsia="en-AU"/>
              </w:rPr>
              <w:noBreakHyphen/>
            </w:r>
            <w:r w:rsidRPr="00FB64AD">
              <w:rPr>
                <w:rFonts w:eastAsiaTheme="minorEastAsia"/>
                <w:lang w:eastAsia="en-AU"/>
              </w:rPr>
              <w:t>18</w:t>
            </w:r>
          </w:p>
        </w:tc>
        <w:tc>
          <w:tcPr>
            <w:tcW w:w="893" w:type="dxa"/>
            <w:tcBorders>
              <w:top w:val="single" w:sz="4" w:space="0" w:color="auto"/>
              <w:left w:val="nil"/>
              <w:bottom w:val="single" w:sz="6" w:space="0" w:color="auto"/>
              <w:right w:val="single" w:sz="4" w:space="0" w:color="auto"/>
            </w:tcBorders>
            <w:shd w:val="clear" w:color="auto" w:fill="000000"/>
          </w:tcPr>
          <w:p w:rsidR="00A53D7D" w:rsidRPr="00FB64AD" w:rsidRDefault="00A53D7D" w:rsidP="005140B4">
            <w:pPr>
              <w:pStyle w:val="Tabletextheading"/>
              <w:rPr>
                <w:rFonts w:eastAsiaTheme="minorEastAsia"/>
                <w:lang w:eastAsia="en-AU"/>
              </w:rPr>
            </w:pPr>
            <w:r w:rsidRPr="00FB64AD">
              <w:rPr>
                <w:rFonts w:eastAsiaTheme="minorEastAsia"/>
                <w:lang w:eastAsia="en-AU"/>
              </w:rPr>
              <w:t>TEI</w:t>
            </w:r>
          </w:p>
        </w:tc>
      </w:tr>
      <w:tr w:rsidR="00A53D7D" w:rsidRPr="00FB64AD" w:rsidTr="005140B4">
        <w:tc>
          <w:tcPr>
            <w:tcW w:w="2420" w:type="dxa"/>
            <w:tcBorders>
              <w:top w:val="single" w:sz="4" w:space="0" w:color="auto"/>
              <w:left w:val="nil"/>
              <w:bottom w:val="nil"/>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Innovation and Technology</w:t>
            </w:r>
          </w:p>
        </w:tc>
        <w:tc>
          <w:tcPr>
            <w:tcW w:w="892" w:type="dxa"/>
            <w:tcBorders>
              <w:top w:val="single" w:sz="4" w:space="0" w:color="auto"/>
              <w:left w:val="nil"/>
              <w:bottom w:val="nil"/>
              <w:right w:val="nil"/>
            </w:tcBorders>
          </w:tcPr>
          <w:p w:rsidR="00A53D7D" w:rsidRPr="00FB64AD" w:rsidRDefault="00A53D7D" w:rsidP="005140B4">
            <w:pPr>
              <w:pStyle w:val="TableofFigures"/>
              <w:rPr>
                <w:rFonts w:eastAsiaTheme="minorEastAsia"/>
                <w:lang w:eastAsia="en-AU"/>
              </w:rPr>
            </w:pPr>
          </w:p>
        </w:tc>
        <w:tc>
          <w:tcPr>
            <w:tcW w:w="892" w:type="dxa"/>
            <w:tcBorders>
              <w:top w:val="single" w:sz="4" w:space="0" w:color="auto"/>
              <w:left w:val="nil"/>
              <w:bottom w:val="nil"/>
              <w:right w:val="nil"/>
            </w:tcBorders>
          </w:tcPr>
          <w:p w:rsidR="00A53D7D" w:rsidRPr="00FB64AD" w:rsidRDefault="00A53D7D" w:rsidP="005140B4">
            <w:pPr>
              <w:pStyle w:val="TableofFigures"/>
              <w:rPr>
                <w:rFonts w:eastAsiaTheme="minorEastAsia"/>
                <w:lang w:eastAsia="en-AU"/>
              </w:rPr>
            </w:pPr>
          </w:p>
        </w:tc>
        <w:tc>
          <w:tcPr>
            <w:tcW w:w="893" w:type="dxa"/>
            <w:tcBorders>
              <w:top w:val="single" w:sz="4" w:space="0" w:color="auto"/>
              <w:left w:val="nil"/>
              <w:bottom w:val="nil"/>
              <w:right w:val="nil"/>
            </w:tcBorders>
          </w:tcPr>
          <w:p w:rsidR="00A53D7D" w:rsidRPr="00FB64AD" w:rsidRDefault="00A53D7D" w:rsidP="005140B4">
            <w:pPr>
              <w:pStyle w:val="TableofFigures"/>
              <w:rPr>
                <w:rFonts w:eastAsiaTheme="minorEastAsia"/>
                <w:lang w:eastAsia="en-AU"/>
              </w:rPr>
            </w:pPr>
          </w:p>
        </w:tc>
        <w:tc>
          <w:tcPr>
            <w:tcW w:w="893" w:type="dxa"/>
            <w:tcBorders>
              <w:top w:val="single" w:sz="4" w:space="0" w:color="auto"/>
              <w:left w:val="nil"/>
              <w:bottom w:val="nil"/>
              <w:right w:val="nil"/>
            </w:tcBorders>
          </w:tcPr>
          <w:p w:rsidR="00A53D7D" w:rsidRPr="00FB64AD" w:rsidRDefault="00A53D7D" w:rsidP="005140B4">
            <w:pPr>
              <w:pStyle w:val="TableofFigures"/>
              <w:rPr>
                <w:rFonts w:eastAsiaTheme="minorEastAsia"/>
                <w:lang w:eastAsia="en-AU"/>
              </w:rPr>
            </w:pPr>
          </w:p>
        </w:tc>
        <w:tc>
          <w:tcPr>
            <w:tcW w:w="893" w:type="dxa"/>
            <w:tcBorders>
              <w:top w:val="single" w:sz="4" w:space="0" w:color="auto"/>
              <w:left w:val="nil"/>
              <w:bottom w:val="nil"/>
              <w:right w:val="nil"/>
            </w:tcBorders>
          </w:tcPr>
          <w:p w:rsidR="00A53D7D" w:rsidRPr="00FB64AD" w:rsidRDefault="00A53D7D" w:rsidP="005140B4">
            <w:pPr>
              <w:pStyle w:val="TableofFigures"/>
              <w:rPr>
                <w:rFonts w:eastAsiaTheme="minorEastAsia"/>
                <w:lang w:eastAsia="en-AU"/>
              </w:rPr>
            </w:pPr>
          </w:p>
        </w:tc>
        <w:tc>
          <w:tcPr>
            <w:tcW w:w="893" w:type="dxa"/>
            <w:tcBorders>
              <w:top w:val="single" w:sz="4" w:space="0" w:color="auto"/>
              <w:left w:val="nil"/>
              <w:bottom w:val="nil"/>
              <w:right w:val="nil"/>
            </w:tcBorders>
          </w:tcPr>
          <w:p w:rsidR="00A53D7D" w:rsidRPr="00FB64AD" w:rsidRDefault="00A53D7D" w:rsidP="005140B4">
            <w:pPr>
              <w:pStyle w:val="TableofFigures"/>
              <w:rPr>
                <w:rFonts w:eastAsiaTheme="minorEastAsia"/>
                <w:lang w:eastAsia="en-AU"/>
              </w:rPr>
            </w:pPr>
          </w:p>
        </w:tc>
      </w:tr>
      <w:tr w:rsidR="00A53D7D" w:rsidRPr="00FB64AD" w:rsidTr="005140B4">
        <w:tc>
          <w:tcPr>
            <w:tcW w:w="2420"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Regional Connectivity program</w:t>
            </w:r>
          </w:p>
        </w:tc>
        <w:tc>
          <w:tcPr>
            <w:tcW w:w="892"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2"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8.5</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8.5</w:t>
            </w:r>
          </w:p>
        </w:tc>
      </w:tr>
      <w:tr w:rsidR="00A53D7D" w:rsidRPr="00FB64AD" w:rsidTr="005140B4">
        <w:tc>
          <w:tcPr>
            <w:tcW w:w="2420" w:type="dxa"/>
            <w:tcBorders>
              <w:top w:val="nil"/>
              <w:left w:val="nil"/>
              <w:bottom w:val="nil"/>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Regional Development and Regional Cities</w:t>
            </w:r>
          </w:p>
        </w:tc>
        <w:tc>
          <w:tcPr>
            <w:tcW w:w="892"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w:t>
            </w:r>
          </w:p>
        </w:tc>
        <w:tc>
          <w:tcPr>
            <w:tcW w:w="892"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w:t>
            </w:r>
          </w:p>
        </w:tc>
      </w:tr>
      <w:tr w:rsidR="00A53D7D" w:rsidRPr="00FB64AD" w:rsidTr="005140B4">
        <w:tc>
          <w:tcPr>
            <w:tcW w:w="2420"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 xml:space="preserve">Ballarat West Employment Zone </w:t>
            </w:r>
          </w:p>
        </w:tc>
        <w:tc>
          <w:tcPr>
            <w:tcW w:w="892"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2"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12.0</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12.0</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6.0</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0.2</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30.2</w:t>
            </w:r>
          </w:p>
        </w:tc>
      </w:tr>
      <w:tr w:rsidR="00A53D7D" w:rsidRPr="00FB64AD" w:rsidTr="005140B4">
        <w:tc>
          <w:tcPr>
            <w:tcW w:w="2420" w:type="dxa"/>
            <w:tcBorders>
              <w:top w:val="nil"/>
              <w:left w:val="nil"/>
              <w:bottom w:val="nil"/>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Investment Attraction, Facilitation and Major Projects</w:t>
            </w:r>
          </w:p>
        </w:tc>
        <w:tc>
          <w:tcPr>
            <w:tcW w:w="892"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w:t>
            </w:r>
          </w:p>
        </w:tc>
        <w:tc>
          <w:tcPr>
            <w:tcW w:w="892"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color w:val="FFFFFF"/>
                <w:lang w:eastAsia="en-AU"/>
              </w:rPr>
            </w:pPr>
            <w:r w:rsidRPr="00FB64AD">
              <w:rPr>
                <w:rFonts w:eastAsiaTheme="minorEastAsia"/>
                <w:color w:val="FFFFFF"/>
                <w:lang w:eastAsia="en-AU"/>
              </w:rPr>
              <w:t>.</w:t>
            </w:r>
          </w:p>
        </w:tc>
      </w:tr>
      <w:tr w:rsidR="00A53D7D" w:rsidRPr="00FB64AD" w:rsidTr="005140B4">
        <w:tc>
          <w:tcPr>
            <w:tcW w:w="2420" w:type="dxa"/>
            <w:tcBorders>
              <w:top w:val="nil"/>
              <w:left w:val="nil"/>
              <w:bottom w:val="nil"/>
              <w:right w:val="nil"/>
            </w:tcBorders>
          </w:tcPr>
          <w:p w:rsidR="00A53D7D" w:rsidRPr="00FB64AD" w:rsidRDefault="00A53D7D" w:rsidP="005140B4">
            <w:pPr>
              <w:pStyle w:val="Tabletext"/>
              <w:rPr>
                <w:rFonts w:eastAsiaTheme="minorEastAsia"/>
                <w:lang w:eastAsia="en-AU"/>
              </w:rPr>
            </w:pPr>
            <w:r w:rsidRPr="00FB64AD">
              <w:rPr>
                <w:rFonts w:eastAsiaTheme="minorEastAsia"/>
                <w:lang w:eastAsia="en-AU"/>
              </w:rPr>
              <w:t>Maintaining the Melbourne Exhibition Centre</w:t>
            </w:r>
          </w:p>
        </w:tc>
        <w:tc>
          <w:tcPr>
            <w:tcW w:w="892"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2"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5.0</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w:t>
            </w:r>
          </w:p>
        </w:tc>
        <w:tc>
          <w:tcPr>
            <w:tcW w:w="893" w:type="dxa"/>
            <w:tcBorders>
              <w:top w:val="nil"/>
              <w:left w:val="nil"/>
              <w:bottom w:val="nil"/>
              <w:right w:val="nil"/>
            </w:tcBorders>
          </w:tcPr>
          <w:p w:rsidR="00A53D7D" w:rsidRPr="00FB64AD" w:rsidRDefault="00A53D7D" w:rsidP="005140B4">
            <w:pPr>
              <w:pStyle w:val="TableofFigures"/>
              <w:rPr>
                <w:rFonts w:eastAsiaTheme="minorEastAsia"/>
                <w:lang w:eastAsia="en-AU"/>
              </w:rPr>
            </w:pPr>
            <w:r w:rsidRPr="00FB64AD">
              <w:rPr>
                <w:rFonts w:eastAsiaTheme="minorEastAsia"/>
                <w:lang w:eastAsia="en-AU"/>
              </w:rPr>
              <w:t xml:space="preserve"> 5.0</w:t>
            </w:r>
          </w:p>
        </w:tc>
      </w:tr>
      <w:tr w:rsidR="00A53D7D" w:rsidRPr="00FB64AD" w:rsidTr="005140B4">
        <w:tc>
          <w:tcPr>
            <w:tcW w:w="2420" w:type="dxa"/>
            <w:tcBorders>
              <w:top w:val="single" w:sz="6" w:space="0" w:color="auto"/>
              <w:left w:val="nil"/>
              <w:bottom w:val="single" w:sz="12" w:space="0" w:color="auto"/>
              <w:right w:val="nil"/>
            </w:tcBorders>
          </w:tcPr>
          <w:p w:rsidR="00A53D7D" w:rsidRPr="00FB64AD" w:rsidRDefault="00A53D7D" w:rsidP="005140B4">
            <w:pPr>
              <w:pStyle w:val="Tabletext"/>
              <w:rPr>
                <w:rFonts w:eastAsiaTheme="minorEastAsia"/>
                <w:b/>
                <w:bCs/>
                <w:lang w:eastAsia="en-AU"/>
              </w:rPr>
            </w:pPr>
            <w:r w:rsidRPr="00FB64AD">
              <w:rPr>
                <w:rFonts w:eastAsiaTheme="minorEastAsia"/>
                <w:b/>
                <w:bCs/>
                <w:lang w:eastAsia="en-AU"/>
              </w:rPr>
              <w:t>Total asset initiatives</w:t>
            </w:r>
          </w:p>
        </w:tc>
        <w:tc>
          <w:tcPr>
            <w:tcW w:w="892"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w:t>
            </w:r>
          </w:p>
        </w:tc>
        <w:tc>
          <w:tcPr>
            <w:tcW w:w="892"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25.5</w:t>
            </w:r>
          </w:p>
        </w:tc>
        <w:tc>
          <w:tcPr>
            <w:tcW w:w="893"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12.0</w:t>
            </w:r>
          </w:p>
        </w:tc>
        <w:tc>
          <w:tcPr>
            <w:tcW w:w="893"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6.0</w:t>
            </w:r>
          </w:p>
        </w:tc>
        <w:tc>
          <w:tcPr>
            <w:tcW w:w="893"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0.2</w:t>
            </w:r>
          </w:p>
        </w:tc>
        <w:tc>
          <w:tcPr>
            <w:tcW w:w="893" w:type="dxa"/>
            <w:tcBorders>
              <w:top w:val="single" w:sz="6" w:space="0" w:color="auto"/>
              <w:left w:val="nil"/>
              <w:bottom w:val="single" w:sz="12" w:space="0" w:color="auto"/>
              <w:right w:val="nil"/>
            </w:tcBorders>
          </w:tcPr>
          <w:p w:rsidR="00A53D7D" w:rsidRPr="00FB64AD" w:rsidRDefault="00A53D7D" w:rsidP="005140B4">
            <w:pPr>
              <w:pStyle w:val="TableofFigures"/>
              <w:rPr>
                <w:rFonts w:eastAsiaTheme="minorEastAsia"/>
                <w:b/>
                <w:bCs/>
                <w:lang w:eastAsia="en-AU"/>
              </w:rPr>
            </w:pPr>
            <w:r w:rsidRPr="00FB64AD">
              <w:rPr>
                <w:rFonts w:eastAsiaTheme="minorEastAsia"/>
                <w:b/>
                <w:bCs/>
                <w:lang w:eastAsia="en-AU"/>
              </w:rPr>
              <w:t xml:space="preserve"> 43.7</w:t>
            </w:r>
          </w:p>
        </w:tc>
      </w:tr>
    </w:tbl>
    <w:p w:rsidR="00F820F9" w:rsidRDefault="00A53D7D" w:rsidP="005140B4">
      <w:pPr>
        <w:pStyle w:val="Source"/>
      </w:pPr>
      <w:r w:rsidRPr="00596ED3">
        <w:t>Source: Department of Treasury and Finance</w:t>
      </w:r>
    </w:p>
    <w:p w:rsidR="00A53D7D" w:rsidRPr="00F820F9" w:rsidRDefault="00A53D7D" w:rsidP="00F820F9">
      <w:pPr>
        <w:pStyle w:val="Notes"/>
      </w:pPr>
      <w:r w:rsidRPr="00596ED3">
        <w:fldChar w:fldCharType="begin"/>
      </w:r>
      <w:r w:rsidRPr="00596ED3">
        <w:instrText xml:space="preserve"> XE "Departme</w:instrText>
      </w:r>
      <w:r>
        <w:instrText>nt</w:instrText>
      </w:r>
      <w:r w:rsidRPr="00596ED3">
        <w:instrText xml:space="preserve"> of State Development, Business and Innovation:Asset initiatives" </w:instrText>
      </w:r>
      <w:r w:rsidRPr="00596ED3">
        <w:fldChar w:fldCharType="end"/>
      </w:r>
    </w:p>
    <w:p w:rsidR="00A53D7D" w:rsidRPr="00596ED3" w:rsidRDefault="00A53D7D" w:rsidP="005140B4">
      <w:pPr>
        <w:pStyle w:val="Heading4"/>
      </w:pPr>
      <w:r w:rsidRPr="00596ED3">
        <w:t>Innovation and Technology</w:t>
      </w:r>
      <w:r w:rsidRPr="00596ED3">
        <w:fldChar w:fldCharType="begin"/>
      </w:r>
      <w:r w:rsidRPr="00596ED3">
        <w:instrText xml:space="preserve"> XE </w:instrText>
      </w:r>
      <w:r>
        <w:instrText>"</w:instrText>
      </w:r>
      <w:r w:rsidRPr="00596ED3">
        <w:instrText>Department of State Development, Business and Innovation:Innovation and Technology</w:instrText>
      </w:r>
      <w:r>
        <w:instrText>"</w:instrText>
      </w:r>
      <w:r w:rsidRPr="00596ED3">
        <w:instrText xml:space="preserve"> </w:instrText>
      </w:r>
      <w:r w:rsidRPr="00596ED3">
        <w:fldChar w:fldCharType="end"/>
      </w:r>
    </w:p>
    <w:p w:rsidR="00A53D7D" w:rsidRPr="00596ED3" w:rsidRDefault="00A53D7D" w:rsidP="005140B4">
      <w:pPr>
        <w:pStyle w:val="Heading5"/>
      </w:pPr>
      <w:r w:rsidRPr="00596ED3">
        <w:t xml:space="preserve">Regional Connectivity program </w:t>
      </w:r>
    </w:p>
    <w:p w:rsidR="00A53D7D" w:rsidRPr="00596ED3" w:rsidRDefault="00A53D7D" w:rsidP="005140B4">
      <w:r w:rsidRPr="00596ED3">
        <w:t>Refer to output description for a description of this initiative.</w:t>
      </w:r>
    </w:p>
    <w:p w:rsidR="00A53D7D" w:rsidRPr="00596ED3" w:rsidRDefault="00A53D7D" w:rsidP="005140B4">
      <w:pPr>
        <w:pStyle w:val="Heading4"/>
      </w:pPr>
      <w:r w:rsidRPr="00596ED3">
        <w:t>Regional Development and Regional Cities</w:t>
      </w:r>
      <w:r w:rsidRPr="00596ED3">
        <w:fldChar w:fldCharType="begin"/>
      </w:r>
      <w:r w:rsidRPr="00596ED3">
        <w:instrText xml:space="preserve"> XE </w:instrText>
      </w:r>
      <w:r>
        <w:instrText>"</w:instrText>
      </w:r>
      <w:r w:rsidRPr="00596ED3">
        <w:instrText>Department of State Development, Business and Innovation:Regional Development and Regional Cities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 xml:space="preserve">Ballarat West Employment Zone </w:t>
      </w:r>
    </w:p>
    <w:p w:rsidR="00A53D7D" w:rsidRPr="00596ED3" w:rsidRDefault="00A53D7D" w:rsidP="005140B4">
      <w:r w:rsidRPr="00596ED3">
        <w:t xml:space="preserve">Funding is provided for stage 1 of the Ballarat West Employment Zone to deliver infrastructure to enable the subdivision of the initial land release to provide sites capable of supporting the requirements of industry seeking to locate in Ballarat. </w:t>
      </w:r>
    </w:p>
    <w:p w:rsidR="00A53D7D" w:rsidRPr="00596ED3" w:rsidRDefault="00A53D7D" w:rsidP="005140B4">
      <w:r w:rsidRPr="00596ED3">
        <w:t>This initiative contributes to the Department of State Development, Business and Innovation</w:t>
      </w:r>
      <w:r>
        <w:t>’</w:t>
      </w:r>
      <w:r w:rsidRPr="00596ED3">
        <w:t>s Regional Development and Regional Cities output.</w:t>
      </w:r>
    </w:p>
    <w:p w:rsidR="00A53D7D" w:rsidRPr="00596ED3" w:rsidRDefault="00A53D7D" w:rsidP="005140B4">
      <w:pPr>
        <w:pStyle w:val="Heading4"/>
      </w:pPr>
      <w:r w:rsidRPr="00596ED3">
        <w:t>Investment Attraction, Facilitation and Major Projects</w:t>
      </w:r>
      <w:r w:rsidRPr="00596ED3">
        <w:fldChar w:fldCharType="begin"/>
      </w:r>
      <w:r w:rsidRPr="00596ED3">
        <w:instrText xml:space="preserve"> XE </w:instrText>
      </w:r>
      <w:r>
        <w:instrText>"</w:instrText>
      </w:r>
      <w:r w:rsidRPr="00596ED3">
        <w:instrText>Department of State Development, Business and Innovation:Investment Attraction, Facilitation and Major Projects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 xml:space="preserve">Maintaining the Melbourne Exhibition Centre </w:t>
      </w:r>
    </w:p>
    <w:p w:rsidR="00A53D7D" w:rsidRPr="00596ED3" w:rsidRDefault="00A53D7D" w:rsidP="005140B4">
      <w:r w:rsidRPr="00596ED3">
        <w:t>Asset replacement works will be undertaken at the Melbourne Exhibition Centre to ensure it maintains its reputation as a world</w:t>
      </w:r>
      <w:r>
        <w:noBreakHyphen/>
      </w:r>
      <w:r w:rsidRPr="00596ED3">
        <w:t>class venue and therefore continues to provide benefits by attracting investment to the State via visitors and business tourism.</w:t>
      </w:r>
    </w:p>
    <w:p w:rsidR="00A53D7D" w:rsidRPr="00596ED3" w:rsidRDefault="00A53D7D" w:rsidP="005140B4">
      <w:r w:rsidRPr="00596ED3">
        <w:t>This initiative contributes to the Department of State Development, Business and Innovation</w:t>
      </w:r>
      <w:r>
        <w:t>’</w:t>
      </w:r>
      <w:r w:rsidRPr="00596ED3">
        <w:t>s Investment Attraction, Facilitation and Major Projects output.</w:t>
      </w:r>
    </w:p>
    <w:p w:rsidR="00A53D7D" w:rsidRPr="00596ED3" w:rsidRDefault="00A53D7D" w:rsidP="005140B4">
      <w:pPr>
        <w:spacing w:after="0"/>
      </w:pPr>
      <w:r w:rsidRPr="00596ED3">
        <w:br w:type="page"/>
      </w:r>
    </w:p>
    <w:p w:rsidR="00A53D7D" w:rsidRPr="00596ED3" w:rsidRDefault="00A53D7D" w:rsidP="005140B4">
      <w:pPr>
        <w:pStyle w:val="Heading1"/>
      </w:pPr>
      <w:bookmarkStart w:id="43" w:name="_Toc386364067"/>
      <w:bookmarkStart w:id="44" w:name="_Toc407116900"/>
      <w:r w:rsidRPr="00596ED3">
        <w:t>Department of Transport, Planning and Local Infrastructure</w:t>
      </w:r>
      <w:bookmarkEnd w:id="43"/>
      <w:bookmarkEnd w:id="44"/>
    </w:p>
    <w:p w:rsidR="00A53D7D" w:rsidRPr="00596ED3" w:rsidRDefault="00A53D7D" w:rsidP="005140B4">
      <w:pPr>
        <w:pStyle w:val="Heading3"/>
      </w:pPr>
      <w:r w:rsidRPr="00596ED3">
        <w:t>Output initiatives</w:t>
      </w:r>
    </w:p>
    <w:p w:rsidR="00A53D7D" w:rsidRPr="00596ED3" w:rsidRDefault="00A53D7D" w:rsidP="005140B4">
      <w:pPr>
        <w:pStyle w:val="Tableheading"/>
      </w:pPr>
      <w:r w:rsidRPr="00596ED3">
        <w:t xml:space="preserve">Table 1.17: </w:t>
      </w:r>
      <w:r w:rsidRPr="00596ED3">
        <w:tab/>
        <w:t xml:space="preserve">Output initiatives – Transport, </w:t>
      </w:r>
      <w:proofErr w:type="gramStart"/>
      <w:r w:rsidRPr="00596ED3">
        <w:t>Planning</w:t>
      </w:r>
      <w:proofErr w:type="gramEnd"/>
      <w:r w:rsidRPr="00596ED3">
        <w:t xml:space="preserve"> and Local Infrastructure</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bookmarkStart w:id="45" w:name="RANGE!A3:F73"/>
    </w:p>
    <w:tbl>
      <w:tblPr>
        <w:tblW w:w="8332" w:type="dxa"/>
        <w:tblInd w:w="29" w:type="dxa"/>
        <w:tblLayout w:type="fixed"/>
        <w:tblCellMar>
          <w:left w:w="43" w:type="dxa"/>
          <w:right w:w="43" w:type="dxa"/>
        </w:tblCellMar>
        <w:tblLook w:val="04A0" w:firstRow="1" w:lastRow="0" w:firstColumn="1" w:lastColumn="0" w:noHBand="0" w:noVBand="1"/>
      </w:tblPr>
      <w:tblGrid>
        <w:gridCol w:w="2808"/>
        <w:gridCol w:w="173"/>
        <w:gridCol w:w="820"/>
        <w:gridCol w:w="620"/>
        <w:gridCol w:w="376"/>
        <w:gridCol w:w="257"/>
        <w:gridCol w:w="180"/>
        <w:gridCol w:w="116"/>
        <w:gridCol w:w="154"/>
        <w:gridCol w:w="286"/>
        <w:gridCol w:w="553"/>
        <w:gridCol w:w="440"/>
        <w:gridCol w:w="553"/>
        <w:gridCol w:w="440"/>
        <w:gridCol w:w="556"/>
      </w:tblGrid>
      <w:tr w:rsidR="00A53D7D" w:rsidRPr="00FB64AD" w:rsidTr="00C80EA0">
        <w:trPr>
          <w:gridAfter w:val="1"/>
          <w:divId w:val="736980173"/>
          <w:wAfter w:w="556" w:type="dxa"/>
          <w:cantSplit/>
          <w:tblHeader/>
        </w:trPr>
        <w:tc>
          <w:tcPr>
            <w:tcW w:w="2808" w:type="dxa"/>
            <w:tcBorders>
              <w:top w:val="single" w:sz="6" w:space="0" w:color="auto"/>
              <w:left w:val="single" w:sz="6"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xml:space="preserve"> </w:t>
            </w:r>
          </w:p>
        </w:tc>
        <w:tc>
          <w:tcPr>
            <w:tcW w:w="993" w:type="dxa"/>
            <w:gridSpan w:val="2"/>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996" w:type="dxa"/>
            <w:gridSpan w:val="2"/>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993" w:type="dxa"/>
            <w:gridSpan w:val="5"/>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993" w:type="dxa"/>
            <w:gridSpan w:val="2"/>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993" w:type="dxa"/>
            <w:gridSpan w:val="2"/>
            <w:tcBorders>
              <w:top w:val="single" w:sz="6" w:space="0" w:color="auto"/>
              <w:left w:val="nil"/>
              <w:bottom w:val="single" w:sz="4" w:space="0" w:color="auto"/>
              <w:right w:val="single" w:sz="6"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r>
      <w:tr w:rsidR="00A53D7D" w:rsidRPr="00FB64AD" w:rsidTr="00C80EA0">
        <w:trPr>
          <w:gridAfter w:val="1"/>
          <w:divId w:val="736980173"/>
          <w:wAfter w:w="556" w:type="dxa"/>
          <w:cantSplit/>
        </w:trPr>
        <w:tc>
          <w:tcPr>
            <w:tcW w:w="2808" w:type="dxa"/>
            <w:tcBorders>
              <w:top w:val="single" w:sz="6" w:space="0" w:color="auto"/>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Integrated Transport Services</w:t>
            </w:r>
          </w:p>
        </w:tc>
        <w:tc>
          <w:tcPr>
            <w:tcW w:w="993" w:type="dxa"/>
            <w:gridSpan w:val="2"/>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6" w:type="dxa"/>
            <w:gridSpan w:val="2"/>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gridSpan w:val="5"/>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gridSpan w:val="2"/>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gridSpan w:val="2"/>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Affordable public transport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60.0</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104.2</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110.0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116.2</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New train and bus services</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11.8</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23.8</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34.3</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38.1</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Public transport scheme for international students </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Public transport ticketing services retender</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6.3</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6.2</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0.9</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Reducing fare evasion</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7.7</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7.9</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8.1</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8.3</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Regional Rail Link</w:t>
            </w:r>
            <w:r>
              <w:rPr>
                <w:color w:val="000000"/>
                <w:lang w:eastAsia="en-AU"/>
              </w:rPr>
              <w:t xml:space="preserve"> – </w:t>
            </w:r>
            <w:r w:rsidRPr="00FB64AD">
              <w:rPr>
                <w:color w:val="000000"/>
                <w:lang w:eastAsia="en-AU"/>
              </w:rPr>
              <w:t>maintenance and operations</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5.3</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24.2</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22.5</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24.0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24.5</w:t>
            </w:r>
          </w:p>
        </w:tc>
      </w:tr>
      <w:tr w:rsidR="00A53D7D" w:rsidRPr="00FB64AD" w:rsidTr="00C80EA0">
        <w:trPr>
          <w:divId w:val="736980173"/>
          <w:cantSplit/>
        </w:trPr>
        <w:tc>
          <w:tcPr>
            <w:tcW w:w="4421" w:type="dxa"/>
            <w:gridSpan w:val="4"/>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Transport System Development and Maintenance</w:t>
            </w:r>
          </w:p>
        </w:tc>
        <w:tc>
          <w:tcPr>
            <w:tcW w:w="376"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553" w:type="dxa"/>
            <w:gridSpan w:val="3"/>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gridSpan w:val="3"/>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6"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Arterial road maintenance</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25.0</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24.0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23.0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23.0</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Ballan crossing loop and car park upgrade</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Boating safety and facilities program</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Carrum</w:t>
            </w:r>
            <w:r>
              <w:rPr>
                <w:color w:val="000000"/>
                <w:lang w:eastAsia="en-AU"/>
              </w:rPr>
              <w:noBreakHyphen/>
            </w:r>
            <w:r w:rsidRPr="00FB64AD">
              <w:rPr>
                <w:color w:val="000000"/>
                <w:lang w:eastAsia="en-AU"/>
              </w:rPr>
              <w:t>Warburton bike trail</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4.1</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Clearway enforcement using tow</w:t>
            </w:r>
            <w:r>
              <w:rPr>
                <w:color w:val="000000"/>
                <w:lang w:eastAsia="en-AU"/>
              </w:rPr>
              <w:noBreakHyphen/>
            </w:r>
            <w:r w:rsidRPr="00FB64AD">
              <w:rPr>
                <w:color w:val="000000"/>
                <w:lang w:eastAsia="en-AU"/>
              </w:rPr>
              <w:t>away</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2.6</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2.7</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2.8</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Drysdale bypass</w:t>
            </w:r>
            <w:r>
              <w:rPr>
                <w:color w:val="000000"/>
                <w:lang w:eastAsia="en-AU"/>
              </w:rPr>
              <w:t xml:space="preserve"> – </w:t>
            </w:r>
            <w:r w:rsidRPr="00FB64AD">
              <w:rPr>
                <w:color w:val="000000"/>
                <w:lang w:eastAsia="en-AU"/>
              </w:rPr>
              <w:t>road network planning study</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Edgars Road</w:t>
            </w:r>
            <w:r>
              <w:rPr>
                <w:color w:val="000000"/>
                <w:lang w:eastAsia="en-AU"/>
              </w:rPr>
              <w:t xml:space="preserve"> – </w:t>
            </w:r>
            <w:r w:rsidRPr="00FB64AD">
              <w:rPr>
                <w:color w:val="000000"/>
                <w:lang w:eastAsia="en-AU"/>
              </w:rPr>
              <w:t>development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Geelong Railway Station</w:t>
            </w:r>
            <w:r>
              <w:rPr>
                <w:color w:val="000000"/>
                <w:lang w:eastAsia="en-AU"/>
              </w:rPr>
              <w:t xml:space="preserve"> – </w:t>
            </w:r>
            <w:r w:rsidRPr="00FB64AD">
              <w:rPr>
                <w:color w:val="000000"/>
                <w:lang w:eastAsia="en-AU"/>
              </w:rPr>
              <w:t>improving disability access</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Great Ocean Road upgrade </w:t>
            </w:r>
            <w:r w:rsidRPr="00FB64AD">
              <w:rPr>
                <w:color w:val="000000"/>
                <w:vertAlign w:val="superscript"/>
                <w:lang w:eastAsia="en-AU"/>
              </w:rPr>
              <w:t>(a)</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15.0</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10.0</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Local ports operations funding</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2.2</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2.7</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2.9</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Metro Level Crossing Blitz</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hideMark/>
          </w:tcPr>
          <w:p w:rsidR="00A53D7D" w:rsidRPr="00FB64AD" w:rsidRDefault="00A53D7D" w:rsidP="005140B4">
            <w:pPr>
              <w:pStyle w:val="Tabletext"/>
              <w:rPr>
                <w:color w:val="000000"/>
                <w:lang w:eastAsia="en-AU"/>
              </w:rPr>
            </w:pPr>
            <w:r w:rsidRPr="00FB64AD">
              <w:rPr>
                <w:color w:val="000000"/>
                <w:lang w:eastAsia="en-AU"/>
              </w:rPr>
              <w:t>Metro Level Crossing Blitz Program</w:t>
            </w:r>
            <w:r w:rsidRPr="00FB64AD">
              <w:rPr>
                <w:color w:val="000000"/>
                <w:lang w:eastAsia="en-AU"/>
              </w:rPr>
              <w:br/>
              <w:t xml:space="preserve">• Burke Road (Glen Iris) </w:t>
            </w:r>
            <w:r w:rsidRPr="00FB64AD">
              <w:rPr>
                <w:color w:val="000000"/>
                <w:lang w:eastAsia="en-AU"/>
              </w:rPr>
              <w:br/>
              <w:t>• North Road (Ormond)</w:t>
            </w:r>
            <w:r w:rsidRPr="00FB64AD">
              <w:rPr>
                <w:color w:val="000000"/>
                <w:lang w:eastAsia="en-AU"/>
              </w:rPr>
              <w:br/>
              <w:t>• Blackburn Road (Blackburn)</w:t>
            </w:r>
            <w:r w:rsidRPr="00FB64AD">
              <w:rPr>
                <w:color w:val="000000"/>
                <w:lang w:eastAsia="en-AU"/>
              </w:rPr>
              <w:br/>
              <w:t>• Main Road (St Albans)</w:t>
            </w:r>
            <w:r w:rsidRPr="00FB64AD">
              <w:rPr>
                <w:color w:val="000000"/>
                <w:vertAlign w:val="superscript"/>
                <w:lang w:eastAsia="en-AU"/>
              </w:rPr>
              <w:t xml:space="preserve"> (b)</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3.1</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9.2</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12.1</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Mode shift incentive scheme</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Mordialloc Bypass</w:t>
            </w:r>
            <w:r>
              <w:rPr>
                <w:color w:val="000000"/>
                <w:lang w:eastAsia="en-AU"/>
              </w:rPr>
              <w:t xml:space="preserve"> – </w:t>
            </w:r>
            <w:r w:rsidRPr="00FB64AD">
              <w:rPr>
                <w:color w:val="000000"/>
                <w:lang w:eastAsia="en-AU"/>
              </w:rPr>
              <w:t>development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3.1</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3.8</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Pioneer Road duplication</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r>
      <w:tr w:rsidR="00A53D7D" w:rsidRPr="00FB64AD" w:rsidTr="00C80EA0">
        <w:trPr>
          <w:gridAfter w:val="1"/>
          <w:divId w:val="736980173"/>
          <w:wAfter w:w="556" w:type="dxa"/>
          <w:cantSplit/>
        </w:trPr>
        <w:tc>
          <w:tcPr>
            <w:tcW w:w="2981" w:type="dxa"/>
            <w:gridSpan w:val="2"/>
            <w:tcBorders>
              <w:top w:val="nil"/>
              <w:left w:val="nil"/>
              <w:bottom w:val="nil"/>
              <w:right w:val="nil"/>
            </w:tcBorders>
            <w:shd w:val="clear" w:color="auto" w:fill="auto"/>
            <w:noWrap/>
            <w:hideMark/>
          </w:tcPr>
          <w:p w:rsidR="00A53D7D" w:rsidRPr="00FB64AD" w:rsidRDefault="00A53D7D" w:rsidP="00E646BF">
            <w:pPr>
              <w:pStyle w:val="Tabletext"/>
              <w:rPr>
                <w:color w:val="000000"/>
                <w:vertAlign w:val="superscript"/>
                <w:lang w:eastAsia="en-AU"/>
              </w:rPr>
            </w:pPr>
            <w:r w:rsidRPr="00FB64AD">
              <w:rPr>
                <w:color w:val="000000"/>
                <w:lang w:eastAsia="en-AU"/>
              </w:rPr>
              <w:t xml:space="preserve">Princes Highway duplication project </w:t>
            </w:r>
            <w:r>
              <w:rPr>
                <w:color w:val="000000"/>
                <w:lang w:eastAsia="en-AU"/>
              </w:rPr>
              <w:t xml:space="preserve"> – Winchelsea to Colac </w:t>
            </w:r>
            <w:r w:rsidRPr="004C5182">
              <w:rPr>
                <w:color w:val="000000"/>
                <w:vertAlign w:val="superscript"/>
                <w:lang w:eastAsia="en-AU"/>
              </w:rPr>
              <w:t>(c)</w:t>
            </w:r>
          </w:p>
        </w:tc>
        <w:tc>
          <w:tcPr>
            <w:tcW w:w="820"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1.8</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3.1</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3.9</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3.8</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Princes Highway East</w:t>
            </w:r>
            <w:r>
              <w:rPr>
                <w:color w:val="000000"/>
                <w:lang w:eastAsia="en-AU"/>
              </w:rPr>
              <w:t xml:space="preserve"> (Sand Road interchange)</w:t>
            </w:r>
            <w:r w:rsidRPr="00FB64AD">
              <w:rPr>
                <w:color w:val="000000"/>
                <w:lang w:eastAsia="en-AU"/>
              </w:rPr>
              <w:t xml:space="preserve"> </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0.0</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Relieving congestion on suburban roads</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1.8</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Transport solutions</w:t>
            </w:r>
            <w:r>
              <w:rPr>
                <w:color w:val="000000"/>
                <w:lang w:eastAsia="en-AU"/>
              </w:rPr>
              <w:t xml:space="preserve"> – </w:t>
            </w:r>
            <w:r w:rsidRPr="00FB64AD">
              <w:rPr>
                <w:color w:val="000000"/>
                <w:lang w:eastAsia="en-AU"/>
              </w:rPr>
              <w:t>regional roads package</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2.3</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Westall Road extension</w:t>
            </w:r>
            <w:r>
              <w:rPr>
                <w:color w:val="000000"/>
                <w:lang w:eastAsia="en-AU"/>
              </w:rPr>
              <w:t xml:space="preserve"> – </w:t>
            </w:r>
            <w:r w:rsidRPr="00FB64AD">
              <w:rPr>
                <w:color w:val="000000"/>
                <w:lang w:eastAsia="en-AU"/>
              </w:rPr>
              <w:t>development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0.7</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C80EA0">
        <w:trPr>
          <w:gridAfter w:val="1"/>
          <w:divId w:val="736980173"/>
          <w:wAfter w:w="556" w:type="dxa"/>
          <w:cantSplit/>
        </w:trPr>
        <w:tc>
          <w:tcPr>
            <w:tcW w:w="5054" w:type="dxa"/>
            <w:gridSpan w:val="6"/>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Metropolitan and Regional Planning and Development</w:t>
            </w:r>
          </w:p>
        </w:tc>
        <w:tc>
          <w:tcPr>
            <w:tcW w:w="180"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270"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286"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Fast track government land release program</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0.8</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Implementation of </w:t>
            </w:r>
            <w:r w:rsidRPr="00FB64AD">
              <w:rPr>
                <w:i/>
                <w:color w:val="000000"/>
                <w:lang w:eastAsia="en-AU"/>
              </w:rPr>
              <w:t>Plan Melbourne</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2.4</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Metropolitan Planning Authority</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9.5</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14.7</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13.7</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13.7</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Rural Council Planning Flying Squad</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2.3</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2.3</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2.3</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2.3</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Supporting Regional Growth Plan delivery</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Victorian Design Review Panel</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0.7</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Transport Safety and Security</w:t>
            </w:r>
          </w:p>
        </w:tc>
        <w:tc>
          <w:tcPr>
            <w:tcW w:w="993"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6"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gridSpan w:val="5"/>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City Loop fire and safety upgrade</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4C5182">
            <w:pPr>
              <w:pStyle w:val="Tabletext"/>
              <w:rPr>
                <w:color w:val="000000"/>
                <w:lang w:eastAsia="en-AU"/>
              </w:rPr>
            </w:pPr>
            <w:r w:rsidRPr="00FB64AD">
              <w:rPr>
                <w:color w:val="000000"/>
                <w:lang w:eastAsia="en-AU"/>
              </w:rPr>
              <w:t xml:space="preserve">Motorcycle graduated licensing system </w:t>
            </w:r>
            <w:r w:rsidRPr="00FB64AD">
              <w:rPr>
                <w:color w:val="000000"/>
                <w:vertAlign w:val="superscript"/>
                <w:lang w:eastAsia="en-AU"/>
              </w:rPr>
              <w:t>(</w:t>
            </w:r>
            <w:r>
              <w:rPr>
                <w:color w:val="000000"/>
                <w:vertAlign w:val="superscript"/>
                <w:lang w:eastAsia="en-AU"/>
              </w:rPr>
              <w:t>d</w:t>
            </w:r>
            <w:r w:rsidRPr="00FB64AD">
              <w:rPr>
                <w:color w:val="000000"/>
                <w:vertAlign w:val="superscript"/>
                <w:lang w:eastAsia="en-AU"/>
              </w:rPr>
              <w: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Investing in Local Infrastructure</w:t>
            </w:r>
          </w:p>
        </w:tc>
        <w:tc>
          <w:tcPr>
            <w:tcW w:w="993"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w:t>
            </w:r>
          </w:p>
        </w:tc>
        <w:tc>
          <w:tcPr>
            <w:tcW w:w="996"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w:t>
            </w:r>
          </w:p>
        </w:tc>
        <w:tc>
          <w:tcPr>
            <w:tcW w:w="993" w:type="dxa"/>
            <w:gridSpan w:val="5"/>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w:t>
            </w:r>
          </w:p>
        </w:tc>
        <w:tc>
          <w:tcPr>
            <w:tcW w:w="993"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w:t>
            </w:r>
          </w:p>
        </w:tc>
        <w:tc>
          <w:tcPr>
            <w:tcW w:w="993"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Community sports facility program</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Integrity in Sport </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Local Government Inspectorate</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Local Government performance reporting initiative</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Significant sporting events program</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State Sport Centres Trust asset investment program</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Strategic sporting infrastructure program</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17.0</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18.0</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C80EA0">
        <w:trPr>
          <w:gridAfter w:val="1"/>
          <w:divId w:val="736980173"/>
          <w:wAfter w:w="556" w:type="dxa"/>
          <w:cantSplit/>
        </w:trPr>
        <w:tc>
          <w:tcPr>
            <w:tcW w:w="2808"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Bushfire Recovery Package</w:t>
            </w:r>
          </w:p>
        </w:tc>
        <w:tc>
          <w:tcPr>
            <w:tcW w:w="993" w:type="dxa"/>
            <w:gridSpan w:val="2"/>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5.3</w:t>
            </w:r>
          </w:p>
        </w:tc>
        <w:tc>
          <w:tcPr>
            <w:tcW w:w="996" w:type="dxa"/>
            <w:gridSpan w:val="2"/>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5"/>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2"/>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gridSpan w:val="2"/>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C80EA0">
        <w:trPr>
          <w:gridAfter w:val="1"/>
          <w:divId w:val="736980173"/>
          <w:wAfter w:w="556" w:type="dxa"/>
          <w:cantSplit/>
        </w:trPr>
        <w:tc>
          <w:tcPr>
            <w:tcW w:w="2808" w:type="dxa"/>
            <w:tcBorders>
              <w:top w:val="nil"/>
              <w:left w:val="nil"/>
              <w:bottom w:val="single" w:sz="4"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Sub total output initiatives</w:t>
            </w:r>
          </w:p>
        </w:tc>
        <w:tc>
          <w:tcPr>
            <w:tcW w:w="993" w:type="dxa"/>
            <w:gridSpan w:val="2"/>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18.1</w:t>
            </w:r>
          </w:p>
        </w:tc>
        <w:tc>
          <w:tcPr>
            <w:tcW w:w="996" w:type="dxa"/>
            <w:gridSpan w:val="2"/>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220.3</w:t>
            </w:r>
          </w:p>
        </w:tc>
        <w:tc>
          <w:tcPr>
            <w:tcW w:w="993" w:type="dxa"/>
            <w:gridSpan w:val="5"/>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290.9</w:t>
            </w:r>
          </w:p>
        </w:tc>
        <w:tc>
          <w:tcPr>
            <w:tcW w:w="993" w:type="dxa"/>
            <w:gridSpan w:val="2"/>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278.3</w:t>
            </w:r>
          </w:p>
        </w:tc>
        <w:tc>
          <w:tcPr>
            <w:tcW w:w="993" w:type="dxa"/>
            <w:gridSpan w:val="2"/>
            <w:tcBorders>
              <w:top w:val="nil"/>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272.9</w:t>
            </w:r>
          </w:p>
        </w:tc>
      </w:tr>
      <w:tr w:rsidR="00A53D7D" w:rsidRPr="00FB64AD" w:rsidTr="00C80EA0">
        <w:trPr>
          <w:gridAfter w:val="1"/>
          <w:divId w:val="736980173"/>
          <w:wAfter w:w="556" w:type="dxa"/>
          <w:cantSplit/>
        </w:trPr>
        <w:tc>
          <w:tcPr>
            <w:tcW w:w="2808" w:type="dxa"/>
            <w:tcBorders>
              <w:top w:val="nil"/>
              <w:left w:val="nil"/>
              <w:bottom w:val="nil"/>
              <w:right w:val="nil"/>
            </w:tcBorders>
            <w:shd w:val="clear" w:color="auto" w:fill="auto"/>
            <w:noWrap/>
            <w:hideMark/>
          </w:tcPr>
          <w:p w:rsidR="00A53D7D" w:rsidRPr="00FB64AD" w:rsidRDefault="00A53D7D" w:rsidP="004C5182">
            <w:pPr>
              <w:pStyle w:val="Tabletext"/>
              <w:rPr>
                <w:color w:val="000000"/>
                <w:lang w:eastAsia="en-AU"/>
              </w:rPr>
            </w:pPr>
            <w:r w:rsidRPr="00FB64AD">
              <w:rPr>
                <w:color w:val="000000"/>
                <w:lang w:eastAsia="en-AU"/>
              </w:rPr>
              <w:t xml:space="preserve">Existing resources </w:t>
            </w:r>
            <w:r w:rsidRPr="00FB64AD">
              <w:rPr>
                <w:color w:val="000000"/>
                <w:vertAlign w:val="superscript"/>
                <w:lang w:eastAsia="en-AU"/>
              </w:rPr>
              <w:t>(</w:t>
            </w:r>
            <w:r>
              <w:rPr>
                <w:color w:val="000000"/>
                <w:vertAlign w:val="superscript"/>
                <w:lang w:eastAsia="en-AU"/>
              </w:rPr>
              <w:t>e</w:t>
            </w:r>
            <w:r w:rsidRPr="00FB64AD">
              <w:rPr>
                <w:color w:val="000000"/>
                <w:vertAlign w:val="superscript"/>
                <w:lang w:eastAsia="en-AU"/>
              </w:rPr>
              <w:t>)</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( 6.0)</w:t>
            </w:r>
          </w:p>
        </w:tc>
        <w:tc>
          <w:tcPr>
            <w:tcW w:w="996"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( 51.2)</w:t>
            </w:r>
          </w:p>
        </w:tc>
        <w:tc>
          <w:tcPr>
            <w:tcW w:w="993" w:type="dxa"/>
            <w:gridSpan w:val="5"/>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( 58.6)</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( 61.4)</w:t>
            </w:r>
          </w:p>
        </w:tc>
        <w:tc>
          <w:tcPr>
            <w:tcW w:w="993"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( 62.4)</w:t>
            </w:r>
          </w:p>
        </w:tc>
      </w:tr>
      <w:tr w:rsidR="00A53D7D" w:rsidRPr="00FB64AD" w:rsidTr="00C80EA0">
        <w:trPr>
          <w:gridAfter w:val="1"/>
          <w:divId w:val="736980173"/>
          <w:wAfter w:w="556" w:type="dxa"/>
          <w:cantSplit/>
        </w:trPr>
        <w:tc>
          <w:tcPr>
            <w:tcW w:w="2808" w:type="dxa"/>
            <w:tcBorders>
              <w:top w:val="single" w:sz="4" w:space="0" w:color="auto"/>
              <w:left w:val="nil"/>
              <w:bottom w:val="single" w:sz="8"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output initiatives</w:t>
            </w:r>
          </w:p>
        </w:tc>
        <w:tc>
          <w:tcPr>
            <w:tcW w:w="993" w:type="dxa"/>
            <w:gridSpan w:val="2"/>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12.1</w:t>
            </w:r>
          </w:p>
        </w:tc>
        <w:tc>
          <w:tcPr>
            <w:tcW w:w="996" w:type="dxa"/>
            <w:gridSpan w:val="2"/>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169.1</w:t>
            </w:r>
          </w:p>
        </w:tc>
        <w:tc>
          <w:tcPr>
            <w:tcW w:w="993" w:type="dxa"/>
            <w:gridSpan w:val="5"/>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232.3</w:t>
            </w:r>
          </w:p>
        </w:tc>
        <w:tc>
          <w:tcPr>
            <w:tcW w:w="993" w:type="dxa"/>
            <w:gridSpan w:val="2"/>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216.9</w:t>
            </w:r>
          </w:p>
        </w:tc>
        <w:tc>
          <w:tcPr>
            <w:tcW w:w="993" w:type="dxa"/>
            <w:gridSpan w:val="2"/>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210.6</w:t>
            </w:r>
          </w:p>
        </w:tc>
      </w:tr>
    </w:tbl>
    <w:bookmarkEnd w:id="45"/>
    <w:p w:rsidR="00A53D7D" w:rsidRPr="00596ED3" w:rsidRDefault="00A53D7D" w:rsidP="005140B4">
      <w:pPr>
        <w:pStyle w:val="Source"/>
      </w:pPr>
      <w:r w:rsidRPr="00596ED3">
        <w:t>Source: Department of Treasury and Finance</w:t>
      </w:r>
      <w:r w:rsidRPr="00596ED3">
        <w:fldChar w:fldCharType="begin"/>
      </w:r>
      <w:r w:rsidRPr="00596ED3">
        <w:instrText xml:space="preserve"> XE "Department of Transport, Planning and Local Infrastructure:Output initiatives" </w:instrText>
      </w:r>
      <w:r w:rsidRPr="00596ED3">
        <w:fldChar w:fldCharType="end"/>
      </w:r>
    </w:p>
    <w:p w:rsidR="00A53D7D" w:rsidRPr="00596ED3" w:rsidRDefault="00A53D7D" w:rsidP="005140B4">
      <w:pPr>
        <w:pStyle w:val="Notes"/>
      </w:pPr>
      <w:r w:rsidRPr="00596ED3">
        <w:t>Note:</w:t>
      </w:r>
    </w:p>
    <w:p w:rsidR="00A53D7D" w:rsidRPr="00596ED3" w:rsidRDefault="00A53D7D" w:rsidP="005140B4">
      <w:pPr>
        <w:pStyle w:val="Notes"/>
      </w:pPr>
      <w:r w:rsidRPr="00596ED3">
        <w:t>(a)</w:t>
      </w:r>
      <w:r w:rsidRPr="00596ED3">
        <w:tab/>
        <w:t>This includes anticipated Commonwealth funding of $25</w:t>
      </w:r>
      <w:r>
        <w:t> million</w:t>
      </w:r>
      <w:r w:rsidRPr="00596ED3">
        <w:t>.</w:t>
      </w:r>
    </w:p>
    <w:p w:rsidR="00A53D7D" w:rsidRPr="00596ED3" w:rsidRDefault="00A53D7D" w:rsidP="005140B4">
      <w:pPr>
        <w:pStyle w:val="Notes"/>
      </w:pPr>
      <w:r w:rsidRPr="00596ED3">
        <w:t>(b)</w:t>
      </w:r>
      <w:r w:rsidRPr="00596ED3">
        <w:tab/>
        <w:t>Level crossing removal at Main Road St Albans funded and delivered as part of expanded Regional Rail Link project.</w:t>
      </w:r>
    </w:p>
    <w:p w:rsidR="00A53D7D" w:rsidRDefault="00A53D7D" w:rsidP="005140B4">
      <w:pPr>
        <w:pStyle w:val="Notes"/>
      </w:pPr>
      <w:r w:rsidRPr="00596ED3">
        <w:t>(</w:t>
      </w:r>
      <w:r>
        <w:t>c</w:t>
      </w:r>
      <w:r w:rsidRPr="00596ED3">
        <w:t>)</w:t>
      </w:r>
      <w:r w:rsidRPr="00596ED3">
        <w:tab/>
      </w:r>
      <w:r>
        <w:t>This includes anticipated Commonwealth funding of $12.6 million.</w:t>
      </w:r>
    </w:p>
    <w:p w:rsidR="00A53D7D" w:rsidRPr="00596ED3" w:rsidRDefault="00A53D7D" w:rsidP="005140B4">
      <w:pPr>
        <w:pStyle w:val="Notes"/>
      </w:pPr>
      <w:r>
        <w:t>(d)</w:t>
      </w:r>
      <w:r>
        <w:tab/>
      </w:r>
      <w:r w:rsidRPr="00596ED3">
        <w:t>The project is to be funded from the Motorcycle Safety Levy.</w:t>
      </w:r>
    </w:p>
    <w:p w:rsidR="00A53D7D" w:rsidRDefault="00A53D7D" w:rsidP="005140B4">
      <w:pPr>
        <w:pStyle w:val="Notes"/>
      </w:pPr>
      <w:r>
        <w:t>(e</w:t>
      </w:r>
      <w:r w:rsidRPr="00596ED3">
        <w:t>)</w:t>
      </w:r>
      <w:r w:rsidRPr="00596ED3">
        <w:tab/>
        <w:t>Existing departmental resources have been reallocated to contribute to the delivery of new initiatives.</w:t>
      </w:r>
    </w:p>
    <w:p w:rsidR="00A53D7D" w:rsidRPr="00596ED3" w:rsidRDefault="00A53D7D" w:rsidP="005140B4">
      <w:pPr>
        <w:pStyle w:val="Notes"/>
      </w:pPr>
    </w:p>
    <w:p w:rsidR="00A53D7D" w:rsidRPr="00596ED3" w:rsidRDefault="00A53D7D" w:rsidP="005140B4">
      <w:pPr>
        <w:pStyle w:val="Heading4"/>
      </w:pPr>
      <w:r w:rsidRPr="00596ED3">
        <w:t>Integrated Transport Services</w:t>
      </w:r>
    </w:p>
    <w:p w:rsidR="00A53D7D" w:rsidRPr="00596ED3" w:rsidRDefault="00A53D7D" w:rsidP="005140B4">
      <w:pPr>
        <w:pStyle w:val="Heading5"/>
      </w:pPr>
      <w:r w:rsidRPr="00596ED3">
        <w:t>Affordable public transport</w:t>
      </w:r>
    </w:p>
    <w:p w:rsidR="00A53D7D" w:rsidRPr="00596ED3" w:rsidRDefault="00A53D7D" w:rsidP="005140B4">
      <w:r w:rsidRPr="00596ED3">
        <w:t>From 1 January 2015, a major reform of the fare zones across Melbourne will enable commuters to travel across Zones 1 and 2 for the price of a Zone 1 fare. In addition, free tram travel will be provided within Melbourne</w:t>
      </w:r>
      <w:r>
        <w:t>’</w:t>
      </w:r>
      <w:r w:rsidRPr="00596ED3">
        <w:t xml:space="preserve">s Central Business District and Docklands. </w:t>
      </w:r>
    </w:p>
    <w:p w:rsidR="00A53D7D" w:rsidRPr="00596ED3" w:rsidRDefault="00A53D7D" w:rsidP="005140B4">
      <w:r w:rsidRPr="00596ED3">
        <w:t>This initiative contributes to the Department of Transport, Planning and Local Infrastructure</w:t>
      </w:r>
      <w:r>
        <w:t>’</w:t>
      </w:r>
      <w:r w:rsidRPr="00596ED3">
        <w:t>s Metropolitan Transport Services output.</w:t>
      </w:r>
    </w:p>
    <w:p w:rsidR="00A53D7D" w:rsidRPr="00596ED3" w:rsidRDefault="00A53D7D" w:rsidP="005140B4">
      <w:pPr>
        <w:pStyle w:val="Heading5"/>
      </w:pPr>
      <w:r w:rsidRPr="00596ED3">
        <w:t>New train and bus services</w:t>
      </w:r>
    </w:p>
    <w:p w:rsidR="00A53D7D" w:rsidRPr="00596ED3" w:rsidRDefault="00A53D7D" w:rsidP="005140B4">
      <w:r w:rsidRPr="00596ED3">
        <w:fldChar w:fldCharType="begin"/>
      </w:r>
      <w:r w:rsidRPr="00596ED3">
        <w:instrText xml:space="preserve"> XE </w:instrText>
      </w:r>
      <w:r>
        <w:instrText>"</w:instrText>
      </w:r>
      <w:r w:rsidRPr="00596ED3">
        <w:instrText>Regional Rail Link</w:instrText>
      </w:r>
      <w:r>
        <w:instrText>"</w:instrText>
      </w:r>
      <w:r w:rsidRPr="00596ED3">
        <w:instrText xml:space="preserve"> </w:instrText>
      </w:r>
      <w:r w:rsidRPr="00596ED3">
        <w:fldChar w:fldCharType="end"/>
      </w:r>
      <w:r w:rsidRPr="00596ED3">
        <w:t>Funding is provided for the maintenance and operations of new regional trains and for new connecting bus services to the Regional Rail Link in the Wyndham area.</w:t>
      </w:r>
    </w:p>
    <w:p w:rsidR="00A53D7D" w:rsidRPr="00596ED3" w:rsidRDefault="00A53D7D" w:rsidP="005140B4">
      <w:r w:rsidRPr="00596ED3">
        <w:t xml:space="preserve">This initiative contributes to the Department of Transport, </w:t>
      </w:r>
      <w:proofErr w:type="gramStart"/>
      <w:r w:rsidRPr="00596ED3">
        <w:t>Planning</w:t>
      </w:r>
      <w:proofErr w:type="gramEnd"/>
      <w:r w:rsidRPr="00596ED3">
        <w:t xml:space="preserve"> and Local Infrastructure</w:t>
      </w:r>
      <w:r>
        <w:t>’</w:t>
      </w:r>
      <w:r w:rsidRPr="00596ED3">
        <w:t>s:</w:t>
      </w:r>
    </w:p>
    <w:p w:rsidR="00A53D7D" w:rsidRPr="00596ED3" w:rsidRDefault="00A53D7D" w:rsidP="005140B4">
      <w:pPr>
        <w:pStyle w:val="BulletText"/>
      </w:pPr>
      <w:r w:rsidRPr="00596ED3">
        <w:t>Regional Transport Services output; and</w:t>
      </w:r>
    </w:p>
    <w:p w:rsidR="00A53D7D" w:rsidRPr="00596ED3" w:rsidRDefault="00A53D7D" w:rsidP="005140B4">
      <w:pPr>
        <w:pStyle w:val="BulletText"/>
      </w:pPr>
      <w:r w:rsidRPr="00596ED3">
        <w:t>Metropolitan Transport Services output.</w:t>
      </w:r>
    </w:p>
    <w:p w:rsidR="00A53D7D" w:rsidRPr="00596ED3" w:rsidRDefault="00A53D7D" w:rsidP="005140B4">
      <w:pPr>
        <w:pStyle w:val="Heading5"/>
      </w:pPr>
      <w:r w:rsidRPr="00596ED3">
        <w:t>Public transport ticketing services retender</w:t>
      </w:r>
    </w:p>
    <w:p w:rsidR="00A53D7D" w:rsidRPr="00596ED3" w:rsidRDefault="00A53D7D" w:rsidP="005140B4">
      <w:r w:rsidRPr="00596ED3">
        <w:t xml:space="preserve">Funding is provided to undertake retendering of the </w:t>
      </w:r>
      <w:proofErr w:type="spellStart"/>
      <w:r w:rsidRPr="00596ED3">
        <w:rPr>
          <w:i/>
        </w:rPr>
        <w:t>myki</w:t>
      </w:r>
      <w:proofErr w:type="spellEnd"/>
      <w:r w:rsidRPr="00596ED3">
        <w:t xml:space="preserve"> ticketing operating contract which expires on 30 June 2016, including the specification and scoping of the process. </w:t>
      </w:r>
    </w:p>
    <w:p w:rsidR="00A53D7D" w:rsidRPr="00596ED3" w:rsidRDefault="00A53D7D" w:rsidP="005140B4">
      <w:r w:rsidRPr="00596ED3">
        <w:t>This initiative contributes to the Department of Transport, Planning and Local Infrastructure</w:t>
      </w:r>
      <w:r>
        <w:t>’</w:t>
      </w:r>
      <w:r w:rsidRPr="00596ED3">
        <w:t xml:space="preserve">s </w:t>
      </w:r>
      <w:proofErr w:type="spellStart"/>
      <w:r w:rsidRPr="00596ED3">
        <w:t>Statewide</w:t>
      </w:r>
      <w:proofErr w:type="spellEnd"/>
      <w:r w:rsidRPr="00596ED3">
        <w:t xml:space="preserve"> Transport Services output.</w:t>
      </w:r>
    </w:p>
    <w:p w:rsidR="00A53D7D" w:rsidRPr="00596ED3" w:rsidRDefault="00A53D7D" w:rsidP="005140B4">
      <w:pPr>
        <w:pStyle w:val="Heading5"/>
      </w:pPr>
      <w:r w:rsidRPr="00596ED3">
        <w:t xml:space="preserve">Public transport scheme for international students </w:t>
      </w:r>
    </w:p>
    <w:p w:rsidR="00A53D7D" w:rsidRPr="00596ED3" w:rsidRDefault="00A53D7D" w:rsidP="005140B4">
      <w:r w:rsidRPr="00596ED3">
        <w:t>The International Education Strategy for Victoria 2013</w:t>
      </w:r>
      <w:r>
        <w:noBreakHyphen/>
      </w:r>
      <w:r w:rsidRPr="00596ED3">
        <w:t xml:space="preserve">18 includes a trial for a new public transport ticket scheme providing subsidised travel for eligible international students from 2015 for three years in partnership with participating higher education providers. </w:t>
      </w:r>
    </w:p>
    <w:p w:rsidR="00A53D7D" w:rsidRPr="00596ED3" w:rsidRDefault="00A53D7D" w:rsidP="005140B4">
      <w:r w:rsidRPr="00596ED3">
        <w:t>This initiative contributes to the Department of Transport, Planning and Local Infrastructure</w:t>
      </w:r>
      <w:r>
        <w:t>’</w:t>
      </w:r>
      <w:r w:rsidRPr="00596ED3">
        <w:t xml:space="preserve">s </w:t>
      </w:r>
      <w:proofErr w:type="spellStart"/>
      <w:r w:rsidRPr="00596ED3">
        <w:t>Statewide</w:t>
      </w:r>
      <w:proofErr w:type="spellEnd"/>
      <w:r w:rsidRPr="00596ED3">
        <w:t xml:space="preserve"> Transport Services output.</w:t>
      </w:r>
    </w:p>
    <w:p w:rsidR="00A53D7D" w:rsidRPr="00596ED3" w:rsidRDefault="00A53D7D" w:rsidP="005140B4">
      <w:pPr>
        <w:pStyle w:val="Heading5"/>
      </w:pPr>
      <w:r w:rsidRPr="00596ED3">
        <w:t>Reducing fare evasion</w:t>
      </w:r>
    </w:p>
    <w:p w:rsidR="00A53D7D" w:rsidRPr="00596ED3" w:rsidRDefault="00A53D7D" w:rsidP="005140B4">
      <w:r w:rsidRPr="00596ED3">
        <w:t>Funding is provided to allow for the deployment of additional Authorised Officers on the public transport network in order to reduce fair evasion and improve service delivery.</w:t>
      </w:r>
    </w:p>
    <w:p w:rsidR="00A53D7D" w:rsidRPr="00596ED3" w:rsidRDefault="00A53D7D" w:rsidP="005140B4">
      <w:r w:rsidRPr="00596ED3">
        <w:t>This initiative contributes to the Department of Transport, Planning and Local Infrastructure</w:t>
      </w:r>
      <w:r>
        <w:t>’</w:t>
      </w:r>
      <w:r w:rsidRPr="00596ED3">
        <w:t>s Metropolitan Transport Services output.</w:t>
      </w:r>
    </w:p>
    <w:p w:rsidR="00A53D7D" w:rsidRPr="00596ED3" w:rsidRDefault="00A53D7D" w:rsidP="005140B4">
      <w:pPr>
        <w:pStyle w:val="Heading5"/>
      </w:pPr>
      <w:r w:rsidRPr="00596ED3">
        <w:t>Regional Rail Link – maintenance and operations</w:t>
      </w:r>
    </w:p>
    <w:p w:rsidR="00A53D7D" w:rsidRPr="00596ED3" w:rsidRDefault="00A53D7D" w:rsidP="005140B4">
      <w:r w:rsidRPr="00596ED3">
        <w:fldChar w:fldCharType="begin"/>
      </w:r>
      <w:r w:rsidRPr="00596ED3">
        <w:instrText xml:space="preserve"> XE </w:instrText>
      </w:r>
      <w:r>
        <w:instrText>"</w:instrText>
      </w:r>
      <w:r w:rsidRPr="00596ED3">
        <w:instrText>Regional Rail Link</w:instrText>
      </w:r>
      <w:r>
        <w:instrText>"</w:instrText>
      </w:r>
      <w:r w:rsidRPr="00596ED3">
        <w:instrText xml:space="preserve"> </w:instrText>
      </w:r>
      <w:r w:rsidRPr="00596ED3">
        <w:fldChar w:fldCharType="end"/>
      </w:r>
      <w:r w:rsidRPr="00596ED3">
        <w:t>With the imminent commencement of operation of the Regional Rail Link, funding is provided for the ongoing maintenance of the new stations, bridges and other infrastructure, along with the operational control and power systems in order to ensure continuing benefits from</w:t>
      </w:r>
      <w:r w:rsidRPr="00596ED3">
        <w:rPr>
          <w:shd w:val="clear" w:color="auto" w:fill="FFFFFF" w:themeFill="background1"/>
        </w:rPr>
        <w:t xml:space="preserve"> </w:t>
      </w:r>
      <w:r w:rsidRPr="00596ED3">
        <w:t xml:space="preserve">this major infrastructure investment. </w:t>
      </w:r>
    </w:p>
    <w:p w:rsidR="00A53D7D" w:rsidRPr="00596ED3" w:rsidRDefault="00A53D7D" w:rsidP="005140B4">
      <w:r w:rsidRPr="00596ED3">
        <w:t>This initiative contributes to the Department of Transport, Planning and Local Infrastructure</w:t>
      </w:r>
      <w:r>
        <w:t>’</w:t>
      </w:r>
      <w:r w:rsidRPr="00596ED3">
        <w:t>s Regional Transport Services output.</w:t>
      </w:r>
    </w:p>
    <w:p w:rsidR="00A53D7D" w:rsidRPr="00596ED3" w:rsidRDefault="00A53D7D" w:rsidP="005140B4">
      <w:pPr>
        <w:pStyle w:val="Heading4"/>
      </w:pPr>
      <w:r w:rsidRPr="00596ED3">
        <w:t>Transport System Development and Maintenance</w:t>
      </w:r>
    </w:p>
    <w:p w:rsidR="00A53D7D" w:rsidRPr="00596ED3" w:rsidRDefault="00A53D7D" w:rsidP="005140B4">
      <w:pPr>
        <w:pStyle w:val="Heading5"/>
      </w:pPr>
      <w:r w:rsidRPr="00596ED3">
        <w:t>Arterial road maintenance</w:t>
      </w:r>
    </w:p>
    <w:p w:rsidR="00A53D7D" w:rsidRPr="00596ED3" w:rsidRDefault="00A53D7D" w:rsidP="005140B4">
      <w:r w:rsidRPr="00596ED3">
        <w:t>Additional funding is provided to support maintenance of the State</w:t>
      </w:r>
      <w:r>
        <w:t>’</w:t>
      </w:r>
      <w:r w:rsidRPr="00596ED3">
        <w:t>s arterial road network. Maintenance activities will focus on roads in need of repair and management of road reserve related bushfire risks including the maintenance of roadside fuel loads as recommended by the Victorian Bushfires Royal Commission. This builds on VicRoads</w:t>
      </w:r>
      <w:r>
        <w:t>’</w:t>
      </w:r>
      <w:r w:rsidRPr="00596ED3">
        <w:t xml:space="preserve"> existing annual base road maintenance funding. </w:t>
      </w:r>
    </w:p>
    <w:p w:rsidR="00A53D7D" w:rsidRPr="00596ED3" w:rsidRDefault="00A53D7D" w:rsidP="005140B4">
      <w:r w:rsidRPr="00596ED3">
        <w:t>This initiative contributes to the Department of Transport, Planning and Local Infrastructure</w:t>
      </w:r>
      <w:r>
        <w:t>’</w:t>
      </w:r>
      <w:r w:rsidRPr="00596ED3">
        <w:t>s Road Asset Management output.</w:t>
      </w:r>
    </w:p>
    <w:p w:rsidR="00A53D7D" w:rsidRPr="00596ED3" w:rsidRDefault="00A53D7D" w:rsidP="005140B4">
      <w:pPr>
        <w:pStyle w:val="Heading5"/>
      </w:pPr>
      <w:r w:rsidRPr="00596ED3">
        <w:t>Ballan crossing loop and car park upgrade</w:t>
      </w:r>
    </w:p>
    <w:p w:rsidR="00A53D7D" w:rsidRPr="00596ED3" w:rsidRDefault="00A53D7D" w:rsidP="005140B4">
      <w:r w:rsidRPr="00596ED3">
        <w:t>Refer to the asset initiative for a description of this initiative.</w:t>
      </w:r>
    </w:p>
    <w:p w:rsidR="00A53D7D" w:rsidRPr="00596ED3" w:rsidRDefault="00A53D7D" w:rsidP="005140B4">
      <w:pPr>
        <w:pStyle w:val="Heading5"/>
      </w:pPr>
      <w:r w:rsidRPr="00596ED3">
        <w:t>Boating safety and facilities program</w:t>
      </w:r>
    </w:p>
    <w:p w:rsidR="00A53D7D" w:rsidRPr="00596ED3" w:rsidRDefault="00A53D7D" w:rsidP="005140B4">
      <w:r w:rsidRPr="00596ED3">
        <w:t>The boating safety and facilities program plays an important role in making boating safer and more accessible for all Victorians. The increased funding will provide for additional projects that improve access to Victoria</w:t>
      </w:r>
      <w:r>
        <w:t>’</w:t>
      </w:r>
      <w:r w:rsidRPr="00596ED3">
        <w:t>s coastal and inland waterways. Projects to be funded will be identified through close consultation with the Working Group on Recreational Boating, other stakeholders and through a grants process.</w:t>
      </w:r>
    </w:p>
    <w:p w:rsidR="00A53D7D" w:rsidRPr="00596ED3" w:rsidRDefault="00A53D7D" w:rsidP="005140B4">
      <w:r w:rsidRPr="00596ED3">
        <w:t>This initiative contributes to the Department of Transport, Planning and Local Infrastructure</w:t>
      </w:r>
      <w:r>
        <w:t>’</w:t>
      </w:r>
      <w:r w:rsidRPr="00596ED3">
        <w:t>s Ports and Freight Network Improvements and Maintenance output.</w:t>
      </w:r>
    </w:p>
    <w:p w:rsidR="00A53D7D" w:rsidRPr="00596ED3" w:rsidRDefault="00A53D7D" w:rsidP="005140B4">
      <w:pPr>
        <w:pStyle w:val="Heading5"/>
      </w:pPr>
      <w:r w:rsidRPr="00596ED3">
        <w:t>Carrum</w:t>
      </w:r>
      <w:r>
        <w:noBreakHyphen/>
      </w:r>
      <w:r w:rsidRPr="00596ED3">
        <w:t>Warburton bike trail</w:t>
      </w:r>
    </w:p>
    <w:p w:rsidR="00A53D7D" w:rsidRPr="00596ED3" w:rsidRDefault="00A53D7D" w:rsidP="005140B4">
      <w:r w:rsidRPr="00596ED3">
        <w:t>Refer to the asset initiative for a description of this initiative.</w:t>
      </w:r>
    </w:p>
    <w:p w:rsidR="00A53D7D" w:rsidRPr="00596ED3" w:rsidRDefault="00A53D7D" w:rsidP="005140B4">
      <w:pPr>
        <w:pStyle w:val="Heading5"/>
      </w:pPr>
      <w:r w:rsidRPr="00596ED3">
        <w:t>Clearway enforcement using tow</w:t>
      </w:r>
      <w:r>
        <w:noBreakHyphen/>
      </w:r>
      <w:r w:rsidRPr="00596ED3">
        <w:t>away</w:t>
      </w:r>
    </w:p>
    <w:p w:rsidR="00A53D7D" w:rsidRPr="00596ED3" w:rsidRDefault="00A53D7D" w:rsidP="005140B4">
      <w:r w:rsidRPr="00596ED3">
        <w:t>Funding is provided to deliver increased enforcement of existing clearway tow</w:t>
      </w:r>
      <w:r>
        <w:noBreakHyphen/>
      </w:r>
      <w:r w:rsidRPr="00596ED3">
        <w:t xml:space="preserve">away zones within 10 kilometres of the </w:t>
      </w:r>
      <w:r>
        <w:t xml:space="preserve">Melbourne </w:t>
      </w:r>
      <w:r w:rsidRPr="00596ED3">
        <w:t>central business district to reduce congestion and improve traffic flow during peak periods.</w:t>
      </w:r>
    </w:p>
    <w:p w:rsidR="00A53D7D" w:rsidRPr="00596ED3" w:rsidRDefault="00A53D7D" w:rsidP="005140B4">
      <w:r w:rsidRPr="00596ED3">
        <w:t>This initiative contributes to the Department of Transport, Planning and Local Infrastructure</w:t>
      </w:r>
      <w:r>
        <w:t>’</w:t>
      </w:r>
      <w:r w:rsidRPr="00596ED3">
        <w:t>s Road Network Improvements output.</w:t>
      </w:r>
    </w:p>
    <w:p w:rsidR="00A53D7D" w:rsidRPr="00596ED3" w:rsidRDefault="00A53D7D" w:rsidP="005140B4">
      <w:pPr>
        <w:pStyle w:val="Heading5"/>
      </w:pPr>
      <w:r w:rsidRPr="00596ED3">
        <w:t>Drysdale bypass – road network planning study</w:t>
      </w:r>
    </w:p>
    <w:p w:rsidR="00A53D7D" w:rsidRPr="00596ED3" w:rsidRDefault="00A53D7D" w:rsidP="005140B4">
      <w:r w:rsidRPr="00596ED3">
        <w:t xml:space="preserve">A planning study for the Drysdale Road network will be undertaken including the preparation of a business case to investigate and recommend suitable options to deal with the problems of traffic delays and the impact on the urban environment within the township of Drysdale. </w:t>
      </w:r>
    </w:p>
    <w:p w:rsidR="00A53D7D" w:rsidRPr="00596ED3" w:rsidRDefault="00A53D7D" w:rsidP="005140B4">
      <w:r w:rsidRPr="00596ED3">
        <w:t>This initiative contributes to the Department of Transport, Planning and Local Infrastructure</w:t>
      </w:r>
      <w:r>
        <w:t>’</w:t>
      </w:r>
      <w:r w:rsidRPr="00596ED3">
        <w:t>s Road Network Improvements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Edgars Road – development</w:t>
      </w:r>
    </w:p>
    <w:p w:rsidR="00A53D7D" w:rsidRPr="00596ED3" w:rsidRDefault="00A53D7D" w:rsidP="005140B4">
      <w:r w:rsidRPr="00596ED3">
        <w:t xml:space="preserve">Planning, project development and business case preparation will commence for the construction of the Edgars Road Extension from Cooper Street to </w:t>
      </w:r>
      <w:proofErr w:type="spellStart"/>
      <w:r w:rsidRPr="00596ED3">
        <w:t>O</w:t>
      </w:r>
      <w:r>
        <w:t>’</w:t>
      </w:r>
      <w:r w:rsidRPr="00596ED3">
        <w:t>Herns</w:t>
      </w:r>
      <w:proofErr w:type="spellEnd"/>
      <w:r w:rsidRPr="00596ED3">
        <w:t xml:space="preserve"> Road, Epping. The Edgars Road Extension will relieve congestion associated with limited road network capacity and connections in the Epping/Epping North area and support new employment opportunities in the Epping North and Cooper Street Employment Area precincts.</w:t>
      </w:r>
    </w:p>
    <w:p w:rsidR="00A53D7D" w:rsidRPr="00596ED3" w:rsidRDefault="00A53D7D" w:rsidP="005140B4">
      <w:r w:rsidRPr="00596ED3">
        <w:t>This initiative contributes to the Department of Transport, Planning and Local Infrastructure</w:t>
      </w:r>
      <w:r>
        <w:t>’</w:t>
      </w:r>
      <w:r w:rsidRPr="00596ED3">
        <w:t>s Road Network Improvements output.</w:t>
      </w:r>
    </w:p>
    <w:p w:rsidR="00A53D7D" w:rsidRPr="00596ED3" w:rsidRDefault="00A53D7D" w:rsidP="005140B4">
      <w:pPr>
        <w:pStyle w:val="Heading5"/>
      </w:pPr>
      <w:r w:rsidRPr="00596ED3">
        <w:t>Geelong Railway Station – improving disability access</w:t>
      </w:r>
    </w:p>
    <w:p w:rsidR="00A53D7D" w:rsidRPr="00596ED3" w:rsidRDefault="00A53D7D" w:rsidP="005140B4">
      <w:r w:rsidRPr="00596ED3">
        <w:t>Refer to the asset initiative for a description of this initiative.</w:t>
      </w:r>
    </w:p>
    <w:p w:rsidR="00A53D7D" w:rsidRPr="00596ED3" w:rsidRDefault="00A53D7D" w:rsidP="005140B4">
      <w:pPr>
        <w:pStyle w:val="Heading5"/>
      </w:pPr>
      <w:r w:rsidRPr="00596ED3">
        <w:t xml:space="preserve">Great Ocean Road upgrade </w:t>
      </w:r>
    </w:p>
    <w:p w:rsidR="00A53D7D" w:rsidRPr="00596ED3" w:rsidRDefault="00A53D7D" w:rsidP="005140B4">
      <w:r w:rsidRPr="00596ED3">
        <w:t xml:space="preserve">A series of improvement works will be undertaken to enhance and renew the road and bridges and improve safety along the entire length of the Great Ocean Road, from Torquay through to Allansford, east of Warrnambool. </w:t>
      </w:r>
    </w:p>
    <w:p w:rsidR="00A53D7D" w:rsidRPr="00596ED3" w:rsidRDefault="00A53D7D" w:rsidP="005140B4">
      <w:r w:rsidRPr="00596ED3">
        <w:t>This initiative contributes to the Department of Transport, Planning and Local Infrastructure</w:t>
      </w:r>
      <w:r>
        <w:t>’</w:t>
      </w:r>
      <w:r w:rsidRPr="00596ED3">
        <w:t>s Road Network Improvements output.</w:t>
      </w:r>
    </w:p>
    <w:p w:rsidR="00A53D7D" w:rsidRPr="00596ED3" w:rsidRDefault="00A53D7D" w:rsidP="005140B4">
      <w:pPr>
        <w:pStyle w:val="Heading5"/>
      </w:pPr>
      <w:r w:rsidRPr="00596ED3">
        <w:t>Local ports operations funding</w:t>
      </w:r>
    </w:p>
    <w:p w:rsidR="00A53D7D" w:rsidRPr="00596ED3" w:rsidRDefault="00A53D7D" w:rsidP="005140B4">
      <w:r w:rsidRPr="00596ED3">
        <w:t>Additional funding is provided for maintenance of Victoria</w:t>
      </w:r>
      <w:r>
        <w:t>’</w:t>
      </w:r>
      <w:r w:rsidRPr="00596ED3">
        <w:t>s local ports infrastructure including dredging which will improve access and safety in Victoria</w:t>
      </w:r>
      <w:r>
        <w:t>’</w:t>
      </w:r>
      <w:r w:rsidRPr="00596ED3">
        <w:t xml:space="preserve">s local ports. </w:t>
      </w:r>
    </w:p>
    <w:p w:rsidR="00A53D7D" w:rsidRPr="00596ED3" w:rsidRDefault="00A53D7D" w:rsidP="005140B4">
      <w:r w:rsidRPr="00596ED3">
        <w:t>This initiative contributes to the Department of Transport, Planning and Local Infrastructure</w:t>
      </w:r>
      <w:r>
        <w:t>’</w:t>
      </w:r>
      <w:r w:rsidRPr="00596ED3">
        <w:t>s Ports and Freight Network Improvements and Maintenance output.</w:t>
      </w:r>
    </w:p>
    <w:p w:rsidR="00A53D7D" w:rsidRPr="00596ED3" w:rsidRDefault="00A53D7D" w:rsidP="005140B4">
      <w:pPr>
        <w:pStyle w:val="Heading5"/>
      </w:pPr>
      <w:r w:rsidRPr="00596ED3">
        <w:t xml:space="preserve">Metro Level Crossing Blitz </w:t>
      </w:r>
    </w:p>
    <w:p w:rsidR="00A53D7D" w:rsidRPr="00596ED3" w:rsidRDefault="00A53D7D" w:rsidP="005140B4">
      <w:r w:rsidRPr="00596ED3">
        <w:t>Refer to the asset initiative for a description of this initiative.</w:t>
      </w:r>
      <w:r w:rsidRPr="00596ED3">
        <w:fldChar w:fldCharType="begin"/>
      </w:r>
      <w:r w:rsidRPr="00596ED3">
        <w:instrText xml:space="preserve"> XE </w:instrText>
      </w:r>
      <w:r>
        <w:instrText>"</w:instrText>
      </w:r>
      <w:r w:rsidRPr="00596ED3">
        <w:instrText>Metro Level Crossing Blitz</w:instrText>
      </w:r>
      <w:r>
        <w:instrText>"</w:instrText>
      </w:r>
      <w:r w:rsidRPr="00596ED3">
        <w:instrText xml:space="preserve"> </w:instrText>
      </w:r>
      <w:r w:rsidRPr="00596ED3">
        <w:fldChar w:fldCharType="end"/>
      </w:r>
    </w:p>
    <w:p w:rsidR="00A53D7D" w:rsidRPr="00596ED3" w:rsidRDefault="00A53D7D" w:rsidP="005140B4">
      <w:pPr>
        <w:pStyle w:val="Heading5"/>
      </w:pPr>
      <w:r w:rsidRPr="00596ED3">
        <w:t>Metro Level Crossing Blitz Program – Burke Road (Glen Iris), North Road (Ormond), Blackburn Road (Blackburn), Main Road (St Albans) level crossing removal</w:t>
      </w:r>
    </w:p>
    <w:p w:rsidR="00A53D7D" w:rsidRPr="00596ED3" w:rsidRDefault="00A53D7D" w:rsidP="005140B4">
      <w:r w:rsidRPr="00596ED3">
        <w:t xml:space="preserve">Refer to the asset initiative for a description of this initiative. </w:t>
      </w:r>
      <w:r w:rsidRPr="00596ED3">
        <w:fldChar w:fldCharType="begin"/>
      </w:r>
      <w:r w:rsidRPr="00596ED3">
        <w:instrText xml:space="preserve"> XE </w:instrText>
      </w:r>
      <w:r>
        <w:instrText>"</w:instrText>
      </w:r>
      <w:r w:rsidRPr="00596ED3">
        <w:instrText>Metro Level Crossing Blitz</w:instrText>
      </w:r>
      <w:r>
        <w:instrText>"</w:instrText>
      </w:r>
      <w:r w:rsidRPr="00596ED3">
        <w:instrText xml:space="preserve"> </w:instrText>
      </w:r>
      <w:r w:rsidRPr="00596ED3">
        <w:fldChar w:fldCharType="end"/>
      </w:r>
    </w:p>
    <w:p w:rsidR="00A53D7D" w:rsidRPr="00596ED3" w:rsidRDefault="00A53D7D" w:rsidP="005140B4">
      <w:pPr>
        <w:pStyle w:val="Heading5"/>
      </w:pPr>
      <w:r w:rsidRPr="00596ED3">
        <w:t>Mode shift incentive scheme</w:t>
      </w:r>
    </w:p>
    <w:p w:rsidR="00A53D7D" w:rsidRPr="00596ED3" w:rsidRDefault="00A53D7D" w:rsidP="005140B4">
      <w:r w:rsidRPr="00596ED3">
        <w:t xml:space="preserve">The mode shift incentive scheme encourages industry to increase the amount of freight carried on rail by providing targeted incentives to shift containerised freight from road to rail. Funding will extend the program for four years. </w:t>
      </w:r>
    </w:p>
    <w:p w:rsidR="00A53D7D" w:rsidRPr="00596ED3" w:rsidRDefault="00A53D7D" w:rsidP="005140B4">
      <w:r w:rsidRPr="00596ED3">
        <w:t>This initiative contributes to the Department of Transport, Planning and Local Infrastructure</w:t>
      </w:r>
      <w:r>
        <w:t>’</w:t>
      </w:r>
      <w:r w:rsidRPr="00596ED3">
        <w:t>s Ports and Freight Network Improvements and Maintenance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Mordialloc Bypass – development</w:t>
      </w:r>
    </w:p>
    <w:p w:rsidR="00A53D7D" w:rsidRPr="00596ED3" w:rsidRDefault="00A53D7D" w:rsidP="005140B4">
      <w:r w:rsidRPr="00596ED3">
        <w:t>Project development, preparation of a business case and statutory approvals will commence for the construction of the northern extension of the Mornington Peninsula Freeway, including any Environmental Effects Statement and Planning Scheme Amendment required as part of the approvals process.</w:t>
      </w:r>
    </w:p>
    <w:p w:rsidR="00A53D7D" w:rsidRPr="00596ED3" w:rsidRDefault="00A53D7D" w:rsidP="005140B4">
      <w:r w:rsidRPr="00596ED3">
        <w:t>This initiative contributes to the Department of Transport, Planning and Local Infrastructure</w:t>
      </w:r>
      <w:r>
        <w:t>’</w:t>
      </w:r>
      <w:r w:rsidRPr="00596ED3">
        <w:t>s Road Network Improvements output.</w:t>
      </w:r>
    </w:p>
    <w:p w:rsidR="00A53D7D" w:rsidRPr="00596ED3" w:rsidRDefault="00A53D7D" w:rsidP="005140B4">
      <w:pPr>
        <w:pStyle w:val="Heading5"/>
      </w:pPr>
      <w:r w:rsidRPr="00596ED3">
        <w:t xml:space="preserve">Pioneer Road duplication </w:t>
      </w:r>
    </w:p>
    <w:p w:rsidR="00A53D7D" w:rsidRPr="00596ED3" w:rsidRDefault="00A53D7D" w:rsidP="005140B4">
      <w:r w:rsidRPr="00596ED3">
        <w:t>Refer to the asset initiative for a description of this initiative.</w:t>
      </w:r>
    </w:p>
    <w:p w:rsidR="00A53D7D" w:rsidRPr="00596ED3" w:rsidRDefault="00A53D7D" w:rsidP="005140B4">
      <w:pPr>
        <w:pStyle w:val="Heading5"/>
      </w:pPr>
      <w:r w:rsidRPr="00596ED3">
        <w:t>Princes Highway</w:t>
      </w:r>
      <w:r w:rsidRPr="00596ED3">
        <w:fldChar w:fldCharType="begin"/>
      </w:r>
      <w:r w:rsidRPr="00596ED3">
        <w:instrText xml:space="preserve"> XE </w:instrText>
      </w:r>
      <w:r>
        <w:instrText>"</w:instrText>
      </w:r>
      <w:r w:rsidRPr="00596ED3">
        <w:instrText xml:space="preserve">Princes Highway </w:instrText>
      </w:r>
      <w:r>
        <w:instrText xml:space="preserve">West </w:instrText>
      </w:r>
      <w:r w:rsidRPr="00596ED3">
        <w:instrText>duplication project</w:instrText>
      </w:r>
      <w:r>
        <w:instrText>"</w:instrText>
      </w:r>
      <w:r w:rsidRPr="00596ED3">
        <w:instrText xml:space="preserve"> </w:instrText>
      </w:r>
      <w:r w:rsidRPr="00596ED3">
        <w:fldChar w:fldCharType="end"/>
      </w:r>
      <w:r w:rsidRPr="00596ED3">
        <w:t xml:space="preserve"> duplication project</w:t>
      </w:r>
      <w:r>
        <w:t xml:space="preserve"> – Winchelsea to Colac</w:t>
      </w:r>
      <w:r w:rsidRPr="00596ED3">
        <w:t xml:space="preserve"> </w:t>
      </w:r>
    </w:p>
    <w:p w:rsidR="00A53D7D" w:rsidRPr="00596ED3" w:rsidRDefault="00A53D7D" w:rsidP="005140B4">
      <w:r w:rsidRPr="00596ED3">
        <w:t>Refer to the asset initiative for a description of this initiative.</w:t>
      </w:r>
    </w:p>
    <w:p w:rsidR="00A53D7D" w:rsidRPr="00596ED3" w:rsidRDefault="00A53D7D" w:rsidP="005140B4">
      <w:pPr>
        <w:pStyle w:val="Heading5"/>
      </w:pPr>
      <w:r w:rsidRPr="00596ED3">
        <w:t>Princes Highway</w:t>
      </w:r>
      <w:r w:rsidRPr="00596ED3">
        <w:fldChar w:fldCharType="begin"/>
      </w:r>
      <w:r w:rsidRPr="00596ED3">
        <w:instrText xml:space="preserve"> XE </w:instrText>
      </w:r>
      <w:r>
        <w:instrText>"</w:instrText>
      </w:r>
      <w:r w:rsidRPr="00596ED3">
        <w:instrText>Princes Highway East</w:instrText>
      </w:r>
      <w:r>
        <w:instrText>"</w:instrText>
      </w:r>
      <w:r w:rsidRPr="00596ED3">
        <w:instrText xml:space="preserve"> </w:instrText>
      </w:r>
      <w:r w:rsidRPr="00596ED3">
        <w:fldChar w:fldCharType="end"/>
      </w:r>
      <w:r w:rsidRPr="00596ED3">
        <w:t xml:space="preserve"> East</w:t>
      </w:r>
      <w:r>
        <w:t xml:space="preserve"> (Sand Road interchange)</w:t>
      </w:r>
      <w:r w:rsidRPr="00596ED3">
        <w:t xml:space="preserve"> </w:t>
      </w:r>
    </w:p>
    <w:p w:rsidR="00A53D7D" w:rsidRPr="00596ED3" w:rsidRDefault="00A53D7D" w:rsidP="005140B4">
      <w:r w:rsidRPr="00596ED3">
        <w:t>Refer to the asset initiative for a description of this initiative.</w:t>
      </w:r>
    </w:p>
    <w:p w:rsidR="00A53D7D" w:rsidRPr="00596ED3" w:rsidRDefault="00A53D7D" w:rsidP="005140B4">
      <w:pPr>
        <w:pStyle w:val="Heading5"/>
      </w:pPr>
      <w:r w:rsidRPr="00596ED3">
        <w:t>Relieving congestion on suburban roads</w:t>
      </w:r>
    </w:p>
    <w:p w:rsidR="00A53D7D" w:rsidRPr="00596ED3" w:rsidRDefault="00A53D7D" w:rsidP="005140B4">
      <w:r w:rsidRPr="00596ED3">
        <w:t>Refer to the asset initiative for a description of this initiative.</w:t>
      </w:r>
    </w:p>
    <w:p w:rsidR="00A53D7D" w:rsidRPr="00596ED3" w:rsidRDefault="00A53D7D" w:rsidP="005140B4">
      <w:pPr>
        <w:pStyle w:val="Heading5"/>
      </w:pPr>
      <w:r w:rsidRPr="00596ED3">
        <w:t>Transport solutions – regional roads package</w:t>
      </w:r>
    </w:p>
    <w:p w:rsidR="00A53D7D" w:rsidRPr="00596ED3" w:rsidRDefault="00A53D7D" w:rsidP="005140B4">
      <w:r w:rsidRPr="00596ED3">
        <w:t>Refer to the asset initiative for a description of this initiative.</w:t>
      </w:r>
    </w:p>
    <w:p w:rsidR="00A53D7D" w:rsidRPr="00596ED3" w:rsidRDefault="00A53D7D" w:rsidP="005140B4">
      <w:pPr>
        <w:pStyle w:val="Heading5"/>
      </w:pPr>
      <w:r w:rsidRPr="00596ED3">
        <w:t>Westall Road extension – development</w:t>
      </w:r>
    </w:p>
    <w:p w:rsidR="00A53D7D" w:rsidRPr="00596ED3" w:rsidRDefault="00A53D7D" w:rsidP="005140B4">
      <w:r w:rsidRPr="00596ED3">
        <w:t>Planning, project development and business case preparation will commence for the construction of a new road link in the south</w:t>
      </w:r>
      <w:r>
        <w:noBreakHyphen/>
      </w:r>
      <w:r w:rsidRPr="00596ED3">
        <w:t>eastern suburbs of Melbourne. The proposed road link will support the further development of the Monash National Employment Cluster by improving accessibility to the area, improving freight access to industry and relieving existing congested road corridors.</w:t>
      </w:r>
    </w:p>
    <w:p w:rsidR="00A53D7D" w:rsidRPr="00596ED3" w:rsidRDefault="00A53D7D" w:rsidP="005140B4">
      <w:r w:rsidRPr="00596ED3">
        <w:t>This initiative contributes to the Department of Transport, Planning and Local Infrastructure</w:t>
      </w:r>
      <w:r>
        <w:t>’</w:t>
      </w:r>
      <w:r w:rsidRPr="00596ED3">
        <w:t>s Road Network Improvements output.</w:t>
      </w:r>
    </w:p>
    <w:p w:rsidR="00A53D7D" w:rsidRPr="00596ED3" w:rsidRDefault="00A53D7D" w:rsidP="005140B4">
      <w:pPr>
        <w:pStyle w:val="Heading4"/>
      </w:pPr>
      <w:r w:rsidRPr="00596ED3">
        <w:t>Metropolitan and Regional Planning and Development</w:t>
      </w:r>
      <w:r w:rsidRPr="00596ED3">
        <w:fldChar w:fldCharType="begin"/>
      </w:r>
      <w:r w:rsidRPr="00596ED3">
        <w:instrText xml:space="preserve"> XE </w:instrText>
      </w:r>
      <w:r>
        <w:instrText>"</w:instrText>
      </w:r>
      <w:r w:rsidRPr="00596ED3">
        <w:instrText>Department of Transport, Planning and Local Infrastructure:Public Transport Network Improvements and Maintenance</w:instrText>
      </w:r>
      <w:r>
        <w:instrText>"</w:instrText>
      </w:r>
      <w:r w:rsidRPr="00596ED3">
        <w:instrText xml:space="preserve"> </w:instrText>
      </w:r>
      <w:r w:rsidRPr="00596ED3">
        <w:fldChar w:fldCharType="end"/>
      </w:r>
    </w:p>
    <w:p w:rsidR="00A53D7D" w:rsidRPr="00596ED3" w:rsidRDefault="00A53D7D" w:rsidP="005140B4">
      <w:pPr>
        <w:pStyle w:val="Heading5"/>
      </w:pPr>
      <w:r w:rsidRPr="00596ED3">
        <w:t>Fast track government land release program</w:t>
      </w:r>
    </w:p>
    <w:p w:rsidR="00A53D7D" w:rsidRPr="00596ED3" w:rsidRDefault="00A53D7D" w:rsidP="005140B4">
      <w:r w:rsidRPr="00596ED3">
        <w:t>The fast track government land release program will streamline the planning process to bring surplus government land to market efficiently. It will provide a consistent approach to planning provisions, removing duplication and uncertainty to expedite the sale of surplus land.</w:t>
      </w:r>
    </w:p>
    <w:p w:rsidR="00A53D7D" w:rsidRPr="00596ED3" w:rsidRDefault="00A53D7D" w:rsidP="005140B4">
      <w:r w:rsidRPr="00596ED3">
        <w:t>This initiative contributes to the Department of Transport, Planning and Local Infrastructure</w:t>
      </w:r>
      <w:r>
        <w:t>’</w:t>
      </w:r>
      <w:r w:rsidRPr="00596ED3">
        <w:t>s Planning, Building and Heritage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 xml:space="preserve">Implementation of </w:t>
      </w:r>
      <w:r w:rsidRPr="00596ED3">
        <w:rPr>
          <w:i/>
        </w:rPr>
        <w:t>Plan Melbourne</w:t>
      </w:r>
    </w:p>
    <w:p w:rsidR="00A53D7D" w:rsidRPr="00596ED3" w:rsidRDefault="00A53D7D" w:rsidP="005140B4">
      <w:r w:rsidRPr="00596ED3">
        <w:t xml:space="preserve">Funding is provided to implement </w:t>
      </w:r>
      <w:r w:rsidRPr="00596ED3">
        <w:rPr>
          <w:i/>
        </w:rPr>
        <w:t>Plan Melbourne</w:t>
      </w:r>
      <w:r w:rsidRPr="00596ED3">
        <w:t xml:space="preserve"> to improve decision making in the planning system and development in National Employment Clusters and Activity Centres. Funding for this initiative combined with ongoing funding for the Metropolitan Planning Authority will be aligned with a new levy on planning permit applications. Refer to the revenue initiative for a description of the levy.</w:t>
      </w:r>
    </w:p>
    <w:p w:rsidR="00A53D7D" w:rsidRPr="00596ED3" w:rsidRDefault="00A53D7D" w:rsidP="005140B4">
      <w:r w:rsidRPr="00596ED3">
        <w:t>This initiative contributes to the Department of Transport, Planning and Local Infrastructure</w:t>
      </w:r>
      <w:r>
        <w:t>’</w:t>
      </w:r>
      <w:r w:rsidRPr="00596ED3">
        <w:t>s Planning, Building and Heritage output.</w:t>
      </w:r>
    </w:p>
    <w:p w:rsidR="00A53D7D" w:rsidRPr="00596ED3" w:rsidRDefault="00A53D7D" w:rsidP="005140B4">
      <w:pPr>
        <w:pStyle w:val="Heading5"/>
      </w:pPr>
      <w:r w:rsidRPr="00596ED3">
        <w:t>Metropolitan Planning Authority</w:t>
      </w:r>
    </w:p>
    <w:p w:rsidR="00A53D7D" w:rsidRPr="00596ED3" w:rsidRDefault="00A53D7D" w:rsidP="005140B4">
      <w:r w:rsidRPr="00596ED3">
        <w:t xml:space="preserve">Funding is provided for the newly established Metropolitan Planning Authority to implement key </w:t>
      </w:r>
      <w:r w:rsidRPr="00596ED3">
        <w:rPr>
          <w:i/>
        </w:rPr>
        <w:t>Plan Melbourne</w:t>
      </w:r>
      <w:r w:rsidRPr="00596ED3">
        <w:t xml:space="preserve"> initiatives to unlock capacity in priority areas of Melbourne, support local government in delivering </w:t>
      </w:r>
      <w:r w:rsidRPr="00596ED3">
        <w:rPr>
          <w:i/>
        </w:rPr>
        <w:t>Plan Melbourne</w:t>
      </w:r>
      <w:r w:rsidRPr="00596ED3">
        <w:t xml:space="preserve"> and to deliver a new metropolitan Open Space Strategy. Funding for this initiative combined with implementation of </w:t>
      </w:r>
      <w:r w:rsidRPr="00596ED3">
        <w:rPr>
          <w:i/>
        </w:rPr>
        <w:t xml:space="preserve">Plan Melbourne </w:t>
      </w:r>
      <w:r w:rsidRPr="00596ED3">
        <w:t>will be aligned with a new levy on planning permit applications. Refer to the revenue initiative for a description of the levy.</w:t>
      </w:r>
    </w:p>
    <w:p w:rsidR="00A53D7D" w:rsidRPr="00596ED3" w:rsidRDefault="00A53D7D" w:rsidP="005140B4">
      <w:r w:rsidRPr="00596ED3">
        <w:t>This initiative contributes to the Department of Transport, Planning and Local Infrastructure</w:t>
      </w:r>
      <w:r>
        <w:t>’</w:t>
      </w:r>
      <w:r w:rsidRPr="00596ED3">
        <w:t>s Planning, Building and Heritage output.</w:t>
      </w:r>
    </w:p>
    <w:p w:rsidR="00A53D7D" w:rsidRPr="00596ED3" w:rsidRDefault="00A53D7D" w:rsidP="005140B4">
      <w:pPr>
        <w:pStyle w:val="Heading5"/>
      </w:pPr>
      <w:r w:rsidRPr="00596ED3">
        <w:t xml:space="preserve">Rural Council Planning Flying Squad </w:t>
      </w:r>
    </w:p>
    <w:p w:rsidR="00A53D7D" w:rsidRPr="00596ED3" w:rsidRDefault="00A53D7D" w:rsidP="005140B4">
      <w:r w:rsidRPr="00596ED3">
        <w:t xml:space="preserve">The Rural Council Planning Flying Squad program will be continued and extended. This program provides planning support to rural and regional councils. Rural and regional councils will benefit from the additional capacity to manage the backlog of planning work, support strategic plan </w:t>
      </w:r>
      <w:proofErr w:type="gramStart"/>
      <w:r w:rsidRPr="00596ED3">
        <w:t>implementation</w:t>
      </w:r>
      <w:proofErr w:type="gramEnd"/>
      <w:r w:rsidRPr="00596ED3">
        <w:t xml:space="preserve"> and ensure investment opportunities are maximised. This initiative will be funded from the Regional Growth Fund.</w:t>
      </w:r>
    </w:p>
    <w:p w:rsidR="00A53D7D" w:rsidRPr="00596ED3" w:rsidRDefault="00A53D7D" w:rsidP="005140B4">
      <w:r w:rsidRPr="00596ED3">
        <w:t>This initiative contributes to the Department of Transport, Planning and Local Infrastructure</w:t>
      </w:r>
      <w:r>
        <w:t>’</w:t>
      </w:r>
      <w:r w:rsidRPr="00596ED3">
        <w:t>s Planning, Building and Heritage output.</w:t>
      </w:r>
    </w:p>
    <w:p w:rsidR="00A53D7D" w:rsidRPr="00596ED3" w:rsidRDefault="00A53D7D" w:rsidP="005140B4">
      <w:pPr>
        <w:pStyle w:val="Heading5"/>
      </w:pPr>
      <w:r w:rsidRPr="00596ED3">
        <w:t>Supporting Regional Growth Plan delivery</w:t>
      </w:r>
    </w:p>
    <w:p w:rsidR="00A53D7D" w:rsidRPr="00596ED3" w:rsidRDefault="00A53D7D" w:rsidP="005140B4">
      <w:r w:rsidRPr="00596ED3">
        <w:fldChar w:fldCharType="begin"/>
      </w:r>
      <w:r w:rsidRPr="00596ED3">
        <w:instrText xml:space="preserve"> XE </w:instrText>
      </w:r>
      <w:r>
        <w:instrText>"</w:instrText>
      </w:r>
      <w:r w:rsidRPr="00596ED3">
        <w:instrText>Regional Growth Plan</w:instrText>
      </w:r>
      <w:r>
        <w:instrText>"</w:instrText>
      </w:r>
      <w:r w:rsidRPr="00596ED3">
        <w:instrText xml:space="preserve"> </w:instrText>
      </w:r>
      <w:r w:rsidRPr="00596ED3">
        <w:fldChar w:fldCharType="end"/>
      </w:r>
      <w:r w:rsidRPr="00596ED3">
        <w:t xml:space="preserve">A project team will be established to undertake implementation planning for projects outlined in Regional Growth Plans. The team will assist regional councils to assess infrastructure demand, develop business </w:t>
      </w:r>
      <w:proofErr w:type="gramStart"/>
      <w:r w:rsidRPr="00596ED3">
        <w:t>cases</w:t>
      </w:r>
      <w:proofErr w:type="gramEnd"/>
      <w:r w:rsidRPr="00596ED3">
        <w:t xml:space="preserve"> and manage projects. This initiative will be funded from the Regional Growth Fund.</w:t>
      </w:r>
    </w:p>
    <w:p w:rsidR="00A53D7D" w:rsidRPr="00596ED3" w:rsidRDefault="00A53D7D" w:rsidP="005140B4">
      <w:r w:rsidRPr="00596ED3">
        <w:t>This initiative contributes to the Department of Transport, Planning and Local Infrastructure</w:t>
      </w:r>
      <w:r>
        <w:t>’</w:t>
      </w:r>
      <w:r w:rsidRPr="00596ED3">
        <w:t>s Planning, Building and Heritage output.</w:t>
      </w:r>
    </w:p>
    <w:p w:rsidR="00A53D7D" w:rsidRPr="00596ED3" w:rsidRDefault="00A53D7D" w:rsidP="005140B4">
      <w:pPr>
        <w:pStyle w:val="Heading5"/>
      </w:pPr>
      <w:r w:rsidRPr="00596ED3">
        <w:t>Victorian Design Review Panel</w:t>
      </w:r>
    </w:p>
    <w:p w:rsidR="00A53D7D" w:rsidRPr="00596ED3" w:rsidRDefault="00A53D7D" w:rsidP="005140B4">
      <w:r w:rsidRPr="00596ED3">
        <w:t xml:space="preserve">The Victorian Design Review Panel will continue to be supported. The panel provides expert and independent advice on significant state and local governments and private sector projects to improve design </w:t>
      </w:r>
      <w:proofErr w:type="gramStart"/>
      <w:r w:rsidRPr="00596ED3">
        <w:t>quality,</w:t>
      </w:r>
      <w:proofErr w:type="gramEnd"/>
      <w:r w:rsidRPr="00596ED3">
        <w:t xml:space="preserve"> achieve best value and maximise the benefit for the Victorian public. </w:t>
      </w:r>
    </w:p>
    <w:p w:rsidR="00A53D7D" w:rsidRPr="00596ED3" w:rsidRDefault="00A53D7D" w:rsidP="005140B4">
      <w:r w:rsidRPr="00596ED3">
        <w:t xml:space="preserve">This initiative contributes to the Department of Transport, </w:t>
      </w:r>
      <w:proofErr w:type="gramStart"/>
      <w:r w:rsidRPr="00596ED3">
        <w:t>Planning</w:t>
      </w:r>
      <w:proofErr w:type="gramEnd"/>
      <w:r w:rsidRPr="00596ED3">
        <w:t xml:space="preserve"> and Local Infrastructure</w:t>
      </w:r>
      <w:r>
        <w:t>’</w:t>
      </w:r>
      <w:r w:rsidRPr="00596ED3">
        <w:t>s Office of the Victorian Government Architect output.</w:t>
      </w:r>
    </w:p>
    <w:p w:rsidR="00A53D7D" w:rsidRPr="00596ED3" w:rsidRDefault="00A53D7D" w:rsidP="005140B4">
      <w:pPr>
        <w:pStyle w:val="Heading4"/>
      </w:pPr>
      <w:r w:rsidRPr="00596ED3">
        <w:t>Transport Safety and Security</w:t>
      </w:r>
    </w:p>
    <w:p w:rsidR="00A53D7D" w:rsidRPr="00596ED3" w:rsidRDefault="00A53D7D" w:rsidP="005140B4">
      <w:pPr>
        <w:pStyle w:val="Heading5"/>
      </w:pPr>
      <w:r w:rsidRPr="00596ED3">
        <w:t>City Loop fire and safety upgrade</w:t>
      </w:r>
    </w:p>
    <w:p w:rsidR="00A53D7D" w:rsidRPr="00596ED3" w:rsidRDefault="00A53D7D" w:rsidP="005140B4">
      <w:r w:rsidRPr="00596ED3">
        <w:t>Refer to the asset initiative for a description of this initiative.</w:t>
      </w:r>
    </w:p>
    <w:p w:rsidR="00A53D7D" w:rsidRPr="00596ED3" w:rsidRDefault="00A53D7D" w:rsidP="005140B4">
      <w:pPr>
        <w:pStyle w:val="Heading5"/>
      </w:pPr>
      <w:r w:rsidRPr="00596ED3">
        <w:t>Motorcycle graduated licensing system</w:t>
      </w:r>
    </w:p>
    <w:p w:rsidR="00A53D7D" w:rsidRPr="00596ED3" w:rsidRDefault="00A53D7D" w:rsidP="005140B4">
      <w:r w:rsidRPr="00596ED3">
        <w:t xml:space="preserve">A motorcycle graduated licensing system will be introduced to improve rider safety through better training and assessment requirements and new licence conditions for learners and probationary riders. </w:t>
      </w:r>
    </w:p>
    <w:p w:rsidR="00A53D7D" w:rsidRPr="00596ED3" w:rsidRDefault="00A53D7D" w:rsidP="005140B4">
      <w:r w:rsidRPr="00596ED3">
        <w:t>This initiative contributes to the Department of Transport, Planning and Local Infrastructure</w:t>
      </w:r>
      <w:r>
        <w:t>’</w:t>
      </w:r>
      <w:r w:rsidRPr="00596ED3">
        <w:t>s Transport Safety and Security Management output.</w:t>
      </w:r>
    </w:p>
    <w:p w:rsidR="00A53D7D" w:rsidRPr="00596ED3" w:rsidRDefault="00A53D7D" w:rsidP="005140B4">
      <w:pPr>
        <w:pStyle w:val="Heading4"/>
      </w:pPr>
      <w:r w:rsidRPr="00596ED3">
        <w:t>Investing in Local Infrastructure</w:t>
      </w:r>
    </w:p>
    <w:p w:rsidR="00A53D7D" w:rsidRPr="00596ED3" w:rsidRDefault="00A53D7D" w:rsidP="005140B4">
      <w:pPr>
        <w:pStyle w:val="Heading5"/>
      </w:pPr>
      <w:r w:rsidRPr="00596ED3">
        <w:t>Community sports facility program</w:t>
      </w:r>
    </w:p>
    <w:p w:rsidR="00A53D7D" w:rsidRPr="00596ED3" w:rsidRDefault="00A53D7D" w:rsidP="005140B4">
      <w:r w:rsidRPr="00596ED3">
        <w:t xml:space="preserve">The </w:t>
      </w:r>
      <w:r>
        <w:t>c</w:t>
      </w:r>
      <w:r w:rsidRPr="00596ED3">
        <w:t>ommunity sports facility program is a new program to provide high</w:t>
      </w:r>
      <w:r>
        <w:noBreakHyphen/>
      </w:r>
      <w:r w:rsidRPr="00596ED3">
        <w:t xml:space="preserve">quality, accessible community sport and recreation facilities across Victoria. This program provides grants for building and improving community sport and recreation facilities. </w:t>
      </w:r>
    </w:p>
    <w:p w:rsidR="00A53D7D" w:rsidRPr="00596ED3" w:rsidRDefault="00A53D7D" w:rsidP="005140B4">
      <w:r w:rsidRPr="00596ED3">
        <w:t>This initiative contributes to the Department of Transport, Planning and Local Infrastructure</w:t>
      </w:r>
      <w:r>
        <w:t>’</w:t>
      </w:r>
      <w:r w:rsidRPr="00596ED3">
        <w:t>s Sport and Recreation output.</w:t>
      </w:r>
    </w:p>
    <w:p w:rsidR="00A53D7D" w:rsidRPr="00596ED3" w:rsidRDefault="00A53D7D" w:rsidP="005140B4">
      <w:pPr>
        <w:pStyle w:val="Heading5"/>
      </w:pPr>
      <w:r w:rsidRPr="00596ED3">
        <w:t xml:space="preserve">Integrity in Sport </w:t>
      </w:r>
    </w:p>
    <w:p w:rsidR="00A53D7D" w:rsidRPr="00596ED3" w:rsidRDefault="00A53D7D" w:rsidP="005140B4">
      <w:r w:rsidRPr="00596ED3">
        <w:t xml:space="preserve">Funding is provided to map the functions of current Victorian government agencies involved in sports integrity to identify gaps in integrity systems, and support the development of more robust integrity systems in community and elite sporting organisations within Victoria. </w:t>
      </w:r>
    </w:p>
    <w:p w:rsidR="00A53D7D" w:rsidRPr="00596ED3" w:rsidRDefault="00A53D7D" w:rsidP="005140B4">
      <w:r w:rsidRPr="00596ED3">
        <w:t>This initiative contributes to the Department of Transport, Planning and Local Infrastructure</w:t>
      </w:r>
      <w:r>
        <w:t>’</w:t>
      </w:r>
      <w:r w:rsidRPr="00596ED3">
        <w:t>s Sport and Recreation output.</w:t>
      </w:r>
    </w:p>
    <w:p w:rsidR="00A53D7D" w:rsidRPr="00596ED3" w:rsidRDefault="00A53D7D" w:rsidP="005140B4">
      <w:pPr>
        <w:pStyle w:val="Heading5"/>
      </w:pPr>
      <w:r w:rsidRPr="00596ED3">
        <w:t>Local Government Inspectorate</w:t>
      </w:r>
    </w:p>
    <w:p w:rsidR="00A53D7D" w:rsidRPr="00596ED3" w:rsidRDefault="00A53D7D" w:rsidP="005140B4">
      <w:r w:rsidRPr="00596ED3">
        <w:t xml:space="preserve">The accountability of local government will be improved by providing funding for the Local Government Inspectorate to assess compliance with the </w:t>
      </w:r>
      <w:r w:rsidRPr="00596ED3">
        <w:rPr>
          <w:i/>
        </w:rPr>
        <w:t>Local Government Act 1989</w:t>
      </w:r>
      <w:r w:rsidRPr="00596ED3">
        <w:t xml:space="preserve"> and investigate and prosecute alleged breaches of the Act. </w:t>
      </w:r>
    </w:p>
    <w:p w:rsidR="00A53D7D" w:rsidRPr="00596ED3" w:rsidRDefault="00A53D7D" w:rsidP="005140B4">
      <w:r w:rsidRPr="00596ED3">
        <w:t>This initiative contributes to the Department of Transport, Planning and Local Infrastructure</w:t>
      </w:r>
      <w:r>
        <w:t>’</w:t>
      </w:r>
      <w:r w:rsidRPr="00596ED3">
        <w:t>s Local Government output.</w:t>
      </w:r>
    </w:p>
    <w:p w:rsidR="00A53D7D" w:rsidRPr="00596ED3" w:rsidRDefault="00A53D7D" w:rsidP="005140B4">
      <w:pPr>
        <w:pStyle w:val="Heading5"/>
      </w:pPr>
      <w:r w:rsidRPr="00596ED3">
        <w:t>Local Government performance reporting initiative</w:t>
      </w:r>
    </w:p>
    <w:p w:rsidR="00A53D7D" w:rsidRPr="00596ED3" w:rsidRDefault="00A53D7D" w:rsidP="005140B4">
      <w:r w:rsidRPr="00596ED3">
        <w:t xml:space="preserve">Funding is provided to support continued performance reporting and financial monitoring of councils from July 2014. Councils will be benchmarked with the results published on a website. </w:t>
      </w:r>
    </w:p>
    <w:p w:rsidR="00A53D7D" w:rsidRPr="00596ED3" w:rsidRDefault="00A53D7D" w:rsidP="005140B4">
      <w:r w:rsidRPr="00596ED3">
        <w:t>This initiative contributes to the Department of Transport, Planning and Local Infrastructure</w:t>
      </w:r>
      <w:r>
        <w:t>’</w:t>
      </w:r>
      <w:r w:rsidRPr="00596ED3">
        <w:t>s Local Government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Significant sporting events program</w:t>
      </w:r>
    </w:p>
    <w:p w:rsidR="00A53D7D" w:rsidRPr="00596ED3" w:rsidRDefault="00A53D7D" w:rsidP="005140B4">
      <w:r w:rsidRPr="00596ED3">
        <w:t>Additional grants provided to sporting and community organisations to assist in the delivery of significant sporting events across Victoria. This includes funding for events such as the Stawell Gift, Melbourne to War</w:t>
      </w:r>
      <w:r>
        <w:t>r</w:t>
      </w:r>
      <w:r w:rsidRPr="00596ED3">
        <w:t>nambool Cycling Classic and Australian Masters Swimming Championships.</w:t>
      </w:r>
    </w:p>
    <w:p w:rsidR="00A53D7D" w:rsidRPr="00596ED3" w:rsidRDefault="00A53D7D" w:rsidP="005140B4">
      <w:r w:rsidRPr="00596ED3">
        <w:t>This initiative contributes to the Department of Transport, Planning and Local Infrastructure</w:t>
      </w:r>
      <w:r>
        <w:t>’</w:t>
      </w:r>
      <w:r w:rsidRPr="00596ED3">
        <w:t>s Sport and Recreation output.</w:t>
      </w:r>
    </w:p>
    <w:p w:rsidR="00A53D7D" w:rsidRPr="00596ED3" w:rsidRDefault="00A53D7D" w:rsidP="005140B4">
      <w:pPr>
        <w:pStyle w:val="Heading5"/>
      </w:pPr>
      <w:r w:rsidRPr="00596ED3">
        <w:t>State Sport Centres Trust asset investment program</w:t>
      </w:r>
    </w:p>
    <w:p w:rsidR="00A53D7D" w:rsidRPr="00596ED3" w:rsidRDefault="00A53D7D" w:rsidP="005140B4">
      <w:r w:rsidRPr="00596ED3">
        <w:t>Refer to the asset initiative for a description of this initiative.</w:t>
      </w:r>
    </w:p>
    <w:p w:rsidR="00A53D7D" w:rsidRPr="00596ED3" w:rsidRDefault="00A53D7D" w:rsidP="005140B4">
      <w:pPr>
        <w:pStyle w:val="Heading5"/>
      </w:pPr>
      <w:r w:rsidRPr="00596ED3">
        <w:t>Strategic sporting infrastructure program</w:t>
      </w:r>
    </w:p>
    <w:p w:rsidR="00A53D7D" w:rsidRPr="00596ED3" w:rsidRDefault="00A53D7D" w:rsidP="005140B4">
      <w:r w:rsidRPr="00596ED3">
        <w:t>A grants program established to support the upgrade of existing sporting and recreational facilities, and deliver new strategically important sporting facilities across Victoria. This includes grants for the Bendigo Aquatic Centre and Moorabbin Community Reserve project.</w:t>
      </w:r>
    </w:p>
    <w:p w:rsidR="00A53D7D" w:rsidRPr="00596ED3" w:rsidRDefault="00A53D7D" w:rsidP="005140B4">
      <w:r w:rsidRPr="00596ED3">
        <w:t>This initiative contributes to the Department of Transport, Planning and Local Infrastructure</w:t>
      </w:r>
      <w:r>
        <w:t>’</w:t>
      </w:r>
      <w:r w:rsidRPr="00596ED3">
        <w:t>s Sport and Recreation output.</w:t>
      </w:r>
      <w:r w:rsidRPr="00596ED3">
        <w:fldChar w:fldCharType="begin"/>
      </w:r>
      <w:r w:rsidRPr="00596ED3">
        <w:instrText xml:space="preserve"> XE </w:instrText>
      </w:r>
      <w:r>
        <w:instrText>"</w:instrText>
      </w:r>
      <w:r w:rsidRPr="00596ED3">
        <w:instrText>Department of Transport, Planning and Local Infrastructure:Planning, Building and Heritage</w:instrText>
      </w:r>
      <w:r>
        <w:instrText>"</w:instrText>
      </w:r>
      <w:r w:rsidRPr="00596ED3">
        <w:instrText xml:space="preserve"> </w:instrText>
      </w:r>
      <w:r w:rsidRPr="00596ED3">
        <w:fldChar w:fldCharType="end"/>
      </w:r>
    </w:p>
    <w:p w:rsidR="00A53D7D" w:rsidRPr="00596ED3" w:rsidRDefault="00A53D7D" w:rsidP="005140B4"/>
    <w:p w:rsidR="00A53D7D" w:rsidRPr="00596ED3" w:rsidRDefault="00A53D7D">
      <w:pPr>
        <w:spacing w:after="0"/>
        <w:rPr>
          <w:rFonts w:ascii="Calibri" w:hAnsi="Calibri"/>
          <w:b/>
          <w:i/>
          <w:kern w:val="28"/>
          <w:sz w:val="24"/>
          <w:szCs w:val="22"/>
        </w:rPr>
      </w:pPr>
      <w:r w:rsidRPr="00596ED3">
        <w:br w:type="page"/>
      </w:r>
    </w:p>
    <w:p w:rsidR="00A53D7D" w:rsidRPr="00596ED3" w:rsidRDefault="00A53D7D" w:rsidP="005140B4">
      <w:pPr>
        <w:pStyle w:val="Heading3"/>
      </w:pPr>
      <w:r w:rsidRPr="00596ED3">
        <w:t>Asset initiatives</w:t>
      </w:r>
    </w:p>
    <w:p w:rsidR="00A53D7D" w:rsidRPr="00596ED3" w:rsidRDefault="00A53D7D" w:rsidP="005140B4">
      <w:pPr>
        <w:pStyle w:val="Tableheading"/>
      </w:pPr>
      <w:r w:rsidRPr="00596ED3">
        <w:t xml:space="preserve">Table 1.18: </w:t>
      </w:r>
      <w:r w:rsidRPr="00596ED3">
        <w:tab/>
        <w:t>Asset Initiatives – Transport, Planning and Local Infrastructure</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bookmarkStart w:id="46" w:name="RANGE!A81:G115"/>
      <w:bookmarkStart w:id="47" w:name="RANGE!A97:G139"/>
    </w:p>
    <w:tbl>
      <w:tblPr>
        <w:tblW w:w="7776" w:type="dxa"/>
        <w:tblInd w:w="29" w:type="dxa"/>
        <w:tblLayout w:type="fixed"/>
        <w:tblCellMar>
          <w:left w:w="43" w:type="dxa"/>
          <w:right w:w="43" w:type="dxa"/>
        </w:tblCellMar>
        <w:tblLook w:val="04A0" w:firstRow="1" w:lastRow="0" w:firstColumn="1" w:lastColumn="0" w:noHBand="0" w:noVBand="1"/>
      </w:tblPr>
      <w:tblGrid>
        <w:gridCol w:w="2750"/>
        <w:gridCol w:w="144"/>
        <w:gridCol w:w="693"/>
        <w:gridCol w:w="838"/>
        <w:gridCol w:w="838"/>
        <w:gridCol w:w="837"/>
        <w:gridCol w:w="838"/>
        <w:gridCol w:w="838"/>
      </w:tblGrid>
      <w:tr w:rsidR="00A53D7D" w:rsidRPr="00FB64AD" w:rsidTr="005140B4">
        <w:trPr>
          <w:divId w:val="181626308"/>
          <w:cantSplit/>
          <w:tblHeader/>
        </w:trPr>
        <w:tc>
          <w:tcPr>
            <w:tcW w:w="2750" w:type="dxa"/>
            <w:tcBorders>
              <w:top w:val="single" w:sz="6" w:space="0" w:color="auto"/>
              <w:left w:val="single" w:sz="6"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837" w:type="dxa"/>
            <w:gridSpan w:val="2"/>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838"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838"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837"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838"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c>
          <w:tcPr>
            <w:tcW w:w="838" w:type="dxa"/>
            <w:tcBorders>
              <w:top w:val="single" w:sz="6" w:space="0" w:color="auto"/>
              <w:left w:val="nil"/>
              <w:bottom w:val="single" w:sz="4" w:space="0" w:color="auto"/>
              <w:right w:val="single" w:sz="6"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TEI</w:t>
            </w:r>
          </w:p>
        </w:tc>
      </w:tr>
      <w:tr w:rsidR="00A53D7D" w:rsidRPr="00FB64AD" w:rsidTr="005140B4">
        <w:trPr>
          <w:divId w:val="181626308"/>
          <w:cantSplit/>
        </w:trPr>
        <w:tc>
          <w:tcPr>
            <w:tcW w:w="2750" w:type="dxa"/>
            <w:tcBorders>
              <w:top w:val="single" w:sz="6" w:space="0" w:color="auto"/>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Integrated Transport Services</w:t>
            </w:r>
          </w:p>
        </w:tc>
        <w:tc>
          <w:tcPr>
            <w:tcW w:w="837" w:type="dxa"/>
            <w:gridSpan w:val="2"/>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7"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single" w:sz="6" w:space="0" w:color="auto"/>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Securing train radio spectrum</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14.5</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14.5</w:t>
            </w:r>
          </w:p>
        </w:tc>
      </w:tr>
      <w:tr w:rsidR="00A53D7D" w:rsidRPr="00FB64AD" w:rsidTr="005140B4">
        <w:trPr>
          <w:divId w:val="181626308"/>
          <w:cantSplit/>
        </w:trPr>
        <w:tc>
          <w:tcPr>
            <w:tcW w:w="2750"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Transport System Development and Maintenance</w:t>
            </w:r>
          </w:p>
        </w:tc>
        <w:tc>
          <w:tcPr>
            <w:tcW w:w="837"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7"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Arterial road restoration</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20.0</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000000" w:fill="FFFFFF"/>
            <w:noWrap/>
            <w:hideMark/>
          </w:tcPr>
          <w:p w:rsidR="00A53D7D" w:rsidRPr="00FB64AD" w:rsidRDefault="00A53D7D" w:rsidP="005140B4">
            <w:pPr>
              <w:pStyle w:val="TableofFigures"/>
              <w:rPr>
                <w:color w:val="000000"/>
                <w:lang w:eastAsia="en-AU"/>
              </w:rPr>
            </w:pPr>
            <w:r w:rsidRPr="00FB64AD">
              <w:rPr>
                <w:color w:val="000000"/>
                <w:lang w:eastAsia="en-AU"/>
              </w:rPr>
              <w:t xml:space="preserve"> 50.0</w:t>
            </w:r>
          </w:p>
        </w:tc>
      </w:tr>
      <w:tr w:rsidR="00A53D7D" w:rsidRPr="00FB64AD" w:rsidTr="005140B4">
        <w:trPr>
          <w:divId w:val="181626308"/>
          <w:cantSplit/>
        </w:trPr>
        <w:tc>
          <w:tcPr>
            <w:tcW w:w="2894" w:type="dxa"/>
            <w:gridSpan w:val="2"/>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Avalon Airport Rail Link</w:t>
            </w:r>
            <w:r>
              <w:rPr>
                <w:color w:val="000000"/>
                <w:lang w:eastAsia="en-AU"/>
              </w:rPr>
              <w:t xml:space="preserve"> – </w:t>
            </w:r>
            <w:r w:rsidRPr="00FB64AD">
              <w:rPr>
                <w:color w:val="000000"/>
                <w:lang w:eastAsia="en-AU"/>
              </w:rPr>
              <w:t xml:space="preserve">transport corridor protection </w:t>
            </w:r>
            <w:r w:rsidRPr="00FB64AD">
              <w:rPr>
                <w:color w:val="000000"/>
                <w:vertAlign w:val="superscript"/>
                <w:lang w:eastAsia="en-AU"/>
              </w:rPr>
              <w:t>(a)</w:t>
            </w:r>
          </w:p>
        </w:tc>
        <w:tc>
          <w:tcPr>
            <w:tcW w:w="6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Ballan crossing loop and car park upgrade </w:t>
            </w:r>
            <w:r w:rsidRPr="00FB64AD">
              <w:rPr>
                <w:color w:val="000000"/>
                <w:vertAlign w:val="superscript"/>
                <w:lang w:eastAsia="en-AU"/>
              </w:rPr>
              <w:t>(b)</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7.9</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6.2</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14.1</w:t>
            </w:r>
          </w:p>
        </w:tc>
      </w:tr>
      <w:tr w:rsidR="00A53D7D" w:rsidRPr="00FB64AD" w:rsidTr="005140B4">
        <w:trPr>
          <w:divId w:val="181626308"/>
          <w:cantSplit/>
        </w:trPr>
        <w:tc>
          <w:tcPr>
            <w:tcW w:w="2750" w:type="dxa"/>
            <w:tcBorders>
              <w:top w:val="nil"/>
              <w:left w:val="nil"/>
              <w:bottom w:val="nil"/>
              <w:right w:val="nil"/>
            </w:tcBorders>
            <w:shd w:val="clear" w:color="auto" w:fill="auto"/>
            <w:vAlign w:val="bottom"/>
            <w:hideMark/>
          </w:tcPr>
          <w:p w:rsidR="00A53D7D" w:rsidRPr="00FB64AD" w:rsidRDefault="00A53D7D" w:rsidP="005140B4">
            <w:pPr>
              <w:pStyle w:val="Tabletext"/>
              <w:rPr>
                <w:lang w:eastAsia="en-AU"/>
              </w:rPr>
            </w:pPr>
            <w:r w:rsidRPr="00FB64AD">
              <w:rPr>
                <w:lang w:eastAsia="en-AU"/>
              </w:rPr>
              <w:t xml:space="preserve">Calder Highway interchange Ravenswood </w:t>
            </w:r>
            <w:r w:rsidRPr="00FB64AD">
              <w:rPr>
                <w:vertAlign w:val="superscript"/>
                <w:lang w:eastAsia="en-AU"/>
              </w:rPr>
              <w:t>(c)</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8.1</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27.4</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34.7</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14.1</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86.0</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Carrum</w:t>
            </w:r>
            <w:r>
              <w:rPr>
                <w:color w:val="000000"/>
                <w:lang w:eastAsia="en-AU"/>
              </w:rPr>
              <w:noBreakHyphen/>
            </w:r>
            <w:r w:rsidRPr="00FB64AD">
              <w:rPr>
                <w:color w:val="000000"/>
                <w:lang w:eastAsia="en-AU"/>
              </w:rPr>
              <w:t>Warburton bike trail</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2.6</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2.8</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Cranbourne</w:t>
            </w:r>
            <w:r>
              <w:rPr>
                <w:color w:val="000000"/>
                <w:lang w:eastAsia="en-AU"/>
              </w:rPr>
              <w:noBreakHyphen/>
            </w:r>
            <w:r w:rsidRPr="00FB64AD">
              <w:rPr>
                <w:color w:val="000000"/>
                <w:lang w:eastAsia="en-AU"/>
              </w:rPr>
              <w:t>Pakenham Rail Corridor project</w:t>
            </w:r>
            <w:r w:rsidRPr="00FB64AD">
              <w:rPr>
                <w:color w:val="000000"/>
                <w:vertAlign w:val="superscript"/>
                <w:lang w:eastAsia="en-AU"/>
              </w:rPr>
              <w:t xml:space="preserve"> (d)</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Pr>
                <w:color w:val="000000"/>
                <w:lang w:eastAsia="en-AU"/>
              </w:rPr>
              <w:t>30.0</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Pr>
                <w:color w:val="000000"/>
                <w:lang w:eastAsia="en-AU"/>
              </w:rPr>
              <w:t>5.0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Pr>
                <w:color w:val="000000"/>
                <w:lang w:eastAsia="en-AU"/>
              </w:rPr>
              <w:t>1.0</w:t>
            </w:r>
          </w:p>
        </w:tc>
        <w:tc>
          <w:tcPr>
            <w:tcW w:w="838" w:type="dxa"/>
            <w:tcBorders>
              <w:top w:val="nil"/>
              <w:left w:val="nil"/>
              <w:bottom w:val="nil"/>
              <w:right w:val="nil"/>
            </w:tcBorders>
            <w:shd w:val="clear" w:color="auto" w:fill="auto"/>
            <w:noWrap/>
            <w:hideMark/>
          </w:tcPr>
          <w:p w:rsidR="00A53D7D" w:rsidRPr="00FB64AD" w:rsidRDefault="00A53D7D" w:rsidP="00D418A8">
            <w:pPr>
              <w:pStyle w:val="TableofFigures"/>
              <w:rPr>
                <w:color w:val="000000"/>
                <w:lang w:eastAsia="en-AU"/>
              </w:rPr>
            </w:pPr>
            <w:r w:rsidRPr="00FB64AD">
              <w:rPr>
                <w:color w:val="000000"/>
                <w:lang w:eastAsia="en-AU"/>
              </w:rPr>
              <w:t>2000</w:t>
            </w:r>
            <w:r w:rsidR="00D418A8">
              <w:rPr>
                <w:color w:val="000000"/>
                <w:lang w:eastAsia="en-AU"/>
              </w:rPr>
              <w:t>–</w:t>
            </w:r>
            <w:r w:rsidRPr="00FB64AD">
              <w:rPr>
                <w:color w:val="000000"/>
                <w:lang w:eastAsia="en-AU"/>
              </w:rPr>
              <w:t>2500</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East West Link</w:t>
            </w:r>
            <w:r>
              <w:rPr>
                <w:color w:val="000000"/>
                <w:lang w:eastAsia="en-AU"/>
              </w:rPr>
              <w:t xml:space="preserve"> – </w:t>
            </w:r>
            <w:r w:rsidRPr="00FB64AD">
              <w:rPr>
                <w:color w:val="000000"/>
                <w:lang w:eastAsia="en-AU"/>
              </w:rPr>
              <w:t>Western Section</w:t>
            </w:r>
            <w:r w:rsidRPr="00FB64AD">
              <w:rPr>
                <w:color w:val="000000"/>
                <w:vertAlign w:val="superscript"/>
                <w:lang w:eastAsia="en-AU"/>
              </w:rPr>
              <w:t xml:space="preserve"> (e) </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100.0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xml:space="preserve"> 650.0</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xml:space="preserve">1 </w:t>
            </w:r>
            <w:r w:rsidRPr="00FB64AD">
              <w:rPr>
                <w:rFonts w:cs="Calibri"/>
                <w:color w:val="000000"/>
                <w:lang w:eastAsia="en-AU"/>
              </w:rPr>
              <w:t>100.0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xml:space="preserve">1 </w:t>
            </w:r>
            <w:r w:rsidRPr="00FB64AD">
              <w:rPr>
                <w:rFonts w:cs="Calibri"/>
                <w:color w:val="000000"/>
                <w:lang w:eastAsia="en-AU"/>
              </w:rPr>
              <w:t>350.0</w:t>
            </w:r>
          </w:p>
        </w:tc>
        <w:tc>
          <w:tcPr>
            <w:tcW w:w="838" w:type="dxa"/>
            <w:tcBorders>
              <w:top w:val="nil"/>
              <w:left w:val="nil"/>
              <w:bottom w:val="nil"/>
              <w:right w:val="nil"/>
            </w:tcBorders>
            <w:shd w:val="clear" w:color="auto" w:fill="auto"/>
            <w:noWrap/>
            <w:hideMark/>
          </w:tcPr>
          <w:p w:rsidR="00A53D7D" w:rsidRPr="00FB64AD" w:rsidRDefault="00A53D7D" w:rsidP="00D418A8">
            <w:pPr>
              <w:pStyle w:val="TableofFigures"/>
              <w:rPr>
                <w:color w:val="000000"/>
                <w:lang w:eastAsia="en-AU"/>
              </w:rPr>
            </w:pPr>
            <w:r w:rsidRPr="00FB64AD">
              <w:rPr>
                <w:color w:val="000000"/>
                <w:lang w:eastAsia="en-AU"/>
              </w:rPr>
              <w:t>8000</w:t>
            </w:r>
            <w:r w:rsidR="00D418A8">
              <w:rPr>
                <w:color w:val="000000"/>
                <w:lang w:eastAsia="en-AU"/>
              </w:rPr>
              <w:t>–</w:t>
            </w:r>
            <w:r w:rsidRPr="00FB64AD">
              <w:rPr>
                <w:color w:val="000000"/>
                <w:lang w:eastAsia="en-AU"/>
              </w:rPr>
              <w:t>10000</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Geelong bus interchange upgrades</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Geelong Railway Station</w:t>
            </w:r>
            <w:r>
              <w:rPr>
                <w:color w:val="000000"/>
                <w:lang w:eastAsia="en-AU"/>
              </w:rPr>
              <w:t xml:space="preserve"> – </w:t>
            </w:r>
            <w:r w:rsidRPr="00FB64AD">
              <w:rPr>
                <w:color w:val="000000"/>
                <w:lang w:eastAsia="en-AU"/>
              </w:rPr>
              <w:t>improving disability access</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0.9</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4.1</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Melbourne Rail Link </w:t>
            </w:r>
            <w:r w:rsidRPr="00FB64AD">
              <w:rPr>
                <w:color w:val="000000"/>
                <w:vertAlign w:val="superscript"/>
                <w:lang w:eastAsia="en-AU"/>
              </w:rPr>
              <w:t>(f)</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50.0</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xml:space="preserve"> 140.0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xml:space="preserve"> 600.0</w:t>
            </w:r>
          </w:p>
        </w:tc>
        <w:tc>
          <w:tcPr>
            <w:tcW w:w="838" w:type="dxa"/>
            <w:tcBorders>
              <w:top w:val="nil"/>
              <w:left w:val="nil"/>
              <w:bottom w:val="nil"/>
              <w:right w:val="nil"/>
            </w:tcBorders>
            <w:shd w:val="clear" w:color="auto" w:fill="auto"/>
            <w:noWrap/>
            <w:hideMark/>
          </w:tcPr>
          <w:p w:rsidR="00A53D7D" w:rsidRPr="00FB64AD" w:rsidRDefault="00A53D7D" w:rsidP="00D418A8">
            <w:pPr>
              <w:pStyle w:val="TableofFigures"/>
              <w:rPr>
                <w:color w:val="000000"/>
                <w:lang w:eastAsia="en-AU"/>
              </w:rPr>
            </w:pPr>
            <w:r w:rsidRPr="00FB64AD">
              <w:rPr>
                <w:color w:val="000000"/>
                <w:lang w:eastAsia="en-AU"/>
              </w:rPr>
              <w:t>8500</w:t>
            </w:r>
            <w:r w:rsidR="00D418A8">
              <w:rPr>
                <w:color w:val="000000"/>
                <w:lang w:eastAsia="en-AU"/>
              </w:rPr>
              <w:t>–</w:t>
            </w:r>
            <w:r w:rsidRPr="00FB64AD">
              <w:rPr>
                <w:color w:val="000000"/>
                <w:lang w:eastAsia="en-AU"/>
              </w:rPr>
              <w:t>11000</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Metro Level Crossing Blitz</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10.0</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20.0</w:t>
            </w:r>
          </w:p>
        </w:tc>
      </w:tr>
      <w:tr w:rsidR="00A53D7D" w:rsidRPr="00FB64AD" w:rsidTr="005140B4">
        <w:trPr>
          <w:divId w:val="181626308"/>
          <w:cantSplit/>
        </w:trPr>
        <w:tc>
          <w:tcPr>
            <w:tcW w:w="2750" w:type="dxa"/>
            <w:tcBorders>
              <w:top w:val="nil"/>
              <w:left w:val="nil"/>
              <w:bottom w:val="nil"/>
              <w:right w:val="nil"/>
            </w:tcBorders>
            <w:shd w:val="clear" w:color="auto" w:fill="auto"/>
            <w:hideMark/>
          </w:tcPr>
          <w:p w:rsidR="00A53D7D" w:rsidRPr="00FB64AD" w:rsidRDefault="00A53D7D" w:rsidP="005140B4">
            <w:pPr>
              <w:pStyle w:val="Tabletext"/>
              <w:rPr>
                <w:color w:val="000000"/>
                <w:lang w:eastAsia="en-AU"/>
              </w:rPr>
            </w:pPr>
            <w:r w:rsidRPr="00FB64AD">
              <w:rPr>
                <w:color w:val="000000"/>
                <w:lang w:eastAsia="en-AU"/>
              </w:rPr>
              <w:t>Metro Level Crossing Blitz Program</w:t>
            </w:r>
            <w:r w:rsidRPr="00FB64AD">
              <w:rPr>
                <w:color w:val="000000"/>
                <w:lang w:eastAsia="en-AU"/>
              </w:rPr>
              <w:br/>
              <w:t xml:space="preserve">• Burke Road (Glen Iris) </w:t>
            </w:r>
            <w:r w:rsidRPr="00FB64AD">
              <w:rPr>
                <w:color w:val="000000"/>
                <w:lang w:eastAsia="en-AU"/>
              </w:rPr>
              <w:br/>
              <w:t>• North Road (Ormond)</w:t>
            </w:r>
            <w:r w:rsidRPr="00FB64AD">
              <w:rPr>
                <w:color w:val="000000"/>
                <w:lang w:eastAsia="en-AU"/>
              </w:rPr>
              <w:br/>
              <w:t>• Blackburn Road (Blackburn)</w:t>
            </w:r>
            <w:r w:rsidRPr="00FB64AD">
              <w:rPr>
                <w:color w:val="000000"/>
                <w:lang w:eastAsia="en-AU"/>
              </w:rPr>
              <w:br/>
              <w:t xml:space="preserve">• Main Road (St Albans) </w:t>
            </w:r>
            <w:r w:rsidRPr="00FB64AD">
              <w:rPr>
                <w:color w:val="000000"/>
                <w:vertAlign w:val="superscript"/>
                <w:lang w:eastAsia="en-AU"/>
              </w:rPr>
              <w:t>(g)</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76.4</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241.7</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339.6</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659.3</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Murray Basin Rail Project</w:t>
            </w:r>
            <w:r w:rsidRPr="00FB64AD">
              <w:rPr>
                <w:color w:val="000000"/>
                <w:vertAlign w:val="superscript"/>
                <w:lang w:eastAsia="en-AU"/>
              </w:rPr>
              <w:t xml:space="preserve"> (h)</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35.0</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roofErr w:type="spellStart"/>
            <w:r w:rsidRPr="00FB64AD">
              <w:rPr>
                <w:color w:val="000000"/>
                <w:lang w:eastAsia="en-AU"/>
              </w:rPr>
              <w:t>tbc</w:t>
            </w:r>
            <w:proofErr w:type="spellEnd"/>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proofErr w:type="spellStart"/>
            <w:r w:rsidRPr="00FB64AD">
              <w:rPr>
                <w:color w:val="000000"/>
                <w:lang w:eastAsia="en-AU"/>
              </w:rPr>
              <w:t>tbc</w:t>
            </w:r>
            <w:proofErr w:type="spellEnd"/>
          </w:p>
        </w:tc>
        <w:tc>
          <w:tcPr>
            <w:tcW w:w="838" w:type="dxa"/>
            <w:tcBorders>
              <w:top w:val="nil"/>
              <w:left w:val="nil"/>
              <w:bottom w:val="nil"/>
              <w:right w:val="nil"/>
            </w:tcBorders>
            <w:shd w:val="clear" w:color="auto" w:fill="auto"/>
            <w:noWrap/>
            <w:hideMark/>
          </w:tcPr>
          <w:p w:rsidR="00A53D7D" w:rsidRPr="00FB64AD" w:rsidRDefault="00A53D7D" w:rsidP="00D418A8">
            <w:pPr>
              <w:pStyle w:val="TableofFigures"/>
              <w:rPr>
                <w:color w:val="000000"/>
                <w:lang w:eastAsia="en-AU"/>
              </w:rPr>
            </w:pPr>
            <w:r w:rsidRPr="00FB64AD">
              <w:rPr>
                <w:color w:val="000000"/>
                <w:lang w:eastAsia="en-AU"/>
              </w:rPr>
              <w:t>180</w:t>
            </w:r>
            <w:r w:rsidR="00D418A8">
              <w:rPr>
                <w:color w:val="000000"/>
                <w:lang w:eastAsia="en-AU"/>
              </w:rPr>
              <w:t>–</w:t>
            </w:r>
            <w:r w:rsidRPr="00FB64AD">
              <w:rPr>
                <w:color w:val="000000"/>
                <w:lang w:eastAsia="en-AU"/>
              </w:rPr>
              <w:t>220</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Pioneer Road duplication</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7.0</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12.0</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Port</w:t>
            </w:r>
            <w:r>
              <w:rPr>
                <w:color w:val="000000"/>
                <w:lang w:eastAsia="en-AU"/>
              </w:rPr>
              <w:noBreakHyphen/>
            </w:r>
            <w:r w:rsidRPr="00FB64AD">
              <w:rPr>
                <w:color w:val="000000"/>
                <w:lang w:eastAsia="en-AU"/>
              </w:rPr>
              <w:t>Rail shuttle (Metropolitan Intermodal System)</w:t>
            </w:r>
            <w:r w:rsidRPr="00FB64AD">
              <w:rPr>
                <w:color w:val="000000"/>
                <w:vertAlign w:val="superscript"/>
                <w:lang w:eastAsia="en-AU"/>
              </w:rPr>
              <w:t xml:space="preserve"> (</w:t>
            </w:r>
            <w:proofErr w:type="spellStart"/>
            <w:r w:rsidRPr="00FB64AD">
              <w:rPr>
                <w:color w:val="000000"/>
                <w:vertAlign w:val="superscript"/>
                <w:lang w:eastAsia="en-AU"/>
              </w:rPr>
              <w:t>i</w:t>
            </w:r>
            <w:proofErr w:type="spellEnd"/>
            <w:r w:rsidRPr="00FB64AD">
              <w:rPr>
                <w:color w:val="000000"/>
                <w:vertAlign w:val="superscript"/>
                <w:lang w:eastAsia="en-AU"/>
              </w:rPr>
              <w:t>)</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3.8</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8.6</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39.1</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6.5</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58.0</w:t>
            </w:r>
          </w:p>
        </w:tc>
      </w:tr>
      <w:tr w:rsidR="00A53D7D" w:rsidRPr="00FB64AD" w:rsidTr="00E646BF">
        <w:trPr>
          <w:divId w:val="181626308"/>
          <w:cantSplit/>
        </w:trPr>
        <w:tc>
          <w:tcPr>
            <w:tcW w:w="2894" w:type="dxa"/>
            <w:gridSpan w:val="2"/>
            <w:tcBorders>
              <w:top w:val="nil"/>
              <w:left w:val="nil"/>
              <w:bottom w:val="nil"/>
              <w:right w:val="nil"/>
            </w:tcBorders>
            <w:shd w:val="clear" w:color="auto" w:fill="auto"/>
            <w:noWrap/>
            <w:hideMark/>
          </w:tcPr>
          <w:p w:rsidR="00A53D7D" w:rsidRPr="00FB64AD" w:rsidRDefault="00A53D7D" w:rsidP="00E646BF">
            <w:pPr>
              <w:pStyle w:val="Tabletext"/>
              <w:rPr>
                <w:color w:val="000000"/>
                <w:lang w:eastAsia="en-AU"/>
              </w:rPr>
            </w:pPr>
            <w:r w:rsidRPr="00FB64AD">
              <w:rPr>
                <w:color w:val="000000"/>
                <w:lang w:eastAsia="en-AU"/>
              </w:rPr>
              <w:t>Princes Highway duplication project</w:t>
            </w:r>
            <w:r>
              <w:rPr>
                <w:color w:val="000000"/>
                <w:lang w:eastAsia="en-AU"/>
              </w:rPr>
              <w:t xml:space="preserve"> – Winchelsea to Colac</w:t>
            </w:r>
            <w:r w:rsidRPr="00FB64AD">
              <w:rPr>
                <w:color w:val="000000"/>
                <w:lang w:eastAsia="en-AU"/>
              </w:rPr>
              <w:t xml:space="preserve"> </w:t>
            </w:r>
            <w:r w:rsidRPr="005F4A60">
              <w:rPr>
                <w:color w:val="000000"/>
                <w:vertAlign w:val="superscript"/>
                <w:lang w:eastAsia="en-AU"/>
              </w:rPr>
              <w:t>(j)</w:t>
            </w:r>
          </w:p>
        </w:tc>
        <w:tc>
          <w:tcPr>
            <w:tcW w:w="6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44.7</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76.4</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98.4</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94.3</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349.5</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Princes Highway East</w:t>
            </w:r>
            <w:r>
              <w:rPr>
                <w:color w:val="000000"/>
                <w:lang w:eastAsia="en-AU"/>
              </w:rPr>
              <w:t xml:space="preserve"> (Sand Road interchange)</w:t>
            </w:r>
            <w:r w:rsidRPr="00FB64AD">
              <w:rPr>
                <w:color w:val="000000"/>
                <w:lang w:eastAsia="en-AU"/>
              </w:rPr>
              <w:t xml:space="preserve"> </w:t>
            </w:r>
            <w:r w:rsidRPr="005F4A60">
              <w:rPr>
                <w:color w:val="000000"/>
                <w:vertAlign w:val="superscript"/>
                <w:lang w:eastAsia="en-AU"/>
              </w:rPr>
              <w:t>(k)</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14.0</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30.0</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Princes Highway East passing lanes (Hospital Creek, Dinner Creek and Wombat Creek) </w:t>
            </w:r>
            <w:r w:rsidRPr="00FB64AD">
              <w:rPr>
                <w:color w:val="000000"/>
                <w:vertAlign w:val="superscript"/>
                <w:lang w:eastAsia="en-AU"/>
              </w:rPr>
              <w:t>(l)</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0.3</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6.5</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11.0</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Relieving congestion on suburban roads</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4.7</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13.6</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19.8</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Transport solutions</w:t>
            </w:r>
            <w:r>
              <w:rPr>
                <w:color w:val="000000"/>
                <w:lang w:eastAsia="en-AU"/>
              </w:rPr>
              <w:t xml:space="preserve"> – </w:t>
            </w:r>
            <w:r w:rsidRPr="00FB64AD">
              <w:rPr>
                <w:color w:val="000000"/>
                <w:lang w:eastAsia="en-AU"/>
              </w:rPr>
              <w:t xml:space="preserve">regional roads package </w:t>
            </w:r>
            <w:r w:rsidRPr="00FB64AD">
              <w:rPr>
                <w:color w:val="000000"/>
                <w:vertAlign w:val="superscript"/>
                <w:lang w:eastAsia="en-AU"/>
              </w:rPr>
              <w:t>(m)</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14.6</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31.8</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3.6</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50.0</w:t>
            </w:r>
          </w:p>
        </w:tc>
      </w:tr>
      <w:tr w:rsidR="00A53D7D" w:rsidRPr="00FB64AD" w:rsidTr="005140B4">
        <w:trPr>
          <w:divId w:val="181626308"/>
          <w:cantSplit/>
        </w:trPr>
        <w:tc>
          <w:tcPr>
            <w:tcW w:w="2750"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Metropolitan and Regional Planning and Development</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proofErr w:type="spellStart"/>
            <w:r w:rsidRPr="00FB64AD">
              <w:rPr>
                <w:color w:val="000000"/>
                <w:lang w:eastAsia="en-AU"/>
              </w:rPr>
              <w:t>Fishermans</w:t>
            </w:r>
            <w:proofErr w:type="spellEnd"/>
            <w:r w:rsidRPr="00FB64AD">
              <w:rPr>
                <w:color w:val="000000"/>
                <w:lang w:eastAsia="en-AU"/>
              </w:rPr>
              <w:t xml:space="preserve"> Bend urban renewal area – phase one initiatives</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5.0</w:t>
            </w:r>
          </w:p>
        </w:tc>
      </w:tr>
      <w:tr w:rsidR="00A53D7D" w:rsidRPr="00FB64AD" w:rsidTr="005140B4">
        <w:trPr>
          <w:divId w:val="181626308"/>
          <w:cantSplit/>
        </w:trPr>
        <w:tc>
          <w:tcPr>
            <w:tcW w:w="2750"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Transport Safety and Security</w:t>
            </w:r>
          </w:p>
        </w:tc>
        <w:tc>
          <w:tcPr>
            <w:tcW w:w="837"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7"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City Loop fire and safety upgrade</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43.2</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43.2</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In</w:t>
            </w:r>
            <w:r>
              <w:rPr>
                <w:color w:val="000000"/>
                <w:lang w:eastAsia="en-AU"/>
              </w:rPr>
              <w:noBreakHyphen/>
            </w:r>
            <w:r w:rsidRPr="00FB64AD">
              <w:rPr>
                <w:color w:val="000000"/>
                <w:lang w:eastAsia="en-AU"/>
              </w:rPr>
              <w:t>taxi data collection</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3.3</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4.5</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Marine pollution response capability</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0.9</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0.6</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w:t>
            </w:r>
          </w:p>
        </w:tc>
      </w:tr>
      <w:tr w:rsidR="00A53D7D" w:rsidRPr="00FB64AD" w:rsidTr="005140B4">
        <w:trPr>
          <w:divId w:val="181626308"/>
          <w:cantSplit/>
        </w:trPr>
        <w:tc>
          <w:tcPr>
            <w:tcW w:w="2750" w:type="dxa"/>
            <w:tcBorders>
              <w:top w:val="nil"/>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Investing in Local Infrastructure</w:t>
            </w:r>
          </w:p>
        </w:tc>
        <w:tc>
          <w:tcPr>
            <w:tcW w:w="837" w:type="dxa"/>
            <w:gridSpan w:val="2"/>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7"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nil"/>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181626308"/>
          <w:cantSplit/>
        </w:trPr>
        <w:tc>
          <w:tcPr>
            <w:tcW w:w="2750" w:type="dxa"/>
            <w:tcBorders>
              <w:top w:val="nil"/>
              <w:left w:val="nil"/>
              <w:bottom w:val="nil"/>
              <w:right w:val="nil"/>
            </w:tcBorders>
            <w:shd w:val="clear" w:color="auto" w:fill="auto"/>
            <w:vAlign w:val="bottom"/>
            <w:hideMark/>
          </w:tcPr>
          <w:p w:rsidR="00A53D7D" w:rsidRPr="00FB64AD" w:rsidRDefault="00A53D7D" w:rsidP="005140B4">
            <w:pPr>
              <w:pStyle w:val="Tabletext"/>
              <w:rPr>
                <w:lang w:eastAsia="en-AU"/>
              </w:rPr>
            </w:pPr>
            <w:r w:rsidRPr="00FB64AD">
              <w:rPr>
                <w:lang w:eastAsia="en-AU"/>
              </w:rPr>
              <w:t>Melbourne Park redevelopment</w:t>
            </w:r>
            <w:r>
              <w:rPr>
                <w:lang w:eastAsia="en-AU"/>
              </w:rPr>
              <w:t xml:space="preserve"> – </w:t>
            </w:r>
            <w:r w:rsidRPr="00FB64AD">
              <w:rPr>
                <w:lang w:eastAsia="en-AU"/>
              </w:rPr>
              <w:t xml:space="preserve">stage two </w:t>
            </w:r>
            <w:r w:rsidRPr="00FB64AD">
              <w:rPr>
                <w:vertAlign w:val="superscript"/>
                <w:lang w:eastAsia="en-AU"/>
              </w:rPr>
              <w:t>(n)</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5.1</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30.8</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60.6</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95.4</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103.6</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366.1</w:t>
            </w:r>
          </w:p>
        </w:tc>
      </w:tr>
      <w:tr w:rsidR="00A53D7D" w:rsidRPr="00FB64AD" w:rsidTr="005140B4">
        <w:trPr>
          <w:divId w:val="181626308"/>
          <w:cantSplit/>
        </w:trPr>
        <w:tc>
          <w:tcPr>
            <w:tcW w:w="275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State Sport Centres Trust asset investment program</w:t>
            </w:r>
          </w:p>
        </w:tc>
        <w:tc>
          <w:tcPr>
            <w:tcW w:w="837" w:type="dxa"/>
            <w:gridSpan w:val="2"/>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4.4</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3.4</w:t>
            </w:r>
          </w:p>
        </w:tc>
        <w:tc>
          <w:tcPr>
            <w:tcW w:w="837"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3.3</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5.1</w:t>
            </w:r>
          </w:p>
        </w:tc>
        <w:tc>
          <w:tcPr>
            <w:tcW w:w="838"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16.2</w:t>
            </w:r>
          </w:p>
        </w:tc>
      </w:tr>
      <w:tr w:rsidR="00A53D7D" w:rsidRPr="00FB64AD" w:rsidTr="005140B4">
        <w:trPr>
          <w:divId w:val="181626308"/>
          <w:cantSplit/>
        </w:trPr>
        <w:tc>
          <w:tcPr>
            <w:tcW w:w="2750"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Bushfire Recovery Package</w:t>
            </w:r>
          </w:p>
        </w:tc>
        <w:tc>
          <w:tcPr>
            <w:tcW w:w="837" w:type="dxa"/>
            <w:gridSpan w:val="2"/>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c>
          <w:tcPr>
            <w:tcW w:w="838"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7"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38"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r>
      <w:tr w:rsidR="00A53D7D" w:rsidRPr="00FB64AD" w:rsidTr="005140B4">
        <w:trPr>
          <w:divId w:val="181626308"/>
          <w:cantSplit/>
        </w:trPr>
        <w:tc>
          <w:tcPr>
            <w:tcW w:w="2750" w:type="dxa"/>
            <w:tcBorders>
              <w:top w:val="nil"/>
              <w:left w:val="nil"/>
              <w:bottom w:val="single" w:sz="8" w:space="0" w:color="auto"/>
              <w:right w:val="nil"/>
            </w:tcBorders>
            <w:shd w:val="clear" w:color="auto" w:fill="auto"/>
            <w:noWrap/>
            <w:hideMark/>
          </w:tcPr>
          <w:p w:rsidR="00A53D7D" w:rsidRPr="00FB64AD" w:rsidRDefault="00A53D7D" w:rsidP="005140B4">
            <w:pPr>
              <w:pStyle w:val="Tabletext"/>
              <w:rPr>
                <w:b/>
                <w:bCs/>
                <w:lang w:eastAsia="en-AU"/>
              </w:rPr>
            </w:pPr>
            <w:r w:rsidRPr="00FB64AD">
              <w:rPr>
                <w:b/>
                <w:bCs/>
                <w:lang w:eastAsia="en-AU"/>
              </w:rPr>
              <w:t>Total asset initiatives</w:t>
            </w:r>
          </w:p>
        </w:tc>
        <w:tc>
          <w:tcPr>
            <w:tcW w:w="837" w:type="dxa"/>
            <w:gridSpan w:val="2"/>
            <w:tcBorders>
              <w:top w:val="nil"/>
              <w:left w:val="nil"/>
              <w:bottom w:val="single" w:sz="8" w:space="0" w:color="auto"/>
              <w:right w:val="nil"/>
            </w:tcBorders>
            <w:shd w:val="clear" w:color="auto" w:fill="auto"/>
            <w:noWrap/>
            <w:hideMark/>
          </w:tcPr>
          <w:p w:rsidR="00A53D7D" w:rsidRPr="00560216" w:rsidRDefault="00A53D7D" w:rsidP="00560216">
            <w:pPr>
              <w:pStyle w:val="TableofFigures"/>
              <w:rPr>
                <w:b/>
              </w:rPr>
            </w:pPr>
            <w:r w:rsidRPr="00560216">
              <w:rPr>
                <w:b/>
              </w:rPr>
              <w:t xml:space="preserve"> 20.7</w:t>
            </w:r>
          </w:p>
        </w:tc>
        <w:tc>
          <w:tcPr>
            <w:tcW w:w="838" w:type="dxa"/>
            <w:tcBorders>
              <w:top w:val="nil"/>
              <w:left w:val="nil"/>
              <w:bottom w:val="single" w:sz="8" w:space="0" w:color="auto"/>
              <w:right w:val="nil"/>
            </w:tcBorders>
            <w:shd w:val="clear" w:color="auto" w:fill="auto"/>
            <w:noWrap/>
            <w:hideMark/>
          </w:tcPr>
          <w:p w:rsidR="00A53D7D" w:rsidRPr="00560216" w:rsidRDefault="00A53D7D" w:rsidP="00560216">
            <w:pPr>
              <w:pStyle w:val="TableofFigures"/>
              <w:rPr>
                <w:b/>
              </w:rPr>
            </w:pPr>
            <w:r w:rsidRPr="00560216">
              <w:rPr>
                <w:b/>
              </w:rPr>
              <w:t xml:space="preserve"> 484.8</w:t>
            </w:r>
          </w:p>
        </w:tc>
        <w:tc>
          <w:tcPr>
            <w:tcW w:w="838" w:type="dxa"/>
            <w:tcBorders>
              <w:top w:val="nil"/>
              <w:left w:val="nil"/>
              <w:bottom w:val="single" w:sz="8" w:space="0" w:color="auto"/>
              <w:right w:val="nil"/>
            </w:tcBorders>
            <w:shd w:val="clear" w:color="auto" w:fill="auto"/>
            <w:noWrap/>
            <w:hideMark/>
          </w:tcPr>
          <w:p w:rsidR="00A53D7D" w:rsidRPr="00560216" w:rsidRDefault="00A53D7D" w:rsidP="00E3413C">
            <w:pPr>
              <w:pStyle w:val="TableofFigures"/>
              <w:rPr>
                <w:b/>
              </w:rPr>
            </w:pPr>
            <w:r w:rsidRPr="00560216">
              <w:rPr>
                <w:b/>
              </w:rPr>
              <w:t>1 2</w:t>
            </w:r>
            <w:r>
              <w:rPr>
                <w:b/>
              </w:rPr>
              <w:t>9</w:t>
            </w:r>
            <w:r w:rsidRPr="00560216">
              <w:rPr>
                <w:b/>
              </w:rPr>
              <w:t>6.7</w:t>
            </w:r>
          </w:p>
        </w:tc>
        <w:tc>
          <w:tcPr>
            <w:tcW w:w="837" w:type="dxa"/>
            <w:tcBorders>
              <w:top w:val="nil"/>
              <w:left w:val="nil"/>
              <w:bottom w:val="single" w:sz="8" w:space="0" w:color="auto"/>
              <w:right w:val="nil"/>
            </w:tcBorders>
            <w:shd w:val="clear" w:color="auto" w:fill="auto"/>
            <w:noWrap/>
            <w:hideMark/>
          </w:tcPr>
          <w:p w:rsidR="00A53D7D" w:rsidRPr="00560216" w:rsidRDefault="00A53D7D" w:rsidP="00E3413C">
            <w:pPr>
              <w:pStyle w:val="TableofFigures"/>
              <w:rPr>
                <w:b/>
              </w:rPr>
            </w:pPr>
            <w:r w:rsidRPr="00560216">
              <w:rPr>
                <w:b/>
              </w:rPr>
              <w:t>1 87</w:t>
            </w:r>
            <w:r>
              <w:rPr>
                <w:b/>
              </w:rPr>
              <w:t>8</w:t>
            </w:r>
            <w:r w:rsidRPr="00560216">
              <w:rPr>
                <w:b/>
              </w:rPr>
              <w:t>.2</w:t>
            </w:r>
          </w:p>
        </w:tc>
        <w:tc>
          <w:tcPr>
            <w:tcW w:w="838" w:type="dxa"/>
            <w:tcBorders>
              <w:top w:val="nil"/>
              <w:left w:val="nil"/>
              <w:bottom w:val="single" w:sz="8" w:space="0" w:color="auto"/>
              <w:right w:val="nil"/>
            </w:tcBorders>
            <w:shd w:val="clear" w:color="auto" w:fill="auto"/>
            <w:noWrap/>
            <w:hideMark/>
          </w:tcPr>
          <w:p w:rsidR="00A53D7D" w:rsidRPr="00560216" w:rsidRDefault="00A53D7D" w:rsidP="00E3413C">
            <w:pPr>
              <w:pStyle w:val="TableofFigures"/>
              <w:rPr>
                <w:b/>
              </w:rPr>
            </w:pPr>
            <w:r w:rsidRPr="00560216">
              <w:rPr>
                <w:b/>
              </w:rPr>
              <w:t>2 17</w:t>
            </w:r>
            <w:r>
              <w:rPr>
                <w:b/>
              </w:rPr>
              <w:t>6</w:t>
            </w:r>
            <w:r w:rsidRPr="00560216">
              <w:rPr>
                <w:b/>
              </w:rPr>
              <w:t>.7</w:t>
            </w:r>
          </w:p>
        </w:tc>
        <w:tc>
          <w:tcPr>
            <w:tcW w:w="838" w:type="dxa"/>
            <w:tcBorders>
              <w:top w:val="nil"/>
              <w:left w:val="nil"/>
              <w:bottom w:val="single" w:sz="8" w:space="0" w:color="auto"/>
              <w:right w:val="nil"/>
            </w:tcBorders>
            <w:shd w:val="clear" w:color="auto" w:fill="auto"/>
            <w:noWrap/>
            <w:hideMark/>
          </w:tcPr>
          <w:p w:rsidR="00A53D7D" w:rsidRPr="00560216" w:rsidRDefault="00A53D7D" w:rsidP="00560216">
            <w:pPr>
              <w:pStyle w:val="TableofFigures"/>
              <w:rPr>
                <w:b/>
              </w:rPr>
            </w:pPr>
            <w:r w:rsidRPr="00560216">
              <w:rPr>
                <w:b/>
              </w:rPr>
              <w:t>20502–25542</w:t>
            </w:r>
          </w:p>
        </w:tc>
      </w:tr>
    </w:tbl>
    <w:bookmarkEnd w:id="46"/>
    <w:p w:rsidR="00A53D7D" w:rsidRPr="00596ED3" w:rsidRDefault="00A53D7D" w:rsidP="005140B4">
      <w:pPr>
        <w:pStyle w:val="Source"/>
      </w:pPr>
      <w:r w:rsidRPr="00596ED3">
        <w:t>Source: Department of Treasury and Finance</w:t>
      </w:r>
      <w:r w:rsidRPr="00596ED3">
        <w:fldChar w:fldCharType="begin"/>
      </w:r>
      <w:r w:rsidRPr="00596ED3">
        <w:instrText xml:space="preserve"> XE "Department of Transport, Planning and Local Infrastructure:Asset initiatives" </w:instrText>
      </w:r>
      <w:r w:rsidRPr="00596ED3">
        <w:fldChar w:fldCharType="end"/>
      </w:r>
    </w:p>
    <w:p w:rsidR="00A53D7D" w:rsidRPr="00596ED3" w:rsidRDefault="00A53D7D" w:rsidP="005140B4">
      <w:pPr>
        <w:pStyle w:val="Notes"/>
      </w:pPr>
      <w:r w:rsidRPr="00596ED3">
        <w:t>Note:</w:t>
      </w:r>
    </w:p>
    <w:p w:rsidR="00A53D7D" w:rsidRPr="00596ED3" w:rsidRDefault="00A53D7D" w:rsidP="005140B4">
      <w:pPr>
        <w:pStyle w:val="Notes"/>
      </w:pPr>
      <w:r w:rsidRPr="00596ED3">
        <w:t>(a)</w:t>
      </w:r>
      <w:r w:rsidRPr="00596ED3">
        <w:tab/>
        <w:t>The TEI does not include previous output funding of $5.1</w:t>
      </w:r>
      <w:r>
        <w:t> million</w:t>
      </w:r>
      <w:r w:rsidRPr="00596ED3">
        <w:t xml:space="preserve"> provided in 2011</w:t>
      </w:r>
      <w:r>
        <w:noBreakHyphen/>
      </w:r>
      <w:r w:rsidRPr="00596ED3">
        <w:t>12 and 2012</w:t>
      </w:r>
      <w:r>
        <w:noBreakHyphen/>
      </w:r>
      <w:r w:rsidRPr="00596ED3">
        <w:t>13 for planning and business case development.</w:t>
      </w:r>
    </w:p>
    <w:p w:rsidR="00A53D7D" w:rsidRPr="00596ED3" w:rsidRDefault="00A53D7D" w:rsidP="005140B4">
      <w:pPr>
        <w:pStyle w:val="Notes"/>
      </w:pPr>
      <w:r w:rsidRPr="00596ED3">
        <w:t>(b)</w:t>
      </w:r>
      <w:r w:rsidRPr="00596ED3">
        <w:tab/>
        <w:t>The TEI does not include previous output funding of $0.7</w:t>
      </w:r>
      <w:r>
        <w:t> million</w:t>
      </w:r>
      <w:r w:rsidRPr="00596ED3">
        <w:t xml:space="preserve"> provided in the </w:t>
      </w:r>
      <w:r w:rsidRPr="00F54833">
        <w:rPr>
          <w:i w:val="0"/>
        </w:rPr>
        <w:t>2011</w:t>
      </w:r>
      <w:r w:rsidRPr="00F54833">
        <w:rPr>
          <w:i w:val="0"/>
        </w:rPr>
        <w:noBreakHyphen/>
        <w:t>12 Budget</w:t>
      </w:r>
      <w:r w:rsidRPr="00596ED3">
        <w:t xml:space="preserve"> for planning.</w:t>
      </w:r>
    </w:p>
    <w:p w:rsidR="00A53D7D" w:rsidRPr="00596ED3" w:rsidRDefault="00A53D7D" w:rsidP="005140B4">
      <w:pPr>
        <w:pStyle w:val="Notes"/>
      </w:pPr>
      <w:r w:rsidRPr="00596ED3">
        <w:t>(c)</w:t>
      </w:r>
      <w:r w:rsidRPr="00596ED3">
        <w:tab/>
        <w:t>The TEI includes anticipated Commonwealth funding of $45</w:t>
      </w:r>
      <w:r>
        <w:t> million</w:t>
      </w:r>
      <w:r w:rsidRPr="00596ED3">
        <w:t xml:space="preserve">. </w:t>
      </w:r>
    </w:p>
    <w:p w:rsidR="00A53D7D" w:rsidRPr="00596ED3" w:rsidRDefault="00A53D7D" w:rsidP="005140B4">
      <w:pPr>
        <w:pStyle w:val="Notes"/>
      </w:pPr>
      <w:r w:rsidRPr="00596ED3">
        <w:t>(d)</w:t>
      </w:r>
      <w:r w:rsidRPr="00596ED3">
        <w:tab/>
      </w:r>
      <w:r>
        <w:t xml:space="preserve">Capital expenditure </w:t>
      </w:r>
      <w:proofErr w:type="spellStart"/>
      <w:r>
        <w:t>cashflows</w:t>
      </w:r>
      <w:proofErr w:type="spellEnd"/>
      <w:r>
        <w:t xml:space="preserve"> represent estimated State costs over the forward estimates period. Forward estimates include provision for private financing impact, consistent with accounting treatment of Public Private Partnerships.</w:t>
      </w:r>
    </w:p>
    <w:p w:rsidR="00A53D7D" w:rsidRPr="00596ED3" w:rsidRDefault="00A53D7D" w:rsidP="005140B4">
      <w:pPr>
        <w:pStyle w:val="Notes"/>
      </w:pPr>
      <w:r w:rsidRPr="00596ED3">
        <w:t>(e)</w:t>
      </w:r>
      <w:r w:rsidRPr="00596ED3">
        <w:tab/>
        <w:t>The TEI includes funding beyond 2017</w:t>
      </w:r>
      <w:r>
        <w:noBreakHyphen/>
      </w:r>
      <w:r w:rsidRPr="00596ED3">
        <w:t>18. The TEI includes anticipated Commonwealth funding of $1.5</w:t>
      </w:r>
      <w:r>
        <w:t> billion</w:t>
      </w:r>
      <w:r w:rsidRPr="00596ED3">
        <w:t>. The capital cost of this project is estimated to be between $8 and $10</w:t>
      </w:r>
      <w:r>
        <w:t> billion</w:t>
      </w:r>
      <w:r w:rsidRPr="00596ED3">
        <w:t>.</w:t>
      </w:r>
    </w:p>
    <w:p w:rsidR="00A53D7D" w:rsidRPr="00596ED3" w:rsidRDefault="00A53D7D" w:rsidP="005140B4">
      <w:pPr>
        <w:pStyle w:val="Notes"/>
      </w:pPr>
      <w:r w:rsidRPr="00596ED3">
        <w:t>(f)</w:t>
      </w:r>
      <w:r w:rsidRPr="00596ED3">
        <w:tab/>
        <w:t>The TEI includes funding beyond 2017</w:t>
      </w:r>
      <w:r>
        <w:noBreakHyphen/>
      </w:r>
      <w:r w:rsidRPr="00596ED3">
        <w:t>18.The capital cost of this project is estimated to be between $8.5 and $11</w:t>
      </w:r>
      <w:r>
        <w:t> billion</w:t>
      </w:r>
      <w:r w:rsidRPr="00596ED3">
        <w:t>.</w:t>
      </w:r>
    </w:p>
    <w:p w:rsidR="00A53D7D" w:rsidRPr="00596ED3" w:rsidRDefault="00A53D7D" w:rsidP="005140B4">
      <w:pPr>
        <w:pStyle w:val="Notes"/>
      </w:pPr>
      <w:r w:rsidRPr="00596ED3">
        <w:t>(g)</w:t>
      </w:r>
      <w:r w:rsidRPr="00596ED3">
        <w:tab/>
        <w:t xml:space="preserve"> Level crossing removal at Main Road St Albans funded and delivered as part of expanded Regional Rail Link project. </w:t>
      </w:r>
    </w:p>
    <w:p w:rsidR="00A53D7D" w:rsidRPr="00596ED3" w:rsidRDefault="00A53D7D" w:rsidP="005140B4">
      <w:pPr>
        <w:pStyle w:val="Notes"/>
      </w:pPr>
      <w:r w:rsidRPr="00596ED3">
        <w:t>(h)</w:t>
      </w:r>
      <w:r w:rsidRPr="00596ED3">
        <w:tab/>
        <w:t>The capital cost of the project is estimated to be between $180</w:t>
      </w:r>
      <w:r>
        <w:t> million</w:t>
      </w:r>
      <w:r w:rsidRPr="00596ED3">
        <w:t xml:space="preserve"> and $220</w:t>
      </w:r>
      <w:r>
        <w:t> million</w:t>
      </w:r>
      <w:r w:rsidRPr="00596ED3">
        <w:t>. Amounts have been allocated in 2014</w:t>
      </w:r>
      <w:r>
        <w:noBreakHyphen/>
      </w:r>
      <w:r w:rsidRPr="00596ED3">
        <w:t>15 and 2015</w:t>
      </w:r>
      <w:r>
        <w:noBreakHyphen/>
      </w:r>
      <w:r w:rsidRPr="00596ED3">
        <w:t xml:space="preserve">16 for the first stage of the project, including upgrades on the Mildura to Maryborough and Murtoa to Hopetoun rail lines and to finalise the full business case for the Mildura to Geelong standardisation. </w:t>
      </w:r>
    </w:p>
    <w:p w:rsidR="00A53D7D" w:rsidRPr="00596ED3" w:rsidRDefault="00A53D7D" w:rsidP="005140B4">
      <w:pPr>
        <w:pStyle w:val="Notes"/>
      </w:pPr>
      <w:r w:rsidRPr="00596ED3">
        <w:t>(</w:t>
      </w:r>
      <w:proofErr w:type="spellStart"/>
      <w:r w:rsidRPr="00596ED3">
        <w:t>i</w:t>
      </w:r>
      <w:proofErr w:type="spellEnd"/>
      <w:r w:rsidRPr="00596ED3">
        <w:t>)</w:t>
      </w:r>
      <w:r w:rsidRPr="00596ED3">
        <w:tab/>
        <w:t>The TEI includes Commonwealth funding of $38</w:t>
      </w:r>
      <w:r>
        <w:t> million</w:t>
      </w:r>
      <w:r w:rsidRPr="00596ED3">
        <w:t>. The TEI does not include previous funding of $2</w:t>
      </w:r>
      <w:r>
        <w:t> million</w:t>
      </w:r>
      <w:r w:rsidRPr="00596ED3">
        <w:t xml:space="preserve"> provided in 2010</w:t>
      </w:r>
      <w:r>
        <w:noBreakHyphen/>
      </w:r>
      <w:r w:rsidRPr="00596ED3">
        <w:t>11.</w:t>
      </w:r>
    </w:p>
    <w:p w:rsidR="00A53D7D" w:rsidRPr="00596ED3" w:rsidRDefault="00A53D7D" w:rsidP="005140B4">
      <w:pPr>
        <w:pStyle w:val="Notes"/>
      </w:pPr>
      <w:r w:rsidRPr="00596ED3">
        <w:t>(j)</w:t>
      </w:r>
      <w:r w:rsidRPr="00596ED3">
        <w:tab/>
        <w:t>The TEI includes funding beyond 2017</w:t>
      </w:r>
      <w:r>
        <w:noBreakHyphen/>
      </w:r>
      <w:r w:rsidRPr="00596ED3">
        <w:t>18. The TEI includes anticipated Commonwealth funding of $167.8</w:t>
      </w:r>
      <w:r>
        <w:t> million</w:t>
      </w:r>
      <w:r w:rsidRPr="00596ED3">
        <w:t>. The TEI does not include funding previously provided for planning purposes of $12</w:t>
      </w:r>
      <w:r>
        <w:t> million</w:t>
      </w:r>
      <w:r w:rsidRPr="00596ED3">
        <w:t>, of which $7</w:t>
      </w:r>
      <w:r>
        <w:t> million</w:t>
      </w:r>
      <w:r w:rsidRPr="00596ED3">
        <w:t xml:space="preserve"> was Commonwealth funding.</w:t>
      </w:r>
    </w:p>
    <w:p w:rsidR="00A53D7D" w:rsidRPr="00596ED3" w:rsidRDefault="00A53D7D" w:rsidP="005140B4">
      <w:pPr>
        <w:pStyle w:val="Notes"/>
      </w:pPr>
      <w:r w:rsidRPr="00596ED3">
        <w:t>(k)</w:t>
      </w:r>
      <w:r w:rsidRPr="00596ED3">
        <w:tab/>
        <w:t>The TEI includes anticipated Commonwealth funding of $22.5</w:t>
      </w:r>
      <w:r>
        <w:t> million</w:t>
      </w:r>
      <w:r w:rsidRPr="00596ED3">
        <w:t xml:space="preserve">. </w:t>
      </w:r>
    </w:p>
    <w:p w:rsidR="00A53D7D" w:rsidRPr="00596ED3" w:rsidRDefault="00A53D7D" w:rsidP="005140B4">
      <w:pPr>
        <w:pStyle w:val="Notes"/>
      </w:pPr>
      <w:r w:rsidRPr="00596ED3">
        <w:t>(l)</w:t>
      </w:r>
      <w:r w:rsidRPr="00596ED3">
        <w:tab/>
        <w:t>The TEI includes anticipated Commonwealth funding of $5.5</w:t>
      </w:r>
      <w:r>
        <w:t> million</w:t>
      </w:r>
      <w:r w:rsidRPr="00596ED3">
        <w:t>.</w:t>
      </w:r>
    </w:p>
    <w:p w:rsidR="00A53D7D" w:rsidRPr="00596ED3" w:rsidRDefault="00A53D7D" w:rsidP="005140B4">
      <w:pPr>
        <w:pStyle w:val="Notes"/>
      </w:pPr>
      <w:r w:rsidRPr="00596ED3">
        <w:t>(m)</w:t>
      </w:r>
      <w:r w:rsidRPr="00596ED3">
        <w:tab/>
        <w:t>The TEI includes anticipated Commonwealth funding of $37.5</w:t>
      </w:r>
      <w:r>
        <w:t> million</w:t>
      </w:r>
      <w:r w:rsidRPr="00596ED3">
        <w:t>.</w:t>
      </w:r>
    </w:p>
    <w:p w:rsidR="00A53D7D" w:rsidRPr="00596ED3" w:rsidRDefault="00A53D7D" w:rsidP="005140B4">
      <w:pPr>
        <w:pStyle w:val="Notes"/>
      </w:pPr>
      <w:r w:rsidRPr="00596ED3">
        <w:t>(n)</w:t>
      </w:r>
      <w:r w:rsidRPr="00596ED3">
        <w:tab/>
        <w:t>The TEI includes funding beyond 2017</w:t>
      </w:r>
      <w:r>
        <w:noBreakHyphen/>
      </w:r>
      <w:r w:rsidRPr="00596ED3">
        <w:t>18. The TEI includes anticipated Commonwealth funding of $28.0</w:t>
      </w:r>
      <w:r>
        <w:t> million</w:t>
      </w:r>
      <w:r w:rsidRPr="00596ED3">
        <w:t xml:space="preserve"> and a contribution of $40</w:t>
      </w:r>
      <w:r>
        <w:t> million</w:t>
      </w:r>
      <w:r w:rsidRPr="00596ED3">
        <w:t xml:space="preserve"> from the Melbourne and Olympic Parks Trust.</w:t>
      </w:r>
    </w:p>
    <w:bookmarkEnd w:id="47"/>
    <w:p w:rsidR="00A53D7D" w:rsidRDefault="00A53D7D">
      <w:pPr>
        <w:spacing w:after="0"/>
        <w:rPr>
          <w:rFonts w:ascii="Calibri" w:hAnsi="Calibri"/>
          <w:i/>
          <w:sz w:val="24"/>
          <w:szCs w:val="22"/>
        </w:rPr>
      </w:pPr>
      <w:r>
        <w:br w:type="page"/>
      </w:r>
    </w:p>
    <w:p w:rsidR="00A53D7D" w:rsidRPr="00596ED3" w:rsidRDefault="00A53D7D" w:rsidP="005140B4">
      <w:pPr>
        <w:pStyle w:val="Heading4"/>
      </w:pPr>
      <w:r w:rsidRPr="00596ED3">
        <w:t>Integrated Transport Services</w:t>
      </w:r>
    </w:p>
    <w:p w:rsidR="00A53D7D" w:rsidRPr="00596ED3" w:rsidRDefault="00A53D7D" w:rsidP="005140B4">
      <w:pPr>
        <w:pStyle w:val="Heading5"/>
      </w:pPr>
      <w:r w:rsidRPr="00596ED3">
        <w:t xml:space="preserve">Securing train radio spectrum </w:t>
      </w:r>
    </w:p>
    <w:p w:rsidR="00A53D7D" w:rsidRPr="00596ED3" w:rsidRDefault="00A53D7D" w:rsidP="005140B4">
      <w:r w:rsidRPr="00596ED3">
        <w:t>Funding is provided to renew the current licence for the second tranche of radio spectrum which expires in May 2015. The spectrum will be used to support current and future rail communications.</w:t>
      </w:r>
    </w:p>
    <w:p w:rsidR="00A53D7D" w:rsidRPr="00596ED3" w:rsidRDefault="00A53D7D" w:rsidP="005140B4">
      <w:r w:rsidRPr="00596ED3">
        <w:t>This initiative contributes to the Department of Transport, Planning and Local Infrastructure</w:t>
      </w:r>
      <w:r>
        <w:t>’</w:t>
      </w:r>
      <w:r w:rsidRPr="00596ED3">
        <w:t>s Metropolitan Transport Services output.</w:t>
      </w:r>
    </w:p>
    <w:p w:rsidR="00A53D7D" w:rsidRPr="00596ED3" w:rsidRDefault="00A53D7D" w:rsidP="005140B4">
      <w:pPr>
        <w:pStyle w:val="Heading4"/>
      </w:pPr>
      <w:r w:rsidRPr="00596ED3">
        <w:t>Transport System Development and Maintenance</w:t>
      </w:r>
      <w:r w:rsidRPr="00596ED3">
        <w:fldChar w:fldCharType="begin"/>
      </w:r>
      <w:r w:rsidRPr="00596ED3">
        <w:instrText xml:space="preserve"> XE </w:instrText>
      </w:r>
      <w:r>
        <w:instrText>"</w:instrText>
      </w:r>
      <w:r w:rsidRPr="00596ED3">
        <w:instrText>Department of Transport, Planning and Local Infrastructure:Public Transport Network Improvements and Maintenance</w:instrText>
      </w:r>
      <w:r>
        <w:instrText>"</w:instrText>
      </w:r>
      <w:r w:rsidRPr="00596ED3">
        <w:instrText xml:space="preserve"> </w:instrText>
      </w:r>
      <w:r w:rsidRPr="00596ED3">
        <w:fldChar w:fldCharType="end"/>
      </w:r>
    </w:p>
    <w:p w:rsidR="00A53D7D" w:rsidRPr="00596ED3" w:rsidRDefault="00A53D7D" w:rsidP="005140B4">
      <w:pPr>
        <w:pStyle w:val="Heading5"/>
      </w:pPr>
      <w:r w:rsidRPr="00596ED3">
        <w:t>Arterial road restoration</w:t>
      </w:r>
    </w:p>
    <w:p w:rsidR="00A53D7D" w:rsidRPr="00596ED3" w:rsidRDefault="00A53D7D" w:rsidP="005140B4">
      <w:r w:rsidRPr="00596ED3">
        <w:t>High priority roads and strategic routes will be restored to reduce economic and social impacts, to improve safety and reduce whole of life costs in maintaining the arterial road network.</w:t>
      </w:r>
    </w:p>
    <w:p w:rsidR="00A53D7D" w:rsidRPr="00596ED3" w:rsidRDefault="00A53D7D" w:rsidP="005140B4">
      <w:r w:rsidRPr="00596ED3">
        <w:t>This initiative contributes to the Department of Transport, Planning and Local Infrastructure</w:t>
      </w:r>
      <w:r>
        <w:t>’</w:t>
      </w:r>
      <w:r w:rsidRPr="00596ED3">
        <w:t>s Road Asset Management output.</w:t>
      </w:r>
    </w:p>
    <w:p w:rsidR="00A53D7D" w:rsidRPr="00596ED3" w:rsidRDefault="00A53D7D" w:rsidP="005140B4">
      <w:pPr>
        <w:pStyle w:val="Heading5"/>
      </w:pPr>
      <w:r w:rsidRPr="00596ED3">
        <w:t xml:space="preserve">Avalon Airport Rail Link – transport corridor protection </w:t>
      </w:r>
    </w:p>
    <w:p w:rsidR="00A53D7D" w:rsidRPr="00596ED3" w:rsidRDefault="00A53D7D" w:rsidP="005140B4">
      <w:r w:rsidRPr="00596ED3">
        <w:t>Funding is provided to enable planning for the Avalon Airport Rail Link</w:t>
      </w:r>
      <w:r>
        <w:fldChar w:fldCharType="begin"/>
      </w:r>
      <w:r>
        <w:instrText xml:space="preserve"> XE "Melbourne</w:instrText>
      </w:r>
      <w:r w:rsidRPr="002337D1">
        <w:instrText xml:space="preserve"> Rail Link</w:instrText>
      </w:r>
      <w:r>
        <w:instrText xml:space="preserve">" </w:instrText>
      </w:r>
      <w:r>
        <w:fldChar w:fldCharType="end"/>
      </w:r>
      <w:r w:rsidRPr="00596ED3">
        <w:t xml:space="preserve"> transport corridor to continue and for a reservation to be put in place. </w:t>
      </w:r>
    </w:p>
    <w:p w:rsidR="00A53D7D" w:rsidRPr="00596ED3" w:rsidRDefault="00A53D7D" w:rsidP="005140B4">
      <w:r w:rsidRPr="00596ED3">
        <w:t>This will progress the Government</w:t>
      </w:r>
      <w:r>
        <w:t>’</w:t>
      </w:r>
      <w:r w:rsidRPr="00596ED3">
        <w:t>s election commitment.</w:t>
      </w:r>
    </w:p>
    <w:p w:rsidR="00A53D7D" w:rsidRPr="00596ED3" w:rsidRDefault="00A53D7D" w:rsidP="005140B4">
      <w:r w:rsidRPr="00596ED3">
        <w:t>This initiative contributes to the Department of Transport, Planning and Local Infrastructure</w:t>
      </w:r>
      <w:r>
        <w:t>’</w:t>
      </w:r>
      <w:r w:rsidRPr="00596ED3">
        <w:t>s Public Transport Network Improvements and Maintenance output.</w:t>
      </w:r>
    </w:p>
    <w:p w:rsidR="00A53D7D" w:rsidRPr="00596ED3" w:rsidRDefault="00A53D7D" w:rsidP="005140B4">
      <w:pPr>
        <w:pStyle w:val="Heading5"/>
      </w:pPr>
      <w:r w:rsidRPr="00596ED3">
        <w:t>Ballan crossing loop and car park upgrade</w:t>
      </w:r>
    </w:p>
    <w:p w:rsidR="00A53D7D" w:rsidRPr="00596ED3" w:rsidRDefault="00A53D7D" w:rsidP="005140B4">
      <w:r w:rsidRPr="00596ED3">
        <w:t>A new railway crossing loop will be constructed at Rowsley (approximately 5 kilometres west of Bacchus Marsh Station) to improve train reliability and to allow for more trains to operate in the Ballarat corridor. An additional 45 car parking spaces will also be constructed at Ballan Station.</w:t>
      </w:r>
    </w:p>
    <w:p w:rsidR="00A53D7D" w:rsidRPr="00596ED3" w:rsidRDefault="00A53D7D" w:rsidP="005140B4">
      <w:r w:rsidRPr="00596ED3">
        <w:t>This will deliver the Government</w:t>
      </w:r>
      <w:r>
        <w:t>’</w:t>
      </w:r>
      <w:r w:rsidRPr="00596ED3">
        <w:t>s election commitment.</w:t>
      </w:r>
    </w:p>
    <w:p w:rsidR="00A53D7D" w:rsidRPr="00596ED3" w:rsidRDefault="00A53D7D" w:rsidP="005140B4">
      <w:r w:rsidRPr="00596ED3">
        <w:t>This initiative contributes to the Department of Transport, Planning and Local Infrastructure</w:t>
      </w:r>
      <w:r>
        <w:t>’</w:t>
      </w:r>
      <w:r w:rsidRPr="00596ED3">
        <w:t>s Public Transport Network Improvements and Maintenance output.</w:t>
      </w:r>
    </w:p>
    <w:p w:rsidR="00A53D7D" w:rsidRPr="00596ED3" w:rsidRDefault="00A53D7D" w:rsidP="005140B4">
      <w:pPr>
        <w:pStyle w:val="Heading5"/>
      </w:pPr>
      <w:r w:rsidRPr="00596ED3">
        <w:t xml:space="preserve">Calder Highway interchange Ravenswood </w:t>
      </w:r>
    </w:p>
    <w:p w:rsidR="00A53D7D" w:rsidRPr="00596ED3" w:rsidRDefault="00A53D7D" w:rsidP="005140B4">
      <w:r w:rsidRPr="00596ED3">
        <w:t>The Calder Highway/Calder Highway Alternate Highway interchange at Ravenswood will be rebuilt to include an overpass, which will replace the stop signs at this intersection. This will greatly improve safety for motorists and the efficiency of one of the State</w:t>
      </w:r>
      <w:r>
        <w:t>’</w:t>
      </w:r>
      <w:r w:rsidRPr="00596ED3">
        <w:t>s busiest freight corridors.</w:t>
      </w:r>
    </w:p>
    <w:p w:rsidR="00A53D7D" w:rsidRPr="00596ED3" w:rsidRDefault="00A53D7D" w:rsidP="005140B4">
      <w:r w:rsidRPr="00596ED3">
        <w:t>This initiative contributes to the Department of Transport, Planning and Local Infrastructure</w:t>
      </w:r>
      <w:r>
        <w:t>’</w:t>
      </w:r>
      <w:r w:rsidRPr="00596ED3">
        <w:t>s Road Network Improvements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Carrum</w:t>
      </w:r>
      <w:r>
        <w:noBreakHyphen/>
      </w:r>
      <w:r w:rsidRPr="00596ED3">
        <w:t>Warburton bike trail</w:t>
      </w:r>
    </w:p>
    <w:p w:rsidR="00A53D7D" w:rsidRPr="00596ED3" w:rsidRDefault="00A53D7D" w:rsidP="005140B4">
      <w:r w:rsidRPr="00596ED3">
        <w:t>The Carrum</w:t>
      </w:r>
      <w:r>
        <w:noBreakHyphen/>
      </w:r>
      <w:r w:rsidRPr="00596ED3">
        <w:t>Warburton bike trail will be completed by connecting existing trails from Carrum to Bayswater North with the Lilydale to Warburton Rail Trail. This will fulfil the Government</w:t>
      </w:r>
      <w:r>
        <w:t>’</w:t>
      </w:r>
      <w:r w:rsidRPr="00596ED3">
        <w:t>s election commitment to enhance cycling options in Victoria and provide alternative transport options for residents and tourists.</w:t>
      </w:r>
    </w:p>
    <w:p w:rsidR="00A53D7D" w:rsidRPr="00596ED3" w:rsidRDefault="00A53D7D" w:rsidP="005140B4">
      <w:r w:rsidRPr="00596ED3">
        <w:t>This initiative contributes to the Department of Transport, Planning and Local Infrastructure</w:t>
      </w:r>
      <w:r>
        <w:t>’</w:t>
      </w:r>
      <w:r w:rsidRPr="00596ED3">
        <w:t>s Road Network Improvements output.</w:t>
      </w:r>
    </w:p>
    <w:p w:rsidR="00A53D7D" w:rsidRPr="00596ED3" w:rsidRDefault="00A53D7D" w:rsidP="005140B4">
      <w:pPr>
        <w:pStyle w:val="Heading5"/>
      </w:pPr>
      <w:r w:rsidRPr="00596ED3">
        <w:t>Cranbourne</w:t>
      </w:r>
      <w:r>
        <w:noBreakHyphen/>
      </w:r>
      <w:r w:rsidRPr="00596ED3">
        <w:t>Pakenham Rail Corridor project</w:t>
      </w:r>
    </w:p>
    <w:p w:rsidR="00A53D7D" w:rsidRPr="00596ED3" w:rsidRDefault="00A53D7D" w:rsidP="005140B4">
      <w:r w:rsidRPr="00596ED3">
        <w:t>The Cranbourne</w:t>
      </w:r>
      <w:r>
        <w:noBreakHyphen/>
      </w:r>
      <w:r w:rsidRPr="00596ED3">
        <w:t>Pakenham Rail Corridor</w:t>
      </w:r>
      <w:r w:rsidRPr="00596ED3">
        <w:fldChar w:fldCharType="begin"/>
      </w:r>
      <w:r w:rsidRPr="00596ED3">
        <w:instrText xml:space="preserve"> XE </w:instrText>
      </w:r>
      <w:r>
        <w:instrText>"</w:instrText>
      </w:r>
      <w:r w:rsidRPr="00596ED3">
        <w:instrText>Cranbourne</w:instrText>
      </w:r>
      <w:r>
        <w:noBreakHyphen/>
      </w:r>
      <w:r w:rsidRPr="00596ED3">
        <w:instrText>Pakenham Rail Corridor project</w:instrText>
      </w:r>
      <w:r>
        <w:instrText>"</w:instrText>
      </w:r>
      <w:r w:rsidRPr="00596ED3">
        <w:instrText xml:space="preserve"> </w:instrText>
      </w:r>
      <w:r w:rsidRPr="00596ED3">
        <w:fldChar w:fldCharType="end"/>
      </w:r>
      <w:r w:rsidRPr="00596ED3">
        <w:t xml:space="preserve"> project will increase rail capacity and boost reliability on the Cranbourne and Pakenham rail lines. In March 2014, the Government announced that it would enter exclusive negotiations with a private sector proponent to deliver the project. Works are anticipated to start in 2015 and conclude by 2019.</w:t>
      </w:r>
    </w:p>
    <w:p w:rsidR="00A53D7D" w:rsidRPr="00596ED3" w:rsidRDefault="00A53D7D" w:rsidP="005140B4">
      <w:r w:rsidRPr="00596ED3">
        <w:t>The initiative includes 25 high capacity trains, which will complete the Government</w:t>
      </w:r>
      <w:r>
        <w:t>’</w:t>
      </w:r>
      <w:r w:rsidRPr="00596ED3">
        <w:t>s election commitment to deliver 40 new metropolitan trains. The initiative also includes high capacity signalling, power upgrades, four level crossing removals and planning for a further five removals.</w:t>
      </w:r>
    </w:p>
    <w:p w:rsidR="00A53D7D" w:rsidRPr="00596ED3" w:rsidRDefault="00A53D7D" w:rsidP="005140B4">
      <w:pPr>
        <w:pStyle w:val="Heading5"/>
        <w:keepNext w:val="0"/>
        <w:rPr>
          <w:rFonts w:ascii="Garamond" w:hAnsi="Garamond"/>
          <w:b w:val="0"/>
        </w:rPr>
      </w:pPr>
      <w:r w:rsidRPr="00596ED3">
        <w:rPr>
          <w:rFonts w:ascii="Garamond" w:hAnsi="Garamond"/>
          <w:b w:val="0"/>
        </w:rPr>
        <w:t xml:space="preserve">This initiative contributes to the Department of Transport, </w:t>
      </w:r>
      <w:proofErr w:type="gramStart"/>
      <w:r w:rsidRPr="00596ED3">
        <w:rPr>
          <w:rFonts w:ascii="Garamond" w:hAnsi="Garamond"/>
          <w:b w:val="0"/>
        </w:rPr>
        <w:t>Planning</w:t>
      </w:r>
      <w:proofErr w:type="gramEnd"/>
      <w:r w:rsidRPr="00596ED3">
        <w:rPr>
          <w:rFonts w:ascii="Garamond" w:hAnsi="Garamond"/>
          <w:b w:val="0"/>
        </w:rPr>
        <w:t xml:space="preserve"> and Local Infrastructure</w:t>
      </w:r>
      <w:r>
        <w:rPr>
          <w:rFonts w:ascii="Garamond" w:hAnsi="Garamond"/>
          <w:b w:val="0"/>
        </w:rPr>
        <w:t>’</w:t>
      </w:r>
      <w:r w:rsidRPr="00596ED3">
        <w:rPr>
          <w:rFonts w:ascii="Garamond" w:hAnsi="Garamond"/>
          <w:b w:val="0"/>
        </w:rPr>
        <w:t>s:</w:t>
      </w:r>
    </w:p>
    <w:p w:rsidR="00A53D7D" w:rsidRPr="00596ED3" w:rsidRDefault="00A53D7D" w:rsidP="005140B4">
      <w:pPr>
        <w:pStyle w:val="BulletText"/>
      </w:pPr>
      <w:r w:rsidRPr="00596ED3">
        <w:t xml:space="preserve">Public Transport Network Improvements and Maintenance output; and </w:t>
      </w:r>
    </w:p>
    <w:p w:rsidR="00A53D7D" w:rsidRPr="00596ED3" w:rsidRDefault="00A53D7D" w:rsidP="005140B4">
      <w:pPr>
        <w:pStyle w:val="BulletText"/>
      </w:pPr>
      <w:r w:rsidRPr="00596ED3">
        <w:t>Road Network Improvements output.</w:t>
      </w:r>
    </w:p>
    <w:p w:rsidR="00A53D7D" w:rsidRPr="00596ED3" w:rsidRDefault="00A53D7D" w:rsidP="005140B4">
      <w:pPr>
        <w:spacing w:after="0"/>
        <w:rPr>
          <w:rFonts w:ascii="Calibri" w:hAnsi="Calibri"/>
          <w:b/>
        </w:rPr>
      </w:pPr>
      <w:r w:rsidRPr="00596ED3">
        <w:rPr>
          <w:rFonts w:ascii="Calibri" w:hAnsi="Calibri"/>
          <w:b/>
        </w:rPr>
        <w:t xml:space="preserve">East West Link – Western Section </w:t>
      </w:r>
    </w:p>
    <w:p w:rsidR="00A53D7D" w:rsidRPr="00596ED3" w:rsidRDefault="00A53D7D" w:rsidP="005140B4">
      <w:r w:rsidRPr="00596ED3">
        <w:t>Funding is provided for delivery of the western section of the East West Link</w:t>
      </w:r>
      <w:r w:rsidRPr="00596ED3">
        <w:fldChar w:fldCharType="begin"/>
      </w:r>
      <w:r w:rsidRPr="00596ED3">
        <w:instrText xml:space="preserve"> XE </w:instrText>
      </w:r>
      <w:r>
        <w:instrText>"</w:instrText>
      </w:r>
      <w:r w:rsidRPr="00596ED3">
        <w:instrText>East West Link – Western Section</w:instrText>
      </w:r>
      <w:r>
        <w:instrText>"</w:instrText>
      </w:r>
      <w:r w:rsidRPr="00596ED3">
        <w:instrText xml:space="preserve"> </w:instrText>
      </w:r>
      <w:r w:rsidRPr="00596ED3">
        <w:fldChar w:fldCharType="end"/>
      </w:r>
      <w:r w:rsidRPr="00596ED3">
        <w:t xml:space="preserve"> which will complete the delivery of the full East West Link and connect the Eastern Freeway to the Western Ring Road. It will relieve congestion on the West Gate and M1 by providing an alternate route for people and goods and link the freeway network across Melbourne. This will close a freeway network gap and provide capacity that will improve the connectivity and reliability of the road network.</w:t>
      </w:r>
    </w:p>
    <w:p w:rsidR="00A53D7D" w:rsidRPr="00596ED3" w:rsidRDefault="00A53D7D" w:rsidP="005140B4">
      <w:r w:rsidRPr="00596ED3">
        <w:t xml:space="preserve">Detailed planning of East West Link – Western Section (from </w:t>
      </w:r>
      <w:proofErr w:type="spellStart"/>
      <w:r w:rsidRPr="00596ED3">
        <w:t>CityLink</w:t>
      </w:r>
      <w:proofErr w:type="spellEnd"/>
      <w:r w:rsidRPr="00596ED3">
        <w:t xml:space="preserve"> to the Western Ring Road) will now be undertaken, with construction scheduled to commence by the end of 2015. </w:t>
      </w:r>
      <w:r w:rsidRPr="00596ED3">
        <w:fldChar w:fldCharType="begin"/>
      </w:r>
      <w:r w:rsidRPr="00596ED3">
        <w:instrText xml:space="preserve"> XE </w:instrText>
      </w:r>
      <w:r>
        <w:instrText>"</w:instrText>
      </w:r>
      <w:r w:rsidRPr="00596ED3">
        <w:instrText>East West Link – Western Section</w:instrText>
      </w:r>
      <w:r>
        <w:instrText>"</w:instrText>
      </w:r>
      <w:r w:rsidRPr="00596ED3">
        <w:instrText xml:space="preserve"> </w:instrText>
      </w:r>
      <w:r w:rsidRPr="00596ED3">
        <w:fldChar w:fldCharType="end"/>
      </w:r>
      <w:r w:rsidRPr="00596ED3">
        <w:fldChar w:fldCharType="begin"/>
      </w:r>
      <w:r w:rsidRPr="00596ED3">
        <w:instrText xml:space="preserve"> XE </w:instrText>
      </w:r>
      <w:r>
        <w:instrText>"</w:instrText>
      </w:r>
      <w:r w:rsidRPr="00596ED3">
        <w:instrText xml:space="preserve">CityLink </w:instrText>
      </w:r>
      <w:r>
        <w:instrText>– Tulla widening"</w:instrText>
      </w:r>
      <w:r w:rsidRPr="00596ED3">
        <w:instrText xml:space="preserve"> </w:instrText>
      </w:r>
      <w:r w:rsidRPr="00596ED3">
        <w:fldChar w:fldCharType="end"/>
      </w:r>
    </w:p>
    <w:p w:rsidR="00A53D7D" w:rsidRPr="00596ED3" w:rsidRDefault="00A53D7D" w:rsidP="005140B4">
      <w:r w:rsidRPr="00596ED3">
        <w:t>The initiative contributes to the Department of Transport, Planning and Local Infrastructure</w:t>
      </w:r>
      <w:r>
        <w:t>’</w:t>
      </w:r>
      <w:r w:rsidRPr="00596ED3">
        <w:t>s Road Network Improvements output.</w:t>
      </w:r>
    </w:p>
    <w:p w:rsidR="00A53D7D" w:rsidRPr="00596ED3" w:rsidRDefault="00A53D7D" w:rsidP="005140B4">
      <w:pPr>
        <w:pStyle w:val="Heading5"/>
      </w:pPr>
      <w:r w:rsidRPr="00596ED3">
        <w:t xml:space="preserve">Geelong bus interchange upgrades </w:t>
      </w:r>
    </w:p>
    <w:p w:rsidR="00A53D7D" w:rsidRPr="00596ED3" w:rsidRDefault="00A53D7D" w:rsidP="005140B4">
      <w:r w:rsidRPr="00596ED3">
        <w:t xml:space="preserve">Bus interchanges will be upgraded at North Shore and </w:t>
      </w:r>
      <w:proofErr w:type="spellStart"/>
      <w:r w:rsidRPr="00596ED3">
        <w:t>Moorabool</w:t>
      </w:r>
      <w:proofErr w:type="spellEnd"/>
      <w:r w:rsidRPr="00596ED3">
        <w:t xml:space="preserve"> Street Geelong, to improve linkages to train services and access to Regional Rail Link, and to reduce travel time.</w:t>
      </w:r>
    </w:p>
    <w:p w:rsidR="00A53D7D" w:rsidRPr="00596ED3" w:rsidRDefault="00A53D7D" w:rsidP="005140B4">
      <w:r w:rsidRPr="00596ED3">
        <w:t>This initiative contributes to the Department of Transport, Planning and Local infrastructure</w:t>
      </w:r>
      <w:r>
        <w:t>’</w:t>
      </w:r>
      <w:r w:rsidRPr="00596ED3">
        <w:t>s Public Transport Network Improvements and Maintenance output.</w:t>
      </w:r>
    </w:p>
    <w:p w:rsidR="00A53D7D" w:rsidRPr="00596ED3" w:rsidRDefault="00A53D7D" w:rsidP="005140B4">
      <w:pPr>
        <w:pStyle w:val="Heading5"/>
      </w:pPr>
      <w:r w:rsidRPr="00596ED3">
        <w:t>Geelong Railway Station – improving disability access</w:t>
      </w:r>
    </w:p>
    <w:p w:rsidR="00A53D7D" w:rsidRPr="00596ED3" w:rsidRDefault="00A53D7D" w:rsidP="005140B4">
      <w:r w:rsidRPr="00596ED3">
        <w:t>Disability access at Geelong Station will be improved. This complements the Government</w:t>
      </w:r>
      <w:r>
        <w:t>’</w:t>
      </w:r>
      <w:r w:rsidRPr="00596ED3">
        <w:t>s commitment to the establishment of the National Disability Insurance Agency headquarters in Geelong.</w:t>
      </w:r>
    </w:p>
    <w:p w:rsidR="00A53D7D" w:rsidRPr="00596ED3" w:rsidRDefault="00A53D7D" w:rsidP="005140B4">
      <w:r w:rsidRPr="00596ED3">
        <w:t>This initiative contributes to the Department of Transport, Planning and Local Infrastructure</w:t>
      </w:r>
      <w:r>
        <w:t>’</w:t>
      </w:r>
      <w:r w:rsidRPr="00596ED3">
        <w:t>s Public Transport Network Improvements and Maintenance output.</w:t>
      </w:r>
    </w:p>
    <w:p w:rsidR="00A53D7D" w:rsidRPr="00596ED3" w:rsidRDefault="00A53D7D" w:rsidP="005140B4">
      <w:pPr>
        <w:pStyle w:val="Heading5"/>
      </w:pPr>
      <w:r w:rsidRPr="00596ED3">
        <w:t>Melbourne Rail Link</w:t>
      </w:r>
    </w:p>
    <w:p w:rsidR="00A53D7D" w:rsidRPr="00596ED3" w:rsidRDefault="00A53D7D" w:rsidP="005140B4">
      <w:r w:rsidRPr="00596ED3">
        <w:t xml:space="preserve">The Melbourne Rail Link will construct a new rail tunnel from Southern Cross Station to South Yarra via </w:t>
      </w:r>
      <w:proofErr w:type="spellStart"/>
      <w:r w:rsidRPr="00596ED3">
        <w:t>Fishermans</w:t>
      </w:r>
      <w:proofErr w:type="spellEnd"/>
      <w:r w:rsidRPr="00596ED3">
        <w:t xml:space="preserve"> Bend, and deliver a new Airport Rail Link. The rail tunnel will include two new underground stations at Domain and Montague and new underground platforms at both South Yarra Station and Southern Cross Station</w:t>
      </w:r>
      <w:r>
        <w:fldChar w:fldCharType="begin"/>
      </w:r>
      <w:r>
        <w:instrText xml:space="preserve"> XE "</w:instrText>
      </w:r>
      <w:r w:rsidRPr="006D6056">
        <w:instrText>Southern Cross Station</w:instrText>
      </w:r>
      <w:r>
        <w:instrText xml:space="preserve">" </w:instrText>
      </w:r>
      <w:r>
        <w:fldChar w:fldCharType="end"/>
      </w:r>
      <w:r w:rsidRPr="00596ED3">
        <w:t xml:space="preserve"> to enable interchange with other services. This will untangle the central rail network and remove bottlenecks that cause congestion. Melbourne</w:t>
      </w:r>
      <w:r>
        <w:t>’</w:t>
      </w:r>
      <w:r w:rsidRPr="00596ED3">
        <w:t xml:space="preserve">s metropolitan rail network will be made up of six </w:t>
      </w:r>
      <w:proofErr w:type="spellStart"/>
      <w:r w:rsidRPr="00596ED3">
        <w:t xml:space="preserve">stand </w:t>
      </w:r>
      <w:r>
        <w:t>alone</w:t>
      </w:r>
      <w:proofErr w:type="spellEnd"/>
      <w:r w:rsidRPr="00596ED3">
        <w:t xml:space="preserve"> end</w:t>
      </w:r>
      <w:r>
        <w:noBreakHyphen/>
      </w:r>
      <w:r w:rsidRPr="00596ED3">
        <w:t>to</w:t>
      </w:r>
      <w:r>
        <w:noBreakHyphen/>
      </w:r>
      <w:r w:rsidRPr="00596ED3">
        <w:t>end lines, leading to an increase in Melbourne</w:t>
      </w:r>
      <w:r>
        <w:t>’</w:t>
      </w:r>
      <w:r w:rsidRPr="00596ED3">
        <w:t>s rail capacity. The Melbourne Rail Link will also incorporate the Airport Rail Link connecting the Airport via the Albion East corridor through to Dandenong in the east. Early works will commence in mid</w:t>
      </w:r>
      <w:r>
        <w:noBreakHyphen/>
      </w:r>
      <w:r w:rsidRPr="00596ED3">
        <w:t>2016 with major construction works commencing in mid</w:t>
      </w:r>
      <w:r>
        <w:noBreakHyphen/>
      </w:r>
      <w:r w:rsidRPr="00596ED3">
        <w:t xml:space="preserve">2017. </w:t>
      </w:r>
    </w:p>
    <w:p w:rsidR="00A53D7D" w:rsidRPr="00596ED3" w:rsidRDefault="00A53D7D" w:rsidP="005140B4">
      <w:r w:rsidRPr="00596ED3">
        <w:t>This initiative contributes to the Department of Transport, Planning and Local Infrastructure</w:t>
      </w:r>
      <w:r>
        <w:t>’</w:t>
      </w:r>
      <w:r w:rsidRPr="00596ED3">
        <w:t>s Public Transport Network Improvements and Maintenance output.</w:t>
      </w:r>
    </w:p>
    <w:p w:rsidR="00A53D7D" w:rsidRPr="00596ED3" w:rsidRDefault="00A53D7D" w:rsidP="005140B4">
      <w:pPr>
        <w:pStyle w:val="Heading5"/>
      </w:pPr>
      <w:r w:rsidRPr="00596ED3">
        <w:t xml:space="preserve">Metro Level Crossing Blitz </w:t>
      </w:r>
    </w:p>
    <w:p w:rsidR="00A53D7D" w:rsidRPr="00596ED3" w:rsidRDefault="00A53D7D" w:rsidP="005140B4">
      <w:r w:rsidRPr="00596ED3">
        <w:t>Funding is provided to undertake planning and development for the next stage of the Metro Level Crossing</w:t>
      </w:r>
      <w:r w:rsidRPr="00596ED3">
        <w:fldChar w:fldCharType="begin"/>
      </w:r>
      <w:r w:rsidRPr="00596ED3">
        <w:instrText xml:space="preserve"> XE </w:instrText>
      </w:r>
      <w:r>
        <w:instrText>"</w:instrText>
      </w:r>
      <w:r w:rsidRPr="00596ED3">
        <w:rPr>
          <w:color w:val="000000"/>
          <w:lang w:eastAsia="en-AU"/>
        </w:rPr>
        <w:instrText>Metro Level Crossing Blitz</w:instrText>
      </w:r>
      <w:r>
        <w:instrText>"</w:instrText>
      </w:r>
      <w:r w:rsidRPr="00596ED3">
        <w:instrText xml:space="preserve"> </w:instrText>
      </w:r>
      <w:r w:rsidRPr="00596ED3">
        <w:fldChar w:fldCharType="end"/>
      </w:r>
      <w:r w:rsidRPr="00596ED3">
        <w:t xml:space="preserve"> Blitz program aimed at removing level crossings in metropolitan Melbourne.</w:t>
      </w:r>
    </w:p>
    <w:p w:rsidR="00A53D7D" w:rsidRPr="00596ED3" w:rsidRDefault="00A53D7D" w:rsidP="005140B4">
      <w:r w:rsidRPr="00596ED3">
        <w:t>The Coalition Government has now allocated planning and/or construction funding for 40 level crossing removals and grade separations.</w:t>
      </w:r>
    </w:p>
    <w:p w:rsidR="00A53D7D" w:rsidRPr="00596ED3" w:rsidRDefault="00A53D7D" w:rsidP="005140B4">
      <w:r w:rsidRPr="00596ED3">
        <w:t xml:space="preserve">This initiative contributes to the Department of Transport, </w:t>
      </w:r>
      <w:proofErr w:type="gramStart"/>
      <w:r w:rsidRPr="00596ED3">
        <w:t>Planning</w:t>
      </w:r>
      <w:proofErr w:type="gramEnd"/>
      <w:r w:rsidRPr="00596ED3">
        <w:t xml:space="preserve"> and Local Infrastructure</w:t>
      </w:r>
      <w:r>
        <w:t>’</w:t>
      </w:r>
      <w:r w:rsidRPr="00596ED3">
        <w:t>s:</w:t>
      </w:r>
    </w:p>
    <w:p w:rsidR="00A53D7D" w:rsidRPr="00596ED3" w:rsidRDefault="00A53D7D" w:rsidP="005140B4">
      <w:pPr>
        <w:pStyle w:val="BulletText"/>
      </w:pPr>
      <w:r w:rsidRPr="00596ED3">
        <w:t xml:space="preserve">Public Transport Network Improvements and Maintenance output; and </w:t>
      </w:r>
    </w:p>
    <w:p w:rsidR="00A53D7D" w:rsidRPr="00596ED3" w:rsidRDefault="00A53D7D" w:rsidP="005140B4">
      <w:pPr>
        <w:pStyle w:val="BulletText"/>
      </w:pPr>
      <w:r w:rsidRPr="00596ED3">
        <w:t>Road Network Improvements output.</w:t>
      </w:r>
    </w:p>
    <w:p w:rsidR="00A53D7D" w:rsidRPr="00596ED3" w:rsidRDefault="00A53D7D" w:rsidP="005140B4">
      <w:pPr>
        <w:pStyle w:val="Heading5"/>
      </w:pPr>
      <w:r w:rsidRPr="00596ED3">
        <w:t xml:space="preserve">Metro Level Crossing Blitz Program – Burke Road (Glen Iris), North Road (Ormond), Blackburn Road (Blackburn), Main Road (St Albans) level crossing removal </w:t>
      </w:r>
    </w:p>
    <w:p w:rsidR="00A53D7D" w:rsidRPr="00596ED3" w:rsidRDefault="00A53D7D" w:rsidP="005140B4">
      <w:r w:rsidRPr="00596ED3">
        <w:fldChar w:fldCharType="begin"/>
      </w:r>
      <w:r w:rsidRPr="00596ED3">
        <w:instrText xml:space="preserve"> XE </w:instrText>
      </w:r>
      <w:r>
        <w:instrText>"</w:instrText>
      </w:r>
      <w:r w:rsidRPr="00596ED3">
        <w:rPr>
          <w:color w:val="000000"/>
          <w:lang w:eastAsia="en-AU"/>
        </w:rPr>
        <w:instrText>Metro Level Crossing Blitz</w:instrText>
      </w:r>
      <w:r>
        <w:instrText>"</w:instrText>
      </w:r>
      <w:r w:rsidRPr="00596ED3">
        <w:instrText xml:space="preserve"> </w:instrText>
      </w:r>
      <w:r w:rsidRPr="00596ED3">
        <w:fldChar w:fldCharType="end"/>
      </w:r>
      <w:r w:rsidRPr="00596ED3">
        <w:t>The Burke Road level crossing on the Glen Waverley line will be removed and a new Gardiner station will be constructed with access to a new island tram stop. The North Road, Ormond level crossing on the Frankston rail line will be removed and a new Ormond Station will be constructed including a new pedestrian crossing with improved station access</w:t>
      </w:r>
      <w:r w:rsidRPr="00596ED3">
        <w:rPr>
          <w:rStyle w:val="CommentReference"/>
          <w:rFonts w:eastAsia="Calibri"/>
        </w:rPr>
        <w:t xml:space="preserve">. </w:t>
      </w:r>
      <w:r w:rsidRPr="00596ED3">
        <w:t xml:space="preserve">The Blackburn Road, Blackburn level crossing on the Belgrave/Lilydale rail line will be removed with associated upgrades to the road intersection to improve pedestrian access to the existing station. Two pedestrian overpasses and a section of the </w:t>
      </w:r>
      <w:r w:rsidRPr="00596ED3">
        <w:rPr>
          <w:color w:val="000000"/>
        </w:rPr>
        <w:t>Box Hill to Ringwood Bike Way</w:t>
      </w:r>
      <w:r w:rsidRPr="00596ED3">
        <w:t xml:space="preserve"> will also be constructed. </w:t>
      </w:r>
    </w:p>
    <w:p w:rsidR="00A53D7D" w:rsidRDefault="00A53D7D">
      <w:pPr>
        <w:spacing w:after="0"/>
      </w:pPr>
      <w:r>
        <w:br w:type="page"/>
      </w:r>
    </w:p>
    <w:p w:rsidR="00A53D7D" w:rsidRPr="00596ED3" w:rsidRDefault="00A53D7D" w:rsidP="005140B4">
      <w:r w:rsidRPr="00596ED3">
        <w:t xml:space="preserve">As part of the Regional Rail Link, the Main Road St Albans level crossing on the Sunbury rail line will be removed and a new premium station with a consolidated bus interchange will be constructed. This will include pedestrian footpaths and the relocation of existing rail stabling yards to another site. </w:t>
      </w:r>
    </w:p>
    <w:p w:rsidR="00A53D7D" w:rsidRPr="00596ED3" w:rsidRDefault="00A53D7D" w:rsidP="005140B4">
      <w:r w:rsidRPr="00596ED3">
        <w:t>Removing these level crossings benefits road users and public transport users as well as improving safety for pedestrians.</w:t>
      </w:r>
    </w:p>
    <w:p w:rsidR="00A53D7D" w:rsidRPr="00596ED3" w:rsidRDefault="00A53D7D" w:rsidP="005140B4">
      <w:r w:rsidRPr="00596ED3">
        <w:t>This will progress the Government</w:t>
      </w:r>
      <w:r>
        <w:t>’</w:t>
      </w:r>
      <w:r w:rsidRPr="00596ED3">
        <w:t>s Metro Level Crossing</w:t>
      </w:r>
      <w:r w:rsidRPr="00596ED3">
        <w:fldChar w:fldCharType="begin"/>
      </w:r>
      <w:r w:rsidRPr="00596ED3">
        <w:instrText xml:space="preserve"> XE </w:instrText>
      </w:r>
      <w:r>
        <w:instrText>"</w:instrText>
      </w:r>
      <w:r w:rsidRPr="00596ED3">
        <w:rPr>
          <w:color w:val="000000"/>
          <w:lang w:eastAsia="en-AU"/>
        </w:rPr>
        <w:instrText>Metro Level Crossing Blitz</w:instrText>
      </w:r>
      <w:r>
        <w:instrText>"</w:instrText>
      </w:r>
      <w:r w:rsidRPr="00596ED3">
        <w:instrText xml:space="preserve"> </w:instrText>
      </w:r>
      <w:r w:rsidRPr="00596ED3">
        <w:fldChar w:fldCharType="end"/>
      </w:r>
      <w:r w:rsidRPr="00596ED3">
        <w:t xml:space="preserve"> Blitz election commitment.</w:t>
      </w:r>
    </w:p>
    <w:p w:rsidR="00A53D7D" w:rsidRPr="00596ED3" w:rsidRDefault="00A53D7D" w:rsidP="005140B4">
      <w:pPr>
        <w:pStyle w:val="Heading5"/>
        <w:rPr>
          <w:rFonts w:ascii="Garamond" w:hAnsi="Garamond"/>
          <w:b w:val="0"/>
        </w:rPr>
      </w:pPr>
      <w:r w:rsidRPr="00596ED3">
        <w:rPr>
          <w:rFonts w:ascii="Garamond" w:hAnsi="Garamond"/>
          <w:b w:val="0"/>
        </w:rPr>
        <w:t xml:space="preserve">This initiative contributes to the Department of Transport, </w:t>
      </w:r>
      <w:proofErr w:type="gramStart"/>
      <w:r w:rsidRPr="00596ED3">
        <w:rPr>
          <w:rFonts w:ascii="Garamond" w:hAnsi="Garamond"/>
          <w:b w:val="0"/>
        </w:rPr>
        <w:t>Planning</w:t>
      </w:r>
      <w:proofErr w:type="gramEnd"/>
      <w:r w:rsidRPr="00596ED3">
        <w:rPr>
          <w:rFonts w:ascii="Garamond" w:hAnsi="Garamond"/>
          <w:b w:val="0"/>
        </w:rPr>
        <w:t xml:space="preserve"> and Local Infrastructure</w:t>
      </w:r>
      <w:r>
        <w:rPr>
          <w:rFonts w:ascii="Garamond" w:hAnsi="Garamond"/>
          <w:b w:val="0"/>
        </w:rPr>
        <w:t>’</w:t>
      </w:r>
      <w:r w:rsidRPr="00596ED3">
        <w:rPr>
          <w:rFonts w:ascii="Garamond" w:hAnsi="Garamond"/>
          <w:b w:val="0"/>
        </w:rPr>
        <w:t>s:</w:t>
      </w:r>
    </w:p>
    <w:p w:rsidR="00A53D7D" w:rsidRPr="00596ED3" w:rsidRDefault="00A53D7D" w:rsidP="005140B4">
      <w:pPr>
        <w:pStyle w:val="BulletText"/>
      </w:pPr>
      <w:r w:rsidRPr="00596ED3">
        <w:t xml:space="preserve">Public Transport Network Improvements and Maintenance; and </w:t>
      </w:r>
    </w:p>
    <w:p w:rsidR="00A53D7D" w:rsidRPr="00596ED3" w:rsidRDefault="00A53D7D" w:rsidP="005140B4">
      <w:pPr>
        <w:pStyle w:val="BulletText"/>
      </w:pPr>
      <w:r w:rsidRPr="00596ED3">
        <w:t>Road Network Improvements outputs.</w:t>
      </w:r>
    </w:p>
    <w:p w:rsidR="00A53D7D" w:rsidRPr="00596ED3" w:rsidRDefault="00A53D7D" w:rsidP="005140B4">
      <w:pPr>
        <w:keepNext/>
        <w:tabs>
          <w:tab w:val="left" w:pos="504"/>
        </w:tabs>
        <w:spacing w:before="120" w:after="60"/>
        <w:outlineLvl w:val="4"/>
        <w:rPr>
          <w:rFonts w:ascii="Calibri" w:hAnsi="Calibri"/>
          <w:b/>
        </w:rPr>
      </w:pPr>
      <w:r w:rsidRPr="00596ED3">
        <w:rPr>
          <w:rFonts w:ascii="Calibri" w:hAnsi="Calibri"/>
          <w:b/>
        </w:rPr>
        <w:t>Murray Basin Rail Project</w:t>
      </w:r>
    </w:p>
    <w:p w:rsidR="00A53D7D" w:rsidRPr="00596ED3" w:rsidRDefault="00A53D7D" w:rsidP="005140B4">
      <w:pPr>
        <w:rPr>
          <w:rFonts w:cs="Garamond"/>
          <w:color w:val="000000"/>
          <w:szCs w:val="22"/>
          <w:lang w:eastAsia="en-AU"/>
        </w:rPr>
      </w:pPr>
      <w:r w:rsidRPr="00596ED3">
        <w:rPr>
          <w:rFonts w:cs="Garamond"/>
          <w:color w:val="000000"/>
          <w:szCs w:val="22"/>
          <w:lang w:eastAsia="en-AU"/>
        </w:rPr>
        <w:t xml:space="preserve">The Murray Basin Rail Project will </w:t>
      </w:r>
      <w:r>
        <w:rPr>
          <w:rFonts w:cs="Garamond"/>
          <w:color w:val="000000"/>
          <w:szCs w:val="22"/>
          <w:lang w:eastAsia="en-AU"/>
        </w:rPr>
        <w:t>commit up to $220 million over four years to undertake</w:t>
      </w:r>
      <w:r w:rsidRPr="00596ED3">
        <w:rPr>
          <w:rFonts w:cs="Garamond"/>
          <w:color w:val="000000"/>
          <w:szCs w:val="22"/>
          <w:lang w:eastAsia="en-AU"/>
        </w:rPr>
        <w:t xml:space="preserve"> major country rail freight upgrades and </w:t>
      </w:r>
      <w:r>
        <w:rPr>
          <w:rFonts w:cs="Garamond"/>
          <w:color w:val="000000"/>
          <w:szCs w:val="22"/>
          <w:lang w:eastAsia="en-AU"/>
        </w:rPr>
        <w:t>standardise the key</w:t>
      </w:r>
      <w:r w:rsidRPr="00596ED3">
        <w:rPr>
          <w:rFonts w:cs="Garamond"/>
          <w:color w:val="000000"/>
          <w:szCs w:val="22"/>
          <w:lang w:eastAsia="en-AU"/>
        </w:rPr>
        <w:t xml:space="preserve"> Mildura to Geelong rail link. The first stage of the Murray Basin Rail Project</w:t>
      </w:r>
      <w:r>
        <w:rPr>
          <w:rFonts w:cs="Garamond"/>
          <w:color w:val="000000"/>
          <w:szCs w:val="22"/>
          <w:lang w:eastAsia="en-AU"/>
        </w:rPr>
        <w:fldChar w:fldCharType="begin"/>
      </w:r>
      <w:r>
        <w:instrText xml:space="preserve"> XE "</w:instrText>
      </w:r>
      <w:r w:rsidRPr="006D6056">
        <w:rPr>
          <w:rFonts w:cs="Garamond"/>
          <w:color w:val="000000"/>
          <w:szCs w:val="22"/>
          <w:lang w:eastAsia="en-AU"/>
        </w:rPr>
        <w:instrText>Murray Basin Rail Project</w:instrText>
      </w:r>
      <w:r>
        <w:instrText xml:space="preserve">" </w:instrText>
      </w:r>
      <w:r>
        <w:rPr>
          <w:rFonts w:cs="Garamond"/>
          <w:color w:val="000000"/>
          <w:szCs w:val="22"/>
          <w:lang w:eastAsia="en-AU"/>
        </w:rPr>
        <w:fldChar w:fldCharType="end"/>
      </w:r>
      <w:r w:rsidRPr="00596ED3">
        <w:rPr>
          <w:rFonts w:cs="Garamond"/>
          <w:color w:val="000000"/>
          <w:szCs w:val="22"/>
          <w:lang w:eastAsia="en-AU"/>
        </w:rPr>
        <w:t xml:space="preserve"> will undertake immediate upgrades on the Mildura to Maryborough and Murtoa to Hopetoun rail lines and finalise the business case for the Mildura to Geelong standardisation. The final cost and alignment of the Mildura to Geelong rail standardisation will be guided by the final business case to be delivered before the end of 2014. </w:t>
      </w:r>
    </w:p>
    <w:p w:rsidR="00A53D7D" w:rsidRPr="00596ED3" w:rsidRDefault="00A53D7D" w:rsidP="005140B4">
      <w:r w:rsidRPr="00596ED3">
        <w:t>This initiative contributes to the Department of Transport, Planning and Local Infrastructure</w:t>
      </w:r>
      <w:r>
        <w:t>’</w:t>
      </w:r>
      <w:r w:rsidRPr="00596ED3">
        <w:t xml:space="preserve">s </w:t>
      </w:r>
      <w:r>
        <w:t>Ports and Freight Network Improvements and Maintenance output</w:t>
      </w:r>
      <w:r w:rsidRPr="00596ED3">
        <w:t>.</w:t>
      </w:r>
    </w:p>
    <w:p w:rsidR="00A53D7D" w:rsidRPr="00596ED3" w:rsidRDefault="00A53D7D" w:rsidP="005140B4">
      <w:pPr>
        <w:pStyle w:val="Heading5"/>
      </w:pPr>
      <w:r w:rsidRPr="00596ED3">
        <w:t xml:space="preserve">Pioneer Road duplication </w:t>
      </w:r>
    </w:p>
    <w:p w:rsidR="00A53D7D" w:rsidRPr="00596ED3" w:rsidRDefault="00A53D7D" w:rsidP="005140B4">
      <w:r w:rsidRPr="00596ED3">
        <w:t xml:space="preserve">Pioneer Road, Grovedale, will be duplicated from </w:t>
      </w:r>
      <w:proofErr w:type="spellStart"/>
      <w:r w:rsidRPr="00596ED3">
        <w:t>Waurn</w:t>
      </w:r>
      <w:proofErr w:type="spellEnd"/>
      <w:r w:rsidRPr="00596ED3">
        <w:t xml:space="preserve"> Ponds Shopping Centre to Meadowvale Drive to improve the capacity and safety of Pioneer Road and the amenity for local residents.</w:t>
      </w:r>
    </w:p>
    <w:p w:rsidR="00A53D7D" w:rsidRPr="00596ED3" w:rsidRDefault="00A53D7D" w:rsidP="005140B4">
      <w:r w:rsidRPr="00596ED3">
        <w:t>This delivers the Government</w:t>
      </w:r>
      <w:r>
        <w:t>’</w:t>
      </w:r>
      <w:r w:rsidRPr="00596ED3">
        <w:t xml:space="preserve">s election commitment. </w:t>
      </w:r>
    </w:p>
    <w:p w:rsidR="00A53D7D" w:rsidRPr="00596ED3" w:rsidRDefault="00A53D7D" w:rsidP="005140B4">
      <w:r w:rsidRPr="00596ED3">
        <w:t>This initiative contributes to the Department of Transport, Planning and Local Infrastructure</w:t>
      </w:r>
      <w:r>
        <w:t>’</w:t>
      </w:r>
      <w:r w:rsidRPr="00596ED3">
        <w:t>s Road Network Improvements output.</w:t>
      </w:r>
    </w:p>
    <w:p w:rsidR="00A53D7D" w:rsidRPr="00596ED3" w:rsidRDefault="00A53D7D" w:rsidP="005140B4">
      <w:pPr>
        <w:pStyle w:val="Heading5"/>
      </w:pPr>
      <w:r w:rsidRPr="00596ED3">
        <w:t>Port</w:t>
      </w:r>
      <w:r>
        <w:noBreakHyphen/>
      </w:r>
      <w:r w:rsidRPr="00596ED3">
        <w:t>Rail shuttle (Metropolitan Intermodal System)</w:t>
      </w:r>
    </w:p>
    <w:p w:rsidR="00A53D7D" w:rsidRPr="00596ED3" w:rsidRDefault="00A53D7D" w:rsidP="005140B4">
      <w:r w:rsidRPr="00596ED3">
        <w:t>Targeted infrastructure works will be undertaken to support development of a Metropolitan Intermodal System where privately owned intermodal terminals in strategic locations across Melbourne are better linked by rail to the Port of Melbourne</w:t>
      </w:r>
      <w:r>
        <w:fldChar w:fldCharType="begin"/>
      </w:r>
      <w:r>
        <w:instrText xml:space="preserve"> XE "</w:instrText>
      </w:r>
      <w:r w:rsidRPr="006D6056">
        <w:instrText>Port of Melbourne</w:instrText>
      </w:r>
      <w:r>
        <w:instrText xml:space="preserve">" </w:instrText>
      </w:r>
      <w:r>
        <w:fldChar w:fldCharType="end"/>
      </w:r>
      <w:r w:rsidRPr="00596ED3">
        <w:t xml:space="preserve">. Development of an effective intermodal network will result in more efficient freight movements across the city. </w:t>
      </w:r>
    </w:p>
    <w:p w:rsidR="00A53D7D" w:rsidRPr="00596ED3" w:rsidRDefault="00A53D7D" w:rsidP="005140B4">
      <w:r w:rsidRPr="00596ED3">
        <w:t>This initiative contributes to the Department of Transport, Planning and Local Infrastructure</w:t>
      </w:r>
      <w:r>
        <w:t>’</w:t>
      </w:r>
      <w:r w:rsidRPr="00596ED3">
        <w:t>s Ports and Freight Network Improvements and Maintenance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Princes Highway duplication project</w:t>
      </w:r>
      <w:r>
        <w:t xml:space="preserve"> – Winchelsea to Colac</w:t>
      </w:r>
      <w:r w:rsidRPr="00596ED3">
        <w:t xml:space="preserve"> </w:t>
      </w:r>
    </w:p>
    <w:p w:rsidR="00A53D7D" w:rsidRPr="00596ED3" w:rsidRDefault="00A53D7D" w:rsidP="005140B4">
      <w:r w:rsidRPr="00596ED3">
        <w:t>The Princes Highway</w:t>
      </w:r>
      <w:r w:rsidRPr="00596ED3">
        <w:fldChar w:fldCharType="begin"/>
      </w:r>
      <w:r w:rsidRPr="00596ED3">
        <w:instrText xml:space="preserve"> XE </w:instrText>
      </w:r>
      <w:r>
        <w:instrText>"</w:instrText>
      </w:r>
      <w:r w:rsidRPr="00596ED3">
        <w:instrText xml:space="preserve">Princes Highway </w:instrText>
      </w:r>
      <w:r>
        <w:instrText xml:space="preserve">West </w:instrText>
      </w:r>
      <w:r w:rsidRPr="00596ED3">
        <w:instrText>duplication project</w:instrText>
      </w:r>
      <w:r>
        <w:instrText>"</w:instrText>
      </w:r>
      <w:r w:rsidRPr="00596ED3">
        <w:instrText xml:space="preserve"> </w:instrText>
      </w:r>
      <w:r w:rsidRPr="00596ED3">
        <w:fldChar w:fldCharType="end"/>
      </w:r>
      <w:r w:rsidRPr="00596ED3">
        <w:t xml:space="preserve"> between Winchelsea and Colac will be duplicated, providing 37 kilometres of dual carriageway with two lanes in each direction. This project continues the duplication of Princes Highway currently under construction from </w:t>
      </w:r>
      <w:proofErr w:type="spellStart"/>
      <w:r w:rsidRPr="00596ED3">
        <w:t>Waurn</w:t>
      </w:r>
      <w:proofErr w:type="spellEnd"/>
      <w:r w:rsidRPr="00596ED3">
        <w:t xml:space="preserve"> Ponds to Winchelsea. </w:t>
      </w:r>
    </w:p>
    <w:p w:rsidR="00A53D7D" w:rsidRPr="00596ED3" w:rsidRDefault="00A53D7D" w:rsidP="005140B4">
      <w:r w:rsidRPr="00596ED3">
        <w:t>This delivers the Government</w:t>
      </w:r>
      <w:r>
        <w:t>’</w:t>
      </w:r>
      <w:r w:rsidRPr="00596ED3">
        <w:t>s election commitment.</w:t>
      </w:r>
    </w:p>
    <w:p w:rsidR="00A53D7D" w:rsidRPr="00596ED3" w:rsidRDefault="00A53D7D" w:rsidP="005140B4">
      <w:r w:rsidRPr="00596ED3">
        <w:t>This initiative contributes to the Department of Transport, Planning and Local Infrastructure</w:t>
      </w:r>
      <w:r>
        <w:t>’</w:t>
      </w:r>
      <w:r w:rsidRPr="00596ED3">
        <w:t>s Road Network Improvements output.</w:t>
      </w:r>
    </w:p>
    <w:p w:rsidR="00A53D7D" w:rsidRPr="00596ED3" w:rsidRDefault="00A53D7D" w:rsidP="005140B4">
      <w:pPr>
        <w:pStyle w:val="Heading5"/>
      </w:pPr>
      <w:r w:rsidRPr="00596ED3">
        <w:t>Princes Highway East</w:t>
      </w:r>
      <w:r>
        <w:t xml:space="preserve"> (Sand Road interchange)</w:t>
      </w:r>
      <w:r w:rsidRPr="00596ED3">
        <w:t xml:space="preserve"> </w:t>
      </w:r>
    </w:p>
    <w:p w:rsidR="00A53D7D" w:rsidRPr="00596ED3" w:rsidRDefault="00A53D7D" w:rsidP="005140B4">
      <w:r w:rsidRPr="00596ED3">
        <w:t>The Princes Highway</w:t>
      </w:r>
      <w:r w:rsidRPr="00596ED3">
        <w:fldChar w:fldCharType="begin"/>
      </w:r>
      <w:r w:rsidRPr="00596ED3">
        <w:instrText xml:space="preserve"> XE </w:instrText>
      </w:r>
      <w:r>
        <w:instrText>"</w:instrText>
      </w:r>
      <w:r w:rsidRPr="00596ED3">
        <w:instrText>Princes Highway East</w:instrText>
      </w:r>
      <w:r>
        <w:instrText>"</w:instrText>
      </w:r>
      <w:r w:rsidRPr="00596ED3">
        <w:instrText xml:space="preserve"> </w:instrText>
      </w:r>
      <w:r w:rsidRPr="00596ED3">
        <w:fldChar w:fldCharType="end"/>
      </w:r>
      <w:r w:rsidRPr="00596ED3">
        <w:t xml:space="preserve"> and Sand Road intersection in Longwarry North will be upgraded to improve safety and amenity. </w:t>
      </w:r>
    </w:p>
    <w:p w:rsidR="00A53D7D" w:rsidRPr="00596ED3" w:rsidRDefault="00A53D7D" w:rsidP="005140B4">
      <w:r w:rsidRPr="00596ED3">
        <w:t>This initiative contributes to the Department of Transport, Planning and Local Infrastructure</w:t>
      </w:r>
      <w:r>
        <w:t>’</w:t>
      </w:r>
      <w:r w:rsidRPr="00596ED3">
        <w:t>s Road Network Improvements output.</w:t>
      </w:r>
    </w:p>
    <w:p w:rsidR="00A53D7D" w:rsidRPr="00596ED3" w:rsidRDefault="00A53D7D" w:rsidP="005140B4">
      <w:pPr>
        <w:pStyle w:val="Heading5"/>
      </w:pPr>
      <w:r w:rsidRPr="00596ED3">
        <w:t>Princes Highway East passing lanes (Hospital Creek, Dinner Creek and Wombat Creek)</w:t>
      </w:r>
    </w:p>
    <w:p w:rsidR="00A53D7D" w:rsidRPr="00596ED3" w:rsidRDefault="00A53D7D" w:rsidP="005140B4">
      <w:r w:rsidRPr="00596ED3">
        <w:fldChar w:fldCharType="begin"/>
      </w:r>
      <w:r w:rsidRPr="00596ED3">
        <w:instrText xml:space="preserve"> XE </w:instrText>
      </w:r>
      <w:r>
        <w:instrText>"</w:instrText>
      </w:r>
      <w:r w:rsidRPr="00596ED3">
        <w:instrText>Princes Highway East</w:instrText>
      </w:r>
      <w:r>
        <w:instrText>"</w:instrText>
      </w:r>
      <w:r w:rsidRPr="00596ED3">
        <w:instrText xml:space="preserve"> </w:instrText>
      </w:r>
      <w:r w:rsidRPr="00596ED3">
        <w:fldChar w:fldCharType="end"/>
      </w:r>
      <w:r w:rsidRPr="00596ED3">
        <w:t xml:space="preserve">Three overtaking lanes will be constructed on the Princes Highway between </w:t>
      </w:r>
      <w:proofErr w:type="spellStart"/>
      <w:r w:rsidRPr="00596ED3">
        <w:t>Nowa</w:t>
      </w:r>
      <w:proofErr w:type="spellEnd"/>
      <w:r w:rsidRPr="00596ED3">
        <w:t xml:space="preserve"> </w:t>
      </w:r>
      <w:proofErr w:type="spellStart"/>
      <w:r w:rsidRPr="00596ED3">
        <w:t>Nowa</w:t>
      </w:r>
      <w:proofErr w:type="spellEnd"/>
      <w:r w:rsidRPr="00596ED3">
        <w:t xml:space="preserve"> and Orbost. This investment will provide benefits to primary industries and tourism in the Gippsland region by improving safety and ensuring efficient use of the highway.</w:t>
      </w:r>
    </w:p>
    <w:p w:rsidR="00A53D7D" w:rsidRPr="00596ED3" w:rsidRDefault="00A53D7D" w:rsidP="005140B4">
      <w:r w:rsidRPr="00596ED3">
        <w:t>This contributes to the Department of Transport, Planning and Local Infrastructure</w:t>
      </w:r>
      <w:r>
        <w:t>’</w:t>
      </w:r>
      <w:r w:rsidRPr="00596ED3">
        <w:t xml:space="preserve">s Road Network Improvements output. </w:t>
      </w:r>
    </w:p>
    <w:p w:rsidR="00A53D7D" w:rsidRPr="00596ED3" w:rsidRDefault="00A53D7D" w:rsidP="005140B4">
      <w:pPr>
        <w:pStyle w:val="Heading5"/>
      </w:pPr>
      <w:r w:rsidRPr="00596ED3">
        <w:t>Relieving congestion on suburban roads</w:t>
      </w:r>
    </w:p>
    <w:p w:rsidR="00A53D7D" w:rsidRPr="00596ED3" w:rsidRDefault="00A53D7D" w:rsidP="005140B4">
      <w:r w:rsidRPr="00596ED3">
        <w:t>A metropolitan traffic congestion program will be undertaken focussed on reducing delays and congestion on suburban roads through a range of small scale road infrastructure and operation projects.</w:t>
      </w:r>
    </w:p>
    <w:p w:rsidR="00A53D7D" w:rsidRPr="00596ED3" w:rsidRDefault="00A53D7D" w:rsidP="005140B4">
      <w:r w:rsidRPr="00596ED3">
        <w:t>This includes:</w:t>
      </w:r>
    </w:p>
    <w:p w:rsidR="00A53D7D" w:rsidRPr="00596ED3" w:rsidRDefault="00A53D7D" w:rsidP="005140B4">
      <w:pPr>
        <w:pStyle w:val="BulletText"/>
      </w:pPr>
      <w:r w:rsidRPr="00596ED3">
        <w:t>Carrum Downs – traffic lights and intersection upgrade at Wedge Road/Frankston</w:t>
      </w:r>
      <w:r>
        <w:noBreakHyphen/>
      </w:r>
      <w:r w:rsidRPr="00596ED3">
        <w:t>Dandenong Road/Boundary Road, Carrum Downs;</w:t>
      </w:r>
    </w:p>
    <w:p w:rsidR="00A53D7D" w:rsidRPr="00596ED3" w:rsidRDefault="00A53D7D" w:rsidP="005140B4">
      <w:pPr>
        <w:pStyle w:val="BulletText"/>
      </w:pPr>
      <w:r w:rsidRPr="00596ED3">
        <w:t>Cranbourne – duplication of Sladen Street from Codrington Street to Narre Warren</w:t>
      </w:r>
      <w:r>
        <w:noBreakHyphen/>
      </w:r>
      <w:r w:rsidRPr="00596ED3">
        <w:t>Cranbourne Road (Cameron Street), Cranbourne; and</w:t>
      </w:r>
    </w:p>
    <w:p w:rsidR="00A53D7D" w:rsidRPr="00596ED3" w:rsidRDefault="00A53D7D" w:rsidP="005140B4">
      <w:pPr>
        <w:pStyle w:val="BulletText"/>
      </w:pPr>
      <w:r w:rsidRPr="00596ED3">
        <w:t>Montmorency – traffic lights and pedestrian crossing at the Para Road/</w:t>
      </w:r>
      <w:proofErr w:type="spellStart"/>
      <w:r w:rsidRPr="00596ED3">
        <w:t>Rattray</w:t>
      </w:r>
      <w:proofErr w:type="spellEnd"/>
      <w:r w:rsidRPr="00596ED3">
        <w:t xml:space="preserve"> Road intersection.</w:t>
      </w:r>
    </w:p>
    <w:p w:rsidR="00A53D7D" w:rsidRPr="00596ED3" w:rsidRDefault="00A53D7D" w:rsidP="005140B4">
      <w:r w:rsidRPr="00596ED3">
        <w:t>This initiative contributes to the Department of Transport, Planning and Local Infrastructure</w:t>
      </w:r>
      <w:r>
        <w:t>’</w:t>
      </w:r>
      <w:r w:rsidRPr="00596ED3">
        <w:t>s Road Network Improvements output.</w:t>
      </w:r>
    </w:p>
    <w:p w:rsidR="00A53D7D" w:rsidRDefault="00A53D7D">
      <w:pPr>
        <w:spacing w:after="0"/>
        <w:rPr>
          <w:rFonts w:ascii="Calibri" w:hAnsi="Calibri"/>
          <w:b/>
        </w:rPr>
      </w:pPr>
      <w:r>
        <w:br w:type="page"/>
      </w:r>
    </w:p>
    <w:p w:rsidR="00A53D7D" w:rsidRPr="00596ED3" w:rsidRDefault="00A53D7D" w:rsidP="005140B4">
      <w:pPr>
        <w:pStyle w:val="Heading5"/>
      </w:pPr>
      <w:r w:rsidRPr="00596ED3">
        <w:t>Transport solutions – regional roads package</w:t>
      </w:r>
    </w:p>
    <w:p w:rsidR="00A53D7D" w:rsidRPr="00596ED3" w:rsidRDefault="00A53D7D" w:rsidP="005140B4">
      <w:r w:rsidRPr="00596ED3">
        <w:t>A package of infrastructure upgrade projects will be implemented focused on removing regional road freight bottlenecks and improving regional road capacity and safety. This includes:</w:t>
      </w:r>
    </w:p>
    <w:p w:rsidR="00A53D7D" w:rsidRPr="00596ED3" w:rsidRDefault="00A53D7D" w:rsidP="005140B4">
      <w:pPr>
        <w:pStyle w:val="BulletText"/>
      </w:pPr>
      <w:r w:rsidRPr="00596ED3">
        <w:t>Beaufort and Ararat – preconstruction work for Western Highway bypasses;</w:t>
      </w:r>
    </w:p>
    <w:p w:rsidR="00A53D7D" w:rsidRPr="00596ED3" w:rsidRDefault="00A53D7D" w:rsidP="005140B4">
      <w:pPr>
        <w:pStyle w:val="BulletText"/>
      </w:pPr>
      <w:r w:rsidRPr="00596ED3">
        <w:t xml:space="preserve">Leongatha – upgrade of the Leongatha heavy vehicle alternative route; </w:t>
      </w:r>
    </w:p>
    <w:p w:rsidR="00A53D7D" w:rsidRPr="00596ED3" w:rsidRDefault="00A53D7D" w:rsidP="005140B4">
      <w:pPr>
        <w:pStyle w:val="BulletText"/>
      </w:pPr>
      <w:r w:rsidRPr="00596ED3">
        <w:t xml:space="preserve">Shepparton East – roundabout widening at </w:t>
      </w:r>
      <w:proofErr w:type="spellStart"/>
      <w:r w:rsidRPr="00596ED3">
        <w:t>Doyles</w:t>
      </w:r>
      <w:proofErr w:type="spellEnd"/>
      <w:r w:rsidRPr="00596ED3">
        <w:t xml:space="preserve"> Road/Midland Highway; and</w:t>
      </w:r>
    </w:p>
    <w:p w:rsidR="00A53D7D" w:rsidRPr="00596ED3" w:rsidRDefault="00A53D7D" w:rsidP="005140B4">
      <w:pPr>
        <w:pStyle w:val="BulletText"/>
      </w:pPr>
      <w:r w:rsidRPr="00596ED3">
        <w:t xml:space="preserve">Princes Highway, </w:t>
      </w:r>
      <w:proofErr w:type="spellStart"/>
      <w:r w:rsidRPr="00596ED3">
        <w:t>Murrunggowar</w:t>
      </w:r>
      <w:proofErr w:type="spellEnd"/>
      <w:r w:rsidRPr="00596ED3">
        <w:t xml:space="preserve"> – rest area improvements</w:t>
      </w:r>
    </w:p>
    <w:p w:rsidR="00A53D7D" w:rsidRPr="00596ED3" w:rsidRDefault="00A53D7D" w:rsidP="005140B4">
      <w:r w:rsidRPr="00596ED3">
        <w:t>This initiative contributes to the Department of Transport, Planning and Local Infrastructure</w:t>
      </w:r>
      <w:r>
        <w:t>’</w:t>
      </w:r>
      <w:r w:rsidRPr="00596ED3">
        <w:t>s Road Network Improvements output.</w:t>
      </w:r>
    </w:p>
    <w:p w:rsidR="00A53D7D" w:rsidRPr="00596ED3" w:rsidRDefault="00A53D7D" w:rsidP="005140B4">
      <w:pPr>
        <w:pStyle w:val="Heading4"/>
      </w:pPr>
      <w:r w:rsidRPr="00596ED3">
        <w:t>Metropolitan and Regional Planning and Development</w:t>
      </w:r>
    </w:p>
    <w:p w:rsidR="00A53D7D" w:rsidRPr="00596ED3" w:rsidRDefault="00A53D7D" w:rsidP="005140B4">
      <w:pPr>
        <w:pStyle w:val="Heading5"/>
      </w:pPr>
      <w:proofErr w:type="spellStart"/>
      <w:r w:rsidRPr="00596ED3">
        <w:t>Fishermans</w:t>
      </w:r>
      <w:proofErr w:type="spellEnd"/>
      <w:r w:rsidRPr="00596ED3">
        <w:t xml:space="preserve"> Bend urban renewal area – phase one initiatives</w:t>
      </w:r>
    </w:p>
    <w:p w:rsidR="00A53D7D" w:rsidRPr="00596ED3" w:rsidRDefault="00A53D7D" w:rsidP="005140B4">
      <w:r w:rsidRPr="00596ED3">
        <w:t xml:space="preserve">The first phase of the 250 hectare </w:t>
      </w:r>
      <w:proofErr w:type="spellStart"/>
      <w:r w:rsidRPr="00596ED3">
        <w:t>Fishermans</w:t>
      </w:r>
      <w:proofErr w:type="spellEnd"/>
      <w:r w:rsidRPr="00596ED3">
        <w:t xml:space="preserve"> Bend urban renewal area will be undertaken including early works on establishing transport infrastructure. Funding has been approved to upgrade the pedestrian access to tram stops on the 96 and 109 tram routes. This pedestrian access will coincide with the development of a new school at </w:t>
      </w:r>
      <w:proofErr w:type="spellStart"/>
      <w:r w:rsidRPr="00596ED3">
        <w:t>Ferrars</w:t>
      </w:r>
      <w:proofErr w:type="spellEnd"/>
      <w:r w:rsidRPr="00596ED3">
        <w:t xml:space="preserve"> Street, South Melbourne.</w:t>
      </w:r>
    </w:p>
    <w:p w:rsidR="00A53D7D" w:rsidRPr="00596ED3" w:rsidRDefault="00A53D7D" w:rsidP="005140B4">
      <w:r w:rsidRPr="00596ED3">
        <w:t>This initiative contributes to the Department of Transport, Planning and Local Infrastructure</w:t>
      </w:r>
      <w:r>
        <w:t>’</w:t>
      </w:r>
      <w:r w:rsidRPr="00596ED3">
        <w:t>s Planning, Building and Heritage output.</w:t>
      </w:r>
    </w:p>
    <w:p w:rsidR="00A53D7D" w:rsidRPr="00596ED3" w:rsidRDefault="00A53D7D" w:rsidP="005140B4">
      <w:pPr>
        <w:pStyle w:val="Heading4"/>
      </w:pPr>
      <w:r w:rsidRPr="00596ED3">
        <w:t>Transport Safety and Security</w:t>
      </w:r>
    </w:p>
    <w:p w:rsidR="00A53D7D" w:rsidRPr="00596ED3" w:rsidRDefault="00A53D7D" w:rsidP="005140B4">
      <w:pPr>
        <w:pStyle w:val="Heading5"/>
      </w:pPr>
      <w:r w:rsidRPr="00596ED3">
        <w:t>City Loop fire and safety upgrade</w:t>
      </w:r>
    </w:p>
    <w:p w:rsidR="00A53D7D" w:rsidRPr="00596ED3" w:rsidRDefault="00A53D7D" w:rsidP="005140B4">
      <w:r w:rsidRPr="00596ED3">
        <w:t xml:space="preserve">Fire and emergency equipment will be upgraded within the Melbourne Underground Rail City Loop, bringing it into line with current safety standards. Upgrades will be made to water hydrants, emergency lighting, fire detection </w:t>
      </w:r>
      <w:proofErr w:type="gramStart"/>
      <w:r w:rsidRPr="00596ED3">
        <w:t>systems</w:t>
      </w:r>
      <w:proofErr w:type="gramEnd"/>
      <w:r w:rsidRPr="00596ED3">
        <w:t xml:space="preserve"> and improvements to automation for power shutdown, escalators and platform announcements.</w:t>
      </w:r>
    </w:p>
    <w:p w:rsidR="00A53D7D" w:rsidRPr="00596ED3" w:rsidRDefault="00A53D7D" w:rsidP="005140B4">
      <w:r w:rsidRPr="00596ED3">
        <w:t xml:space="preserve">This initiative contributes to the Department of Transport, </w:t>
      </w:r>
      <w:proofErr w:type="gramStart"/>
      <w:r w:rsidRPr="00596ED3">
        <w:t>Planning</w:t>
      </w:r>
      <w:proofErr w:type="gramEnd"/>
      <w:r w:rsidRPr="00596ED3">
        <w:t xml:space="preserve"> and Local Infrastructure</w:t>
      </w:r>
      <w:r>
        <w:t>’</w:t>
      </w:r>
      <w:r w:rsidRPr="00596ED3">
        <w:t>s:</w:t>
      </w:r>
    </w:p>
    <w:p w:rsidR="00A53D7D" w:rsidRPr="00596ED3" w:rsidRDefault="00A53D7D" w:rsidP="005140B4">
      <w:pPr>
        <w:pStyle w:val="BulletText"/>
      </w:pPr>
      <w:r w:rsidRPr="00596ED3">
        <w:t xml:space="preserve">Transport Safety and Security Management output; and </w:t>
      </w:r>
    </w:p>
    <w:p w:rsidR="00A53D7D" w:rsidRPr="00596ED3" w:rsidRDefault="00A53D7D" w:rsidP="005140B4">
      <w:pPr>
        <w:pStyle w:val="BulletText"/>
      </w:pPr>
      <w:r w:rsidRPr="00596ED3">
        <w:t>Public Transport Network Improvements and Maintenance output.</w:t>
      </w:r>
    </w:p>
    <w:p w:rsidR="00A53D7D" w:rsidRPr="00596ED3" w:rsidRDefault="00A53D7D" w:rsidP="005140B4">
      <w:pPr>
        <w:pStyle w:val="Heading5"/>
      </w:pPr>
      <w:r w:rsidRPr="00596ED3">
        <w:t>In</w:t>
      </w:r>
      <w:r>
        <w:noBreakHyphen/>
      </w:r>
      <w:r w:rsidRPr="00596ED3">
        <w:t xml:space="preserve">taxi data collection </w:t>
      </w:r>
    </w:p>
    <w:p w:rsidR="00A53D7D" w:rsidRPr="00596ED3" w:rsidRDefault="00A53D7D" w:rsidP="005140B4">
      <w:r>
        <w:t>The i</w:t>
      </w:r>
      <w:r w:rsidRPr="00596ED3">
        <w:t>n</w:t>
      </w:r>
      <w:r>
        <w:noBreakHyphen/>
      </w:r>
      <w:r w:rsidRPr="00596ED3">
        <w:t>taxi data collection project will provide valuable trip and fare data to the Taxi Services Commission and enable it to monitor the progress of the Government</w:t>
      </w:r>
      <w:r>
        <w:t>’</w:t>
      </w:r>
      <w:r w:rsidRPr="00596ED3">
        <w:t xml:space="preserve">s taxi industry reforms. This implements one of the recommendations from the Taxi Industry Inquiry. </w:t>
      </w:r>
    </w:p>
    <w:p w:rsidR="00A53D7D" w:rsidRPr="00596ED3" w:rsidRDefault="00A53D7D" w:rsidP="005140B4">
      <w:r w:rsidRPr="00596ED3">
        <w:t>This initiative contributes to the Department of Transport, Planning and Local Infrastructure</w:t>
      </w:r>
      <w:r>
        <w:t>’</w:t>
      </w:r>
      <w:r w:rsidRPr="00596ED3">
        <w:t>s Transport Safety Regulation and Investigations output.</w:t>
      </w:r>
    </w:p>
    <w:p w:rsidR="00A53D7D" w:rsidRPr="00596ED3" w:rsidRDefault="00A53D7D" w:rsidP="005140B4">
      <w:pPr>
        <w:pStyle w:val="Heading5"/>
      </w:pPr>
      <w:r w:rsidRPr="00596ED3">
        <w:t>Marine pollution response capability</w:t>
      </w:r>
    </w:p>
    <w:p w:rsidR="00A53D7D" w:rsidRPr="00596ED3" w:rsidRDefault="00A53D7D" w:rsidP="005140B4">
      <w:r w:rsidRPr="00596ED3">
        <w:t xml:space="preserve">Marine pollution response equipment will be upgraded and replaced to improve the capacity of the State and transport operators to respond to emergency situations in the marine environment. </w:t>
      </w:r>
    </w:p>
    <w:p w:rsidR="00A53D7D" w:rsidRPr="00596ED3" w:rsidRDefault="00A53D7D" w:rsidP="005140B4">
      <w:r w:rsidRPr="00596ED3">
        <w:t>This initiative contributes to the Department of Transport, Planning and Local Infrastructure</w:t>
      </w:r>
      <w:r>
        <w:t>’</w:t>
      </w:r>
      <w:r w:rsidRPr="00596ED3">
        <w:t>s Transport Safety and Security Management output.</w:t>
      </w:r>
    </w:p>
    <w:p w:rsidR="00A53D7D" w:rsidRPr="00596ED3" w:rsidRDefault="00A53D7D" w:rsidP="005140B4">
      <w:pPr>
        <w:pStyle w:val="Heading4"/>
      </w:pPr>
      <w:r w:rsidRPr="00596ED3">
        <w:t>Investing in Local Infrastructure</w:t>
      </w:r>
    </w:p>
    <w:p w:rsidR="00A53D7D" w:rsidRPr="00596ED3" w:rsidRDefault="00A53D7D" w:rsidP="005140B4">
      <w:pPr>
        <w:pStyle w:val="Heading5"/>
      </w:pPr>
      <w:r w:rsidRPr="00596ED3">
        <w:t>Melbourne Park redevelopment – stage two</w:t>
      </w:r>
    </w:p>
    <w:p w:rsidR="00A53D7D" w:rsidRPr="00596ED3" w:rsidRDefault="00A53D7D" w:rsidP="005140B4">
      <w:r w:rsidRPr="00596ED3">
        <w:t xml:space="preserve">Stage two of the Melbourne Park Redevelopment Project will include a significant refurbishment of Rod Laver Arena, construction of a new pedestrian bridge over Batman Avenue from </w:t>
      </w:r>
      <w:proofErr w:type="spellStart"/>
      <w:r w:rsidRPr="00596ED3">
        <w:t>Birrarung</w:t>
      </w:r>
      <w:proofErr w:type="spellEnd"/>
      <w:r w:rsidRPr="00596ED3">
        <w:t xml:space="preserve"> Marr to Melbourne Park, leading to a new primary entrance and a new administration and media building. This investment secures the Australian Open until 2036.</w:t>
      </w:r>
    </w:p>
    <w:p w:rsidR="00A53D7D" w:rsidRPr="00596ED3" w:rsidRDefault="00A53D7D" w:rsidP="005140B4">
      <w:r w:rsidRPr="00596ED3">
        <w:t>This initiative contributes to the Department of Transport, Planning and Local Infrastructure</w:t>
      </w:r>
      <w:r>
        <w:t>’</w:t>
      </w:r>
      <w:r w:rsidRPr="00596ED3">
        <w:t>s Sport and Recreation output.</w:t>
      </w:r>
    </w:p>
    <w:p w:rsidR="00A53D7D" w:rsidRPr="00596ED3" w:rsidRDefault="00A53D7D" w:rsidP="005140B4">
      <w:pPr>
        <w:pStyle w:val="Heading5"/>
      </w:pPr>
      <w:r w:rsidRPr="00596ED3">
        <w:t>State Sport Centres Trust asset investment program</w:t>
      </w:r>
    </w:p>
    <w:p w:rsidR="00A53D7D" w:rsidRPr="00596ED3" w:rsidRDefault="00A53D7D" w:rsidP="005140B4">
      <w:r w:rsidRPr="00596ED3">
        <w:t>Additional investment will be provided to address asset maintenance and renewal of sports facilities at the Melbourne Sports and Aquatic Centre, the State Netball and Hockey Centre, and Lakeside Stadium.</w:t>
      </w:r>
    </w:p>
    <w:p w:rsidR="00A53D7D" w:rsidRPr="00596ED3" w:rsidRDefault="00A53D7D" w:rsidP="005140B4">
      <w:r w:rsidRPr="00596ED3">
        <w:t>This initiative contributes to the Department of Transport, Planning and Local Infrastructure</w:t>
      </w:r>
      <w:bookmarkStart w:id="48" w:name="_Toc386364068"/>
      <w:r>
        <w:t>’</w:t>
      </w:r>
      <w:r w:rsidRPr="00596ED3">
        <w:t>s Sport and Recreation output.</w:t>
      </w:r>
      <w:r w:rsidRPr="00596ED3">
        <w:br w:type="page"/>
      </w:r>
    </w:p>
    <w:p w:rsidR="00A53D7D" w:rsidRPr="00596ED3" w:rsidRDefault="00A53D7D" w:rsidP="005140B4">
      <w:pPr>
        <w:pStyle w:val="Heading1"/>
      </w:pPr>
      <w:bookmarkStart w:id="49" w:name="_Toc407116901"/>
      <w:r w:rsidRPr="00596ED3">
        <w:t>Department of Treasury and Finance</w:t>
      </w:r>
      <w:bookmarkEnd w:id="48"/>
      <w:bookmarkEnd w:id="49"/>
    </w:p>
    <w:p w:rsidR="00A53D7D" w:rsidRPr="00596ED3" w:rsidRDefault="00A53D7D" w:rsidP="005140B4">
      <w:pPr>
        <w:pStyle w:val="Heading3"/>
      </w:pPr>
      <w:r w:rsidRPr="00596ED3">
        <w:t>Output initiatives</w:t>
      </w:r>
    </w:p>
    <w:p w:rsidR="00A53D7D" w:rsidRPr="00596ED3" w:rsidRDefault="00A53D7D" w:rsidP="005140B4">
      <w:pPr>
        <w:pStyle w:val="Tableheading"/>
      </w:pPr>
      <w:r w:rsidRPr="00596ED3">
        <w:t xml:space="preserve">Table 1.19: </w:t>
      </w:r>
      <w:r w:rsidRPr="00596ED3">
        <w:tab/>
        <w:t>Output initiatives – Treasury and Finance</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bookmarkStart w:id="50" w:name="RANGE!A3:F8"/>
    </w:p>
    <w:tbl>
      <w:tblPr>
        <w:tblW w:w="7776" w:type="dxa"/>
        <w:tblInd w:w="29" w:type="dxa"/>
        <w:tblLayout w:type="fixed"/>
        <w:tblCellMar>
          <w:left w:w="43" w:type="dxa"/>
          <w:right w:w="43" w:type="dxa"/>
        </w:tblCellMar>
        <w:tblLook w:val="04A0" w:firstRow="1" w:lastRow="0" w:firstColumn="1" w:lastColumn="0" w:noHBand="0" w:noVBand="1"/>
      </w:tblPr>
      <w:tblGrid>
        <w:gridCol w:w="2810"/>
        <w:gridCol w:w="994"/>
        <w:gridCol w:w="993"/>
        <w:gridCol w:w="993"/>
        <w:gridCol w:w="993"/>
        <w:gridCol w:w="993"/>
      </w:tblGrid>
      <w:tr w:rsidR="00A53D7D" w:rsidRPr="00FB64AD" w:rsidTr="005140B4">
        <w:trPr>
          <w:divId w:val="1909612049"/>
          <w:cantSplit/>
        </w:trPr>
        <w:tc>
          <w:tcPr>
            <w:tcW w:w="2810" w:type="dxa"/>
            <w:tcBorders>
              <w:top w:val="single" w:sz="12" w:space="0" w:color="000000"/>
              <w:left w:val="single" w:sz="12" w:space="0" w:color="000000"/>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bookmarkEnd w:id="50"/>
          </w:p>
        </w:tc>
        <w:tc>
          <w:tcPr>
            <w:tcW w:w="994" w:type="dxa"/>
            <w:tcBorders>
              <w:top w:val="single" w:sz="12" w:space="0" w:color="000000"/>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993" w:type="dxa"/>
            <w:tcBorders>
              <w:top w:val="single" w:sz="12" w:space="0" w:color="000000"/>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993" w:type="dxa"/>
            <w:tcBorders>
              <w:top w:val="single" w:sz="12" w:space="0" w:color="000000"/>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993" w:type="dxa"/>
            <w:tcBorders>
              <w:top w:val="single" w:sz="12" w:space="0" w:color="000000"/>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993" w:type="dxa"/>
            <w:tcBorders>
              <w:top w:val="single" w:sz="12" w:space="0" w:color="000000"/>
              <w:left w:val="nil"/>
              <w:bottom w:val="single" w:sz="4" w:space="0" w:color="auto"/>
              <w:right w:val="single" w:sz="12" w:space="0" w:color="000000"/>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r>
      <w:tr w:rsidR="00A53D7D" w:rsidRPr="00FB64AD" w:rsidTr="005140B4">
        <w:trPr>
          <w:divId w:val="1909612049"/>
          <w:cantSplit/>
        </w:trPr>
        <w:tc>
          <w:tcPr>
            <w:tcW w:w="2810" w:type="dxa"/>
            <w:tcBorders>
              <w:top w:val="single" w:sz="12" w:space="0" w:color="000000"/>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Regulatory Services</w:t>
            </w:r>
          </w:p>
        </w:tc>
        <w:tc>
          <w:tcPr>
            <w:tcW w:w="994" w:type="dxa"/>
            <w:tcBorders>
              <w:top w:val="single" w:sz="12" w:space="0" w:color="000000"/>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single" w:sz="12" w:space="0" w:color="000000"/>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single" w:sz="12" w:space="0" w:color="000000"/>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single" w:sz="12" w:space="0" w:color="000000"/>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single" w:sz="12" w:space="0" w:color="000000"/>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1909612049"/>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Essential Services Commission continuation of retail energy functions </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909612049"/>
          <w:cantSplit/>
        </w:trPr>
        <w:tc>
          <w:tcPr>
            <w:tcW w:w="2810" w:type="dxa"/>
            <w:tcBorders>
              <w:top w:val="single" w:sz="4" w:space="0" w:color="auto"/>
              <w:left w:val="nil"/>
              <w:bottom w:val="single" w:sz="4"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Sub total output initiatives</w:t>
            </w:r>
          </w:p>
        </w:tc>
        <w:tc>
          <w:tcPr>
            <w:tcW w:w="994"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1.8</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r>
      <w:tr w:rsidR="00A53D7D" w:rsidRPr="00FB64AD" w:rsidTr="005140B4">
        <w:trPr>
          <w:divId w:val="1909612049"/>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Existing resources </w:t>
            </w:r>
            <w:r w:rsidRPr="00FB64AD">
              <w:rPr>
                <w:color w:val="000000"/>
                <w:vertAlign w:val="superscript"/>
                <w:lang w:eastAsia="en-AU"/>
              </w:rPr>
              <w:t>(a)</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909612049"/>
          <w:cantSplit/>
        </w:trPr>
        <w:tc>
          <w:tcPr>
            <w:tcW w:w="2810" w:type="dxa"/>
            <w:tcBorders>
              <w:top w:val="single" w:sz="4" w:space="0" w:color="auto"/>
              <w:left w:val="nil"/>
              <w:bottom w:val="single" w:sz="8"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output initiatives</w:t>
            </w:r>
          </w:p>
        </w:tc>
        <w:tc>
          <w:tcPr>
            <w:tcW w:w="994"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1.8</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r>
    </w:tbl>
    <w:p w:rsidR="00A53D7D" w:rsidRPr="00596ED3" w:rsidRDefault="00A53D7D" w:rsidP="005140B4">
      <w:pPr>
        <w:pStyle w:val="Source"/>
      </w:pPr>
      <w:r w:rsidRPr="00596ED3">
        <w:t xml:space="preserve">Source: Department of Treasury and Finance </w:t>
      </w:r>
      <w:r w:rsidRPr="00596ED3">
        <w:fldChar w:fldCharType="begin"/>
      </w:r>
      <w:r w:rsidRPr="00596ED3">
        <w:instrText xml:space="preserve"> XE "Department of Treasury and Finance:Output initiatives" </w:instrText>
      </w:r>
      <w:r w:rsidRPr="00596ED3">
        <w:fldChar w:fldCharType="end"/>
      </w:r>
    </w:p>
    <w:p w:rsidR="00A53D7D" w:rsidRPr="00596ED3" w:rsidRDefault="00A53D7D" w:rsidP="005140B4">
      <w:pPr>
        <w:pStyle w:val="Notes"/>
      </w:pPr>
      <w:r w:rsidRPr="00596ED3">
        <w:t>Note:</w:t>
      </w:r>
    </w:p>
    <w:p w:rsidR="00A53D7D" w:rsidRDefault="00A53D7D" w:rsidP="005140B4">
      <w:pPr>
        <w:pStyle w:val="Notes"/>
      </w:pPr>
      <w:r w:rsidRPr="00596ED3">
        <w:t>(a)</w:t>
      </w:r>
      <w:r w:rsidRPr="00596ED3">
        <w:tab/>
        <w:t>Existing departmental resources have been reallocated to contribute to the delivery of new initiatives.</w:t>
      </w:r>
    </w:p>
    <w:p w:rsidR="00F820F9" w:rsidRPr="00596ED3" w:rsidRDefault="00F820F9" w:rsidP="005140B4">
      <w:pPr>
        <w:pStyle w:val="Notes"/>
      </w:pPr>
    </w:p>
    <w:p w:rsidR="00A53D7D" w:rsidRPr="00596ED3" w:rsidRDefault="00A53D7D" w:rsidP="005140B4">
      <w:pPr>
        <w:pStyle w:val="Heading4"/>
      </w:pPr>
      <w:r w:rsidRPr="00596ED3">
        <w:t>Regulatory Services</w:t>
      </w:r>
      <w:r w:rsidRPr="00596ED3">
        <w:fldChar w:fldCharType="begin"/>
      </w:r>
      <w:r w:rsidRPr="00596ED3">
        <w:instrText xml:space="preserve"> XE </w:instrText>
      </w:r>
      <w:r>
        <w:instrText>"</w:instrText>
      </w:r>
      <w:r w:rsidRPr="00596ED3">
        <w:instrText>Department of Treasury and Finance:Regulatory Services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 xml:space="preserve">Essential Services Commission continuation of retail energy functions </w:t>
      </w:r>
    </w:p>
    <w:p w:rsidR="00A53D7D" w:rsidRPr="00596ED3" w:rsidRDefault="00A53D7D" w:rsidP="005140B4">
      <w:r w:rsidRPr="00596ED3">
        <w:t>The Essential Services Commission will continue to regulate energy businesses after the Government announced it would defer transition to the National Energy Customer Framework in order to ensure that there is no reduction in protections for Victorian consumers. The cost of this regulatory function will continue to be fully recovered by licence fees.</w:t>
      </w:r>
    </w:p>
    <w:p w:rsidR="00A53D7D" w:rsidRPr="00B5500C" w:rsidRDefault="00A53D7D" w:rsidP="005140B4">
      <w:r w:rsidRPr="00596ED3">
        <w:t>This initiative contributes to the Department of Treasury and Finance</w:t>
      </w:r>
      <w:r>
        <w:t>’</w:t>
      </w:r>
      <w:r w:rsidRPr="00596ED3">
        <w:t>s Economic Regulatory Servic</w:t>
      </w:r>
      <w:r>
        <w:t xml:space="preserve">es output. </w:t>
      </w:r>
    </w:p>
    <w:p w:rsidR="00A53D7D" w:rsidRPr="00596ED3" w:rsidRDefault="00A53D7D" w:rsidP="005140B4">
      <w:pPr>
        <w:pStyle w:val="Heading3"/>
      </w:pPr>
      <w:r w:rsidRPr="00596ED3">
        <w:t>Asset initiatives</w:t>
      </w:r>
    </w:p>
    <w:p w:rsidR="00A53D7D" w:rsidRPr="00596ED3" w:rsidRDefault="00A53D7D" w:rsidP="005140B4">
      <w:pPr>
        <w:pStyle w:val="Tableheading"/>
      </w:pPr>
      <w:r w:rsidRPr="00596ED3">
        <w:t xml:space="preserve">Table 1.20: </w:t>
      </w:r>
      <w:r w:rsidRPr="00596ED3">
        <w:tab/>
        <w:t>Asset initiatives – Treasury and Finance</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bookmarkStart w:id="51" w:name="RANGE!A20:G26"/>
      <w:bookmarkStart w:id="52" w:name="RANGE!A20:G23"/>
      <w:bookmarkEnd w:id="51"/>
    </w:p>
    <w:tbl>
      <w:tblPr>
        <w:tblW w:w="7776" w:type="dxa"/>
        <w:tblInd w:w="29" w:type="dxa"/>
        <w:tblLayout w:type="fixed"/>
        <w:tblCellMar>
          <w:left w:w="43" w:type="dxa"/>
          <w:right w:w="43" w:type="dxa"/>
        </w:tblCellMar>
        <w:tblLook w:val="04A0" w:firstRow="1" w:lastRow="0" w:firstColumn="1" w:lastColumn="0" w:noHBand="0" w:noVBand="1"/>
      </w:tblPr>
      <w:tblGrid>
        <w:gridCol w:w="2420"/>
        <w:gridCol w:w="892"/>
        <w:gridCol w:w="892"/>
        <w:gridCol w:w="893"/>
        <w:gridCol w:w="893"/>
        <w:gridCol w:w="893"/>
        <w:gridCol w:w="893"/>
      </w:tblGrid>
      <w:tr w:rsidR="00A53D7D" w:rsidRPr="00FB64AD" w:rsidTr="005140B4">
        <w:trPr>
          <w:divId w:val="1455709346"/>
          <w:cantSplit/>
        </w:trPr>
        <w:tc>
          <w:tcPr>
            <w:tcW w:w="2420" w:type="dxa"/>
            <w:tcBorders>
              <w:top w:val="single" w:sz="6" w:space="0" w:color="auto"/>
              <w:left w:val="single" w:sz="6"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892"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892"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8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8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8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c>
          <w:tcPr>
            <w:tcW w:w="893" w:type="dxa"/>
            <w:tcBorders>
              <w:top w:val="single" w:sz="6" w:space="0" w:color="auto"/>
              <w:left w:val="nil"/>
              <w:bottom w:val="single" w:sz="4" w:space="0" w:color="auto"/>
              <w:right w:val="single" w:sz="6"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TEI</w:t>
            </w:r>
          </w:p>
        </w:tc>
      </w:tr>
      <w:tr w:rsidR="00A53D7D" w:rsidRPr="00FB64AD" w:rsidTr="005140B4">
        <w:trPr>
          <w:divId w:val="1455709346"/>
          <w:cantSplit/>
        </w:trPr>
        <w:tc>
          <w:tcPr>
            <w:tcW w:w="2420" w:type="dxa"/>
            <w:tcBorders>
              <w:top w:val="single" w:sz="6" w:space="0" w:color="auto"/>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 xml:space="preserve">Revenue Management Services </w:t>
            </w:r>
          </w:p>
        </w:tc>
        <w:tc>
          <w:tcPr>
            <w:tcW w:w="892" w:type="dxa"/>
            <w:tcBorders>
              <w:top w:val="single" w:sz="6" w:space="0" w:color="auto"/>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2"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single" w:sz="6" w:space="0" w:color="auto"/>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single" w:sz="6" w:space="0" w:color="auto"/>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1455709346"/>
          <w:cantSplit/>
        </w:trPr>
        <w:tc>
          <w:tcPr>
            <w:tcW w:w="242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Better revenue management system</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2.8</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2.9</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2.9</w:t>
            </w:r>
          </w:p>
        </w:tc>
        <w:tc>
          <w:tcPr>
            <w:tcW w:w="8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11.6</w:t>
            </w:r>
          </w:p>
        </w:tc>
      </w:tr>
      <w:tr w:rsidR="00A53D7D" w:rsidRPr="00FB64AD" w:rsidTr="005140B4">
        <w:trPr>
          <w:divId w:val="1455709346"/>
          <w:cantSplit/>
        </w:trPr>
        <w:tc>
          <w:tcPr>
            <w:tcW w:w="2420" w:type="dxa"/>
            <w:tcBorders>
              <w:top w:val="single" w:sz="4" w:space="0" w:color="auto"/>
              <w:left w:val="nil"/>
              <w:bottom w:val="single" w:sz="8"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asset initiatives</w:t>
            </w:r>
          </w:p>
        </w:tc>
        <w:tc>
          <w:tcPr>
            <w:tcW w:w="892"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892"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8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2.8</w:t>
            </w:r>
          </w:p>
        </w:tc>
        <w:tc>
          <w:tcPr>
            <w:tcW w:w="8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2.9</w:t>
            </w:r>
          </w:p>
        </w:tc>
        <w:tc>
          <w:tcPr>
            <w:tcW w:w="8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2.9</w:t>
            </w:r>
          </w:p>
        </w:tc>
        <w:tc>
          <w:tcPr>
            <w:tcW w:w="8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11.6</w:t>
            </w:r>
          </w:p>
        </w:tc>
      </w:tr>
    </w:tbl>
    <w:bookmarkEnd w:id="52"/>
    <w:p w:rsidR="00A53D7D" w:rsidRPr="00596ED3" w:rsidRDefault="00A53D7D" w:rsidP="005140B4">
      <w:pPr>
        <w:pStyle w:val="Source"/>
      </w:pPr>
      <w:r w:rsidRPr="00596ED3">
        <w:t xml:space="preserve">Source: Department of Treasury and Finance </w:t>
      </w:r>
      <w:r w:rsidRPr="00596ED3">
        <w:fldChar w:fldCharType="begin"/>
      </w:r>
      <w:r w:rsidRPr="00596ED3">
        <w:instrText xml:space="preserve"> XE "Department of Treasury and Finance:Asset initiatives" </w:instrText>
      </w:r>
      <w:r w:rsidRPr="00596ED3">
        <w:fldChar w:fldCharType="end"/>
      </w:r>
    </w:p>
    <w:p w:rsidR="00A53D7D" w:rsidRDefault="00A53D7D">
      <w:pPr>
        <w:spacing w:after="0"/>
        <w:rPr>
          <w:rFonts w:ascii="Calibri" w:hAnsi="Calibri"/>
          <w:i/>
          <w:sz w:val="24"/>
          <w:szCs w:val="22"/>
        </w:rPr>
      </w:pPr>
      <w:r>
        <w:br w:type="page"/>
      </w:r>
    </w:p>
    <w:p w:rsidR="00A53D7D" w:rsidRPr="00596ED3" w:rsidRDefault="00A53D7D" w:rsidP="005140B4">
      <w:pPr>
        <w:pStyle w:val="Heading4"/>
      </w:pPr>
      <w:r w:rsidRPr="00596ED3">
        <w:t>Revenue Management Services</w:t>
      </w:r>
      <w:r w:rsidRPr="00596ED3">
        <w:fldChar w:fldCharType="begin"/>
      </w:r>
      <w:r w:rsidRPr="00596ED3">
        <w:instrText xml:space="preserve"> XE </w:instrText>
      </w:r>
      <w:r>
        <w:instrText>"</w:instrText>
      </w:r>
      <w:r w:rsidRPr="00596ED3">
        <w:instrText>Department of Treasury and Finance:Revenue Management Services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Better revenue management system</w:t>
      </w:r>
    </w:p>
    <w:p w:rsidR="00A53D7D" w:rsidRPr="00596ED3" w:rsidRDefault="00A53D7D" w:rsidP="005140B4">
      <w:r w:rsidRPr="00596ED3">
        <w:t>The State Revenue Office will continue a program of upgrades to its ICT system to ensure Victoria maintains a robust and value</w:t>
      </w:r>
      <w:r>
        <w:noBreakHyphen/>
      </w:r>
      <w:r w:rsidRPr="00596ED3">
        <w:t>for</w:t>
      </w:r>
      <w:r>
        <w:noBreakHyphen/>
      </w:r>
      <w:r w:rsidRPr="00596ED3">
        <w:t>money revenue management system, and to support the government</w:t>
      </w:r>
      <w:r>
        <w:t>’</w:t>
      </w:r>
      <w:r w:rsidRPr="00596ED3">
        <w:t xml:space="preserve">s strong financial management. This initiative will deliver incremental upgrades to the underlying systems architecture, improve productivity, reduce compliance costs for </w:t>
      </w:r>
      <w:proofErr w:type="gramStart"/>
      <w:r w:rsidRPr="00596ED3">
        <w:t>customers</w:t>
      </w:r>
      <w:proofErr w:type="gramEnd"/>
      <w:r w:rsidRPr="00596ED3">
        <w:t xml:space="preserve"> and improve data matching for compliance activities.</w:t>
      </w:r>
    </w:p>
    <w:p w:rsidR="00A53D7D" w:rsidRPr="00596ED3" w:rsidRDefault="00A53D7D" w:rsidP="005140B4">
      <w:r w:rsidRPr="00596ED3">
        <w:t>This initiative contributes to the Department of Treasury and Finance</w:t>
      </w:r>
      <w:r>
        <w:t>’</w:t>
      </w:r>
      <w:r w:rsidRPr="00596ED3">
        <w:t>s Revenue Management Services to Government output.</w:t>
      </w:r>
    </w:p>
    <w:p w:rsidR="00A53D7D" w:rsidRPr="00596ED3" w:rsidRDefault="00A53D7D" w:rsidP="005140B4">
      <w:pPr>
        <w:spacing w:after="0"/>
        <w:rPr>
          <w:rFonts w:ascii="Calibri" w:hAnsi="Calibri"/>
          <w:b/>
          <w:caps/>
          <w:sz w:val="26"/>
          <w:szCs w:val="22"/>
        </w:rPr>
      </w:pPr>
      <w:r w:rsidRPr="00596ED3">
        <w:br w:type="page"/>
      </w:r>
    </w:p>
    <w:p w:rsidR="00A53D7D" w:rsidRPr="00596ED3" w:rsidRDefault="00A53D7D" w:rsidP="005140B4">
      <w:pPr>
        <w:pStyle w:val="Heading1"/>
      </w:pPr>
      <w:bookmarkStart w:id="53" w:name="_Toc386364069"/>
      <w:bookmarkStart w:id="54" w:name="_Toc407116902"/>
      <w:r w:rsidRPr="00596ED3">
        <w:t>Parliament</w:t>
      </w:r>
      <w:bookmarkEnd w:id="53"/>
      <w:bookmarkEnd w:id="54"/>
    </w:p>
    <w:p w:rsidR="00A53D7D" w:rsidRPr="00596ED3" w:rsidRDefault="00A53D7D" w:rsidP="005140B4">
      <w:pPr>
        <w:pStyle w:val="Heading3"/>
      </w:pPr>
      <w:r w:rsidRPr="00596ED3">
        <w:t>Output initiatives</w:t>
      </w:r>
    </w:p>
    <w:p w:rsidR="00A53D7D" w:rsidRPr="00596ED3" w:rsidRDefault="00A53D7D" w:rsidP="005140B4">
      <w:pPr>
        <w:pStyle w:val="Tableheading"/>
      </w:pPr>
      <w:r w:rsidRPr="00596ED3">
        <w:t xml:space="preserve">Table 1.21: </w:t>
      </w:r>
      <w:r w:rsidRPr="00596ED3">
        <w:tab/>
        <w:t>Output initiatives – Parliament</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p>
    <w:tbl>
      <w:tblPr>
        <w:tblW w:w="7776" w:type="dxa"/>
        <w:tblInd w:w="29" w:type="dxa"/>
        <w:tblLayout w:type="fixed"/>
        <w:tblCellMar>
          <w:left w:w="43" w:type="dxa"/>
          <w:right w:w="43" w:type="dxa"/>
        </w:tblCellMar>
        <w:tblLook w:val="04A0" w:firstRow="1" w:lastRow="0" w:firstColumn="1" w:lastColumn="0" w:noHBand="0" w:noVBand="1"/>
      </w:tblPr>
      <w:tblGrid>
        <w:gridCol w:w="2810"/>
        <w:gridCol w:w="994"/>
        <w:gridCol w:w="993"/>
        <w:gridCol w:w="993"/>
        <w:gridCol w:w="993"/>
        <w:gridCol w:w="993"/>
      </w:tblGrid>
      <w:tr w:rsidR="00A53D7D" w:rsidRPr="00FB64AD" w:rsidTr="005140B4">
        <w:trPr>
          <w:divId w:val="1025400334"/>
          <w:cantSplit/>
        </w:trPr>
        <w:tc>
          <w:tcPr>
            <w:tcW w:w="2810" w:type="dxa"/>
            <w:tcBorders>
              <w:top w:val="single" w:sz="6" w:space="0" w:color="auto"/>
              <w:left w:val="single" w:sz="6"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994"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993" w:type="dxa"/>
            <w:tcBorders>
              <w:top w:val="single" w:sz="6" w:space="0" w:color="auto"/>
              <w:left w:val="nil"/>
              <w:bottom w:val="single" w:sz="4" w:space="0" w:color="auto"/>
              <w:right w:val="single" w:sz="6"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r>
      <w:tr w:rsidR="00A53D7D" w:rsidRPr="00FB64AD" w:rsidTr="005140B4">
        <w:trPr>
          <w:divId w:val="1025400334"/>
          <w:cantSplit/>
        </w:trPr>
        <w:tc>
          <w:tcPr>
            <w:tcW w:w="2810" w:type="dxa"/>
            <w:tcBorders>
              <w:top w:val="single" w:sz="6" w:space="0" w:color="auto"/>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Parliamentary Services</w:t>
            </w:r>
          </w:p>
        </w:tc>
        <w:tc>
          <w:tcPr>
            <w:tcW w:w="994"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1025400334"/>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Impact of 2012</w:t>
            </w:r>
            <w:r>
              <w:rPr>
                <w:color w:val="000000"/>
                <w:lang w:eastAsia="en-AU"/>
              </w:rPr>
              <w:noBreakHyphen/>
            </w:r>
            <w:r w:rsidRPr="00FB64AD">
              <w:rPr>
                <w:color w:val="000000"/>
                <w:lang w:eastAsia="en-AU"/>
              </w:rPr>
              <w:t>13 re</w:t>
            </w:r>
            <w:r>
              <w:rPr>
                <w:color w:val="000000"/>
                <w:lang w:eastAsia="en-AU"/>
              </w:rPr>
              <w:noBreakHyphen/>
            </w:r>
            <w:r w:rsidRPr="00FB64AD">
              <w:rPr>
                <w:color w:val="000000"/>
                <w:lang w:eastAsia="en-AU"/>
              </w:rPr>
              <w:t>division of Victorian electoral boundaries and increase in voter count</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0.4</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0.2</w:t>
            </w:r>
          </w:p>
        </w:tc>
      </w:tr>
      <w:tr w:rsidR="00A53D7D" w:rsidRPr="00FB64AD" w:rsidTr="005140B4">
        <w:trPr>
          <w:divId w:val="1025400334"/>
          <w:cantSplit/>
        </w:trPr>
        <w:tc>
          <w:tcPr>
            <w:tcW w:w="2810" w:type="dxa"/>
            <w:tcBorders>
              <w:top w:val="single" w:sz="4" w:space="0" w:color="auto"/>
              <w:left w:val="nil"/>
              <w:bottom w:val="single" w:sz="4" w:space="0" w:color="auto"/>
              <w:right w:val="nil"/>
            </w:tcBorders>
            <w:shd w:val="clear" w:color="auto" w:fill="auto"/>
            <w:noWrap/>
            <w:vAlign w:val="bottom"/>
            <w:hideMark/>
          </w:tcPr>
          <w:p w:rsidR="00A53D7D" w:rsidRPr="00FB64AD" w:rsidRDefault="00A53D7D" w:rsidP="005140B4">
            <w:pPr>
              <w:pStyle w:val="Tabletext"/>
              <w:rPr>
                <w:rFonts w:cs="Calibri"/>
                <w:b/>
                <w:bCs/>
                <w:lang w:eastAsia="en-AU"/>
              </w:rPr>
            </w:pPr>
            <w:r w:rsidRPr="00FB64AD">
              <w:rPr>
                <w:b/>
                <w:bCs/>
                <w:lang w:eastAsia="en-AU"/>
              </w:rPr>
              <w:t xml:space="preserve">Sub total output </w:t>
            </w:r>
            <w:r w:rsidRPr="00FB64AD">
              <w:rPr>
                <w:rFonts w:cs="Calibri"/>
                <w:b/>
                <w:bCs/>
                <w:lang w:eastAsia="en-AU"/>
              </w:rPr>
              <w:t>initiatives</w:t>
            </w:r>
          </w:p>
        </w:tc>
        <w:tc>
          <w:tcPr>
            <w:tcW w:w="994"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1.0</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1.3</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0.4</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0.2</w:t>
            </w:r>
          </w:p>
        </w:tc>
      </w:tr>
      <w:tr w:rsidR="00A53D7D" w:rsidRPr="00FB64AD" w:rsidTr="005140B4">
        <w:trPr>
          <w:divId w:val="1025400334"/>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Existing resources </w:t>
            </w:r>
            <w:r w:rsidRPr="00FB64AD">
              <w:rPr>
                <w:color w:val="000000"/>
                <w:vertAlign w:val="superscript"/>
                <w:lang w:eastAsia="en-AU"/>
              </w:rPr>
              <w:t>(a)</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1025400334"/>
          <w:cantSplit/>
        </w:trPr>
        <w:tc>
          <w:tcPr>
            <w:tcW w:w="2810" w:type="dxa"/>
            <w:tcBorders>
              <w:top w:val="single" w:sz="4" w:space="0" w:color="auto"/>
              <w:left w:val="nil"/>
              <w:bottom w:val="single" w:sz="8"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output initiatives</w:t>
            </w:r>
          </w:p>
        </w:tc>
        <w:tc>
          <w:tcPr>
            <w:tcW w:w="994"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1.0</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1.3</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0.4</w:t>
            </w:r>
          </w:p>
        </w:tc>
        <w:tc>
          <w:tcPr>
            <w:tcW w:w="993" w:type="dxa"/>
            <w:tcBorders>
              <w:top w:val="single" w:sz="4" w:space="0" w:color="auto"/>
              <w:left w:val="nil"/>
              <w:bottom w:val="single" w:sz="8"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0.2</w:t>
            </w:r>
          </w:p>
        </w:tc>
      </w:tr>
    </w:tbl>
    <w:p w:rsidR="00A53D7D" w:rsidRPr="00596ED3" w:rsidRDefault="00A53D7D" w:rsidP="00035582">
      <w:pPr>
        <w:pStyle w:val="Source"/>
      </w:pPr>
      <w:r w:rsidRPr="00596ED3">
        <w:t xml:space="preserve">Source: Department of Treasury and Finance </w:t>
      </w:r>
    </w:p>
    <w:p w:rsidR="00A53D7D" w:rsidRPr="00596ED3" w:rsidRDefault="00A53D7D" w:rsidP="005140B4">
      <w:pPr>
        <w:pStyle w:val="Notes"/>
      </w:pPr>
      <w:r w:rsidRPr="00596ED3">
        <w:t>Note:</w:t>
      </w:r>
    </w:p>
    <w:p w:rsidR="00F820F9" w:rsidRDefault="00A53D7D" w:rsidP="005140B4">
      <w:pPr>
        <w:pStyle w:val="Notes"/>
      </w:pPr>
      <w:r w:rsidRPr="00596ED3">
        <w:t>(a)</w:t>
      </w:r>
      <w:r w:rsidRPr="00596ED3">
        <w:tab/>
        <w:t>Existing departmental resources have been reallocated to contribute to the delivery of new initiatives.</w:t>
      </w:r>
    </w:p>
    <w:p w:rsidR="00A53D7D" w:rsidRPr="00596ED3" w:rsidRDefault="00A53D7D" w:rsidP="005140B4">
      <w:pPr>
        <w:pStyle w:val="Notes"/>
      </w:pPr>
      <w:r w:rsidRPr="00596ED3">
        <w:fldChar w:fldCharType="begin"/>
      </w:r>
      <w:r w:rsidRPr="00596ED3">
        <w:instrText xml:space="preserve"> XE "Parliament:Output initiatives" </w:instrText>
      </w:r>
      <w:r w:rsidRPr="00596ED3">
        <w:fldChar w:fldCharType="end"/>
      </w:r>
    </w:p>
    <w:p w:rsidR="00A53D7D" w:rsidRPr="00596ED3" w:rsidRDefault="00A53D7D" w:rsidP="005140B4">
      <w:pPr>
        <w:pStyle w:val="Heading4"/>
      </w:pPr>
      <w:r w:rsidRPr="00596ED3">
        <w:t>Parliamentary Services</w:t>
      </w:r>
      <w:r w:rsidRPr="00596ED3">
        <w:fldChar w:fldCharType="begin"/>
      </w:r>
      <w:r w:rsidRPr="00596ED3">
        <w:instrText xml:space="preserve"> XE </w:instrText>
      </w:r>
      <w:r>
        <w:instrText>"</w:instrText>
      </w:r>
      <w:r w:rsidRPr="00596ED3">
        <w:instrText>Parliament:Parliamentary Investigatory Committees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Impact of 2012</w:t>
      </w:r>
      <w:r>
        <w:noBreakHyphen/>
      </w:r>
      <w:r w:rsidRPr="00596ED3">
        <w:t>13 re</w:t>
      </w:r>
      <w:r>
        <w:noBreakHyphen/>
      </w:r>
      <w:r w:rsidRPr="00596ED3">
        <w:t>division of Victorian electoral boundaries and increase in voter count</w:t>
      </w:r>
    </w:p>
    <w:p w:rsidR="00A53D7D" w:rsidRPr="00596ED3" w:rsidRDefault="00A53D7D" w:rsidP="005140B4">
      <w:r w:rsidRPr="00596ED3">
        <w:t>Funding is provided to meet costs associated with the 2012</w:t>
      </w:r>
      <w:r>
        <w:noBreakHyphen/>
      </w:r>
      <w:r w:rsidRPr="00596ED3">
        <w:t>13 re</w:t>
      </w:r>
      <w:r>
        <w:noBreakHyphen/>
      </w:r>
      <w:r w:rsidRPr="00596ED3">
        <w:t>division of electoral boundaries and an increased voter count.</w:t>
      </w:r>
    </w:p>
    <w:p w:rsidR="00A53D7D" w:rsidRPr="00596ED3" w:rsidRDefault="00A53D7D" w:rsidP="005140B4">
      <w:r w:rsidRPr="00596ED3">
        <w:t>This initiative contributes to Parliament</w:t>
      </w:r>
      <w:r>
        <w:t>’</w:t>
      </w:r>
      <w:r w:rsidRPr="00596ED3">
        <w:t xml:space="preserve">s Provision of Information and Resources to Parliament output. </w:t>
      </w:r>
    </w:p>
    <w:p w:rsidR="00A53D7D" w:rsidRPr="00596ED3" w:rsidRDefault="00A53D7D" w:rsidP="005140B4">
      <w:pPr>
        <w:spacing w:after="0"/>
        <w:rPr>
          <w:rFonts w:ascii="Calibri" w:hAnsi="Calibri"/>
          <w:b/>
          <w:caps/>
          <w:sz w:val="26"/>
          <w:szCs w:val="22"/>
        </w:rPr>
      </w:pPr>
      <w:r w:rsidRPr="00596ED3">
        <w:br w:type="page"/>
      </w:r>
    </w:p>
    <w:p w:rsidR="00A53D7D" w:rsidRPr="00596ED3" w:rsidRDefault="00A53D7D" w:rsidP="005140B4">
      <w:pPr>
        <w:pStyle w:val="Heading1"/>
      </w:pPr>
      <w:bookmarkStart w:id="55" w:name="_Toc386364070"/>
      <w:bookmarkStart w:id="56" w:name="_Toc407116903"/>
      <w:r w:rsidRPr="00596ED3">
        <w:t>Courts</w:t>
      </w:r>
      <w:bookmarkEnd w:id="55"/>
      <w:bookmarkEnd w:id="56"/>
    </w:p>
    <w:p w:rsidR="00A53D7D" w:rsidRPr="00596ED3" w:rsidRDefault="00A53D7D" w:rsidP="005140B4">
      <w:pPr>
        <w:pStyle w:val="Heading3"/>
      </w:pPr>
      <w:r w:rsidRPr="00596ED3">
        <w:t>Output initiatives</w:t>
      </w:r>
    </w:p>
    <w:p w:rsidR="00A53D7D" w:rsidRPr="00596ED3" w:rsidRDefault="00A53D7D" w:rsidP="005140B4">
      <w:pPr>
        <w:pStyle w:val="Tableheading"/>
      </w:pPr>
      <w:r w:rsidRPr="00596ED3">
        <w:t xml:space="preserve">Table 1.22: </w:t>
      </w:r>
      <w:r w:rsidRPr="00596ED3">
        <w:tab/>
        <w:t>Output initiatives – Courts</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bookmarkStart w:id="57" w:name="RANGE!A3:F11"/>
    </w:p>
    <w:tbl>
      <w:tblPr>
        <w:tblW w:w="7776" w:type="dxa"/>
        <w:tblInd w:w="29" w:type="dxa"/>
        <w:tblLayout w:type="fixed"/>
        <w:tblCellMar>
          <w:left w:w="43" w:type="dxa"/>
          <w:right w:w="43" w:type="dxa"/>
        </w:tblCellMar>
        <w:tblLook w:val="04A0" w:firstRow="1" w:lastRow="0" w:firstColumn="1" w:lastColumn="0" w:noHBand="0" w:noVBand="1"/>
      </w:tblPr>
      <w:tblGrid>
        <w:gridCol w:w="2810"/>
        <w:gridCol w:w="994"/>
        <w:gridCol w:w="993"/>
        <w:gridCol w:w="993"/>
        <w:gridCol w:w="993"/>
        <w:gridCol w:w="993"/>
      </w:tblGrid>
      <w:tr w:rsidR="00A53D7D" w:rsidRPr="00FB64AD" w:rsidTr="005140B4">
        <w:trPr>
          <w:divId w:val="2048681072"/>
          <w:cantSplit/>
        </w:trPr>
        <w:tc>
          <w:tcPr>
            <w:tcW w:w="2810" w:type="dxa"/>
            <w:tcBorders>
              <w:top w:val="single" w:sz="6" w:space="0" w:color="auto"/>
              <w:left w:val="single" w:sz="6"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994"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993" w:type="dxa"/>
            <w:tcBorders>
              <w:top w:val="single" w:sz="6" w:space="0" w:color="auto"/>
              <w:left w:val="nil"/>
              <w:bottom w:val="single" w:sz="4" w:space="0" w:color="auto"/>
              <w:right w:val="single" w:sz="6"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r>
      <w:tr w:rsidR="00A53D7D" w:rsidRPr="00FB64AD" w:rsidTr="005140B4">
        <w:trPr>
          <w:divId w:val="2048681072"/>
          <w:cantSplit/>
        </w:trPr>
        <w:tc>
          <w:tcPr>
            <w:tcW w:w="2810" w:type="dxa"/>
            <w:tcBorders>
              <w:top w:val="single" w:sz="6" w:space="0" w:color="auto"/>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Courts</w:t>
            </w:r>
          </w:p>
        </w:tc>
        <w:tc>
          <w:tcPr>
            <w:tcW w:w="994"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9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2048681072"/>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Personal safety intervention orders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0.5</w:t>
            </w:r>
          </w:p>
        </w:tc>
      </w:tr>
      <w:tr w:rsidR="00A53D7D" w:rsidRPr="00FB64AD" w:rsidTr="005140B4">
        <w:trPr>
          <w:divId w:val="2048681072"/>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Shepparton Law Courts</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1.0</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2.1</w:t>
            </w:r>
          </w:p>
        </w:tc>
      </w:tr>
      <w:tr w:rsidR="00A53D7D" w:rsidRPr="00FB64AD" w:rsidTr="005140B4">
        <w:trPr>
          <w:divId w:val="2048681072"/>
          <w:cantSplit/>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Social and Community Services Equal Remuneration Order </w:t>
            </w:r>
            <w:r w:rsidRPr="00FB64AD">
              <w:rPr>
                <w:color w:val="000000"/>
                <w:vertAlign w:val="superscript"/>
                <w:lang w:eastAsia="en-AU"/>
              </w:rPr>
              <w:t>(a)</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0.1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048681072"/>
          <w:cantSplit/>
        </w:trPr>
        <w:tc>
          <w:tcPr>
            <w:tcW w:w="2810" w:type="dxa"/>
            <w:tcBorders>
              <w:top w:val="single" w:sz="4" w:space="0" w:color="auto"/>
              <w:left w:val="nil"/>
              <w:bottom w:val="single" w:sz="4"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Sub total output initiatives</w:t>
            </w:r>
          </w:p>
        </w:tc>
        <w:tc>
          <w:tcPr>
            <w:tcW w:w="994"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0.5</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1.5</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2.5</w:t>
            </w:r>
          </w:p>
        </w:tc>
        <w:tc>
          <w:tcPr>
            <w:tcW w:w="993" w:type="dxa"/>
            <w:tcBorders>
              <w:top w:val="single" w:sz="4" w:space="0" w:color="auto"/>
              <w:left w:val="nil"/>
              <w:bottom w:val="single" w:sz="4"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2.6</w:t>
            </w:r>
          </w:p>
        </w:tc>
      </w:tr>
      <w:tr w:rsidR="00A53D7D" w:rsidRPr="00FB64AD" w:rsidTr="005140B4">
        <w:trPr>
          <w:divId w:val="2048681072"/>
          <w:cantSplit/>
        </w:trPr>
        <w:tc>
          <w:tcPr>
            <w:tcW w:w="2810" w:type="dxa"/>
            <w:tcBorders>
              <w:top w:val="nil"/>
              <w:left w:val="nil"/>
              <w:bottom w:val="single" w:sz="4" w:space="0" w:color="auto"/>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Existing resources </w:t>
            </w:r>
            <w:r w:rsidRPr="00FB64AD">
              <w:rPr>
                <w:color w:val="000000"/>
                <w:vertAlign w:val="superscript"/>
                <w:lang w:eastAsia="en-AU"/>
              </w:rPr>
              <w:t>(b)</w:t>
            </w:r>
          </w:p>
        </w:tc>
        <w:tc>
          <w:tcPr>
            <w:tcW w:w="994"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r>
      <w:tr w:rsidR="00A53D7D" w:rsidRPr="00FB64AD" w:rsidTr="005140B4">
        <w:trPr>
          <w:divId w:val="2048681072"/>
          <w:cantSplit/>
        </w:trPr>
        <w:tc>
          <w:tcPr>
            <w:tcW w:w="2810" w:type="dxa"/>
            <w:tcBorders>
              <w:top w:val="single" w:sz="4" w:space="0" w:color="auto"/>
              <w:left w:val="nil"/>
              <w:bottom w:val="single" w:sz="12"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output initiatives</w:t>
            </w:r>
          </w:p>
        </w:tc>
        <w:tc>
          <w:tcPr>
            <w:tcW w:w="994"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0.5</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1.5</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2.5</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2.6</w:t>
            </w:r>
          </w:p>
        </w:tc>
      </w:tr>
    </w:tbl>
    <w:bookmarkEnd w:id="57"/>
    <w:p w:rsidR="00A53D7D" w:rsidRPr="00596ED3" w:rsidRDefault="00A53D7D" w:rsidP="005140B4">
      <w:pPr>
        <w:pStyle w:val="Source"/>
      </w:pPr>
      <w:r w:rsidRPr="00596ED3">
        <w:t>Source: Department of Treasury and Finance</w:t>
      </w:r>
      <w:r w:rsidRPr="00596ED3">
        <w:fldChar w:fldCharType="begin"/>
      </w:r>
      <w:r w:rsidRPr="00596ED3">
        <w:instrText xml:space="preserve"> XE "Courts:Output initiatives" </w:instrText>
      </w:r>
      <w:r w:rsidRPr="00596ED3">
        <w:fldChar w:fldCharType="end"/>
      </w:r>
    </w:p>
    <w:p w:rsidR="00A53D7D" w:rsidRPr="00596ED3" w:rsidRDefault="00A53D7D" w:rsidP="005140B4">
      <w:pPr>
        <w:pStyle w:val="Notes"/>
      </w:pPr>
      <w:r w:rsidRPr="00596ED3">
        <w:t>Notes:</w:t>
      </w:r>
    </w:p>
    <w:p w:rsidR="00A53D7D" w:rsidRPr="00596ED3" w:rsidRDefault="00A53D7D" w:rsidP="005140B4">
      <w:pPr>
        <w:pStyle w:val="Notes"/>
      </w:pPr>
      <w:r w:rsidRPr="00596ED3">
        <w:t>(a)</w:t>
      </w:r>
      <w:r w:rsidRPr="00596ED3">
        <w:tab/>
        <w:t>This funding is in addition to the $200</w:t>
      </w:r>
      <w:r>
        <w:t> million</w:t>
      </w:r>
      <w:r w:rsidRPr="00596ED3">
        <w:t xml:space="preserve"> announced in the </w:t>
      </w:r>
      <w:r w:rsidRPr="00F54833">
        <w:rPr>
          <w:i w:val="0"/>
        </w:rPr>
        <w:t>2011</w:t>
      </w:r>
      <w:r w:rsidRPr="00F54833">
        <w:rPr>
          <w:i w:val="0"/>
        </w:rPr>
        <w:noBreakHyphen/>
        <w:t>12 Budget</w:t>
      </w:r>
      <w:r w:rsidRPr="00596ED3">
        <w:t xml:space="preserve"> which was provided to the departments of Human Services, Health, Justice and Education and Early Childhood Development.</w:t>
      </w:r>
    </w:p>
    <w:p w:rsidR="00A53D7D" w:rsidRDefault="00A53D7D" w:rsidP="005140B4">
      <w:pPr>
        <w:pStyle w:val="Notes"/>
      </w:pPr>
      <w:r w:rsidRPr="00596ED3">
        <w:t>(b)</w:t>
      </w:r>
      <w:r w:rsidRPr="00596ED3">
        <w:tab/>
        <w:t>Existing departmental resources have been reallocated to contribute to the delivery of new initiatives.</w:t>
      </w:r>
    </w:p>
    <w:p w:rsidR="00F820F9" w:rsidRPr="00596ED3" w:rsidRDefault="00F820F9" w:rsidP="005140B4">
      <w:pPr>
        <w:pStyle w:val="Notes"/>
      </w:pPr>
    </w:p>
    <w:p w:rsidR="00A53D7D" w:rsidRPr="00596ED3" w:rsidRDefault="00A53D7D" w:rsidP="005140B4">
      <w:pPr>
        <w:pStyle w:val="Heading4"/>
      </w:pPr>
      <w:r w:rsidRPr="00596ED3">
        <w:t>Courts</w:t>
      </w:r>
      <w:r w:rsidRPr="00596ED3">
        <w:fldChar w:fldCharType="begin"/>
      </w:r>
      <w:r w:rsidRPr="00596ED3">
        <w:instrText xml:space="preserve"> XE </w:instrText>
      </w:r>
      <w:r>
        <w:instrText>"</w:instrText>
      </w:r>
      <w:r w:rsidRPr="00596ED3">
        <w:instrText>Courts:Court Services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Personal safety intervention orders</w:t>
      </w:r>
    </w:p>
    <w:p w:rsidR="00A53D7D" w:rsidRPr="00596ED3" w:rsidRDefault="00A53D7D" w:rsidP="005140B4">
      <w:r w:rsidRPr="00596ED3">
        <w:t>Funding is provided for additional registrars and Dispute Assessment Officers at various courts, as part of a strategy to manage increasing demand for personal safety intervention orders dealt with by courts.</w:t>
      </w:r>
    </w:p>
    <w:p w:rsidR="00A53D7D" w:rsidRPr="00596ED3" w:rsidRDefault="00A53D7D" w:rsidP="005140B4">
      <w:r w:rsidRPr="00596ED3">
        <w:t>This initiative contributes to the Courts output.</w:t>
      </w:r>
    </w:p>
    <w:p w:rsidR="00A53D7D" w:rsidRPr="00596ED3" w:rsidRDefault="00A53D7D" w:rsidP="005140B4">
      <w:pPr>
        <w:pStyle w:val="Heading5"/>
      </w:pPr>
      <w:r w:rsidRPr="00596ED3">
        <w:t>Shepparton Law Courts</w:t>
      </w:r>
    </w:p>
    <w:p w:rsidR="00A53D7D" w:rsidRPr="00596ED3" w:rsidRDefault="00A53D7D" w:rsidP="005140B4">
      <w:r w:rsidRPr="00596ED3">
        <w:t>Refer to the asset initiative for a description of this initiative.</w:t>
      </w:r>
    </w:p>
    <w:p w:rsidR="00A53D7D" w:rsidRPr="00596ED3" w:rsidRDefault="00A53D7D" w:rsidP="005140B4">
      <w:pPr>
        <w:pStyle w:val="Heading5"/>
      </w:pPr>
      <w:r w:rsidRPr="00596ED3">
        <w:t xml:space="preserve">Social and Community Services Equal Remuneration Order </w:t>
      </w:r>
    </w:p>
    <w:p w:rsidR="00A53D7D" w:rsidRPr="00596ED3" w:rsidRDefault="00A53D7D" w:rsidP="005140B4">
      <w:pPr>
        <w:widowControl w:val="0"/>
      </w:pPr>
      <w:r w:rsidRPr="00596ED3">
        <w:t>Support will continue for community service organisations to meet the wage increase from the Fair Work Australia Equal Remuneration Order in the Social and Community Services pay equity case in 2014</w:t>
      </w:r>
      <w:r>
        <w:noBreakHyphen/>
      </w:r>
      <w:r w:rsidRPr="00596ED3">
        <w:t>15. This funding is in addition to the $200</w:t>
      </w:r>
      <w:r>
        <w:t> million</w:t>
      </w:r>
      <w:r w:rsidRPr="00596ED3">
        <w:t xml:space="preserve"> announced in the </w:t>
      </w:r>
      <w:r w:rsidRPr="00596ED3">
        <w:rPr>
          <w:i/>
        </w:rPr>
        <w:t>2011</w:t>
      </w:r>
      <w:r>
        <w:rPr>
          <w:i/>
        </w:rPr>
        <w:noBreakHyphen/>
      </w:r>
      <w:r w:rsidRPr="00596ED3">
        <w:rPr>
          <w:i/>
        </w:rPr>
        <w:t>12 Budget</w:t>
      </w:r>
      <w:r w:rsidRPr="00596ED3">
        <w:t xml:space="preserve"> which was provided to the departments of Human Services, Health, Justice and Education and Early Childhood Development.</w:t>
      </w:r>
      <w:r w:rsidRPr="00596ED3">
        <w:rPr>
          <w:i/>
        </w:rPr>
        <w:t xml:space="preserve"> </w:t>
      </w:r>
      <w:r w:rsidRPr="00596ED3">
        <w:t xml:space="preserve">. </w:t>
      </w:r>
    </w:p>
    <w:p w:rsidR="00A53D7D" w:rsidRPr="00596ED3" w:rsidRDefault="00A53D7D" w:rsidP="005140B4">
      <w:r w:rsidRPr="00596ED3">
        <w:t>This initiative contributes to the Courts output.</w:t>
      </w:r>
    </w:p>
    <w:p w:rsidR="00A53D7D" w:rsidRPr="00596ED3" w:rsidRDefault="00A53D7D" w:rsidP="005140B4">
      <w:r w:rsidRPr="00596ED3">
        <w:br w:type="page"/>
      </w:r>
    </w:p>
    <w:p w:rsidR="00A53D7D" w:rsidRPr="00596ED3" w:rsidRDefault="00A53D7D" w:rsidP="005140B4">
      <w:pPr>
        <w:pStyle w:val="Heading3"/>
      </w:pPr>
      <w:r w:rsidRPr="00596ED3">
        <w:t>Asset initiatives</w:t>
      </w:r>
    </w:p>
    <w:p w:rsidR="00A53D7D" w:rsidRPr="00596ED3" w:rsidRDefault="00A53D7D" w:rsidP="005140B4">
      <w:pPr>
        <w:pStyle w:val="Tableheading"/>
      </w:pPr>
      <w:r w:rsidRPr="00596ED3">
        <w:t xml:space="preserve">Table 1.23: </w:t>
      </w:r>
      <w:r w:rsidRPr="00596ED3">
        <w:tab/>
        <w:t>Asset initiatives – Courts</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p>
    <w:tbl>
      <w:tblPr>
        <w:tblW w:w="7776" w:type="dxa"/>
        <w:tblInd w:w="29" w:type="dxa"/>
        <w:tblLayout w:type="fixed"/>
        <w:tblCellMar>
          <w:left w:w="43" w:type="dxa"/>
          <w:right w:w="43" w:type="dxa"/>
        </w:tblCellMar>
        <w:tblLook w:val="04A0" w:firstRow="1" w:lastRow="0" w:firstColumn="1" w:lastColumn="0" w:noHBand="0" w:noVBand="1"/>
      </w:tblPr>
      <w:tblGrid>
        <w:gridCol w:w="2420"/>
        <w:gridCol w:w="892"/>
        <w:gridCol w:w="892"/>
        <w:gridCol w:w="893"/>
        <w:gridCol w:w="893"/>
        <w:gridCol w:w="893"/>
        <w:gridCol w:w="893"/>
      </w:tblGrid>
      <w:tr w:rsidR="00A53D7D" w:rsidRPr="00FB64AD" w:rsidTr="005140B4">
        <w:trPr>
          <w:divId w:val="1833182252"/>
          <w:cantSplit/>
        </w:trPr>
        <w:tc>
          <w:tcPr>
            <w:tcW w:w="2420" w:type="dxa"/>
            <w:tcBorders>
              <w:top w:val="single" w:sz="6" w:space="0" w:color="auto"/>
              <w:left w:val="single" w:sz="6"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892"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892"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8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8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8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c>
          <w:tcPr>
            <w:tcW w:w="893" w:type="dxa"/>
            <w:tcBorders>
              <w:top w:val="single" w:sz="6" w:space="0" w:color="auto"/>
              <w:left w:val="nil"/>
              <w:bottom w:val="single" w:sz="4" w:space="0" w:color="auto"/>
              <w:right w:val="single" w:sz="6"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TEI</w:t>
            </w:r>
          </w:p>
        </w:tc>
      </w:tr>
      <w:tr w:rsidR="00A53D7D" w:rsidRPr="00FB64AD" w:rsidTr="005140B4">
        <w:trPr>
          <w:divId w:val="1833182252"/>
          <w:cantSplit/>
        </w:trPr>
        <w:tc>
          <w:tcPr>
            <w:tcW w:w="2420" w:type="dxa"/>
            <w:tcBorders>
              <w:top w:val="single" w:sz="6" w:space="0" w:color="auto"/>
              <w:left w:val="nil"/>
              <w:bottom w:val="nil"/>
              <w:right w:val="nil"/>
            </w:tcBorders>
            <w:shd w:val="clear" w:color="auto" w:fill="auto"/>
            <w:vAlign w:val="bottom"/>
            <w:hideMark/>
          </w:tcPr>
          <w:p w:rsidR="00A53D7D" w:rsidRPr="00FB64AD" w:rsidRDefault="00A53D7D" w:rsidP="005140B4">
            <w:pPr>
              <w:pStyle w:val="Tabletext"/>
              <w:rPr>
                <w:b/>
                <w:bCs/>
                <w:lang w:eastAsia="en-AU"/>
              </w:rPr>
            </w:pPr>
            <w:r w:rsidRPr="00FB64AD">
              <w:rPr>
                <w:b/>
                <w:bCs/>
                <w:lang w:eastAsia="en-AU"/>
              </w:rPr>
              <w:t>Courts</w:t>
            </w:r>
          </w:p>
        </w:tc>
        <w:tc>
          <w:tcPr>
            <w:tcW w:w="892" w:type="dxa"/>
            <w:tcBorders>
              <w:top w:val="single" w:sz="6" w:space="0" w:color="auto"/>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2"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single" w:sz="6" w:space="0" w:color="auto"/>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single" w:sz="6" w:space="0" w:color="auto"/>
              <w:left w:val="nil"/>
              <w:bottom w:val="nil"/>
              <w:right w:val="nil"/>
            </w:tcBorders>
            <w:shd w:val="clear" w:color="auto" w:fill="auto"/>
            <w:noWrap/>
            <w:hideMark/>
          </w:tcPr>
          <w:p w:rsidR="00A53D7D" w:rsidRPr="00FB64AD" w:rsidRDefault="00A53D7D" w:rsidP="005140B4">
            <w:pPr>
              <w:pStyle w:val="TableofFigures"/>
              <w:rPr>
                <w:lang w:eastAsia="en-AU"/>
              </w:rPr>
            </w:pPr>
            <w:r w:rsidRPr="00FB64AD">
              <w:rPr>
                <w:lang w:eastAsia="en-AU"/>
              </w:rPr>
              <w:t xml:space="preserve"> </w:t>
            </w:r>
          </w:p>
        </w:tc>
        <w:tc>
          <w:tcPr>
            <w:tcW w:w="893" w:type="dxa"/>
            <w:tcBorders>
              <w:top w:val="single" w:sz="6" w:space="0" w:color="auto"/>
              <w:left w:val="nil"/>
              <w:bottom w:val="nil"/>
              <w:right w:val="nil"/>
            </w:tcBorders>
            <w:shd w:val="clear" w:color="auto" w:fill="auto"/>
            <w:noWrap/>
            <w:vAlign w:val="bottom"/>
            <w:hideMark/>
          </w:tcPr>
          <w:p w:rsidR="00A53D7D" w:rsidRPr="00FB64AD" w:rsidRDefault="00A53D7D" w:rsidP="005140B4">
            <w:pPr>
              <w:pStyle w:val="TableofFigures"/>
              <w:rPr>
                <w:lang w:eastAsia="en-AU"/>
              </w:rPr>
            </w:pPr>
            <w:r w:rsidRPr="00FB64AD">
              <w:rPr>
                <w:lang w:eastAsia="en-AU"/>
              </w:rPr>
              <w:t xml:space="preserve"> </w:t>
            </w:r>
          </w:p>
        </w:tc>
      </w:tr>
      <w:tr w:rsidR="00A53D7D" w:rsidRPr="00FB64AD" w:rsidTr="005140B4">
        <w:trPr>
          <w:divId w:val="1833182252"/>
          <w:cantSplit/>
        </w:trPr>
        <w:tc>
          <w:tcPr>
            <w:tcW w:w="2420" w:type="dxa"/>
            <w:tcBorders>
              <w:top w:val="nil"/>
              <w:left w:val="nil"/>
              <w:bottom w:val="single" w:sz="4" w:space="0" w:color="auto"/>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Shepparton Law Courts</w:t>
            </w:r>
          </w:p>
        </w:tc>
        <w:tc>
          <w:tcPr>
            <w:tcW w:w="892"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892"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2.5</w:t>
            </w:r>
          </w:p>
        </w:tc>
        <w:tc>
          <w:tcPr>
            <w:tcW w:w="8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37.2</w:t>
            </w:r>
          </w:p>
        </w:tc>
        <w:tc>
          <w:tcPr>
            <w:tcW w:w="8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24.1</w:t>
            </w:r>
          </w:p>
        </w:tc>
        <w:tc>
          <w:tcPr>
            <w:tcW w:w="8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4.0</w:t>
            </w:r>
          </w:p>
        </w:tc>
        <w:tc>
          <w:tcPr>
            <w:tcW w:w="8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67.8</w:t>
            </w:r>
          </w:p>
        </w:tc>
      </w:tr>
      <w:tr w:rsidR="00A53D7D" w:rsidRPr="00FB64AD" w:rsidTr="005140B4">
        <w:trPr>
          <w:divId w:val="1833182252"/>
          <w:cantSplit/>
        </w:trPr>
        <w:tc>
          <w:tcPr>
            <w:tcW w:w="2420" w:type="dxa"/>
            <w:tcBorders>
              <w:top w:val="single" w:sz="4" w:space="0" w:color="auto"/>
              <w:left w:val="nil"/>
              <w:bottom w:val="single" w:sz="12"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asset initiatives</w:t>
            </w:r>
          </w:p>
        </w:tc>
        <w:tc>
          <w:tcPr>
            <w:tcW w:w="892"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892"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2.5</w:t>
            </w:r>
          </w:p>
        </w:tc>
        <w:tc>
          <w:tcPr>
            <w:tcW w:w="8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37.2</w:t>
            </w:r>
          </w:p>
        </w:tc>
        <w:tc>
          <w:tcPr>
            <w:tcW w:w="8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24.1</w:t>
            </w:r>
          </w:p>
        </w:tc>
        <w:tc>
          <w:tcPr>
            <w:tcW w:w="8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4.0</w:t>
            </w:r>
          </w:p>
        </w:tc>
        <w:tc>
          <w:tcPr>
            <w:tcW w:w="8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67.8</w:t>
            </w:r>
          </w:p>
        </w:tc>
      </w:tr>
    </w:tbl>
    <w:p w:rsidR="00F820F9" w:rsidRDefault="00A53D7D" w:rsidP="005140B4">
      <w:pPr>
        <w:pStyle w:val="Source"/>
      </w:pPr>
      <w:r w:rsidRPr="00596ED3">
        <w:t xml:space="preserve">Source: Department of Treasury and Finance </w:t>
      </w:r>
    </w:p>
    <w:p w:rsidR="00A53D7D" w:rsidRPr="00596ED3" w:rsidRDefault="00A53D7D" w:rsidP="00F820F9">
      <w:pPr>
        <w:pStyle w:val="Notes"/>
        <w:rPr>
          <w:rFonts w:ascii="Times New Roman" w:hAnsi="Times New Roman"/>
          <w:sz w:val="20"/>
          <w:lang w:eastAsia="en-AU"/>
        </w:rPr>
      </w:pPr>
      <w:r w:rsidRPr="00596ED3">
        <w:fldChar w:fldCharType="begin"/>
      </w:r>
      <w:r w:rsidRPr="00596ED3">
        <w:instrText xml:space="preserve"> XE "Courts:Asset initiatives" </w:instrText>
      </w:r>
      <w:r w:rsidRPr="00596ED3">
        <w:fldChar w:fldCharType="end"/>
      </w:r>
    </w:p>
    <w:p w:rsidR="00A53D7D" w:rsidRPr="00596ED3" w:rsidRDefault="00A53D7D" w:rsidP="005140B4">
      <w:pPr>
        <w:pStyle w:val="Heading4"/>
      </w:pPr>
      <w:r w:rsidRPr="00596ED3">
        <w:t>Courts</w:t>
      </w:r>
      <w:r w:rsidRPr="00596ED3">
        <w:fldChar w:fldCharType="begin"/>
      </w:r>
      <w:r w:rsidRPr="00596ED3">
        <w:instrText xml:space="preserve"> XE </w:instrText>
      </w:r>
      <w:r>
        <w:instrText>"</w:instrText>
      </w:r>
      <w:r w:rsidRPr="00596ED3">
        <w:instrText>Courts:Court Services</w:instrText>
      </w:r>
      <w:r>
        <w:instrText>"</w:instrText>
      </w:r>
      <w:r w:rsidRPr="00596ED3">
        <w:instrText xml:space="preserve"> </w:instrText>
      </w:r>
      <w:r w:rsidRPr="00596ED3">
        <w:fldChar w:fldCharType="end"/>
      </w:r>
    </w:p>
    <w:p w:rsidR="00A53D7D" w:rsidRPr="00596ED3" w:rsidRDefault="00A53D7D" w:rsidP="005140B4">
      <w:pPr>
        <w:pStyle w:val="Heading5"/>
      </w:pPr>
      <w:r w:rsidRPr="00596ED3">
        <w:t>Shepparton Law Courts</w:t>
      </w:r>
    </w:p>
    <w:p w:rsidR="00A53D7D" w:rsidRPr="00596ED3" w:rsidRDefault="00A53D7D" w:rsidP="005140B4">
      <w:r w:rsidRPr="00596ED3">
        <w:t>Additional funding is provided to redevelop the Shepparton Law Courts into a new multi</w:t>
      </w:r>
      <w:r>
        <w:noBreakHyphen/>
      </w:r>
      <w:r w:rsidRPr="00596ED3">
        <w:t>jurisdictional court complex to meet future demand in the Shepparton area.</w:t>
      </w:r>
    </w:p>
    <w:p w:rsidR="00A53D7D" w:rsidRPr="00596ED3" w:rsidRDefault="00A53D7D" w:rsidP="005140B4">
      <w:r w:rsidRPr="00596ED3">
        <w:t>This initiative contributes to the Courts output.</w:t>
      </w:r>
    </w:p>
    <w:p w:rsidR="00A53D7D" w:rsidRPr="00596ED3" w:rsidRDefault="00A53D7D" w:rsidP="005140B4">
      <w:pPr>
        <w:spacing w:after="0"/>
        <w:rPr>
          <w:rFonts w:ascii="Calibri" w:hAnsi="Calibri"/>
          <w:b/>
          <w:caps/>
          <w:sz w:val="26"/>
          <w:szCs w:val="22"/>
        </w:rPr>
      </w:pPr>
      <w:r w:rsidRPr="00596ED3">
        <w:rPr>
          <w:rFonts w:ascii="Calibri" w:hAnsi="Calibri"/>
          <w:b/>
          <w:caps/>
          <w:sz w:val="26"/>
          <w:szCs w:val="22"/>
        </w:rPr>
        <w:br w:type="page"/>
      </w:r>
    </w:p>
    <w:p w:rsidR="00A53D7D" w:rsidRPr="00596ED3" w:rsidRDefault="00A53D7D" w:rsidP="005140B4">
      <w:pPr>
        <w:pStyle w:val="Heading1"/>
      </w:pPr>
      <w:bookmarkStart w:id="58" w:name="_Toc386364071"/>
      <w:bookmarkStart w:id="59" w:name="_Toc407116904"/>
      <w:r w:rsidRPr="00596ED3">
        <w:t>Revenue measures</w:t>
      </w:r>
      <w:bookmarkEnd w:id="58"/>
      <w:bookmarkEnd w:id="59"/>
    </w:p>
    <w:p w:rsidR="00A53D7D" w:rsidRPr="00596ED3" w:rsidRDefault="00A53D7D" w:rsidP="005140B4">
      <w:pPr>
        <w:pStyle w:val="Tableheading"/>
      </w:pPr>
      <w:r w:rsidRPr="00596ED3">
        <w:t xml:space="preserve">Table 1.24: </w:t>
      </w:r>
      <w:r w:rsidRPr="00596ED3">
        <w:tab/>
        <w:t>Revenue measures</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bookmarkStart w:id="60" w:name="RANGE!A3:F9"/>
    </w:p>
    <w:tbl>
      <w:tblPr>
        <w:tblW w:w="7776" w:type="dxa"/>
        <w:tblInd w:w="29" w:type="dxa"/>
        <w:tblCellMar>
          <w:left w:w="43" w:type="dxa"/>
          <w:right w:w="43" w:type="dxa"/>
        </w:tblCellMar>
        <w:tblLook w:val="04A0" w:firstRow="1" w:lastRow="0" w:firstColumn="1" w:lastColumn="0" w:noHBand="0" w:noVBand="1"/>
      </w:tblPr>
      <w:tblGrid>
        <w:gridCol w:w="2810"/>
        <w:gridCol w:w="994"/>
        <w:gridCol w:w="993"/>
        <w:gridCol w:w="993"/>
        <w:gridCol w:w="993"/>
        <w:gridCol w:w="993"/>
      </w:tblGrid>
      <w:tr w:rsidR="00A53D7D" w:rsidRPr="00FB64AD" w:rsidTr="005140B4">
        <w:trPr>
          <w:divId w:val="1192107743"/>
        </w:trPr>
        <w:tc>
          <w:tcPr>
            <w:tcW w:w="2810" w:type="dxa"/>
            <w:tcBorders>
              <w:top w:val="single" w:sz="4" w:space="0" w:color="auto"/>
              <w:left w:val="single" w:sz="4" w:space="0" w:color="auto"/>
              <w:bottom w:val="single" w:sz="4" w:space="0" w:color="auto"/>
              <w:right w:val="nil"/>
            </w:tcBorders>
            <w:shd w:val="clear" w:color="auto" w:fill="000000"/>
            <w:noWrap/>
            <w:vAlign w:val="bottom"/>
            <w:hideMark/>
          </w:tcPr>
          <w:p w:rsidR="00A53D7D" w:rsidRPr="00FB64AD" w:rsidRDefault="00A53D7D" w:rsidP="005140B4">
            <w:pPr>
              <w:pStyle w:val="Tabletext"/>
              <w:rPr>
                <w:color w:val="000000" w:themeColor="text1"/>
                <w:lang w:eastAsia="en-AU"/>
              </w:rPr>
            </w:pPr>
            <w:r w:rsidRPr="00FB64AD">
              <w:rPr>
                <w:color w:val="000000" w:themeColor="text1"/>
                <w:lang w:eastAsia="en-AU"/>
              </w:rPr>
              <w:t>.</w:t>
            </w:r>
          </w:p>
        </w:tc>
        <w:tc>
          <w:tcPr>
            <w:tcW w:w="994"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993"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993"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993" w:type="dxa"/>
            <w:tcBorders>
              <w:top w:val="single" w:sz="4"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993" w:type="dxa"/>
            <w:tcBorders>
              <w:top w:val="single" w:sz="4" w:space="0" w:color="auto"/>
              <w:left w:val="nil"/>
              <w:bottom w:val="single" w:sz="4" w:space="0" w:color="auto"/>
              <w:right w:val="single" w:sz="4"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r>
      <w:tr w:rsidR="00A53D7D" w:rsidRPr="00FB64AD" w:rsidTr="005140B4">
        <w:trPr>
          <w:divId w:val="1192107743"/>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rFonts w:cs="Calibri"/>
                <w:color w:val="000000"/>
                <w:lang w:eastAsia="en-AU"/>
              </w:rPr>
            </w:pPr>
            <w:r w:rsidRPr="00FB64AD">
              <w:rPr>
                <w:color w:val="000000"/>
                <w:lang w:eastAsia="en-AU"/>
              </w:rPr>
              <w:t>Abolish inefficient taxes</w:t>
            </w:r>
            <w:r>
              <w:rPr>
                <w:color w:val="000000"/>
                <w:lang w:eastAsia="en-AU"/>
              </w:rPr>
              <w:t xml:space="preserve"> – </w:t>
            </w:r>
            <w:r w:rsidRPr="00FB64AD">
              <w:rPr>
                <w:rFonts w:cs="Calibri"/>
                <w:color w:val="000000"/>
                <w:lang w:eastAsia="en-AU"/>
              </w:rPr>
              <w:t>stamp duty on life insurance</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( 3.9</w:t>
            </w:r>
            <w:r w:rsidRPr="00FB64AD">
              <w:rPr>
                <w:rFonts w:cs="Calibri"/>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( 3.9</w:t>
            </w:r>
            <w:r w:rsidRPr="00FB64AD">
              <w:rPr>
                <w:rFonts w:cs="Calibri"/>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( 4.1</w:t>
            </w:r>
            <w:r w:rsidRPr="00FB64AD">
              <w:rPr>
                <w:rFonts w:cs="Calibri"/>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( 4.2</w:t>
            </w:r>
            <w:r w:rsidRPr="00FB64AD">
              <w:rPr>
                <w:rFonts w:cs="Calibri"/>
                <w:color w:val="000000"/>
                <w:lang w:eastAsia="en-AU"/>
              </w:rPr>
              <w:t>)</w:t>
            </w:r>
          </w:p>
        </w:tc>
      </w:tr>
      <w:tr w:rsidR="00A53D7D" w:rsidRPr="00FB64AD" w:rsidTr="005140B4">
        <w:trPr>
          <w:divId w:val="1192107743"/>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 xml:space="preserve">Casino electronic gaming machine levy </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( 13.9</w:t>
            </w:r>
            <w:r w:rsidRPr="00FB64AD">
              <w:rPr>
                <w:rFonts w:cs="Calibri"/>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( 56.8</w:t>
            </w:r>
            <w:r w:rsidRPr="00FB64AD">
              <w:rPr>
                <w:rFonts w:cs="Calibri"/>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( 56.8</w:t>
            </w:r>
            <w:r w:rsidRPr="00FB64AD">
              <w:rPr>
                <w:rFonts w:cs="Calibri"/>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( 56.8</w:t>
            </w:r>
            <w:r w:rsidRPr="00FB64AD">
              <w:rPr>
                <w:rFonts w:cs="Calibri"/>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rFonts w:cs="Calibri"/>
                <w:color w:val="000000"/>
                <w:lang w:eastAsia="en-AU"/>
              </w:rPr>
            </w:pPr>
            <w:r w:rsidRPr="00FB64AD">
              <w:rPr>
                <w:color w:val="000000"/>
                <w:lang w:eastAsia="en-AU"/>
              </w:rPr>
              <w:t>( 56.8</w:t>
            </w:r>
            <w:r w:rsidRPr="00FB64AD">
              <w:rPr>
                <w:rFonts w:cs="Calibri"/>
                <w:color w:val="000000"/>
                <w:lang w:eastAsia="en-AU"/>
              </w:rPr>
              <w:t>)</w:t>
            </w:r>
          </w:p>
        </w:tc>
      </w:tr>
      <w:tr w:rsidR="00A53D7D" w:rsidRPr="00FB64AD" w:rsidTr="005140B4">
        <w:trPr>
          <w:divId w:val="1192107743"/>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rFonts w:cs="Calibri"/>
                <w:color w:val="000000"/>
                <w:lang w:eastAsia="en-AU"/>
              </w:rPr>
            </w:pPr>
            <w:r w:rsidRPr="00FB64AD">
              <w:rPr>
                <w:color w:val="000000"/>
                <w:lang w:eastAsia="en-AU"/>
              </w:rPr>
              <w:t xml:space="preserve">Increase in rate of stamp duty on motor vehicles </w:t>
            </w:r>
            <w:r w:rsidRPr="00FB64AD">
              <w:rPr>
                <w:rFonts w:cs="Calibri"/>
                <w:color w:val="000000"/>
                <w:lang w:eastAsia="en-AU"/>
              </w:rPr>
              <w:t>and increase in motor vehicle registration fee</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136.8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142.8</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149.1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155.7</w:t>
            </w:r>
          </w:p>
        </w:tc>
      </w:tr>
      <w:tr w:rsidR="00A53D7D" w:rsidRPr="00FB64AD" w:rsidTr="005140B4">
        <w:trPr>
          <w:divId w:val="1192107743"/>
        </w:trPr>
        <w:tc>
          <w:tcPr>
            <w:tcW w:w="2810" w:type="dxa"/>
            <w:tcBorders>
              <w:top w:val="nil"/>
              <w:left w:val="nil"/>
              <w:bottom w:val="nil"/>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Metropolitan Planning Levy</w:t>
            </w:r>
          </w:p>
        </w:tc>
        <w:tc>
          <w:tcPr>
            <w:tcW w:w="994"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17.1</w:t>
            </w:r>
          </w:p>
        </w:tc>
        <w:tc>
          <w:tcPr>
            <w:tcW w:w="993" w:type="dxa"/>
            <w:tcBorders>
              <w:top w:val="nil"/>
              <w:left w:val="nil"/>
              <w:bottom w:val="nil"/>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17.1</w:t>
            </w:r>
          </w:p>
        </w:tc>
      </w:tr>
      <w:tr w:rsidR="00A53D7D" w:rsidRPr="00FB64AD" w:rsidTr="005140B4">
        <w:trPr>
          <w:divId w:val="1192107743"/>
        </w:trPr>
        <w:tc>
          <w:tcPr>
            <w:tcW w:w="2810" w:type="dxa"/>
            <w:tcBorders>
              <w:top w:val="nil"/>
              <w:left w:val="nil"/>
              <w:bottom w:val="single" w:sz="4" w:space="0" w:color="auto"/>
              <w:right w:val="nil"/>
            </w:tcBorders>
            <w:shd w:val="clear" w:color="auto" w:fill="auto"/>
            <w:noWrap/>
            <w:hideMark/>
          </w:tcPr>
          <w:p w:rsidR="00A53D7D" w:rsidRPr="00FB64AD" w:rsidRDefault="00A53D7D" w:rsidP="005140B4">
            <w:pPr>
              <w:pStyle w:val="Tabletext"/>
              <w:rPr>
                <w:rFonts w:cs="Calibri"/>
                <w:color w:val="000000"/>
                <w:lang w:eastAsia="en-AU"/>
              </w:rPr>
            </w:pPr>
            <w:r w:rsidRPr="00FB64AD">
              <w:rPr>
                <w:color w:val="000000"/>
                <w:lang w:eastAsia="en-AU"/>
              </w:rPr>
              <w:t>Reduce payroll tax rate by 0.05</w:t>
            </w:r>
            <w:r>
              <w:rPr>
                <w:color w:val="000000"/>
                <w:lang w:eastAsia="en-AU"/>
              </w:rPr>
              <w:t> per cent</w:t>
            </w:r>
            <w:r w:rsidRPr="00FB64AD">
              <w:rPr>
                <w:color w:val="000000"/>
                <w:lang w:eastAsia="en-AU"/>
              </w:rPr>
              <w:t xml:space="preserve"> from 1 July </w:t>
            </w:r>
            <w:r w:rsidRPr="00FB64AD">
              <w:rPr>
                <w:rFonts w:cs="Calibri"/>
                <w:color w:val="000000"/>
                <w:lang w:eastAsia="en-AU"/>
              </w:rPr>
              <w:t>2014</w:t>
            </w:r>
          </w:p>
        </w:tc>
        <w:tc>
          <w:tcPr>
            <w:tcW w:w="994"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( 53.8)</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( 56.9)</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( 60.1)</w:t>
            </w:r>
          </w:p>
        </w:tc>
        <w:tc>
          <w:tcPr>
            <w:tcW w:w="993" w:type="dxa"/>
            <w:tcBorders>
              <w:top w:val="nil"/>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( 63.5)</w:t>
            </w:r>
          </w:p>
        </w:tc>
      </w:tr>
      <w:tr w:rsidR="00A53D7D" w:rsidRPr="00FB64AD" w:rsidTr="005140B4">
        <w:trPr>
          <w:divId w:val="1192107743"/>
        </w:trPr>
        <w:tc>
          <w:tcPr>
            <w:tcW w:w="2810" w:type="dxa"/>
            <w:tcBorders>
              <w:top w:val="single" w:sz="4" w:space="0" w:color="auto"/>
              <w:left w:val="nil"/>
              <w:bottom w:val="single" w:sz="12"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revenue initiatives</w:t>
            </w:r>
          </w:p>
        </w:tc>
        <w:tc>
          <w:tcPr>
            <w:tcW w:w="994"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( 13.9)</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22.3</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42.3</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45.2</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48.3</w:t>
            </w:r>
          </w:p>
        </w:tc>
      </w:tr>
    </w:tbl>
    <w:bookmarkEnd w:id="60"/>
    <w:p w:rsidR="00A53D7D" w:rsidRPr="00596ED3" w:rsidRDefault="00A53D7D" w:rsidP="005140B4">
      <w:pPr>
        <w:pStyle w:val="Source"/>
      </w:pPr>
      <w:r w:rsidRPr="00596ED3">
        <w:t xml:space="preserve">Source: Department of Treasury and Finance </w:t>
      </w:r>
      <w:r w:rsidRPr="00596ED3">
        <w:fldChar w:fldCharType="begin"/>
      </w:r>
      <w:r w:rsidRPr="00596ED3">
        <w:instrText xml:space="preserve"> XE "Revenue measures" </w:instrText>
      </w:r>
      <w:r w:rsidRPr="00596ED3">
        <w:fldChar w:fldCharType="end"/>
      </w:r>
    </w:p>
    <w:p w:rsidR="00A53D7D" w:rsidRPr="00596ED3" w:rsidRDefault="00A53D7D" w:rsidP="005140B4">
      <w:pPr>
        <w:pStyle w:val="Heading5"/>
      </w:pPr>
      <w:r w:rsidRPr="00596ED3">
        <w:t>Abolishing inefficient taxes – stamp duty on life insurance</w:t>
      </w:r>
    </w:p>
    <w:p w:rsidR="00A53D7D" w:rsidRPr="00596ED3" w:rsidRDefault="00A53D7D" w:rsidP="005140B4">
      <w:pPr>
        <w:spacing w:after="0"/>
      </w:pPr>
      <w:r w:rsidRPr="00596ED3">
        <w:t xml:space="preserve">Currently, duty is payable on life insurance policies based on the insured sum. Most life insurance products are now bundled together with products provided as part of superannuation savings, and the stamp duty is not </w:t>
      </w:r>
      <w:r>
        <w:t>applied correctly</w:t>
      </w:r>
      <w:r w:rsidRPr="00596ED3">
        <w:t>. Abolishing this stamp duty will remove this inconsistency and build on the Victorian Government</w:t>
      </w:r>
      <w:r>
        <w:t>’</w:t>
      </w:r>
      <w:r w:rsidRPr="00596ED3">
        <w:t>s strong record of tax reform. The Government will abolish life insurance duty from 1 July 2014.</w:t>
      </w:r>
    </w:p>
    <w:p w:rsidR="00A53D7D" w:rsidRPr="00596ED3" w:rsidRDefault="00A53D7D" w:rsidP="005140B4">
      <w:pPr>
        <w:pStyle w:val="Heading5"/>
      </w:pPr>
      <w:r w:rsidRPr="00596ED3">
        <w:t>Casino electronic gaming machine levy</w:t>
      </w:r>
    </w:p>
    <w:p w:rsidR="00A53D7D" w:rsidRPr="00596ED3" w:rsidRDefault="00A53D7D" w:rsidP="005140B4">
      <w:pPr>
        <w:spacing w:after="0"/>
        <w:rPr>
          <w:shd w:val="clear" w:color="auto" w:fill="FFC000"/>
        </w:rPr>
      </w:pPr>
      <w:r w:rsidRPr="00596ED3">
        <w:t xml:space="preserve">The introduction of a casino electronic gaming machine levy and the associated estimates in the </w:t>
      </w:r>
      <w:r w:rsidRPr="00596ED3">
        <w:rPr>
          <w:i/>
        </w:rPr>
        <w:t>2013</w:t>
      </w:r>
      <w:r>
        <w:rPr>
          <w:i/>
        </w:rPr>
        <w:noBreakHyphen/>
      </w:r>
      <w:r w:rsidRPr="00596ED3">
        <w:rPr>
          <w:i/>
        </w:rPr>
        <w:t>14 Budget Update</w:t>
      </w:r>
      <w:r w:rsidRPr="00596ED3">
        <w:t xml:space="preserve"> were subject to the satisfactory conclusion of negotiations and mutual agreement between the Victorian Government and </w:t>
      </w:r>
      <w:r>
        <w:t>the casino operator</w:t>
      </w:r>
      <w:r w:rsidRPr="00596ED3">
        <w:t xml:space="preserve">. While discussions are continuing, </w:t>
      </w:r>
      <w:r>
        <w:t>m</w:t>
      </w:r>
      <w:r w:rsidRPr="00596ED3">
        <w:t xml:space="preserve">utual agreement has not been reached at this time. Consequently the associated estimates are not included in the </w:t>
      </w:r>
      <w:r w:rsidRPr="00F54833">
        <w:rPr>
          <w:i/>
        </w:rPr>
        <w:t>2014</w:t>
      </w:r>
      <w:r w:rsidRPr="00F54833">
        <w:rPr>
          <w:i/>
        </w:rPr>
        <w:noBreakHyphen/>
        <w:t>15 Budget</w:t>
      </w:r>
      <w:r w:rsidRPr="00596ED3">
        <w:t>.</w:t>
      </w:r>
    </w:p>
    <w:p w:rsidR="00A53D7D" w:rsidRPr="00596ED3" w:rsidRDefault="00A53D7D" w:rsidP="005140B4">
      <w:pPr>
        <w:pStyle w:val="Heading5"/>
      </w:pPr>
      <w:r w:rsidRPr="00596ED3">
        <w:t>Increase in rate of stamp duty on motor vehicles and increase in motor vehicle registration fee</w:t>
      </w:r>
    </w:p>
    <w:p w:rsidR="00A53D7D" w:rsidRPr="00596ED3" w:rsidRDefault="00A53D7D" w:rsidP="005140B4">
      <w:pPr>
        <w:widowControl w:val="0"/>
      </w:pPr>
      <w:r w:rsidRPr="00596ED3">
        <w:t>The stamp duty on motor vehicle registrations and transfer of registrations of motor vehicles will rise by $0.40 per $200 or part thereof, commencing from 1 July 2014. The rate on motor vehicles will rise from 3.0</w:t>
      </w:r>
      <w:r>
        <w:t> per cent</w:t>
      </w:r>
      <w:r w:rsidRPr="00596ED3">
        <w:t xml:space="preserve"> to 3.2</w:t>
      </w:r>
      <w:r>
        <w:t> per cent</w:t>
      </w:r>
      <w:r w:rsidRPr="00596ED3">
        <w:t xml:space="preserve"> for new passenger cars valued below the luxury car tax threshold, and from 5.0</w:t>
      </w:r>
      <w:r>
        <w:t> per cent</w:t>
      </w:r>
      <w:r w:rsidRPr="00596ED3">
        <w:t xml:space="preserve"> to 5.2</w:t>
      </w:r>
      <w:r>
        <w:t> per cent</w:t>
      </w:r>
      <w:r w:rsidRPr="00596ED3">
        <w:t xml:space="preserve"> for those valued above the threshold. The rate on new non</w:t>
      </w:r>
      <w:r>
        <w:noBreakHyphen/>
      </w:r>
      <w:r w:rsidRPr="00596ED3">
        <w:t>passenger cars will rise from 2.5</w:t>
      </w:r>
      <w:r>
        <w:t> per cent</w:t>
      </w:r>
      <w:r w:rsidRPr="00596ED3">
        <w:t xml:space="preserve"> to 2.7</w:t>
      </w:r>
      <w:r>
        <w:t> per cent</w:t>
      </w:r>
      <w:r w:rsidRPr="00596ED3">
        <w:t>, and the rate on used vehicles will rise from 4</w:t>
      </w:r>
      <w:r>
        <w:t> per cent</w:t>
      </w:r>
      <w:r w:rsidRPr="00596ED3">
        <w:t xml:space="preserve"> to 4.2</w:t>
      </w:r>
      <w:r>
        <w:t> per cent</w:t>
      </w:r>
      <w:r w:rsidRPr="00596ED3">
        <w:t>. Victoria</w:t>
      </w:r>
      <w:r>
        <w:t>’</w:t>
      </w:r>
      <w:r w:rsidRPr="00596ED3">
        <w:t xml:space="preserve">s duty rates on new passenger cars below the luxury car threshold have historically been competitive with other Australian states and will remain so even after this modest rise. </w:t>
      </w:r>
    </w:p>
    <w:p w:rsidR="00A53D7D" w:rsidRPr="00596ED3" w:rsidRDefault="00A53D7D" w:rsidP="005140B4">
      <w:pPr>
        <w:widowControl w:val="0"/>
      </w:pPr>
      <w:r w:rsidRPr="00596ED3">
        <w:t>Light vehicle registration fees will rise by $25 to $270 (including indexation) from 1 July 2014. Existing concessions will continue to apply. Victoria</w:t>
      </w:r>
      <w:r>
        <w:t>’</w:t>
      </w:r>
      <w:r w:rsidRPr="00596ED3">
        <w:t xml:space="preserve">s total registration renewal cost (including compulsory third party insurance) for a standard family car remains competitive with other major Australian states. </w:t>
      </w:r>
    </w:p>
    <w:p w:rsidR="00A53D7D" w:rsidRPr="00596ED3" w:rsidRDefault="00A53D7D" w:rsidP="005140B4">
      <w:pPr>
        <w:widowControl w:val="0"/>
      </w:pPr>
      <w:r w:rsidRPr="00596ED3">
        <w:t>The revenue from these initiatives will support Government investment in major new road infrastructure and initiatives which support workers from industries in transition including the automotive industry.</w:t>
      </w:r>
    </w:p>
    <w:p w:rsidR="00A53D7D" w:rsidRPr="00596ED3" w:rsidRDefault="00A53D7D" w:rsidP="005140B4">
      <w:pPr>
        <w:pStyle w:val="Heading5"/>
      </w:pPr>
      <w:r w:rsidRPr="00596ED3">
        <w:t>Metropolitan Planning Levy</w:t>
      </w:r>
    </w:p>
    <w:p w:rsidR="00A53D7D" w:rsidRPr="00596ED3" w:rsidRDefault="00A53D7D" w:rsidP="005140B4">
      <w:pPr>
        <w:pStyle w:val="Heading5"/>
        <w:rPr>
          <w:rFonts w:ascii="Garamond" w:hAnsi="Garamond"/>
          <w:b w:val="0"/>
        </w:rPr>
      </w:pPr>
      <w:r w:rsidRPr="00596ED3">
        <w:rPr>
          <w:rFonts w:ascii="Garamond" w:hAnsi="Garamond"/>
          <w:b w:val="0"/>
        </w:rPr>
        <w:t xml:space="preserve">A new levy will be introduced on planning permit applications </w:t>
      </w:r>
      <w:r>
        <w:rPr>
          <w:rFonts w:ascii="Garamond" w:hAnsi="Garamond"/>
          <w:b w:val="0"/>
        </w:rPr>
        <w:t xml:space="preserve">in metropolitan Melbourne </w:t>
      </w:r>
      <w:r w:rsidRPr="00596ED3">
        <w:rPr>
          <w:rFonts w:ascii="Garamond" w:hAnsi="Garamond"/>
          <w:b w:val="0"/>
        </w:rPr>
        <w:t>over $1</w:t>
      </w:r>
      <w:r>
        <w:rPr>
          <w:rFonts w:ascii="Garamond" w:hAnsi="Garamond"/>
          <w:b w:val="0"/>
        </w:rPr>
        <w:t> million</w:t>
      </w:r>
      <w:r w:rsidRPr="00596ED3">
        <w:rPr>
          <w:rFonts w:ascii="Garamond" w:hAnsi="Garamond"/>
          <w:b w:val="0"/>
        </w:rPr>
        <w:t xml:space="preserve"> in construction costs from 1 July 2015. The levy will fund the implementation of </w:t>
      </w:r>
      <w:r w:rsidRPr="00CF5B54">
        <w:rPr>
          <w:rFonts w:ascii="Garamond" w:hAnsi="Garamond"/>
          <w:b w:val="0"/>
          <w:i/>
        </w:rPr>
        <w:t>Plan Melbourne</w:t>
      </w:r>
      <w:r w:rsidRPr="00596ED3">
        <w:rPr>
          <w:rFonts w:ascii="Garamond" w:hAnsi="Garamond"/>
          <w:b w:val="0"/>
        </w:rPr>
        <w:t xml:space="preserve"> and Metropolitan Planning Authority initiatives and align with the costs of delivering a more streamlined planning system in Victoria. The levy will be administered by the State Revenue Office, under the authority of the Minister for Planning.</w:t>
      </w:r>
    </w:p>
    <w:p w:rsidR="00A53D7D" w:rsidRPr="00596ED3" w:rsidRDefault="00A53D7D" w:rsidP="005140B4">
      <w:pPr>
        <w:pStyle w:val="Heading5"/>
      </w:pPr>
      <w:r w:rsidRPr="00596ED3">
        <w:t>Reduce payroll tax rate by 0.05</w:t>
      </w:r>
      <w:r>
        <w:t> per cent</w:t>
      </w:r>
      <w:r w:rsidRPr="00596ED3">
        <w:t xml:space="preserve"> from 1 July 2014</w:t>
      </w:r>
    </w:p>
    <w:p w:rsidR="00A53D7D" w:rsidRPr="00596ED3" w:rsidRDefault="00A53D7D" w:rsidP="005140B4">
      <w:pPr>
        <w:spacing w:after="0"/>
      </w:pPr>
      <w:r w:rsidRPr="00596ED3">
        <w:t>The payroll tax rate will be reduced by 0.05 percentage points from 4.9</w:t>
      </w:r>
      <w:r>
        <w:t> per cent</w:t>
      </w:r>
      <w:r w:rsidRPr="00596ED3">
        <w:t xml:space="preserve"> to 4.85</w:t>
      </w:r>
      <w:r>
        <w:t> per cent</w:t>
      </w:r>
      <w:r w:rsidRPr="00596ED3">
        <w:t xml:space="preserve"> from 1 July 2014. This measure will benefit approximately 39</w:t>
      </w:r>
      <w:r>
        <w:t> </w:t>
      </w:r>
      <w:r w:rsidRPr="00596ED3">
        <w:t>000 Victorian employers and support job creation. Businesses in Victoria with payrolls between $4.7</w:t>
      </w:r>
      <w:r>
        <w:t> million</w:t>
      </w:r>
      <w:r w:rsidRPr="00596ED3">
        <w:t xml:space="preserve"> and $26.7</w:t>
      </w:r>
      <w:r>
        <w:t> million</w:t>
      </w:r>
      <w:r w:rsidRPr="00596ED3">
        <w:t xml:space="preserve"> will pay the lowest payroll tax in Australia.</w:t>
      </w:r>
    </w:p>
    <w:p w:rsidR="00A53D7D" w:rsidRPr="00596ED3" w:rsidRDefault="00A53D7D" w:rsidP="005140B4">
      <w:pPr>
        <w:pStyle w:val="Heading1"/>
      </w:pPr>
      <w:bookmarkStart w:id="61" w:name="_Toc386364072"/>
      <w:bookmarkStart w:id="62" w:name="_Toc407116905"/>
      <w:r w:rsidRPr="00596ED3">
        <w:t>Efficiency and expenditure reduction measures</w:t>
      </w:r>
      <w:bookmarkEnd w:id="61"/>
      <w:bookmarkEnd w:id="62"/>
    </w:p>
    <w:p w:rsidR="00A53D7D" w:rsidRPr="00596ED3" w:rsidRDefault="00A53D7D" w:rsidP="005140B4">
      <w:pPr>
        <w:pStyle w:val="Tableheading"/>
      </w:pPr>
      <w:r w:rsidRPr="00596ED3">
        <w:t xml:space="preserve">Table 1.25: </w:t>
      </w:r>
      <w:r w:rsidRPr="00596ED3">
        <w:tab/>
        <w:t>Efficiency and expenditure reduction measures</w:t>
      </w:r>
    </w:p>
    <w:p w:rsidR="00A53D7D" w:rsidRPr="00FB64AD" w:rsidRDefault="00A53D7D" w:rsidP="005140B4">
      <w:pPr>
        <w:pStyle w:val="million"/>
        <w:rPr>
          <w:rFonts w:ascii="Times New Roman" w:hAnsi="Times New Roman"/>
          <w:sz w:val="20"/>
          <w:lang w:eastAsia="en-AU"/>
        </w:rPr>
      </w:pPr>
      <w:r w:rsidRPr="00596ED3">
        <w:t>($</w:t>
      </w:r>
      <w:r>
        <w:t> million</w:t>
      </w:r>
      <w:r w:rsidRPr="00596ED3">
        <w:t>)</w:t>
      </w:r>
      <w:bookmarkStart w:id="63" w:name="RANGE!A3:F5"/>
    </w:p>
    <w:tbl>
      <w:tblPr>
        <w:tblW w:w="7776" w:type="dxa"/>
        <w:tblInd w:w="29" w:type="dxa"/>
        <w:tblLayout w:type="fixed"/>
        <w:tblCellMar>
          <w:left w:w="43" w:type="dxa"/>
          <w:right w:w="43" w:type="dxa"/>
        </w:tblCellMar>
        <w:tblLook w:val="04A0" w:firstRow="1" w:lastRow="0" w:firstColumn="1" w:lastColumn="0" w:noHBand="0" w:noVBand="1"/>
      </w:tblPr>
      <w:tblGrid>
        <w:gridCol w:w="2810"/>
        <w:gridCol w:w="994"/>
        <w:gridCol w:w="993"/>
        <w:gridCol w:w="993"/>
        <w:gridCol w:w="993"/>
        <w:gridCol w:w="993"/>
      </w:tblGrid>
      <w:tr w:rsidR="00A53D7D" w:rsidRPr="00FB64AD" w:rsidTr="005140B4">
        <w:trPr>
          <w:divId w:val="1442528456"/>
          <w:cantSplit/>
        </w:trPr>
        <w:tc>
          <w:tcPr>
            <w:tcW w:w="2810" w:type="dxa"/>
            <w:tcBorders>
              <w:top w:val="single" w:sz="6" w:space="0" w:color="auto"/>
              <w:left w:val="single" w:sz="6" w:space="0" w:color="auto"/>
              <w:bottom w:val="single" w:sz="4" w:space="0" w:color="auto"/>
              <w:right w:val="nil"/>
            </w:tcBorders>
            <w:shd w:val="clear" w:color="auto" w:fill="000000"/>
            <w:noWrap/>
            <w:vAlign w:val="bottom"/>
            <w:hideMark/>
          </w:tcPr>
          <w:p w:rsidR="00A53D7D" w:rsidRPr="00FB64AD" w:rsidRDefault="00A53D7D" w:rsidP="005140B4">
            <w:pPr>
              <w:pStyle w:val="Tabletext"/>
              <w:rPr>
                <w:lang w:eastAsia="en-AU"/>
              </w:rPr>
            </w:pPr>
            <w:r w:rsidRPr="00FB64AD">
              <w:rPr>
                <w:lang w:eastAsia="en-AU"/>
              </w:rPr>
              <w:t> </w:t>
            </w:r>
          </w:p>
        </w:tc>
        <w:tc>
          <w:tcPr>
            <w:tcW w:w="994"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2013</w:t>
            </w:r>
            <w:r>
              <w:rPr>
                <w:lang w:eastAsia="en-AU"/>
              </w:rPr>
              <w:noBreakHyphen/>
            </w:r>
            <w:r w:rsidRPr="00FB64AD">
              <w:rPr>
                <w:lang w:eastAsia="en-AU"/>
              </w:rPr>
              <w:t>14</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2014</w:t>
            </w:r>
            <w:r>
              <w:rPr>
                <w:lang w:eastAsia="en-AU"/>
              </w:rPr>
              <w:noBreakHyphen/>
            </w:r>
            <w:r w:rsidRPr="00FB64AD">
              <w:rPr>
                <w:lang w:eastAsia="en-AU"/>
              </w:rPr>
              <w:t>15</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2015</w:t>
            </w:r>
            <w:r>
              <w:rPr>
                <w:lang w:eastAsia="en-AU"/>
              </w:rPr>
              <w:noBreakHyphen/>
            </w:r>
            <w:r w:rsidRPr="00FB64AD">
              <w:rPr>
                <w:lang w:eastAsia="en-AU"/>
              </w:rPr>
              <w:t>16</w:t>
            </w:r>
          </w:p>
        </w:tc>
        <w:tc>
          <w:tcPr>
            <w:tcW w:w="993" w:type="dxa"/>
            <w:tcBorders>
              <w:top w:val="single" w:sz="6" w:space="0" w:color="auto"/>
              <w:left w:val="nil"/>
              <w:bottom w:val="single" w:sz="4" w:space="0" w:color="auto"/>
              <w:right w:val="nil"/>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2016</w:t>
            </w:r>
            <w:r>
              <w:rPr>
                <w:lang w:eastAsia="en-AU"/>
              </w:rPr>
              <w:noBreakHyphen/>
            </w:r>
            <w:r w:rsidRPr="00FB64AD">
              <w:rPr>
                <w:lang w:eastAsia="en-AU"/>
              </w:rPr>
              <w:t>17</w:t>
            </w:r>
          </w:p>
        </w:tc>
        <w:tc>
          <w:tcPr>
            <w:tcW w:w="993" w:type="dxa"/>
            <w:tcBorders>
              <w:top w:val="single" w:sz="6" w:space="0" w:color="auto"/>
              <w:left w:val="nil"/>
              <w:bottom w:val="single" w:sz="4" w:space="0" w:color="auto"/>
              <w:right w:val="single" w:sz="6" w:space="0" w:color="auto"/>
            </w:tcBorders>
            <w:shd w:val="clear" w:color="auto" w:fill="000000"/>
            <w:noWrap/>
            <w:vAlign w:val="bottom"/>
            <w:hideMark/>
          </w:tcPr>
          <w:p w:rsidR="00A53D7D" w:rsidRPr="00FB64AD" w:rsidRDefault="00A53D7D" w:rsidP="005140B4">
            <w:pPr>
              <w:pStyle w:val="Tabletextheading"/>
              <w:rPr>
                <w:lang w:eastAsia="en-AU"/>
              </w:rPr>
            </w:pPr>
            <w:r w:rsidRPr="00FB64AD">
              <w:rPr>
                <w:lang w:eastAsia="en-AU"/>
              </w:rPr>
              <w:t>2017</w:t>
            </w:r>
            <w:r>
              <w:rPr>
                <w:lang w:eastAsia="en-AU"/>
              </w:rPr>
              <w:noBreakHyphen/>
            </w:r>
            <w:r w:rsidRPr="00FB64AD">
              <w:rPr>
                <w:lang w:eastAsia="en-AU"/>
              </w:rPr>
              <w:t>18</w:t>
            </w:r>
          </w:p>
        </w:tc>
      </w:tr>
      <w:tr w:rsidR="00A53D7D" w:rsidRPr="00FB64AD" w:rsidTr="005140B4">
        <w:trPr>
          <w:divId w:val="1442528456"/>
          <w:cantSplit/>
        </w:trPr>
        <w:tc>
          <w:tcPr>
            <w:tcW w:w="2810" w:type="dxa"/>
            <w:tcBorders>
              <w:top w:val="single" w:sz="6" w:space="0" w:color="auto"/>
              <w:left w:val="nil"/>
              <w:bottom w:val="single" w:sz="4" w:space="0" w:color="auto"/>
              <w:right w:val="nil"/>
            </w:tcBorders>
            <w:shd w:val="clear" w:color="auto" w:fill="auto"/>
            <w:noWrap/>
            <w:hideMark/>
          </w:tcPr>
          <w:p w:rsidR="00A53D7D" w:rsidRPr="00FB64AD" w:rsidRDefault="00A53D7D" w:rsidP="005140B4">
            <w:pPr>
              <w:pStyle w:val="Tabletext"/>
              <w:rPr>
                <w:color w:val="000000"/>
                <w:lang w:eastAsia="en-AU"/>
              </w:rPr>
            </w:pPr>
            <w:r w:rsidRPr="00FB64AD">
              <w:rPr>
                <w:color w:val="000000"/>
                <w:lang w:eastAsia="en-AU"/>
              </w:rPr>
              <w:t>Application of an efficiency dividend to non</w:t>
            </w:r>
            <w:r>
              <w:rPr>
                <w:color w:val="000000"/>
                <w:lang w:eastAsia="en-AU"/>
              </w:rPr>
              <w:noBreakHyphen/>
            </w:r>
            <w:r w:rsidRPr="00FB64AD">
              <w:rPr>
                <w:color w:val="000000"/>
                <w:lang w:eastAsia="en-AU"/>
              </w:rPr>
              <w:t>frontline departmental expenditure</w:t>
            </w:r>
          </w:p>
        </w:tc>
        <w:tc>
          <w:tcPr>
            <w:tcW w:w="994" w:type="dxa"/>
            <w:tcBorders>
              <w:top w:val="single" w:sz="6"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w:t>
            </w:r>
          </w:p>
        </w:tc>
        <w:tc>
          <w:tcPr>
            <w:tcW w:w="993" w:type="dxa"/>
            <w:tcBorders>
              <w:top w:val="single" w:sz="6"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20.0</w:t>
            </w:r>
          </w:p>
        </w:tc>
        <w:tc>
          <w:tcPr>
            <w:tcW w:w="993" w:type="dxa"/>
            <w:tcBorders>
              <w:top w:val="single" w:sz="6"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20.0</w:t>
            </w:r>
          </w:p>
        </w:tc>
        <w:tc>
          <w:tcPr>
            <w:tcW w:w="993" w:type="dxa"/>
            <w:tcBorders>
              <w:top w:val="single" w:sz="6"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20.0</w:t>
            </w:r>
          </w:p>
        </w:tc>
        <w:tc>
          <w:tcPr>
            <w:tcW w:w="993" w:type="dxa"/>
            <w:tcBorders>
              <w:top w:val="single" w:sz="6" w:space="0" w:color="auto"/>
              <w:left w:val="nil"/>
              <w:bottom w:val="single" w:sz="4" w:space="0" w:color="auto"/>
              <w:right w:val="nil"/>
            </w:tcBorders>
            <w:shd w:val="clear" w:color="auto" w:fill="auto"/>
            <w:noWrap/>
            <w:hideMark/>
          </w:tcPr>
          <w:p w:rsidR="00A53D7D" w:rsidRPr="00FB64AD" w:rsidRDefault="00A53D7D" w:rsidP="005140B4">
            <w:pPr>
              <w:pStyle w:val="TableofFigures"/>
              <w:rPr>
                <w:color w:val="000000"/>
                <w:lang w:eastAsia="en-AU"/>
              </w:rPr>
            </w:pPr>
            <w:r w:rsidRPr="00FB64AD">
              <w:rPr>
                <w:color w:val="000000"/>
                <w:lang w:eastAsia="en-AU"/>
              </w:rPr>
              <w:t xml:space="preserve"> 20.0</w:t>
            </w:r>
          </w:p>
        </w:tc>
      </w:tr>
      <w:tr w:rsidR="00A53D7D" w:rsidRPr="00FB64AD" w:rsidTr="005140B4">
        <w:trPr>
          <w:divId w:val="1442528456"/>
          <w:cantSplit/>
        </w:trPr>
        <w:tc>
          <w:tcPr>
            <w:tcW w:w="2810" w:type="dxa"/>
            <w:tcBorders>
              <w:top w:val="single" w:sz="4" w:space="0" w:color="auto"/>
              <w:left w:val="nil"/>
              <w:bottom w:val="single" w:sz="12" w:space="0" w:color="auto"/>
              <w:right w:val="nil"/>
            </w:tcBorders>
            <w:shd w:val="clear" w:color="auto" w:fill="auto"/>
            <w:noWrap/>
            <w:vAlign w:val="bottom"/>
            <w:hideMark/>
          </w:tcPr>
          <w:p w:rsidR="00A53D7D" w:rsidRPr="00FB64AD" w:rsidRDefault="00A53D7D" w:rsidP="005140B4">
            <w:pPr>
              <w:pStyle w:val="Tabletext"/>
              <w:rPr>
                <w:b/>
                <w:bCs/>
                <w:lang w:eastAsia="en-AU"/>
              </w:rPr>
            </w:pPr>
            <w:r w:rsidRPr="00FB64AD">
              <w:rPr>
                <w:b/>
                <w:bCs/>
                <w:lang w:eastAsia="en-AU"/>
              </w:rPr>
              <w:t>Total efficiency and expenditure reduction measures</w:t>
            </w:r>
          </w:p>
        </w:tc>
        <w:tc>
          <w:tcPr>
            <w:tcW w:w="994"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20.0</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20.0</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20.0</w:t>
            </w:r>
          </w:p>
        </w:tc>
        <w:tc>
          <w:tcPr>
            <w:tcW w:w="993" w:type="dxa"/>
            <w:tcBorders>
              <w:top w:val="single" w:sz="4" w:space="0" w:color="auto"/>
              <w:left w:val="nil"/>
              <w:bottom w:val="single" w:sz="12" w:space="0" w:color="auto"/>
              <w:right w:val="nil"/>
            </w:tcBorders>
            <w:shd w:val="clear" w:color="auto" w:fill="auto"/>
            <w:noWrap/>
            <w:hideMark/>
          </w:tcPr>
          <w:p w:rsidR="00A53D7D" w:rsidRPr="00FB64AD" w:rsidRDefault="00A53D7D" w:rsidP="005140B4">
            <w:pPr>
              <w:pStyle w:val="TableofFigures"/>
              <w:rPr>
                <w:b/>
                <w:bCs/>
                <w:color w:val="000000"/>
                <w:lang w:eastAsia="en-AU"/>
              </w:rPr>
            </w:pPr>
            <w:r w:rsidRPr="00FB64AD">
              <w:rPr>
                <w:b/>
                <w:bCs/>
                <w:color w:val="000000"/>
                <w:lang w:eastAsia="en-AU"/>
              </w:rPr>
              <w:t xml:space="preserve"> 20.0</w:t>
            </w:r>
          </w:p>
        </w:tc>
      </w:tr>
    </w:tbl>
    <w:bookmarkEnd w:id="63"/>
    <w:p w:rsidR="00F820F9" w:rsidRDefault="00A53D7D" w:rsidP="005140B4">
      <w:pPr>
        <w:pStyle w:val="Source"/>
      </w:pPr>
      <w:r w:rsidRPr="00596ED3">
        <w:t xml:space="preserve">Source: Department of Treasury and Finance </w:t>
      </w:r>
    </w:p>
    <w:p w:rsidR="00A53D7D" w:rsidRPr="00596ED3" w:rsidRDefault="00A53D7D" w:rsidP="00F820F9">
      <w:pPr>
        <w:pStyle w:val="Notes"/>
      </w:pPr>
      <w:r w:rsidRPr="00596ED3">
        <w:fldChar w:fldCharType="begin"/>
      </w:r>
      <w:r w:rsidRPr="00596ED3">
        <w:instrText xml:space="preserve"> XE "Efficiency and expenditure reduction measures" </w:instrText>
      </w:r>
      <w:r w:rsidRPr="00596ED3">
        <w:fldChar w:fldCharType="end"/>
      </w:r>
    </w:p>
    <w:p w:rsidR="00A53D7D" w:rsidRPr="00596ED3" w:rsidRDefault="00A53D7D" w:rsidP="005140B4">
      <w:pPr>
        <w:pStyle w:val="Heading5"/>
      </w:pPr>
      <w:r w:rsidRPr="00596ED3">
        <w:t>Application of an efficiency dividend to non</w:t>
      </w:r>
      <w:r>
        <w:noBreakHyphen/>
      </w:r>
      <w:r w:rsidRPr="00596ED3">
        <w:t>frontline departmental expenditure</w:t>
      </w:r>
    </w:p>
    <w:p w:rsidR="00A53D7D" w:rsidRPr="00596ED3" w:rsidRDefault="00A53D7D" w:rsidP="005140B4">
      <w:pPr>
        <w:spacing w:after="0"/>
        <w:rPr>
          <w:rFonts w:ascii="Calibri" w:hAnsi="Calibri"/>
          <w:b/>
          <w:caps/>
          <w:sz w:val="26"/>
          <w:szCs w:val="22"/>
        </w:rPr>
      </w:pPr>
      <w:r w:rsidRPr="00596ED3">
        <w:t>The Government will apply an efficiency dividend to public sector departments for their policy and administrative functions to continue an incentive to drive efficiency improvements.</w:t>
      </w:r>
    </w:p>
    <w:p w:rsidR="00A53D7D" w:rsidRPr="00596ED3" w:rsidRDefault="00A53D7D">
      <w:pPr>
        <w:spacing w:after="0"/>
        <w:rPr>
          <w:rFonts w:ascii="Calibri" w:hAnsi="Calibri"/>
          <w:b/>
          <w:caps/>
          <w:sz w:val="26"/>
          <w:szCs w:val="22"/>
        </w:rPr>
      </w:pPr>
      <w:bookmarkStart w:id="64" w:name="_Toc386364073"/>
      <w:r w:rsidRPr="00596ED3">
        <w:br w:type="page"/>
      </w:r>
    </w:p>
    <w:p w:rsidR="00A53D7D" w:rsidRPr="00596ED3" w:rsidRDefault="00A53D7D" w:rsidP="005140B4">
      <w:pPr>
        <w:pStyle w:val="Heading1"/>
      </w:pPr>
      <w:bookmarkStart w:id="65" w:name="_Toc407116906"/>
      <w:r w:rsidRPr="00596ED3">
        <w:t>2010 election commitments summary report</w:t>
      </w:r>
      <w:bookmarkEnd w:id="64"/>
      <w:bookmarkEnd w:id="65"/>
    </w:p>
    <w:p w:rsidR="00A53D7D" w:rsidRPr="00596ED3" w:rsidRDefault="00A53D7D" w:rsidP="005140B4">
      <w:r w:rsidRPr="00596ED3">
        <w:t>The Government</w:t>
      </w:r>
      <w:r>
        <w:t>’</w:t>
      </w:r>
      <w:r w:rsidRPr="00596ED3">
        <w:t>s 2010 election commitments represent a detailed program to strengthen all Victorians</w:t>
      </w:r>
      <w:r>
        <w:t>’</w:t>
      </w:r>
      <w:r w:rsidRPr="00596ED3">
        <w:t xml:space="preserve"> quality of life across the full range of portfolio areas. The election commitments comprised output and revenue initiatives that totalled $5.2</w:t>
      </w:r>
      <w:r>
        <w:t> billion</w:t>
      </w:r>
      <w:r w:rsidRPr="00596ED3">
        <w:t>, and capital investments totalling $2.4</w:t>
      </w:r>
      <w:r>
        <w:t> billion</w:t>
      </w:r>
      <w:r w:rsidRPr="00596ED3">
        <w:t xml:space="preserve"> over four years. </w:t>
      </w:r>
    </w:p>
    <w:p w:rsidR="00A53D7D" w:rsidRPr="00596ED3" w:rsidRDefault="00A53D7D" w:rsidP="005140B4">
      <w:r w:rsidRPr="00596ED3">
        <w:t>In its first three years, the Government approved $5.2</w:t>
      </w:r>
      <w:r>
        <w:t> billion</w:t>
      </w:r>
      <w:r w:rsidRPr="00596ED3">
        <w:t xml:space="preserve"> to deliver the majority of the output and revenue election commitments, as well as $3.3</w:t>
      </w:r>
      <w:r>
        <w:t> billion</w:t>
      </w:r>
      <w:r w:rsidRPr="00596ED3">
        <w:t xml:space="preserve"> for capital investments. To date, investments have been made in a range of areas including in the critical service delivery areas of transport, health, </w:t>
      </w:r>
      <w:proofErr w:type="gramStart"/>
      <w:r w:rsidRPr="00596ED3">
        <w:t>education</w:t>
      </w:r>
      <w:proofErr w:type="gramEnd"/>
      <w:r w:rsidRPr="00596ED3">
        <w:t xml:space="preserve"> and community safety. </w:t>
      </w:r>
    </w:p>
    <w:p w:rsidR="00A53D7D" w:rsidRPr="00596ED3" w:rsidRDefault="00A53D7D" w:rsidP="005140B4">
      <w:r w:rsidRPr="00596ED3">
        <w:t>The 2014</w:t>
      </w:r>
      <w:r>
        <w:noBreakHyphen/>
      </w:r>
      <w:r w:rsidRPr="00596ED3">
        <w:t>15 Budget provides an additional $16.5</w:t>
      </w:r>
      <w:r>
        <w:t> million</w:t>
      </w:r>
      <w:r w:rsidRPr="00596ED3">
        <w:t xml:space="preserve"> over the forward estimates to deliver further output election commitment initiatives, and $165.7</w:t>
      </w:r>
      <w:r>
        <w:t> million</w:t>
      </w:r>
      <w:r w:rsidRPr="00596ED3">
        <w:t xml:space="preserve"> to deliver asset election commitments. This brings total investment to date to more than $5.2</w:t>
      </w:r>
      <w:r>
        <w:t> billion</w:t>
      </w:r>
      <w:r w:rsidRPr="00596ED3">
        <w:t xml:space="preserve"> in output expenditure and $3.4</w:t>
      </w:r>
      <w:r>
        <w:t> billion</w:t>
      </w:r>
      <w:r w:rsidRPr="00596ED3">
        <w:t xml:space="preserve"> in capital funding, demonstrating that the Government continues to give priority to delivering against the commitments made in the 2010 election. This further investment includes school capital, hospitals, public </w:t>
      </w:r>
      <w:proofErr w:type="gramStart"/>
      <w:r w:rsidRPr="00596ED3">
        <w:t>transport</w:t>
      </w:r>
      <w:proofErr w:type="gramEnd"/>
      <w:r w:rsidRPr="00596ED3">
        <w:t xml:space="preserve"> and road infrastructure. </w:t>
      </w:r>
    </w:p>
    <w:p w:rsidR="00A53D7D" w:rsidRPr="00596ED3" w:rsidRDefault="00A53D7D" w:rsidP="005140B4">
      <w:r w:rsidRPr="00596ED3">
        <w:t>Careful management of the State</w:t>
      </w:r>
      <w:r>
        <w:t>’</w:t>
      </w:r>
      <w:r w:rsidRPr="00596ED3">
        <w:t>s budget has allowed the Government to upgrade and expand the scope of some projects and programs and to bring forward the delivery of others.</w:t>
      </w:r>
    </w:p>
    <w:p w:rsidR="00A53D7D" w:rsidRPr="00596ED3" w:rsidRDefault="00A53D7D" w:rsidP="005140B4">
      <w:pPr>
        <w:pStyle w:val="Tableheading"/>
        <w:rPr>
          <w:rFonts w:asciiTheme="minorHAnsi" w:hAnsiTheme="minorHAnsi" w:cstheme="minorHAnsi"/>
        </w:rPr>
      </w:pPr>
      <w:r w:rsidRPr="00596ED3">
        <w:rPr>
          <w:rFonts w:asciiTheme="minorHAnsi" w:hAnsiTheme="minorHAnsi" w:cstheme="minorHAnsi"/>
        </w:rPr>
        <w:t>Table 1.26:</w:t>
      </w:r>
      <w:r w:rsidRPr="00596ED3">
        <w:rPr>
          <w:rFonts w:asciiTheme="minorHAnsi" w:hAnsiTheme="minorHAnsi" w:cstheme="minorHAnsi"/>
        </w:rPr>
        <w:tab/>
        <w:t xml:space="preserve">Summary of progress against Government election commitments </w:t>
      </w:r>
    </w:p>
    <w:p w:rsidR="00A53D7D" w:rsidRPr="00596ED3" w:rsidRDefault="00A53D7D" w:rsidP="005140B4">
      <w:pPr>
        <w:pStyle w:val="million"/>
        <w:rPr>
          <w:lang w:eastAsia="en-AU"/>
        </w:rPr>
      </w:pPr>
      <w:r w:rsidRPr="00596ED3">
        <w:rPr>
          <w:lang w:eastAsia="en-AU"/>
        </w:rPr>
        <w:t>($</w:t>
      </w:r>
      <w:r>
        <w:rPr>
          <w:lang w:eastAsia="en-AU"/>
        </w:rPr>
        <w:t> million</w:t>
      </w:r>
      <w:r w:rsidRPr="00596ED3">
        <w:rPr>
          <w:lang w:eastAsia="en-AU"/>
        </w:rPr>
        <w:t>)</w:t>
      </w:r>
    </w:p>
    <w:tbl>
      <w:tblPr>
        <w:tblW w:w="7776" w:type="dxa"/>
        <w:tblInd w:w="29" w:type="dxa"/>
        <w:tblLayout w:type="fixed"/>
        <w:tblCellMar>
          <w:left w:w="43" w:type="dxa"/>
          <w:right w:w="43" w:type="dxa"/>
        </w:tblCellMar>
        <w:tblLook w:val="04A0" w:firstRow="1" w:lastRow="0" w:firstColumn="1" w:lastColumn="0" w:noHBand="0" w:noVBand="1"/>
      </w:tblPr>
      <w:tblGrid>
        <w:gridCol w:w="2912"/>
        <w:gridCol w:w="1428"/>
        <w:gridCol w:w="1145"/>
        <w:gridCol w:w="1145"/>
        <w:gridCol w:w="1146"/>
      </w:tblGrid>
      <w:tr w:rsidR="00A53D7D" w:rsidRPr="00596ED3" w:rsidTr="005140B4">
        <w:trPr>
          <w:cantSplit/>
        </w:trPr>
        <w:tc>
          <w:tcPr>
            <w:tcW w:w="2912" w:type="dxa"/>
            <w:tcBorders>
              <w:top w:val="single" w:sz="4" w:space="0" w:color="auto"/>
              <w:left w:val="single" w:sz="4" w:space="0" w:color="auto"/>
              <w:bottom w:val="single" w:sz="4" w:space="0" w:color="000000"/>
              <w:right w:val="nil"/>
            </w:tcBorders>
            <w:shd w:val="clear" w:color="auto" w:fill="000000"/>
            <w:hideMark/>
          </w:tcPr>
          <w:p w:rsidR="00A53D7D" w:rsidRPr="00596ED3" w:rsidRDefault="00A53D7D" w:rsidP="005140B4">
            <w:pPr>
              <w:pStyle w:val="Tabletext"/>
              <w:rPr>
                <w:lang w:eastAsia="en-AU"/>
              </w:rPr>
            </w:pPr>
            <w:r w:rsidRPr="00596ED3">
              <w:rPr>
                <w:lang w:eastAsia="en-AU"/>
              </w:rPr>
              <w:t> </w:t>
            </w:r>
          </w:p>
        </w:tc>
        <w:tc>
          <w:tcPr>
            <w:tcW w:w="1428" w:type="dxa"/>
            <w:tcBorders>
              <w:top w:val="single" w:sz="4" w:space="0" w:color="auto"/>
              <w:left w:val="single" w:sz="4" w:space="0" w:color="000000"/>
              <w:bottom w:val="single" w:sz="4" w:space="0" w:color="000000"/>
              <w:right w:val="nil"/>
            </w:tcBorders>
            <w:shd w:val="clear" w:color="auto" w:fill="000000"/>
            <w:vAlign w:val="bottom"/>
            <w:hideMark/>
          </w:tcPr>
          <w:p w:rsidR="00A53D7D" w:rsidRPr="00596ED3" w:rsidRDefault="00A53D7D" w:rsidP="005140B4">
            <w:pPr>
              <w:pStyle w:val="Tabletextheading"/>
              <w:rPr>
                <w:lang w:eastAsia="en-AU"/>
              </w:rPr>
            </w:pPr>
            <w:r w:rsidRPr="00596ED3">
              <w:rPr>
                <w:lang w:eastAsia="en-AU"/>
              </w:rPr>
              <w:t>Government</w:t>
            </w:r>
            <w:r w:rsidRPr="00596ED3">
              <w:rPr>
                <w:lang w:eastAsia="en-AU"/>
              </w:rPr>
              <w:br/>
              <w:t xml:space="preserve">Election Commitments </w:t>
            </w:r>
            <w:r w:rsidRPr="00596ED3">
              <w:rPr>
                <w:vertAlign w:val="superscript"/>
                <w:lang w:eastAsia="en-AU"/>
              </w:rPr>
              <w:t>(a)</w:t>
            </w:r>
          </w:p>
        </w:tc>
        <w:tc>
          <w:tcPr>
            <w:tcW w:w="1145" w:type="dxa"/>
            <w:tcBorders>
              <w:top w:val="single" w:sz="4" w:space="0" w:color="auto"/>
              <w:left w:val="single" w:sz="4" w:space="0" w:color="000000"/>
              <w:bottom w:val="single" w:sz="4" w:space="0" w:color="000000"/>
              <w:right w:val="nil"/>
            </w:tcBorders>
            <w:shd w:val="clear" w:color="auto" w:fill="000000"/>
            <w:vAlign w:val="bottom"/>
            <w:hideMark/>
          </w:tcPr>
          <w:p w:rsidR="00A53D7D" w:rsidRPr="00596ED3" w:rsidRDefault="00A53D7D" w:rsidP="005140B4">
            <w:pPr>
              <w:pStyle w:val="Tabletextheading"/>
              <w:rPr>
                <w:lang w:eastAsia="en-AU"/>
              </w:rPr>
            </w:pPr>
            <w:r w:rsidRPr="00596ED3">
              <w:rPr>
                <w:lang w:eastAsia="en-AU"/>
              </w:rPr>
              <w:t xml:space="preserve">Funding </w:t>
            </w:r>
            <w:r w:rsidRPr="00596ED3">
              <w:rPr>
                <w:lang w:eastAsia="en-AU"/>
              </w:rPr>
              <w:br/>
              <w:t>provided up to 2014</w:t>
            </w:r>
            <w:r>
              <w:rPr>
                <w:lang w:eastAsia="en-AU"/>
              </w:rPr>
              <w:noBreakHyphen/>
            </w:r>
            <w:r w:rsidRPr="00596ED3">
              <w:rPr>
                <w:lang w:eastAsia="en-AU"/>
              </w:rPr>
              <w:t xml:space="preserve">15 Budget </w:t>
            </w:r>
            <w:r w:rsidRPr="00596ED3">
              <w:rPr>
                <w:vertAlign w:val="superscript"/>
                <w:lang w:eastAsia="en-AU"/>
              </w:rPr>
              <w:t>(b)</w:t>
            </w:r>
          </w:p>
        </w:tc>
        <w:tc>
          <w:tcPr>
            <w:tcW w:w="1145" w:type="dxa"/>
            <w:tcBorders>
              <w:top w:val="single" w:sz="4" w:space="0" w:color="auto"/>
              <w:left w:val="nil"/>
              <w:bottom w:val="single" w:sz="4" w:space="0" w:color="000000"/>
              <w:right w:val="nil"/>
            </w:tcBorders>
            <w:shd w:val="clear" w:color="auto" w:fill="000000"/>
            <w:vAlign w:val="bottom"/>
            <w:hideMark/>
          </w:tcPr>
          <w:p w:rsidR="00A53D7D" w:rsidRPr="00596ED3" w:rsidRDefault="00A53D7D" w:rsidP="005140B4">
            <w:pPr>
              <w:pStyle w:val="Tabletextheading"/>
              <w:rPr>
                <w:lang w:eastAsia="en-AU"/>
              </w:rPr>
            </w:pPr>
            <w:r w:rsidRPr="00596ED3">
              <w:rPr>
                <w:lang w:eastAsia="en-AU"/>
              </w:rPr>
              <w:t>Funding provided in 2014</w:t>
            </w:r>
            <w:r>
              <w:rPr>
                <w:lang w:eastAsia="en-AU"/>
              </w:rPr>
              <w:noBreakHyphen/>
            </w:r>
            <w:r w:rsidRPr="00596ED3">
              <w:rPr>
                <w:lang w:eastAsia="en-AU"/>
              </w:rPr>
              <w:t xml:space="preserve">15 Budget </w:t>
            </w:r>
            <w:r w:rsidRPr="00596ED3">
              <w:rPr>
                <w:vertAlign w:val="superscript"/>
                <w:lang w:eastAsia="en-AU"/>
              </w:rPr>
              <w:t>(c)</w:t>
            </w:r>
          </w:p>
        </w:tc>
        <w:tc>
          <w:tcPr>
            <w:tcW w:w="1146" w:type="dxa"/>
            <w:tcBorders>
              <w:top w:val="single" w:sz="4" w:space="0" w:color="auto"/>
              <w:left w:val="nil"/>
              <w:bottom w:val="single" w:sz="4" w:space="0" w:color="000000"/>
              <w:right w:val="single" w:sz="4" w:space="0" w:color="auto"/>
            </w:tcBorders>
            <w:shd w:val="clear" w:color="auto" w:fill="000000"/>
            <w:vAlign w:val="bottom"/>
            <w:hideMark/>
          </w:tcPr>
          <w:p w:rsidR="00A53D7D" w:rsidRPr="00596ED3" w:rsidRDefault="00A53D7D" w:rsidP="005140B4">
            <w:pPr>
              <w:pStyle w:val="Tabletextheading"/>
              <w:rPr>
                <w:lang w:eastAsia="en-AU"/>
              </w:rPr>
            </w:pPr>
            <w:r w:rsidRPr="00596ED3">
              <w:rPr>
                <w:lang w:eastAsia="en-AU"/>
              </w:rPr>
              <w:t>Progress as at 2014</w:t>
            </w:r>
            <w:r>
              <w:rPr>
                <w:lang w:eastAsia="en-AU"/>
              </w:rPr>
              <w:noBreakHyphen/>
            </w:r>
            <w:r w:rsidRPr="00596ED3">
              <w:rPr>
                <w:lang w:eastAsia="en-AU"/>
              </w:rPr>
              <w:t>15</w:t>
            </w:r>
            <w:r w:rsidRPr="00596ED3">
              <w:rPr>
                <w:lang w:eastAsia="en-AU"/>
              </w:rPr>
              <w:br/>
              <w:t xml:space="preserve">Budget </w:t>
            </w:r>
            <w:r w:rsidRPr="00596ED3">
              <w:rPr>
                <w:vertAlign w:val="superscript"/>
                <w:lang w:eastAsia="en-AU"/>
              </w:rPr>
              <w:t>(d)</w:t>
            </w:r>
          </w:p>
        </w:tc>
      </w:tr>
      <w:tr w:rsidR="00A53D7D" w:rsidRPr="00596ED3" w:rsidTr="005140B4">
        <w:trPr>
          <w:cantSplit/>
        </w:trPr>
        <w:tc>
          <w:tcPr>
            <w:tcW w:w="2912" w:type="dxa"/>
            <w:tcBorders>
              <w:top w:val="single" w:sz="4" w:space="0" w:color="auto"/>
              <w:left w:val="nil"/>
              <w:bottom w:val="nil"/>
              <w:right w:val="nil"/>
            </w:tcBorders>
            <w:shd w:val="clear" w:color="auto" w:fill="auto"/>
            <w:hideMark/>
          </w:tcPr>
          <w:p w:rsidR="00A53D7D" w:rsidRPr="00596ED3" w:rsidRDefault="00A53D7D" w:rsidP="005140B4">
            <w:pPr>
              <w:pStyle w:val="Tabletext"/>
              <w:rPr>
                <w:rFonts w:cs="Calibri"/>
                <w:b/>
                <w:bCs/>
                <w:lang w:eastAsia="en-AU"/>
              </w:rPr>
            </w:pPr>
            <w:r w:rsidRPr="00596ED3">
              <w:rPr>
                <w:rFonts w:cs="Calibri"/>
                <w:b/>
                <w:bCs/>
                <w:lang w:eastAsia="en-AU"/>
              </w:rPr>
              <w:t>Outputs</w:t>
            </w:r>
          </w:p>
        </w:tc>
        <w:tc>
          <w:tcPr>
            <w:tcW w:w="1428" w:type="dxa"/>
            <w:tcBorders>
              <w:top w:val="single" w:sz="4" w:space="0" w:color="000000"/>
              <w:left w:val="nil"/>
              <w:bottom w:val="nil"/>
            </w:tcBorders>
            <w:shd w:val="clear" w:color="auto" w:fill="auto"/>
            <w:hideMark/>
          </w:tcPr>
          <w:p w:rsidR="00A53D7D" w:rsidRPr="00596ED3" w:rsidRDefault="00A53D7D" w:rsidP="005140B4">
            <w:pPr>
              <w:pStyle w:val="TableofFigures"/>
              <w:rPr>
                <w:b/>
                <w:bCs/>
                <w:lang w:eastAsia="en-AU"/>
              </w:rPr>
            </w:pPr>
            <w:r w:rsidRPr="00596ED3">
              <w:rPr>
                <w:b/>
                <w:bCs/>
                <w:lang w:eastAsia="en-AU"/>
              </w:rPr>
              <w:t> </w:t>
            </w:r>
          </w:p>
        </w:tc>
        <w:tc>
          <w:tcPr>
            <w:tcW w:w="1145" w:type="dxa"/>
            <w:tcBorders>
              <w:top w:val="single" w:sz="4" w:space="0" w:color="auto"/>
              <w:left w:val="nil"/>
              <w:bottom w:val="nil"/>
              <w:right w:val="nil"/>
            </w:tcBorders>
            <w:shd w:val="clear" w:color="auto" w:fill="auto"/>
            <w:hideMark/>
          </w:tcPr>
          <w:p w:rsidR="00A53D7D" w:rsidRPr="00596ED3" w:rsidRDefault="00A53D7D" w:rsidP="005140B4">
            <w:pPr>
              <w:pStyle w:val="TableofFigures"/>
              <w:rPr>
                <w:b/>
                <w:bCs/>
                <w:lang w:eastAsia="en-AU"/>
              </w:rPr>
            </w:pPr>
            <w:r w:rsidRPr="00596ED3">
              <w:rPr>
                <w:b/>
                <w:bCs/>
                <w:lang w:eastAsia="en-AU"/>
              </w:rPr>
              <w:t> </w:t>
            </w:r>
          </w:p>
        </w:tc>
        <w:tc>
          <w:tcPr>
            <w:tcW w:w="1145" w:type="dxa"/>
            <w:tcBorders>
              <w:top w:val="single" w:sz="4" w:space="0" w:color="auto"/>
              <w:left w:val="nil"/>
              <w:bottom w:val="nil"/>
              <w:right w:val="nil"/>
            </w:tcBorders>
            <w:shd w:val="clear" w:color="auto" w:fill="auto"/>
            <w:hideMark/>
          </w:tcPr>
          <w:p w:rsidR="00A53D7D" w:rsidRPr="00596ED3" w:rsidRDefault="00A53D7D" w:rsidP="005140B4">
            <w:pPr>
              <w:pStyle w:val="TableofFigures"/>
              <w:rPr>
                <w:b/>
                <w:bCs/>
                <w:lang w:eastAsia="en-AU"/>
              </w:rPr>
            </w:pPr>
            <w:r w:rsidRPr="00596ED3">
              <w:rPr>
                <w:b/>
                <w:bCs/>
                <w:lang w:eastAsia="en-AU"/>
              </w:rPr>
              <w:t> </w:t>
            </w:r>
          </w:p>
        </w:tc>
        <w:tc>
          <w:tcPr>
            <w:tcW w:w="1146" w:type="dxa"/>
            <w:tcBorders>
              <w:top w:val="single" w:sz="4" w:space="0" w:color="auto"/>
              <w:left w:val="nil"/>
              <w:bottom w:val="nil"/>
              <w:right w:val="nil"/>
            </w:tcBorders>
            <w:shd w:val="clear" w:color="auto" w:fill="auto"/>
            <w:hideMark/>
          </w:tcPr>
          <w:p w:rsidR="00A53D7D" w:rsidRPr="00596ED3" w:rsidRDefault="00A53D7D" w:rsidP="005140B4">
            <w:pPr>
              <w:pStyle w:val="TableofFigures"/>
              <w:rPr>
                <w:b/>
                <w:bCs/>
                <w:lang w:eastAsia="en-AU"/>
              </w:rPr>
            </w:pPr>
            <w:r w:rsidRPr="00596ED3">
              <w:rPr>
                <w:b/>
                <w:bCs/>
                <w:lang w:eastAsia="en-AU"/>
              </w:rPr>
              <w:t> </w:t>
            </w:r>
          </w:p>
        </w:tc>
      </w:tr>
      <w:tr w:rsidR="00A53D7D" w:rsidRPr="00596ED3" w:rsidTr="005140B4">
        <w:trPr>
          <w:cantSplit/>
        </w:trPr>
        <w:tc>
          <w:tcPr>
            <w:tcW w:w="2912" w:type="dxa"/>
            <w:tcBorders>
              <w:top w:val="nil"/>
              <w:left w:val="nil"/>
              <w:bottom w:val="nil"/>
              <w:right w:val="nil"/>
            </w:tcBorders>
            <w:shd w:val="clear" w:color="auto" w:fill="auto"/>
            <w:hideMark/>
          </w:tcPr>
          <w:p w:rsidR="00A53D7D" w:rsidRPr="00596ED3" w:rsidRDefault="00A53D7D" w:rsidP="005140B4">
            <w:pPr>
              <w:pStyle w:val="Tabletext"/>
              <w:rPr>
                <w:rFonts w:cs="Calibri"/>
                <w:lang w:eastAsia="en-AU"/>
              </w:rPr>
            </w:pPr>
            <w:r w:rsidRPr="00596ED3">
              <w:rPr>
                <w:rFonts w:cs="Calibri"/>
                <w:lang w:eastAsia="en-AU"/>
              </w:rPr>
              <w:t xml:space="preserve">Output and revenue initiatives </w:t>
            </w:r>
            <w:r w:rsidRPr="00596ED3">
              <w:rPr>
                <w:rFonts w:cs="Calibri"/>
                <w:vertAlign w:val="superscript"/>
                <w:lang w:eastAsia="en-AU"/>
              </w:rPr>
              <w:t>(e)</w:t>
            </w:r>
          </w:p>
        </w:tc>
        <w:tc>
          <w:tcPr>
            <w:tcW w:w="1428" w:type="dxa"/>
            <w:tcBorders>
              <w:top w:val="nil"/>
              <w:left w:val="nil"/>
              <w:bottom w:val="nil"/>
            </w:tcBorders>
            <w:shd w:val="clear" w:color="auto" w:fill="auto"/>
            <w:hideMark/>
          </w:tcPr>
          <w:p w:rsidR="00A53D7D" w:rsidRPr="00596ED3" w:rsidRDefault="00A53D7D" w:rsidP="005140B4">
            <w:pPr>
              <w:pStyle w:val="TableofFigures"/>
              <w:rPr>
                <w:lang w:eastAsia="en-AU"/>
              </w:rPr>
            </w:pPr>
            <w:r w:rsidRPr="00596ED3">
              <w:rPr>
                <w:lang w:eastAsia="en-AU"/>
              </w:rPr>
              <w:t>5 213.1</w:t>
            </w:r>
          </w:p>
        </w:tc>
        <w:tc>
          <w:tcPr>
            <w:tcW w:w="1145" w:type="dxa"/>
            <w:tcBorders>
              <w:top w:val="nil"/>
              <w:left w:val="nil"/>
              <w:bottom w:val="nil"/>
              <w:right w:val="nil"/>
            </w:tcBorders>
            <w:shd w:val="clear" w:color="auto" w:fill="auto"/>
            <w:hideMark/>
          </w:tcPr>
          <w:p w:rsidR="00A53D7D" w:rsidRPr="00596ED3" w:rsidRDefault="00A53D7D" w:rsidP="005140B4">
            <w:pPr>
              <w:pStyle w:val="TableofFigures"/>
              <w:rPr>
                <w:color w:val="000000"/>
                <w:lang w:eastAsia="en-AU"/>
              </w:rPr>
            </w:pPr>
            <w:r w:rsidRPr="00596ED3">
              <w:rPr>
                <w:color w:val="000000"/>
                <w:lang w:eastAsia="en-AU"/>
              </w:rPr>
              <w:t>5 230.2</w:t>
            </w:r>
          </w:p>
        </w:tc>
        <w:tc>
          <w:tcPr>
            <w:tcW w:w="1145" w:type="dxa"/>
            <w:tcBorders>
              <w:top w:val="nil"/>
              <w:left w:val="nil"/>
              <w:bottom w:val="nil"/>
              <w:right w:val="nil"/>
            </w:tcBorders>
            <w:shd w:val="clear" w:color="auto" w:fill="auto"/>
            <w:hideMark/>
          </w:tcPr>
          <w:p w:rsidR="00A53D7D" w:rsidRPr="00596ED3" w:rsidRDefault="00A53D7D" w:rsidP="005140B4">
            <w:pPr>
              <w:pStyle w:val="TableofFigures"/>
              <w:rPr>
                <w:color w:val="000000"/>
                <w:lang w:eastAsia="en-AU"/>
              </w:rPr>
            </w:pPr>
            <w:r w:rsidRPr="00596ED3">
              <w:rPr>
                <w:color w:val="000000"/>
                <w:lang w:eastAsia="en-AU"/>
              </w:rPr>
              <w:t xml:space="preserve"> 16.5</w:t>
            </w:r>
          </w:p>
        </w:tc>
        <w:tc>
          <w:tcPr>
            <w:tcW w:w="1146" w:type="dxa"/>
            <w:tcBorders>
              <w:top w:val="nil"/>
              <w:left w:val="nil"/>
              <w:bottom w:val="nil"/>
              <w:right w:val="nil"/>
            </w:tcBorders>
            <w:shd w:val="clear" w:color="auto" w:fill="auto"/>
            <w:hideMark/>
          </w:tcPr>
          <w:p w:rsidR="00A53D7D" w:rsidRPr="00596ED3" w:rsidRDefault="00A53D7D" w:rsidP="005140B4">
            <w:pPr>
              <w:pStyle w:val="TableofFigures"/>
              <w:rPr>
                <w:color w:val="000000"/>
                <w:lang w:eastAsia="en-AU"/>
              </w:rPr>
            </w:pPr>
            <w:r w:rsidRPr="00596ED3">
              <w:rPr>
                <w:color w:val="000000"/>
                <w:lang w:eastAsia="en-AU"/>
              </w:rPr>
              <w:t>5 246.7</w:t>
            </w:r>
          </w:p>
        </w:tc>
      </w:tr>
      <w:tr w:rsidR="00A53D7D" w:rsidRPr="00596ED3" w:rsidTr="005140B4">
        <w:trPr>
          <w:cantSplit/>
        </w:trPr>
        <w:tc>
          <w:tcPr>
            <w:tcW w:w="2912" w:type="dxa"/>
            <w:tcBorders>
              <w:top w:val="nil"/>
              <w:left w:val="nil"/>
              <w:right w:val="nil"/>
            </w:tcBorders>
            <w:shd w:val="clear" w:color="auto" w:fill="auto"/>
            <w:hideMark/>
          </w:tcPr>
          <w:p w:rsidR="00A53D7D" w:rsidRPr="00596ED3" w:rsidRDefault="00A53D7D" w:rsidP="005140B4">
            <w:pPr>
              <w:pStyle w:val="Tabletext"/>
              <w:rPr>
                <w:rFonts w:cs="Calibri"/>
                <w:b/>
                <w:bCs/>
                <w:lang w:eastAsia="en-AU"/>
              </w:rPr>
            </w:pPr>
            <w:r w:rsidRPr="00596ED3">
              <w:rPr>
                <w:rFonts w:cs="Calibri"/>
                <w:b/>
                <w:bCs/>
                <w:lang w:eastAsia="en-AU"/>
              </w:rPr>
              <w:t>Assets</w:t>
            </w:r>
          </w:p>
        </w:tc>
        <w:tc>
          <w:tcPr>
            <w:tcW w:w="1428" w:type="dxa"/>
            <w:tcBorders>
              <w:top w:val="nil"/>
              <w:left w:val="nil"/>
            </w:tcBorders>
            <w:shd w:val="clear" w:color="auto" w:fill="auto"/>
            <w:hideMark/>
          </w:tcPr>
          <w:p w:rsidR="00A53D7D" w:rsidRPr="00596ED3" w:rsidRDefault="00A53D7D" w:rsidP="005140B4">
            <w:pPr>
              <w:pStyle w:val="TableofFigures"/>
              <w:rPr>
                <w:b/>
                <w:bCs/>
                <w:lang w:eastAsia="en-AU"/>
              </w:rPr>
            </w:pPr>
          </w:p>
        </w:tc>
        <w:tc>
          <w:tcPr>
            <w:tcW w:w="1145" w:type="dxa"/>
            <w:tcBorders>
              <w:top w:val="nil"/>
              <w:left w:val="nil"/>
              <w:right w:val="nil"/>
            </w:tcBorders>
            <w:shd w:val="clear" w:color="auto" w:fill="auto"/>
            <w:hideMark/>
          </w:tcPr>
          <w:p w:rsidR="00A53D7D" w:rsidRPr="00596ED3" w:rsidRDefault="00A53D7D" w:rsidP="005140B4">
            <w:pPr>
              <w:pStyle w:val="TableofFigures"/>
              <w:rPr>
                <w:b/>
                <w:bCs/>
                <w:lang w:eastAsia="en-AU"/>
              </w:rPr>
            </w:pPr>
            <w:r w:rsidRPr="00596ED3">
              <w:rPr>
                <w:b/>
                <w:bCs/>
                <w:lang w:eastAsia="en-AU"/>
              </w:rPr>
              <w:t> </w:t>
            </w:r>
          </w:p>
        </w:tc>
        <w:tc>
          <w:tcPr>
            <w:tcW w:w="1145" w:type="dxa"/>
            <w:tcBorders>
              <w:top w:val="nil"/>
              <w:left w:val="nil"/>
              <w:right w:val="nil"/>
            </w:tcBorders>
            <w:shd w:val="clear" w:color="auto" w:fill="auto"/>
            <w:hideMark/>
          </w:tcPr>
          <w:p w:rsidR="00A53D7D" w:rsidRPr="00596ED3" w:rsidRDefault="00A53D7D" w:rsidP="005140B4">
            <w:pPr>
              <w:pStyle w:val="TableofFigures"/>
              <w:rPr>
                <w:b/>
                <w:bCs/>
                <w:lang w:eastAsia="en-AU"/>
              </w:rPr>
            </w:pPr>
          </w:p>
        </w:tc>
        <w:tc>
          <w:tcPr>
            <w:tcW w:w="1146" w:type="dxa"/>
            <w:tcBorders>
              <w:top w:val="nil"/>
              <w:left w:val="nil"/>
              <w:right w:val="nil"/>
            </w:tcBorders>
            <w:shd w:val="clear" w:color="auto" w:fill="auto"/>
            <w:hideMark/>
          </w:tcPr>
          <w:p w:rsidR="00A53D7D" w:rsidRPr="00596ED3" w:rsidRDefault="00A53D7D" w:rsidP="005140B4">
            <w:pPr>
              <w:pStyle w:val="TableofFigures"/>
              <w:rPr>
                <w:b/>
                <w:bCs/>
                <w:lang w:eastAsia="en-AU"/>
              </w:rPr>
            </w:pPr>
          </w:p>
        </w:tc>
      </w:tr>
      <w:tr w:rsidR="00A53D7D" w:rsidRPr="00596ED3" w:rsidTr="005140B4">
        <w:trPr>
          <w:cantSplit/>
        </w:trPr>
        <w:tc>
          <w:tcPr>
            <w:tcW w:w="2912" w:type="dxa"/>
            <w:tcBorders>
              <w:top w:val="nil"/>
              <w:left w:val="nil"/>
              <w:bottom w:val="single" w:sz="12" w:space="0" w:color="000000"/>
              <w:right w:val="nil"/>
            </w:tcBorders>
            <w:shd w:val="clear" w:color="auto" w:fill="auto"/>
            <w:hideMark/>
          </w:tcPr>
          <w:p w:rsidR="00A53D7D" w:rsidRPr="00596ED3" w:rsidRDefault="00A53D7D" w:rsidP="005140B4">
            <w:pPr>
              <w:pStyle w:val="Tabletext"/>
              <w:rPr>
                <w:rFonts w:cs="Calibri"/>
                <w:lang w:eastAsia="en-AU"/>
              </w:rPr>
            </w:pPr>
            <w:r w:rsidRPr="00596ED3">
              <w:rPr>
                <w:rFonts w:cs="Calibri"/>
                <w:lang w:eastAsia="en-AU"/>
              </w:rPr>
              <w:t xml:space="preserve">Asset initiatives </w:t>
            </w:r>
            <w:r w:rsidRPr="00596ED3">
              <w:rPr>
                <w:rFonts w:cs="Calibri"/>
                <w:vertAlign w:val="superscript"/>
                <w:lang w:eastAsia="en-AU"/>
              </w:rPr>
              <w:t>(f)</w:t>
            </w:r>
          </w:p>
        </w:tc>
        <w:tc>
          <w:tcPr>
            <w:tcW w:w="1428" w:type="dxa"/>
            <w:tcBorders>
              <w:top w:val="nil"/>
              <w:left w:val="nil"/>
              <w:bottom w:val="single" w:sz="12" w:space="0" w:color="000000"/>
            </w:tcBorders>
            <w:shd w:val="clear" w:color="auto" w:fill="auto"/>
            <w:hideMark/>
          </w:tcPr>
          <w:p w:rsidR="00A53D7D" w:rsidRPr="00596ED3" w:rsidRDefault="00A53D7D" w:rsidP="005140B4">
            <w:pPr>
              <w:pStyle w:val="TableofFigures"/>
              <w:rPr>
                <w:lang w:eastAsia="en-AU"/>
              </w:rPr>
            </w:pPr>
            <w:r w:rsidRPr="00596ED3">
              <w:rPr>
                <w:lang w:eastAsia="en-AU"/>
              </w:rPr>
              <w:t>2 403.6</w:t>
            </w:r>
          </w:p>
        </w:tc>
        <w:tc>
          <w:tcPr>
            <w:tcW w:w="1145" w:type="dxa"/>
            <w:tcBorders>
              <w:top w:val="nil"/>
              <w:left w:val="nil"/>
              <w:bottom w:val="single" w:sz="12" w:space="0" w:color="000000"/>
              <w:right w:val="nil"/>
            </w:tcBorders>
            <w:shd w:val="clear" w:color="auto" w:fill="auto"/>
            <w:hideMark/>
          </w:tcPr>
          <w:p w:rsidR="00A53D7D" w:rsidRPr="00596ED3" w:rsidRDefault="00A53D7D" w:rsidP="005140B4">
            <w:pPr>
              <w:pStyle w:val="TableofFigures"/>
              <w:rPr>
                <w:color w:val="000000"/>
                <w:lang w:eastAsia="en-AU"/>
              </w:rPr>
            </w:pPr>
            <w:r w:rsidRPr="00596ED3">
              <w:rPr>
                <w:color w:val="000000"/>
                <w:lang w:eastAsia="en-AU"/>
              </w:rPr>
              <w:t>3 279.6</w:t>
            </w:r>
          </w:p>
        </w:tc>
        <w:tc>
          <w:tcPr>
            <w:tcW w:w="1145" w:type="dxa"/>
            <w:tcBorders>
              <w:top w:val="nil"/>
              <w:left w:val="nil"/>
              <w:bottom w:val="single" w:sz="12" w:space="0" w:color="000000"/>
              <w:right w:val="nil"/>
            </w:tcBorders>
            <w:shd w:val="clear" w:color="auto" w:fill="auto"/>
            <w:hideMark/>
          </w:tcPr>
          <w:p w:rsidR="00A53D7D" w:rsidRPr="00596ED3" w:rsidRDefault="00A53D7D" w:rsidP="005140B4">
            <w:pPr>
              <w:pStyle w:val="TableofFigures"/>
              <w:rPr>
                <w:color w:val="000000"/>
                <w:lang w:eastAsia="en-AU"/>
              </w:rPr>
            </w:pPr>
            <w:r w:rsidRPr="00596ED3">
              <w:rPr>
                <w:color w:val="000000"/>
                <w:lang w:eastAsia="en-AU"/>
              </w:rPr>
              <w:t xml:space="preserve"> 165.7</w:t>
            </w:r>
          </w:p>
        </w:tc>
        <w:tc>
          <w:tcPr>
            <w:tcW w:w="1146" w:type="dxa"/>
            <w:tcBorders>
              <w:top w:val="nil"/>
              <w:left w:val="nil"/>
              <w:bottom w:val="single" w:sz="12" w:space="0" w:color="000000"/>
              <w:right w:val="nil"/>
            </w:tcBorders>
            <w:shd w:val="clear" w:color="auto" w:fill="auto"/>
            <w:hideMark/>
          </w:tcPr>
          <w:p w:rsidR="00A53D7D" w:rsidRPr="00596ED3" w:rsidRDefault="00A53D7D" w:rsidP="005140B4">
            <w:pPr>
              <w:pStyle w:val="TableofFigures"/>
              <w:rPr>
                <w:color w:val="000000"/>
                <w:lang w:eastAsia="en-AU"/>
              </w:rPr>
            </w:pPr>
            <w:r w:rsidRPr="00596ED3">
              <w:rPr>
                <w:color w:val="000000"/>
                <w:lang w:eastAsia="en-AU"/>
              </w:rPr>
              <w:t>3 445.3</w:t>
            </w:r>
          </w:p>
        </w:tc>
      </w:tr>
    </w:tbl>
    <w:p w:rsidR="00A53D7D" w:rsidRPr="00596ED3" w:rsidRDefault="00A53D7D" w:rsidP="005140B4">
      <w:pPr>
        <w:pStyle w:val="Source"/>
      </w:pPr>
      <w:r w:rsidRPr="00596ED3">
        <w:t xml:space="preserve">Source: Department of Treasury and Finance </w:t>
      </w:r>
      <w:r w:rsidRPr="00596ED3">
        <w:fldChar w:fldCharType="begin"/>
      </w:r>
      <w:r w:rsidRPr="00596ED3">
        <w:instrText xml:space="preserve"> XE "Summary of progress against Government election commitments" </w:instrText>
      </w:r>
      <w:r w:rsidRPr="00596ED3">
        <w:fldChar w:fldCharType="end"/>
      </w:r>
    </w:p>
    <w:p w:rsidR="00A53D7D" w:rsidRPr="00596ED3" w:rsidRDefault="00A53D7D" w:rsidP="005140B4">
      <w:pPr>
        <w:pStyle w:val="Notes"/>
        <w:rPr>
          <w:rFonts w:asciiTheme="minorHAnsi" w:hAnsiTheme="minorHAnsi" w:cstheme="minorHAnsi"/>
        </w:rPr>
      </w:pPr>
      <w:r w:rsidRPr="00596ED3">
        <w:rPr>
          <w:rFonts w:asciiTheme="minorHAnsi" w:hAnsiTheme="minorHAnsi" w:cstheme="minorHAnsi"/>
        </w:rPr>
        <w:t xml:space="preserve">Notes: </w:t>
      </w:r>
    </w:p>
    <w:p w:rsidR="00A53D7D" w:rsidRPr="00596ED3" w:rsidRDefault="00A53D7D" w:rsidP="005140B4">
      <w:pPr>
        <w:pStyle w:val="Notes"/>
        <w:rPr>
          <w:rFonts w:asciiTheme="minorHAnsi" w:hAnsiTheme="minorHAnsi" w:cstheme="minorHAnsi"/>
        </w:rPr>
      </w:pPr>
      <w:r w:rsidRPr="00596ED3">
        <w:rPr>
          <w:rFonts w:asciiTheme="minorHAnsi" w:hAnsiTheme="minorHAnsi" w:cstheme="minorHAnsi"/>
        </w:rPr>
        <w:t>(a)</w:t>
      </w:r>
      <w:r w:rsidRPr="00596ED3">
        <w:rPr>
          <w:rFonts w:asciiTheme="minorHAnsi" w:hAnsiTheme="minorHAnsi" w:cstheme="minorHAnsi"/>
        </w:rPr>
        <w:tab/>
        <w:t>Government Election Commitments refers to the Liberal Nationals Coalition 2010 Election Commitments document.</w:t>
      </w:r>
    </w:p>
    <w:p w:rsidR="00A53D7D" w:rsidRPr="00596ED3" w:rsidRDefault="00A53D7D" w:rsidP="005140B4">
      <w:pPr>
        <w:pStyle w:val="Notes"/>
        <w:rPr>
          <w:rFonts w:asciiTheme="minorHAnsi" w:hAnsiTheme="minorHAnsi" w:cstheme="minorHAnsi"/>
        </w:rPr>
      </w:pPr>
      <w:r w:rsidRPr="00596ED3">
        <w:rPr>
          <w:rFonts w:asciiTheme="minorHAnsi" w:hAnsiTheme="minorHAnsi" w:cstheme="minorHAnsi"/>
        </w:rPr>
        <w:t>(b)</w:t>
      </w:r>
      <w:r w:rsidRPr="00596ED3">
        <w:rPr>
          <w:rFonts w:asciiTheme="minorHAnsi" w:hAnsiTheme="minorHAnsi" w:cstheme="minorHAnsi"/>
        </w:rPr>
        <w:tab/>
        <w:t xml:space="preserve">Total includes estimated funding for asset election commitments announced up to and including the </w:t>
      </w:r>
      <w:r w:rsidRPr="00596ED3">
        <w:rPr>
          <w:rFonts w:asciiTheme="minorHAnsi" w:hAnsiTheme="minorHAnsi" w:cstheme="minorHAnsi"/>
          <w:i w:val="0"/>
        </w:rPr>
        <w:t>2013</w:t>
      </w:r>
      <w:r>
        <w:rPr>
          <w:rFonts w:asciiTheme="minorHAnsi" w:hAnsiTheme="minorHAnsi" w:cstheme="minorHAnsi"/>
          <w:i w:val="0"/>
        </w:rPr>
        <w:noBreakHyphen/>
      </w:r>
      <w:r w:rsidRPr="00596ED3">
        <w:rPr>
          <w:rFonts w:asciiTheme="minorHAnsi" w:hAnsiTheme="minorHAnsi" w:cstheme="minorHAnsi"/>
          <w:i w:val="0"/>
        </w:rPr>
        <w:t>14 Budget Update</w:t>
      </w:r>
      <w:r w:rsidRPr="00596ED3">
        <w:rPr>
          <w:rFonts w:asciiTheme="minorHAnsi" w:hAnsiTheme="minorHAnsi" w:cstheme="minorHAnsi"/>
        </w:rPr>
        <w:t>. The funding estimates for some initiatives may be updated on completion of tender processes.</w:t>
      </w:r>
    </w:p>
    <w:p w:rsidR="00A53D7D" w:rsidRPr="00596ED3" w:rsidRDefault="00A53D7D" w:rsidP="005140B4">
      <w:pPr>
        <w:pStyle w:val="Notes"/>
        <w:rPr>
          <w:rFonts w:asciiTheme="minorHAnsi" w:hAnsiTheme="minorHAnsi" w:cstheme="minorHAnsi"/>
        </w:rPr>
      </w:pPr>
      <w:r w:rsidRPr="00596ED3">
        <w:rPr>
          <w:rFonts w:asciiTheme="minorHAnsi" w:hAnsiTheme="minorHAnsi" w:cstheme="minorHAnsi"/>
        </w:rPr>
        <w:t>(c)</w:t>
      </w:r>
      <w:r w:rsidRPr="00596ED3">
        <w:rPr>
          <w:rFonts w:asciiTheme="minorHAnsi" w:hAnsiTheme="minorHAnsi" w:cstheme="minorHAnsi"/>
        </w:rPr>
        <w:tab/>
        <w:t>The asset initiatives total excludes funding commitment for Box Hill to Ringwood bikeway as the funding amount is yet to be confirmed. The final costing for the remaining 25 trains is included as part of the Cranbourne</w:t>
      </w:r>
      <w:r>
        <w:rPr>
          <w:rFonts w:asciiTheme="minorHAnsi" w:hAnsiTheme="minorHAnsi" w:cstheme="minorHAnsi"/>
        </w:rPr>
        <w:noBreakHyphen/>
      </w:r>
      <w:r w:rsidRPr="00596ED3">
        <w:rPr>
          <w:rFonts w:asciiTheme="minorHAnsi" w:hAnsiTheme="minorHAnsi" w:cstheme="minorHAnsi"/>
        </w:rPr>
        <w:t>Pakenham Rail Corridor project.</w:t>
      </w:r>
      <w:r w:rsidRPr="00596ED3">
        <w:rPr>
          <w:rFonts w:asciiTheme="minorHAnsi" w:hAnsiTheme="minorHAnsi" w:cstheme="minorHAnsi"/>
        </w:rPr>
        <w:fldChar w:fldCharType="begin"/>
      </w:r>
      <w:r w:rsidRPr="00596ED3">
        <w:rPr>
          <w:rFonts w:asciiTheme="minorHAnsi" w:hAnsiTheme="minorHAnsi" w:cstheme="minorHAnsi"/>
        </w:rPr>
        <w:instrText xml:space="preserve"> XE </w:instrText>
      </w:r>
      <w:r>
        <w:instrText>"</w:instrText>
      </w:r>
      <w:r w:rsidRPr="00596ED3">
        <w:rPr>
          <w:rFonts w:asciiTheme="minorHAnsi" w:hAnsiTheme="minorHAnsi" w:cstheme="minorHAnsi"/>
        </w:rPr>
        <w:instrText>Cranbourne</w:instrText>
      </w:r>
      <w:r>
        <w:rPr>
          <w:rFonts w:asciiTheme="minorHAnsi" w:hAnsiTheme="minorHAnsi" w:cstheme="minorHAnsi"/>
        </w:rPr>
        <w:noBreakHyphen/>
      </w:r>
      <w:r w:rsidRPr="00596ED3">
        <w:rPr>
          <w:rFonts w:asciiTheme="minorHAnsi" w:hAnsiTheme="minorHAnsi" w:cstheme="minorHAnsi"/>
        </w:rPr>
        <w:instrText>Pakenham Rail Corridor project</w:instrText>
      </w:r>
      <w:r>
        <w:instrText>"</w:instrText>
      </w:r>
      <w:r w:rsidRPr="00596ED3">
        <w:rPr>
          <w:rFonts w:asciiTheme="minorHAnsi" w:hAnsiTheme="minorHAnsi" w:cstheme="minorHAnsi"/>
        </w:rPr>
        <w:instrText xml:space="preserve"> </w:instrText>
      </w:r>
      <w:r w:rsidRPr="00596ED3">
        <w:rPr>
          <w:rFonts w:asciiTheme="minorHAnsi" w:hAnsiTheme="minorHAnsi" w:cstheme="minorHAnsi"/>
        </w:rPr>
        <w:fldChar w:fldCharType="end"/>
      </w:r>
    </w:p>
    <w:p w:rsidR="00A53D7D" w:rsidRPr="00596ED3" w:rsidRDefault="00A53D7D" w:rsidP="005140B4">
      <w:pPr>
        <w:pStyle w:val="Notes"/>
        <w:rPr>
          <w:rFonts w:asciiTheme="minorHAnsi" w:hAnsiTheme="minorHAnsi" w:cstheme="minorHAnsi"/>
        </w:rPr>
      </w:pPr>
      <w:r w:rsidRPr="00596ED3">
        <w:rPr>
          <w:rFonts w:asciiTheme="minorHAnsi" w:hAnsiTheme="minorHAnsi" w:cstheme="minorHAnsi"/>
        </w:rPr>
        <w:t>(d)</w:t>
      </w:r>
      <w:r w:rsidRPr="00596ED3">
        <w:rPr>
          <w:rFonts w:asciiTheme="minorHAnsi" w:hAnsiTheme="minorHAnsi" w:cstheme="minorHAnsi"/>
        </w:rPr>
        <w:tab/>
        <w:t>Total includes adjustments to funding as a result of changes to policy parameters, such as bringing forward the timing of election commitments and delivery of services beyond the scope of the Government election commitments.</w:t>
      </w:r>
    </w:p>
    <w:p w:rsidR="00A53D7D" w:rsidRPr="00596ED3" w:rsidRDefault="00A53D7D" w:rsidP="005140B4">
      <w:pPr>
        <w:pStyle w:val="Notes"/>
        <w:rPr>
          <w:rFonts w:asciiTheme="minorHAnsi" w:hAnsiTheme="minorHAnsi" w:cstheme="minorHAnsi"/>
        </w:rPr>
      </w:pPr>
      <w:r w:rsidRPr="00596ED3">
        <w:rPr>
          <w:rFonts w:asciiTheme="minorHAnsi" w:hAnsiTheme="minorHAnsi" w:cstheme="minorHAnsi"/>
        </w:rPr>
        <w:t>(e)</w:t>
      </w:r>
      <w:r w:rsidRPr="00596ED3">
        <w:rPr>
          <w:rFonts w:asciiTheme="minorHAnsi" w:hAnsiTheme="minorHAnsi" w:cstheme="minorHAnsi"/>
        </w:rPr>
        <w:tab/>
        <w:t>Includes revenue and savings initiatives.</w:t>
      </w:r>
    </w:p>
    <w:p w:rsidR="00A53D7D" w:rsidRPr="001A448F" w:rsidRDefault="00A53D7D" w:rsidP="005140B4">
      <w:pPr>
        <w:pStyle w:val="Notes"/>
        <w:rPr>
          <w:rFonts w:asciiTheme="minorHAnsi" w:hAnsiTheme="minorHAnsi" w:cstheme="minorHAnsi"/>
        </w:rPr>
      </w:pPr>
      <w:r w:rsidRPr="00596ED3">
        <w:rPr>
          <w:rFonts w:asciiTheme="minorHAnsi" w:hAnsiTheme="minorHAnsi" w:cstheme="minorHAnsi"/>
        </w:rPr>
        <w:t>(f)</w:t>
      </w:r>
      <w:r w:rsidRPr="00596ED3">
        <w:rPr>
          <w:rFonts w:asciiTheme="minorHAnsi" w:hAnsiTheme="minorHAnsi" w:cstheme="minorHAnsi"/>
        </w:rPr>
        <w:tab/>
        <w:t>Includes relevant savings as specified within the Government election commitments.</w:t>
      </w:r>
    </w:p>
    <w:p w:rsidR="00A53D7D" w:rsidRDefault="00A53D7D" w:rsidP="005140B4">
      <w:pPr>
        <w:pStyle w:val="Notes"/>
      </w:pPr>
    </w:p>
    <w:p w:rsidR="00A53D7D" w:rsidRPr="005F4A60" w:rsidRDefault="00A53D7D" w:rsidP="005140B4"/>
    <w:p w:rsidR="00A53D7D" w:rsidRDefault="00A53D7D" w:rsidP="00497606"/>
    <w:p w:rsidR="00A53D7D" w:rsidRDefault="00A53D7D" w:rsidP="004463C6">
      <w:pPr>
        <w:sectPr w:rsidR="00A53D7D" w:rsidSect="00CD2017">
          <w:footerReference w:type="even" r:id="rId19"/>
          <w:footerReference w:type="default" r:id="rId20"/>
          <w:type w:val="oddPage"/>
          <w:pgSz w:w="9979" w:h="14181" w:code="138"/>
          <w:pgMar w:top="1140" w:right="1140" w:bottom="1140" w:left="1140" w:header="720" w:footer="431" w:gutter="0"/>
          <w:pgNumType w:start="1"/>
          <w:cols w:space="708"/>
          <w:docGrid w:linePitch="360"/>
        </w:sectPr>
      </w:pPr>
    </w:p>
    <w:p w:rsidR="00A53D7D" w:rsidRPr="00807209" w:rsidRDefault="00A53D7D" w:rsidP="00CD2017">
      <w:pPr>
        <w:pStyle w:val="ChapterHeading"/>
      </w:pPr>
      <w:bookmarkStart w:id="66" w:name="_Toc386364074"/>
      <w:bookmarkStart w:id="67" w:name="_Toc386541215"/>
      <w:bookmarkStart w:id="68" w:name="_Toc407116907"/>
      <w:r w:rsidRPr="00CD2017">
        <w:t>Chapter</w:t>
      </w:r>
      <w:r>
        <w:rPr>
          <w:caps w:val="0"/>
        </w:rPr>
        <w:t xml:space="preserve"> </w:t>
      </w:r>
      <w:r>
        <w:t>2 – Departmental performance statements</w:t>
      </w:r>
      <w:bookmarkEnd w:id="66"/>
      <w:bookmarkEnd w:id="67"/>
      <w:bookmarkEnd w:id="68"/>
    </w:p>
    <w:p w:rsidR="00A53D7D" w:rsidRDefault="00A53D7D" w:rsidP="005140B4">
      <w:r>
        <w:t>This chapter presents departmental performance statements that describe the objectives and associated performance indicators departments seek to achieve over the medium term, and the goods and services (outputs) departments are being funded to deliver these objectives.</w:t>
      </w:r>
    </w:p>
    <w:p w:rsidR="00A53D7D" w:rsidRDefault="00A53D7D" w:rsidP="005140B4">
      <w:r>
        <w:t xml:space="preserve">Chapter 1 of </w:t>
      </w:r>
      <w:r w:rsidRPr="00C50680">
        <w:rPr>
          <w:i/>
        </w:rPr>
        <w:t>Budget Paper No. 3</w:t>
      </w:r>
      <w:r w:rsidRPr="001D7481">
        <w:t xml:space="preserve"> </w:t>
      </w:r>
      <w:r>
        <w:t>describes the new initiatives that will be funded in 2014</w:t>
      </w:r>
      <w:r>
        <w:noBreakHyphen/>
        <w:t>15 and makes links with the base funding departments receive for ongoing programs. The departmental performance statements published in this chapter describe the services delivered by Government and, where relevant, have been updated to reflect the new initiatives in Chapter 1.</w:t>
      </w:r>
    </w:p>
    <w:p w:rsidR="00A53D7D" w:rsidRDefault="00A53D7D" w:rsidP="005140B4">
      <w:r>
        <w:t xml:space="preserve">Performance measures for each output are divided into Quality, Quantity, </w:t>
      </w:r>
      <w:proofErr w:type="gramStart"/>
      <w:r>
        <w:t>Timeliness</w:t>
      </w:r>
      <w:proofErr w:type="gramEnd"/>
      <w:r>
        <w:t xml:space="preserve"> and Cost categories. The performance measures collectively describe the services being delivered and how they are measured. The 2014</w:t>
      </w:r>
      <w:r>
        <w:noBreakHyphen/>
        <w:t>15 Target articulates what the Government seeks or expects to achieve in the coming year. Each measure also provides the 2012</w:t>
      </w:r>
      <w:r>
        <w:noBreakHyphen/>
        <w:t>13 Actual Outcome, the 2013</w:t>
      </w:r>
      <w:r>
        <w:noBreakHyphen/>
        <w:t>14 Target and the 2013</w:t>
      </w:r>
      <w:r>
        <w:noBreakHyphen/>
        <w:t>14 Expected Outcome. This allows assessment of a department’s performance over the previous periods.</w:t>
      </w:r>
    </w:p>
    <w:p w:rsidR="00A53D7D" w:rsidRDefault="00A53D7D" w:rsidP="005140B4">
      <w:r>
        <w:t xml:space="preserve">As referenced in the </w:t>
      </w:r>
      <w:r w:rsidRPr="001D7481">
        <w:rPr>
          <w:i/>
        </w:rPr>
        <w:t>2013</w:t>
      </w:r>
      <w:r>
        <w:rPr>
          <w:i/>
        </w:rPr>
        <w:noBreakHyphen/>
      </w:r>
      <w:r w:rsidRPr="001D7481">
        <w:rPr>
          <w:i/>
        </w:rPr>
        <w:t>14 Budget</w:t>
      </w:r>
      <w:r>
        <w:t xml:space="preserve"> papers, from July 2013, machinery of government changes resulted in the movement of outputs across departments. Those departments affected have since reviewed </w:t>
      </w:r>
      <w:r w:rsidRPr="00A56408">
        <w:t>and amended their output structures to ensure the suite of outputs coherently reflects the</w:t>
      </w:r>
      <w:r>
        <w:t xml:space="preserve"> activities of the </w:t>
      </w:r>
      <w:r w:rsidR="00B5132D">
        <w:t>d</w:t>
      </w:r>
      <w:r>
        <w:t xml:space="preserve">epartment. </w:t>
      </w:r>
    </w:p>
    <w:p w:rsidR="00A53D7D" w:rsidRDefault="00A53D7D">
      <w:pPr>
        <w:spacing w:after="0"/>
        <w:rPr>
          <w:rFonts w:ascii="Calibri" w:hAnsi="Calibri"/>
          <w:b/>
          <w:kern w:val="28"/>
          <w:sz w:val="26"/>
          <w:szCs w:val="22"/>
        </w:rPr>
      </w:pPr>
      <w:r>
        <w:br w:type="page"/>
      </w:r>
    </w:p>
    <w:p w:rsidR="00A53D7D" w:rsidRDefault="00A53D7D" w:rsidP="005140B4">
      <w:pPr>
        <w:pStyle w:val="Heading2"/>
      </w:pPr>
      <w:r>
        <w:t>Output movements as a result of legislative changes</w:t>
      </w:r>
    </w:p>
    <w:p w:rsidR="00A53D7D" w:rsidRDefault="00A53D7D" w:rsidP="005140B4">
      <w:r w:rsidRPr="003E7280">
        <w:t xml:space="preserve">The </w:t>
      </w:r>
      <w:r w:rsidRPr="003E7280">
        <w:rPr>
          <w:i/>
        </w:rPr>
        <w:t>Court Services Victoria Act 2014</w:t>
      </w:r>
      <w:r w:rsidRPr="003E7280">
        <w:t xml:space="preserve"> establishes Court Services Victoria (CSV) as a new body corporate to provide, or arrange for the provision of, the administrative services and facilities necessary or desirable to support the functions of the Victorian courts, the Victorian Ci</w:t>
      </w:r>
      <w:r>
        <w:t>vil and Administrative Tribunal</w:t>
      </w:r>
      <w:r w:rsidRPr="003E7280">
        <w:t xml:space="preserve"> and the Judicial College of Vict</w:t>
      </w:r>
      <w:r>
        <w:t xml:space="preserve">oria. </w:t>
      </w:r>
      <w:r w:rsidRPr="003E7280">
        <w:t xml:space="preserve">Consistent with the object of the Act, it is appropriate that the </w:t>
      </w:r>
      <w:r w:rsidRPr="00A56408">
        <w:t>Courts output be contained in a separate section of the 2014</w:t>
      </w:r>
      <w:r>
        <w:noBreakHyphen/>
      </w:r>
      <w:r w:rsidRPr="00A56408">
        <w:t>15 Budget Papers. Accordingly, the</w:t>
      </w:r>
      <w:r w:rsidRPr="008047C5">
        <w:t xml:space="preserve"> </w:t>
      </w:r>
      <w:r w:rsidRPr="003E7280">
        <w:t>output has moved from the Department of Justice.</w:t>
      </w:r>
    </w:p>
    <w:p w:rsidR="00A53D7D" w:rsidRPr="003E7280" w:rsidRDefault="00A53D7D" w:rsidP="005140B4">
      <w:r w:rsidRPr="003E7280">
        <w:t>Footnotes are included</w:t>
      </w:r>
      <w:r>
        <w:t xml:space="preserve"> throughout the chapter</w:t>
      </w:r>
      <w:r w:rsidRPr="003E7280">
        <w:t xml:space="preserve"> for the output and performance measures that have moved as a result of this </w:t>
      </w:r>
      <w:r>
        <w:t>reform.</w:t>
      </w:r>
    </w:p>
    <w:p w:rsidR="00A53D7D" w:rsidRDefault="00A53D7D" w:rsidP="005140B4">
      <w:pPr>
        <w:pStyle w:val="Tableheading"/>
      </w:pPr>
      <w:r>
        <w:t>Table 2.1:</w:t>
      </w:r>
      <w:r>
        <w:tab/>
        <w:t>Changes to outputs by department</w:t>
      </w:r>
    </w:p>
    <w:p w:rsidR="00A53D7D" w:rsidRDefault="00A53D7D" w:rsidP="005140B4">
      <w:r>
        <w:t>Table </w:t>
      </w:r>
      <w:r w:rsidRPr="00A95B85">
        <w:t xml:space="preserve">2.1 reflects the recent </w:t>
      </w:r>
      <w:r w:rsidRPr="00A56408">
        <w:t>legislative</w:t>
      </w:r>
      <w:r w:rsidRPr="008047C5">
        <w:t xml:space="preserve"> </w:t>
      </w:r>
      <w:r w:rsidRPr="00A95B85">
        <w:t xml:space="preserve">changes and shows that across government, outputs have </w:t>
      </w:r>
      <w:r w:rsidRPr="00F5490D">
        <w:t>increased</w:t>
      </w:r>
      <w:r w:rsidRPr="00A95B85">
        <w:t xml:space="preserve"> by </w:t>
      </w:r>
      <w:r w:rsidRPr="00F5490D">
        <w:t>one</w:t>
      </w:r>
      <w:r w:rsidRPr="00A95B85">
        <w:t xml:space="preserve"> from 116 in 201</w:t>
      </w:r>
      <w:r>
        <w:t>3</w:t>
      </w:r>
      <w:r>
        <w:noBreakHyphen/>
      </w:r>
      <w:r w:rsidRPr="00A95B85">
        <w:t>1</w:t>
      </w:r>
      <w:r>
        <w:t>4</w:t>
      </w:r>
      <w:r w:rsidRPr="00A95B85">
        <w:t xml:space="preserve"> to </w:t>
      </w:r>
      <w:r w:rsidRPr="00F5490D">
        <w:t>117</w:t>
      </w:r>
      <w:r w:rsidRPr="00A95B85">
        <w:t xml:space="preserve"> in 201</w:t>
      </w:r>
      <w:r>
        <w:t>4</w:t>
      </w:r>
      <w:r>
        <w:noBreakHyphen/>
      </w:r>
      <w:r w:rsidRPr="00A95B85">
        <w:t>1</w:t>
      </w:r>
      <w:r>
        <w:t>5.</w:t>
      </w:r>
    </w:p>
    <w:tbl>
      <w:tblPr>
        <w:tblW w:w="7811" w:type="dxa"/>
        <w:tblInd w:w="29" w:type="dxa"/>
        <w:tblLayout w:type="fixed"/>
        <w:tblCellMar>
          <w:left w:w="43" w:type="dxa"/>
          <w:right w:w="43" w:type="dxa"/>
        </w:tblCellMar>
        <w:tblLook w:val="04A0" w:firstRow="1" w:lastRow="0" w:firstColumn="1" w:lastColumn="0" w:noHBand="0" w:noVBand="1"/>
      </w:tblPr>
      <w:tblGrid>
        <w:gridCol w:w="3558"/>
        <w:gridCol w:w="1054"/>
        <w:gridCol w:w="1055"/>
        <w:gridCol w:w="1010"/>
        <w:gridCol w:w="1134"/>
      </w:tblGrid>
      <w:tr w:rsidR="00A53D7D" w:rsidRPr="00A93A6A" w:rsidTr="005140B4">
        <w:trPr>
          <w:cantSplit/>
        </w:trPr>
        <w:tc>
          <w:tcPr>
            <w:tcW w:w="3558" w:type="dxa"/>
            <w:tcBorders>
              <w:top w:val="single" w:sz="12" w:space="0" w:color="FFFFFF" w:themeColor="background1"/>
              <w:left w:val="single" w:sz="12" w:space="0" w:color="FFFFFF" w:themeColor="background1"/>
              <w:bottom w:val="single" w:sz="4" w:space="0" w:color="auto"/>
            </w:tcBorders>
            <w:shd w:val="clear" w:color="auto" w:fill="000000"/>
          </w:tcPr>
          <w:p w:rsidR="00A53D7D" w:rsidRDefault="00A53D7D" w:rsidP="005140B4">
            <w:pPr>
              <w:pStyle w:val="Tabletext"/>
            </w:pPr>
          </w:p>
          <w:p w:rsidR="00A53D7D" w:rsidRPr="00EC6ECC" w:rsidRDefault="00A53D7D" w:rsidP="005140B4">
            <w:pPr>
              <w:pStyle w:val="Tabletext"/>
            </w:pPr>
            <w:r w:rsidRPr="00EC6ECC">
              <w:t>Department</w:t>
            </w:r>
          </w:p>
        </w:tc>
        <w:tc>
          <w:tcPr>
            <w:tcW w:w="1054" w:type="dxa"/>
            <w:tcBorders>
              <w:top w:val="single" w:sz="12" w:space="0" w:color="FFFFFF" w:themeColor="background1"/>
              <w:bottom w:val="single" w:sz="4" w:space="0" w:color="auto"/>
            </w:tcBorders>
            <w:shd w:val="clear" w:color="auto" w:fill="000000"/>
          </w:tcPr>
          <w:p w:rsidR="00A53D7D" w:rsidRPr="00EC6ECC" w:rsidRDefault="00A53D7D" w:rsidP="005140B4">
            <w:pPr>
              <w:pStyle w:val="Tabletextheading"/>
            </w:pPr>
            <w:r w:rsidRPr="00EC6ECC">
              <w:t>Outputs 201</w:t>
            </w:r>
            <w:r>
              <w:t>3</w:t>
            </w:r>
            <w:r>
              <w:noBreakHyphen/>
            </w:r>
            <w:r w:rsidRPr="00EC6ECC">
              <w:t>1</w:t>
            </w:r>
            <w:r>
              <w:t>4</w:t>
            </w:r>
          </w:p>
        </w:tc>
        <w:tc>
          <w:tcPr>
            <w:tcW w:w="1055" w:type="dxa"/>
            <w:tcBorders>
              <w:top w:val="single" w:sz="12" w:space="0" w:color="FFFFFF" w:themeColor="background1"/>
              <w:bottom w:val="single" w:sz="4" w:space="0" w:color="auto"/>
            </w:tcBorders>
            <w:shd w:val="clear" w:color="auto" w:fill="000000"/>
          </w:tcPr>
          <w:p w:rsidR="00A53D7D" w:rsidRPr="00EC6ECC" w:rsidRDefault="00A53D7D" w:rsidP="005140B4">
            <w:pPr>
              <w:pStyle w:val="Tabletextheading"/>
            </w:pPr>
            <w:r w:rsidRPr="00EC6ECC">
              <w:t>Outputs 201</w:t>
            </w:r>
            <w:r>
              <w:t>4</w:t>
            </w:r>
            <w:r>
              <w:noBreakHyphen/>
            </w:r>
            <w:r w:rsidRPr="00EC6ECC">
              <w:t>1</w:t>
            </w:r>
            <w:r>
              <w:t>5</w:t>
            </w:r>
          </w:p>
        </w:tc>
        <w:tc>
          <w:tcPr>
            <w:tcW w:w="1010" w:type="dxa"/>
            <w:tcBorders>
              <w:top w:val="single" w:sz="12" w:space="0" w:color="FFFFFF" w:themeColor="background1"/>
              <w:bottom w:val="single" w:sz="4" w:space="0" w:color="auto"/>
            </w:tcBorders>
            <w:shd w:val="clear" w:color="auto" w:fill="000000"/>
          </w:tcPr>
          <w:p w:rsidR="00A53D7D" w:rsidRPr="00EC6ECC" w:rsidRDefault="00A53D7D" w:rsidP="005140B4">
            <w:pPr>
              <w:pStyle w:val="Tabletextheading"/>
            </w:pPr>
            <w:r w:rsidRPr="00EC6ECC">
              <w:t>Net movement</w:t>
            </w:r>
          </w:p>
        </w:tc>
        <w:tc>
          <w:tcPr>
            <w:tcW w:w="1134" w:type="dxa"/>
            <w:tcBorders>
              <w:top w:val="single" w:sz="12" w:space="0" w:color="FFFFFF" w:themeColor="background1"/>
              <w:bottom w:val="single" w:sz="4" w:space="0" w:color="auto"/>
              <w:right w:val="single" w:sz="12" w:space="0" w:color="FFFFFF" w:themeColor="background1"/>
            </w:tcBorders>
            <w:shd w:val="clear" w:color="auto" w:fill="000000"/>
          </w:tcPr>
          <w:p w:rsidR="00A53D7D" w:rsidRPr="00EC6ECC" w:rsidRDefault="00A53D7D" w:rsidP="005140B4">
            <w:pPr>
              <w:pStyle w:val="Tabletextheading"/>
            </w:pPr>
            <w:r w:rsidRPr="00EC6ECC">
              <w:t>Reason for change</w:t>
            </w:r>
          </w:p>
        </w:tc>
      </w:tr>
      <w:tr w:rsidR="00A53D7D" w:rsidRPr="00A93A6A" w:rsidTr="005140B4">
        <w:trPr>
          <w:cantSplit/>
        </w:trPr>
        <w:tc>
          <w:tcPr>
            <w:tcW w:w="3558" w:type="dxa"/>
            <w:tcBorders>
              <w:top w:val="single" w:sz="12" w:space="0" w:color="FFFFFF" w:themeColor="background1"/>
            </w:tcBorders>
            <w:shd w:val="clear" w:color="auto" w:fill="auto"/>
          </w:tcPr>
          <w:p w:rsidR="00A53D7D" w:rsidRPr="002E3B8F" w:rsidRDefault="00A53D7D" w:rsidP="005140B4">
            <w:pPr>
              <w:pStyle w:val="Tabletext"/>
              <w:rPr>
                <w:b/>
              </w:rPr>
            </w:pPr>
            <w:r>
              <w:rPr>
                <w:b/>
              </w:rPr>
              <w:t>Existing</w:t>
            </w:r>
          </w:p>
        </w:tc>
        <w:tc>
          <w:tcPr>
            <w:tcW w:w="1054" w:type="dxa"/>
            <w:tcBorders>
              <w:top w:val="single" w:sz="12" w:space="0" w:color="FFFFFF" w:themeColor="background1"/>
            </w:tcBorders>
            <w:shd w:val="clear" w:color="auto" w:fill="auto"/>
          </w:tcPr>
          <w:p w:rsidR="00A53D7D" w:rsidRPr="00A93A6A" w:rsidRDefault="00A53D7D" w:rsidP="005140B4">
            <w:pPr>
              <w:pStyle w:val="TableofFigures"/>
            </w:pPr>
            <w:r>
              <w:t xml:space="preserve"> </w:t>
            </w:r>
          </w:p>
        </w:tc>
        <w:tc>
          <w:tcPr>
            <w:tcW w:w="1055" w:type="dxa"/>
            <w:tcBorders>
              <w:top w:val="single" w:sz="12" w:space="0" w:color="FFFFFF" w:themeColor="background1"/>
            </w:tcBorders>
            <w:shd w:val="clear" w:color="auto" w:fill="auto"/>
          </w:tcPr>
          <w:p w:rsidR="00A53D7D" w:rsidRPr="00A93A6A" w:rsidRDefault="00A53D7D" w:rsidP="005140B4">
            <w:pPr>
              <w:pStyle w:val="TableofFigures"/>
            </w:pPr>
            <w:r>
              <w:t xml:space="preserve"> </w:t>
            </w:r>
          </w:p>
        </w:tc>
        <w:tc>
          <w:tcPr>
            <w:tcW w:w="1010" w:type="dxa"/>
            <w:tcBorders>
              <w:top w:val="single" w:sz="12" w:space="0" w:color="FFFFFF" w:themeColor="background1"/>
            </w:tcBorders>
            <w:shd w:val="clear" w:color="auto" w:fill="auto"/>
          </w:tcPr>
          <w:p w:rsidR="00A53D7D" w:rsidRPr="00A93A6A" w:rsidRDefault="00A53D7D" w:rsidP="005140B4">
            <w:pPr>
              <w:pStyle w:val="TableofFigures"/>
            </w:pPr>
            <w:r>
              <w:t xml:space="preserve"> </w:t>
            </w:r>
          </w:p>
        </w:tc>
        <w:tc>
          <w:tcPr>
            <w:tcW w:w="1134" w:type="dxa"/>
            <w:tcBorders>
              <w:top w:val="single" w:sz="12" w:space="0" w:color="FFFFFF" w:themeColor="background1"/>
            </w:tcBorders>
            <w:shd w:val="clear" w:color="auto" w:fill="auto"/>
          </w:tcPr>
          <w:p w:rsidR="00A53D7D" w:rsidRPr="0075524D" w:rsidRDefault="00A53D7D" w:rsidP="005140B4">
            <w:pPr>
              <w:pStyle w:val="TableofFigures"/>
              <w:rPr>
                <w:rFonts w:asciiTheme="minorHAnsi" w:hAnsiTheme="minorHAnsi" w:cstheme="minorHAnsi"/>
                <w:szCs w:val="20"/>
                <w:highlight w:val="cyan"/>
              </w:rPr>
            </w:pPr>
            <w:r>
              <w:rPr>
                <w:rFonts w:asciiTheme="minorHAnsi" w:hAnsiTheme="minorHAnsi" w:cstheme="minorHAnsi"/>
                <w:szCs w:val="20"/>
                <w:highlight w:val="cyan"/>
              </w:rPr>
              <w:t xml:space="preserve"> </w:t>
            </w:r>
          </w:p>
        </w:tc>
      </w:tr>
      <w:tr w:rsidR="00A53D7D" w:rsidRPr="00A93A6A" w:rsidTr="005140B4">
        <w:trPr>
          <w:cantSplit/>
        </w:trPr>
        <w:tc>
          <w:tcPr>
            <w:tcW w:w="3558" w:type="dxa"/>
            <w:shd w:val="clear" w:color="auto" w:fill="auto"/>
          </w:tcPr>
          <w:p w:rsidR="00A53D7D" w:rsidRPr="00A93A6A" w:rsidRDefault="00A53D7D" w:rsidP="005140B4">
            <w:pPr>
              <w:pStyle w:val="Tabletext"/>
            </w:pPr>
            <w:r w:rsidRPr="00A93A6A">
              <w:t>Department of Education and Early Childhood Development</w:t>
            </w:r>
          </w:p>
        </w:tc>
        <w:tc>
          <w:tcPr>
            <w:tcW w:w="1054" w:type="dxa"/>
            <w:shd w:val="clear" w:color="auto" w:fill="auto"/>
          </w:tcPr>
          <w:p w:rsidR="00A53D7D" w:rsidRPr="0075524D" w:rsidRDefault="00A53D7D" w:rsidP="005140B4">
            <w:pPr>
              <w:pStyle w:val="TableofFigures"/>
            </w:pPr>
            <w:r>
              <w:t>7</w:t>
            </w:r>
          </w:p>
        </w:tc>
        <w:tc>
          <w:tcPr>
            <w:tcW w:w="1055" w:type="dxa"/>
            <w:shd w:val="clear" w:color="auto" w:fill="auto"/>
          </w:tcPr>
          <w:p w:rsidR="00A53D7D" w:rsidRPr="00657606" w:rsidRDefault="00A53D7D" w:rsidP="005140B4">
            <w:pPr>
              <w:pStyle w:val="TableofFigures"/>
              <w:rPr>
                <w:highlight w:val="cyan"/>
              </w:rPr>
            </w:pPr>
            <w:r w:rsidRPr="00337804">
              <w:t>7</w:t>
            </w:r>
          </w:p>
        </w:tc>
        <w:tc>
          <w:tcPr>
            <w:tcW w:w="1010" w:type="dxa"/>
            <w:shd w:val="clear" w:color="auto" w:fill="auto"/>
          </w:tcPr>
          <w:p w:rsidR="00A53D7D" w:rsidRPr="0075524D" w:rsidRDefault="00A53D7D" w:rsidP="005140B4">
            <w:pPr>
              <w:pStyle w:val="TableofFigures"/>
              <w:rPr>
                <w:highlight w:val="cyan"/>
              </w:rPr>
            </w:pPr>
            <w:r w:rsidRPr="00337804">
              <w:t>0</w:t>
            </w:r>
          </w:p>
        </w:tc>
        <w:tc>
          <w:tcPr>
            <w:tcW w:w="1134" w:type="dxa"/>
            <w:shd w:val="clear" w:color="auto" w:fill="auto"/>
          </w:tcPr>
          <w:p w:rsidR="00A53D7D" w:rsidRPr="0075524D" w:rsidRDefault="00A53D7D" w:rsidP="005140B4">
            <w:pPr>
              <w:pStyle w:val="TableofFigures"/>
              <w:rPr>
                <w:highlight w:val="cyan"/>
              </w:rPr>
            </w:pPr>
            <w:r w:rsidRPr="00337804">
              <w:t>No change</w:t>
            </w:r>
          </w:p>
        </w:tc>
      </w:tr>
      <w:tr w:rsidR="00A53D7D" w:rsidRPr="00A93A6A" w:rsidTr="005140B4">
        <w:trPr>
          <w:cantSplit/>
        </w:trPr>
        <w:tc>
          <w:tcPr>
            <w:tcW w:w="3558" w:type="dxa"/>
            <w:shd w:val="clear" w:color="auto" w:fill="auto"/>
          </w:tcPr>
          <w:p w:rsidR="00A53D7D" w:rsidRPr="00A93A6A" w:rsidRDefault="00A53D7D" w:rsidP="005140B4">
            <w:pPr>
              <w:pStyle w:val="Tabletext"/>
            </w:pPr>
            <w:r>
              <w:t>Department of Environment and Primary Industries</w:t>
            </w:r>
          </w:p>
        </w:tc>
        <w:tc>
          <w:tcPr>
            <w:tcW w:w="1054" w:type="dxa"/>
            <w:shd w:val="clear" w:color="auto" w:fill="auto"/>
          </w:tcPr>
          <w:p w:rsidR="00A53D7D" w:rsidRPr="0075524D" w:rsidRDefault="00A53D7D" w:rsidP="005140B4">
            <w:pPr>
              <w:pStyle w:val="TableofFigures"/>
            </w:pPr>
            <w:r>
              <w:t>8</w:t>
            </w:r>
          </w:p>
        </w:tc>
        <w:tc>
          <w:tcPr>
            <w:tcW w:w="1055" w:type="dxa"/>
            <w:shd w:val="clear" w:color="auto" w:fill="auto"/>
          </w:tcPr>
          <w:p w:rsidR="00A53D7D" w:rsidRPr="00A51377" w:rsidRDefault="00A53D7D" w:rsidP="005140B4">
            <w:pPr>
              <w:pStyle w:val="TableofFigures"/>
            </w:pPr>
            <w:r w:rsidRPr="00A51377">
              <w:t>9</w:t>
            </w:r>
          </w:p>
        </w:tc>
        <w:tc>
          <w:tcPr>
            <w:tcW w:w="1010" w:type="dxa"/>
            <w:shd w:val="clear" w:color="auto" w:fill="auto"/>
          </w:tcPr>
          <w:p w:rsidR="00A53D7D" w:rsidRPr="00A51377" w:rsidRDefault="00A53D7D" w:rsidP="005140B4">
            <w:pPr>
              <w:pStyle w:val="TableofFigures"/>
            </w:pPr>
            <w:r w:rsidRPr="00A51377">
              <w:t>1</w:t>
            </w:r>
          </w:p>
        </w:tc>
        <w:tc>
          <w:tcPr>
            <w:tcW w:w="1134" w:type="dxa"/>
            <w:shd w:val="clear" w:color="auto" w:fill="auto"/>
          </w:tcPr>
          <w:p w:rsidR="00A53D7D" w:rsidRPr="00CE18FD" w:rsidRDefault="00A53D7D" w:rsidP="005140B4">
            <w:pPr>
              <w:pStyle w:val="TableofFigures"/>
              <w:ind w:left="-43"/>
              <w:rPr>
                <w:highlight w:val="yellow"/>
              </w:rPr>
            </w:pPr>
            <w:r w:rsidRPr="00D13279">
              <w:t xml:space="preserve">Increased </w:t>
            </w:r>
            <w:r w:rsidRPr="00A56408">
              <w:t>transparency</w:t>
            </w:r>
            <w:r w:rsidRPr="00D13279">
              <w:t xml:space="preserve"> </w:t>
            </w:r>
          </w:p>
        </w:tc>
      </w:tr>
      <w:tr w:rsidR="00A53D7D" w:rsidRPr="00A93A6A" w:rsidTr="005140B4">
        <w:trPr>
          <w:cantSplit/>
        </w:trPr>
        <w:tc>
          <w:tcPr>
            <w:tcW w:w="3558" w:type="dxa"/>
            <w:shd w:val="clear" w:color="auto" w:fill="auto"/>
          </w:tcPr>
          <w:p w:rsidR="00A53D7D" w:rsidRPr="00337804" w:rsidRDefault="00A53D7D" w:rsidP="005140B4">
            <w:pPr>
              <w:pStyle w:val="Tabletext"/>
            </w:pPr>
            <w:r w:rsidRPr="00337804">
              <w:t>Department of Health</w:t>
            </w:r>
          </w:p>
        </w:tc>
        <w:tc>
          <w:tcPr>
            <w:tcW w:w="1054" w:type="dxa"/>
            <w:shd w:val="clear" w:color="auto" w:fill="auto"/>
          </w:tcPr>
          <w:p w:rsidR="00A53D7D" w:rsidRPr="00337804" w:rsidRDefault="00A53D7D" w:rsidP="005140B4">
            <w:pPr>
              <w:pStyle w:val="TableofFigures"/>
            </w:pPr>
            <w:r w:rsidRPr="00337804">
              <w:t>24</w:t>
            </w:r>
          </w:p>
        </w:tc>
        <w:tc>
          <w:tcPr>
            <w:tcW w:w="1055" w:type="dxa"/>
            <w:shd w:val="clear" w:color="auto" w:fill="auto"/>
          </w:tcPr>
          <w:p w:rsidR="00A53D7D" w:rsidRPr="00337804" w:rsidRDefault="00A53D7D" w:rsidP="005140B4">
            <w:pPr>
              <w:pStyle w:val="TableofFigures"/>
            </w:pPr>
            <w:r w:rsidRPr="00337804">
              <w:t>24</w:t>
            </w:r>
          </w:p>
        </w:tc>
        <w:tc>
          <w:tcPr>
            <w:tcW w:w="1010" w:type="dxa"/>
            <w:shd w:val="clear" w:color="auto" w:fill="auto"/>
          </w:tcPr>
          <w:p w:rsidR="00A53D7D" w:rsidRPr="00337804" w:rsidRDefault="00A53D7D" w:rsidP="005140B4">
            <w:pPr>
              <w:pStyle w:val="TableofFigures"/>
            </w:pPr>
            <w:r w:rsidRPr="00337804">
              <w:t>0</w:t>
            </w:r>
          </w:p>
        </w:tc>
        <w:tc>
          <w:tcPr>
            <w:tcW w:w="1134" w:type="dxa"/>
            <w:shd w:val="clear" w:color="auto" w:fill="auto"/>
          </w:tcPr>
          <w:p w:rsidR="00A53D7D" w:rsidRPr="00337804" w:rsidRDefault="00A53D7D" w:rsidP="005140B4">
            <w:pPr>
              <w:pStyle w:val="TableofFigures"/>
            </w:pPr>
            <w:r w:rsidRPr="00337804">
              <w:t>No change</w:t>
            </w:r>
          </w:p>
        </w:tc>
      </w:tr>
      <w:tr w:rsidR="00A53D7D" w:rsidRPr="00A93A6A" w:rsidTr="005140B4">
        <w:trPr>
          <w:cantSplit/>
        </w:trPr>
        <w:tc>
          <w:tcPr>
            <w:tcW w:w="3558" w:type="dxa"/>
            <w:shd w:val="clear" w:color="auto" w:fill="auto"/>
          </w:tcPr>
          <w:p w:rsidR="00A53D7D" w:rsidRPr="00337804" w:rsidRDefault="00A53D7D" w:rsidP="005140B4">
            <w:pPr>
              <w:pStyle w:val="Tabletext"/>
            </w:pPr>
            <w:r w:rsidRPr="00337804">
              <w:t>Department of Human Services</w:t>
            </w:r>
          </w:p>
        </w:tc>
        <w:tc>
          <w:tcPr>
            <w:tcW w:w="1054" w:type="dxa"/>
            <w:shd w:val="clear" w:color="auto" w:fill="auto"/>
          </w:tcPr>
          <w:p w:rsidR="00A53D7D" w:rsidRPr="00337804" w:rsidRDefault="00A53D7D" w:rsidP="005140B4">
            <w:pPr>
              <w:pStyle w:val="TableofFigures"/>
            </w:pPr>
            <w:r w:rsidRPr="00337804">
              <w:t>10</w:t>
            </w:r>
          </w:p>
        </w:tc>
        <w:tc>
          <w:tcPr>
            <w:tcW w:w="1055" w:type="dxa"/>
            <w:shd w:val="clear" w:color="auto" w:fill="auto"/>
          </w:tcPr>
          <w:p w:rsidR="00A53D7D" w:rsidRPr="00337804" w:rsidRDefault="00A53D7D" w:rsidP="005140B4">
            <w:pPr>
              <w:pStyle w:val="TableofFigures"/>
            </w:pPr>
            <w:r w:rsidRPr="00337804">
              <w:t>10</w:t>
            </w:r>
          </w:p>
        </w:tc>
        <w:tc>
          <w:tcPr>
            <w:tcW w:w="1010" w:type="dxa"/>
            <w:shd w:val="clear" w:color="auto" w:fill="auto"/>
          </w:tcPr>
          <w:p w:rsidR="00A53D7D" w:rsidRPr="00337804" w:rsidRDefault="00A53D7D" w:rsidP="005140B4">
            <w:pPr>
              <w:pStyle w:val="TableofFigures"/>
            </w:pPr>
            <w:r>
              <w:t>0</w:t>
            </w:r>
          </w:p>
        </w:tc>
        <w:tc>
          <w:tcPr>
            <w:tcW w:w="1134" w:type="dxa"/>
            <w:shd w:val="clear" w:color="auto" w:fill="auto"/>
          </w:tcPr>
          <w:p w:rsidR="00A53D7D" w:rsidRPr="00337804" w:rsidRDefault="00A53D7D" w:rsidP="005140B4">
            <w:pPr>
              <w:pStyle w:val="TableofFigures"/>
            </w:pPr>
            <w:r w:rsidRPr="00337804">
              <w:t>No change</w:t>
            </w:r>
          </w:p>
        </w:tc>
      </w:tr>
      <w:tr w:rsidR="00A53D7D" w:rsidRPr="00657606" w:rsidTr="005140B4">
        <w:trPr>
          <w:cantSplit/>
        </w:trPr>
        <w:tc>
          <w:tcPr>
            <w:tcW w:w="3558" w:type="dxa"/>
            <w:shd w:val="clear" w:color="auto" w:fill="auto"/>
          </w:tcPr>
          <w:p w:rsidR="00A53D7D" w:rsidRPr="00337804" w:rsidRDefault="00A53D7D" w:rsidP="005140B4">
            <w:pPr>
              <w:pStyle w:val="Tabletext"/>
            </w:pPr>
            <w:r w:rsidRPr="00337804">
              <w:t>Department of Justice</w:t>
            </w:r>
          </w:p>
        </w:tc>
        <w:tc>
          <w:tcPr>
            <w:tcW w:w="1054" w:type="dxa"/>
            <w:shd w:val="clear" w:color="auto" w:fill="auto"/>
          </w:tcPr>
          <w:p w:rsidR="00A53D7D" w:rsidRPr="00337804" w:rsidRDefault="00A53D7D" w:rsidP="005140B4">
            <w:pPr>
              <w:pStyle w:val="TableofFigures"/>
            </w:pPr>
            <w:r w:rsidRPr="00337804">
              <w:t>16</w:t>
            </w:r>
          </w:p>
        </w:tc>
        <w:tc>
          <w:tcPr>
            <w:tcW w:w="1055" w:type="dxa"/>
            <w:shd w:val="clear" w:color="auto" w:fill="auto"/>
          </w:tcPr>
          <w:p w:rsidR="00A53D7D" w:rsidRPr="00337804" w:rsidRDefault="00A53D7D" w:rsidP="005140B4">
            <w:pPr>
              <w:pStyle w:val="TableofFigures"/>
            </w:pPr>
            <w:r w:rsidRPr="00337804">
              <w:t>15</w:t>
            </w:r>
          </w:p>
        </w:tc>
        <w:tc>
          <w:tcPr>
            <w:tcW w:w="1010" w:type="dxa"/>
            <w:shd w:val="clear" w:color="auto" w:fill="auto"/>
          </w:tcPr>
          <w:p w:rsidR="00A53D7D" w:rsidRPr="00337804" w:rsidRDefault="00A53D7D" w:rsidP="005140B4">
            <w:pPr>
              <w:pStyle w:val="TableofFigures"/>
            </w:pPr>
            <w:r>
              <w:t>(1)</w:t>
            </w:r>
          </w:p>
        </w:tc>
        <w:tc>
          <w:tcPr>
            <w:tcW w:w="1134" w:type="dxa"/>
            <w:shd w:val="clear" w:color="auto" w:fill="auto"/>
          </w:tcPr>
          <w:p w:rsidR="00A53D7D" w:rsidRPr="00337804" w:rsidRDefault="00A53D7D" w:rsidP="005140B4">
            <w:pPr>
              <w:pStyle w:val="TableofFigures"/>
            </w:pPr>
            <w:r>
              <w:t>Restructure</w:t>
            </w:r>
          </w:p>
        </w:tc>
      </w:tr>
      <w:tr w:rsidR="00A53D7D" w:rsidRPr="00A93A6A" w:rsidTr="005140B4">
        <w:trPr>
          <w:cantSplit/>
        </w:trPr>
        <w:tc>
          <w:tcPr>
            <w:tcW w:w="3558" w:type="dxa"/>
            <w:shd w:val="clear" w:color="auto" w:fill="auto"/>
          </w:tcPr>
          <w:p w:rsidR="00A53D7D" w:rsidRPr="00A93A6A" w:rsidRDefault="00A53D7D" w:rsidP="005140B4">
            <w:pPr>
              <w:pStyle w:val="Tabletext"/>
            </w:pPr>
            <w:r w:rsidRPr="00A93A6A">
              <w:t>Department of Premier and Cabinet</w:t>
            </w:r>
          </w:p>
        </w:tc>
        <w:tc>
          <w:tcPr>
            <w:tcW w:w="1054" w:type="dxa"/>
            <w:shd w:val="clear" w:color="auto" w:fill="auto"/>
          </w:tcPr>
          <w:p w:rsidR="00A53D7D" w:rsidRPr="0075524D" w:rsidRDefault="00A53D7D" w:rsidP="005140B4">
            <w:pPr>
              <w:pStyle w:val="TableofFigures"/>
            </w:pPr>
            <w:r>
              <w:t>12</w:t>
            </w:r>
          </w:p>
        </w:tc>
        <w:tc>
          <w:tcPr>
            <w:tcW w:w="1055" w:type="dxa"/>
            <w:shd w:val="clear" w:color="auto" w:fill="auto"/>
          </w:tcPr>
          <w:p w:rsidR="00A53D7D" w:rsidRPr="00337804" w:rsidRDefault="00A53D7D" w:rsidP="005140B4">
            <w:pPr>
              <w:pStyle w:val="TableofFigures"/>
            </w:pPr>
            <w:r w:rsidRPr="00337804">
              <w:t>12</w:t>
            </w:r>
          </w:p>
        </w:tc>
        <w:tc>
          <w:tcPr>
            <w:tcW w:w="1010" w:type="dxa"/>
            <w:shd w:val="clear" w:color="auto" w:fill="auto"/>
          </w:tcPr>
          <w:p w:rsidR="00A53D7D" w:rsidRPr="00337804" w:rsidRDefault="00A53D7D" w:rsidP="005140B4">
            <w:pPr>
              <w:pStyle w:val="TableofFigures"/>
            </w:pPr>
            <w:r>
              <w:t>0</w:t>
            </w:r>
          </w:p>
        </w:tc>
        <w:tc>
          <w:tcPr>
            <w:tcW w:w="1134" w:type="dxa"/>
            <w:shd w:val="clear" w:color="auto" w:fill="auto"/>
          </w:tcPr>
          <w:p w:rsidR="00A53D7D" w:rsidRPr="0075524D" w:rsidRDefault="00A53D7D" w:rsidP="005140B4">
            <w:pPr>
              <w:pStyle w:val="TableofFigures"/>
              <w:rPr>
                <w:highlight w:val="cyan"/>
              </w:rPr>
            </w:pPr>
            <w:r w:rsidRPr="00337804">
              <w:t>No change</w:t>
            </w:r>
          </w:p>
        </w:tc>
      </w:tr>
      <w:tr w:rsidR="00A53D7D" w:rsidRPr="00A93A6A" w:rsidTr="005140B4">
        <w:trPr>
          <w:cantSplit/>
        </w:trPr>
        <w:tc>
          <w:tcPr>
            <w:tcW w:w="3558" w:type="dxa"/>
            <w:shd w:val="clear" w:color="auto" w:fill="auto"/>
          </w:tcPr>
          <w:p w:rsidR="00A53D7D" w:rsidRPr="00A93A6A" w:rsidRDefault="00A53D7D" w:rsidP="005140B4">
            <w:pPr>
              <w:pStyle w:val="Tabletext"/>
            </w:pPr>
            <w:r>
              <w:t>Department of State Development, Business and Innovation</w:t>
            </w:r>
          </w:p>
        </w:tc>
        <w:tc>
          <w:tcPr>
            <w:tcW w:w="1054" w:type="dxa"/>
            <w:shd w:val="clear" w:color="auto" w:fill="auto"/>
          </w:tcPr>
          <w:p w:rsidR="00A53D7D" w:rsidRPr="0075524D" w:rsidRDefault="00A53D7D" w:rsidP="005140B4">
            <w:pPr>
              <w:pStyle w:val="TableofFigures"/>
            </w:pPr>
            <w:r>
              <w:t>8</w:t>
            </w:r>
          </w:p>
        </w:tc>
        <w:tc>
          <w:tcPr>
            <w:tcW w:w="1055" w:type="dxa"/>
            <w:shd w:val="clear" w:color="auto" w:fill="auto"/>
          </w:tcPr>
          <w:p w:rsidR="00A53D7D" w:rsidRPr="00337804" w:rsidRDefault="00A53D7D" w:rsidP="005140B4">
            <w:pPr>
              <w:pStyle w:val="TableofFigures"/>
            </w:pPr>
            <w:r w:rsidRPr="00337804">
              <w:t>8</w:t>
            </w:r>
          </w:p>
        </w:tc>
        <w:tc>
          <w:tcPr>
            <w:tcW w:w="1010" w:type="dxa"/>
            <w:shd w:val="clear" w:color="auto" w:fill="auto"/>
          </w:tcPr>
          <w:p w:rsidR="00A53D7D" w:rsidRPr="00337804" w:rsidRDefault="00A53D7D" w:rsidP="005140B4">
            <w:pPr>
              <w:pStyle w:val="TableofFigures"/>
            </w:pPr>
            <w:r w:rsidRPr="00337804">
              <w:t>0</w:t>
            </w:r>
          </w:p>
        </w:tc>
        <w:tc>
          <w:tcPr>
            <w:tcW w:w="1134" w:type="dxa"/>
            <w:shd w:val="clear" w:color="auto" w:fill="auto"/>
          </w:tcPr>
          <w:p w:rsidR="00A53D7D" w:rsidRPr="00657606" w:rsidRDefault="00A53D7D" w:rsidP="005140B4">
            <w:pPr>
              <w:pStyle w:val="TableofFigures"/>
            </w:pPr>
            <w:r w:rsidRPr="00657606">
              <w:t>No change</w:t>
            </w:r>
          </w:p>
        </w:tc>
      </w:tr>
      <w:tr w:rsidR="00A53D7D" w:rsidRPr="00A93A6A" w:rsidTr="005140B4">
        <w:trPr>
          <w:cantSplit/>
        </w:trPr>
        <w:tc>
          <w:tcPr>
            <w:tcW w:w="3558" w:type="dxa"/>
            <w:shd w:val="clear" w:color="auto" w:fill="auto"/>
          </w:tcPr>
          <w:p w:rsidR="00A53D7D" w:rsidRPr="00F5490D" w:rsidRDefault="00A53D7D" w:rsidP="005140B4">
            <w:pPr>
              <w:pStyle w:val="Tabletext"/>
            </w:pPr>
            <w:r w:rsidRPr="00F5490D">
              <w:t>Department of Transport, Planning and Local Infrastructure</w:t>
            </w:r>
          </w:p>
        </w:tc>
        <w:tc>
          <w:tcPr>
            <w:tcW w:w="1054" w:type="dxa"/>
            <w:shd w:val="clear" w:color="auto" w:fill="auto"/>
          </w:tcPr>
          <w:p w:rsidR="00A53D7D" w:rsidRPr="00F5490D" w:rsidRDefault="00A53D7D" w:rsidP="005140B4">
            <w:pPr>
              <w:pStyle w:val="TableofFigures"/>
            </w:pPr>
            <w:r w:rsidRPr="00F5490D">
              <w:t>15</w:t>
            </w:r>
          </w:p>
        </w:tc>
        <w:tc>
          <w:tcPr>
            <w:tcW w:w="1055" w:type="dxa"/>
            <w:shd w:val="clear" w:color="auto" w:fill="auto"/>
          </w:tcPr>
          <w:p w:rsidR="00A53D7D" w:rsidRPr="00F5490D" w:rsidRDefault="00A53D7D" w:rsidP="005140B4">
            <w:pPr>
              <w:pStyle w:val="TableofFigures"/>
            </w:pPr>
            <w:r w:rsidRPr="00F5490D">
              <w:t>15</w:t>
            </w:r>
          </w:p>
        </w:tc>
        <w:tc>
          <w:tcPr>
            <w:tcW w:w="1010" w:type="dxa"/>
            <w:shd w:val="clear" w:color="auto" w:fill="auto"/>
          </w:tcPr>
          <w:p w:rsidR="00A53D7D" w:rsidRPr="00F5490D" w:rsidRDefault="00A53D7D" w:rsidP="005140B4">
            <w:pPr>
              <w:pStyle w:val="TableofFigures"/>
            </w:pPr>
            <w:r w:rsidRPr="00F5490D">
              <w:t>0</w:t>
            </w:r>
          </w:p>
        </w:tc>
        <w:tc>
          <w:tcPr>
            <w:tcW w:w="1134" w:type="dxa"/>
            <w:shd w:val="clear" w:color="auto" w:fill="auto"/>
          </w:tcPr>
          <w:p w:rsidR="00A53D7D" w:rsidRPr="00F5490D" w:rsidRDefault="00A53D7D" w:rsidP="005140B4">
            <w:pPr>
              <w:pStyle w:val="TableofFigures"/>
            </w:pPr>
            <w:r w:rsidRPr="00F5490D">
              <w:t>No change</w:t>
            </w:r>
          </w:p>
        </w:tc>
      </w:tr>
      <w:tr w:rsidR="00A53D7D" w:rsidRPr="00A93A6A" w:rsidTr="005140B4">
        <w:trPr>
          <w:cantSplit/>
        </w:trPr>
        <w:tc>
          <w:tcPr>
            <w:tcW w:w="3558" w:type="dxa"/>
            <w:shd w:val="clear" w:color="auto" w:fill="auto"/>
          </w:tcPr>
          <w:p w:rsidR="00A53D7D" w:rsidRPr="00A93A6A" w:rsidRDefault="00A53D7D" w:rsidP="005140B4">
            <w:pPr>
              <w:pStyle w:val="Tabletext"/>
            </w:pPr>
            <w:r w:rsidRPr="00A93A6A">
              <w:t>Department of Treasury and Finance</w:t>
            </w:r>
          </w:p>
        </w:tc>
        <w:tc>
          <w:tcPr>
            <w:tcW w:w="1054" w:type="dxa"/>
            <w:shd w:val="clear" w:color="auto" w:fill="auto"/>
          </w:tcPr>
          <w:p w:rsidR="00A53D7D" w:rsidRPr="0075524D" w:rsidRDefault="00A53D7D" w:rsidP="005140B4">
            <w:pPr>
              <w:pStyle w:val="TableofFigures"/>
            </w:pPr>
            <w:r>
              <w:t>10</w:t>
            </w:r>
          </w:p>
        </w:tc>
        <w:tc>
          <w:tcPr>
            <w:tcW w:w="1055" w:type="dxa"/>
            <w:shd w:val="clear" w:color="auto" w:fill="auto"/>
          </w:tcPr>
          <w:p w:rsidR="00A53D7D" w:rsidRPr="00337804" w:rsidRDefault="00A53D7D" w:rsidP="005140B4">
            <w:pPr>
              <w:pStyle w:val="TableofFigures"/>
            </w:pPr>
            <w:r w:rsidRPr="00337804">
              <w:t>10</w:t>
            </w:r>
          </w:p>
        </w:tc>
        <w:tc>
          <w:tcPr>
            <w:tcW w:w="1010" w:type="dxa"/>
            <w:shd w:val="clear" w:color="auto" w:fill="auto"/>
          </w:tcPr>
          <w:p w:rsidR="00A53D7D" w:rsidRPr="00337804" w:rsidRDefault="00A53D7D" w:rsidP="005140B4">
            <w:pPr>
              <w:pStyle w:val="TableofFigures"/>
            </w:pPr>
            <w:r w:rsidRPr="00337804">
              <w:t>0</w:t>
            </w:r>
          </w:p>
        </w:tc>
        <w:tc>
          <w:tcPr>
            <w:tcW w:w="1134" w:type="dxa"/>
            <w:shd w:val="clear" w:color="auto" w:fill="auto"/>
          </w:tcPr>
          <w:p w:rsidR="00A53D7D" w:rsidRPr="00337804" w:rsidRDefault="00A53D7D" w:rsidP="005140B4">
            <w:pPr>
              <w:pStyle w:val="TableofFigures"/>
            </w:pPr>
            <w:r w:rsidRPr="00337804">
              <w:t>No change</w:t>
            </w:r>
          </w:p>
        </w:tc>
      </w:tr>
      <w:tr w:rsidR="00A53D7D" w:rsidRPr="00A93A6A" w:rsidTr="005140B4">
        <w:trPr>
          <w:cantSplit/>
        </w:trPr>
        <w:tc>
          <w:tcPr>
            <w:tcW w:w="3558" w:type="dxa"/>
            <w:shd w:val="clear" w:color="auto" w:fill="auto"/>
          </w:tcPr>
          <w:p w:rsidR="00A53D7D" w:rsidRPr="00A93A6A" w:rsidRDefault="00A53D7D" w:rsidP="005140B4">
            <w:pPr>
              <w:pStyle w:val="Tabletext"/>
            </w:pPr>
            <w:r w:rsidRPr="00A93A6A">
              <w:t>Parliament/VAGO</w:t>
            </w:r>
          </w:p>
        </w:tc>
        <w:tc>
          <w:tcPr>
            <w:tcW w:w="1054" w:type="dxa"/>
            <w:shd w:val="clear" w:color="auto" w:fill="auto"/>
          </w:tcPr>
          <w:p w:rsidR="00A53D7D" w:rsidRPr="0075524D" w:rsidRDefault="00A53D7D" w:rsidP="005140B4">
            <w:pPr>
              <w:pStyle w:val="TableofFigures"/>
            </w:pPr>
            <w:r>
              <w:t>6</w:t>
            </w:r>
          </w:p>
        </w:tc>
        <w:tc>
          <w:tcPr>
            <w:tcW w:w="1055" w:type="dxa"/>
            <w:shd w:val="clear" w:color="auto" w:fill="auto"/>
          </w:tcPr>
          <w:p w:rsidR="00A53D7D" w:rsidRPr="00337804" w:rsidRDefault="00A53D7D" w:rsidP="005140B4">
            <w:pPr>
              <w:pStyle w:val="TableofFigures"/>
            </w:pPr>
            <w:r w:rsidRPr="00337804">
              <w:t>6</w:t>
            </w:r>
          </w:p>
        </w:tc>
        <w:tc>
          <w:tcPr>
            <w:tcW w:w="1010" w:type="dxa"/>
            <w:shd w:val="clear" w:color="auto" w:fill="auto"/>
          </w:tcPr>
          <w:p w:rsidR="00A53D7D" w:rsidRPr="00337804" w:rsidRDefault="00A53D7D" w:rsidP="005140B4">
            <w:pPr>
              <w:pStyle w:val="TableofFigures"/>
            </w:pPr>
            <w:r w:rsidRPr="00337804">
              <w:t>0</w:t>
            </w:r>
          </w:p>
        </w:tc>
        <w:tc>
          <w:tcPr>
            <w:tcW w:w="1134" w:type="dxa"/>
            <w:shd w:val="clear" w:color="auto" w:fill="auto"/>
          </w:tcPr>
          <w:p w:rsidR="00A53D7D" w:rsidRPr="00337804" w:rsidRDefault="00A53D7D" w:rsidP="005140B4">
            <w:pPr>
              <w:pStyle w:val="TableofFigures"/>
            </w:pPr>
            <w:r w:rsidRPr="00337804">
              <w:t>No change</w:t>
            </w:r>
          </w:p>
        </w:tc>
      </w:tr>
      <w:tr w:rsidR="00A53D7D" w:rsidRPr="00A93A6A" w:rsidTr="005140B4">
        <w:trPr>
          <w:cantSplit/>
        </w:trPr>
        <w:tc>
          <w:tcPr>
            <w:tcW w:w="3558" w:type="dxa"/>
            <w:shd w:val="clear" w:color="auto" w:fill="auto"/>
          </w:tcPr>
          <w:p w:rsidR="00A53D7D" w:rsidRPr="002E3B8F" w:rsidRDefault="00A53D7D" w:rsidP="005140B4">
            <w:pPr>
              <w:pStyle w:val="Tabletext"/>
              <w:rPr>
                <w:b/>
              </w:rPr>
            </w:pPr>
            <w:r>
              <w:rPr>
                <w:b/>
              </w:rPr>
              <w:t>New</w:t>
            </w:r>
          </w:p>
        </w:tc>
        <w:tc>
          <w:tcPr>
            <w:tcW w:w="1054" w:type="dxa"/>
            <w:shd w:val="clear" w:color="auto" w:fill="auto"/>
          </w:tcPr>
          <w:p w:rsidR="00A53D7D" w:rsidRPr="0075524D" w:rsidRDefault="00A53D7D" w:rsidP="005140B4">
            <w:pPr>
              <w:pStyle w:val="TableofFigures"/>
            </w:pPr>
            <w:r>
              <w:t xml:space="preserve"> </w:t>
            </w:r>
          </w:p>
        </w:tc>
        <w:tc>
          <w:tcPr>
            <w:tcW w:w="1055" w:type="dxa"/>
            <w:shd w:val="clear" w:color="auto" w:fill="auto"/>
          </w:tcPr>
          <w:p w:rsidR="00A53D7D" w:rsidRDefault="00A53D7D" w:rsidP="005140B4">
            <w:pPr>
              <w:pStyle w:val="TableofFigures"/>
            </w:pPr>
          </w:p>
        </w:tc>
        <w:tc>
          <w:tcPr>
            <w:tcW w:w="1010" w:type="dxa"/>
            <w:shd w:val="clear" w:color="auto" w:fill="auto"/>
          </w:tcPr>
          <w:p w:rsidR="00A53D7D" w:rsidRDefault="00A53D7D" w:rsidP="005140B4">
            <w:pPr>
              <w:pStyle w:val="TableofFigures"/>
            </w:pPr>
            <w:r>
              <w:t xml:space="preserve"> </w:t>
            </w:r>
          </w:p>
        </w:tc>
        <w:tc>
          <w:tcPr>
            <w:tcW w:w="1134" w:type="dxa"/>
            <w:shd w:val="clear" w:color="auto" w:fill="auto"/>
          </w:tcPr>
          <w:p w:rsidR="00A53D7D" w:rsidRPr="00F665B4" w:rsidRDefault="00A53D7D" w:rsidP="005140B4">
            <w:pPr>
              <w:pStyle w:val="TableofFigures"/>
            </w:pPr>
            <w:r>
              <w:t xml:space="preserve"> </w:t>
            </w:r>
          </w:p>
        </w:tc>
      </w:tr>
      <w:tr w:rsidR="00A53D7D" w:rsidRPr="002E3B8F" w:rsidTr="005140B4">
        <w:trPr>
          <w:cantSplit/>
        </w:trPr>
        <w:tc>
          <w:tcPr>
            <w:tcW w:w="3558" w:type="dxa"/>
            <w:shd w:val="clear" w:color="auto" w:fill="auto"/>
          </w:tcPr>
          <w:p w:rsidR="00A53D7D" w:rsidRPr="00A93A6A" w:rsidRDefault="00A53D7D" w:rsidP="005140B4">
            <w:pPr>
              <w:pStyle w:val="Tabletext"/>
            </w:pPr>
            <w:r>
              <w:t>Courts</w:t>
            </w:r>
          </w:p>
        </w:tc>
        <w:tc>
          <w:tcPr>
            <w:tcW w:w="1054" w:type="dxa"/>
            <w:shd w:val="clear" w:color="auto" w:fill="auto"/>
          </w:tcPr>
          <w:p w:rsidR="00A53D7D" w:rsidRPr="0075524D" w:rsidRDefault="00A53D7D" w:rsidP="005140B4">
            <w:pPr>
              <w:pStyle w:val="TableofFigures"/>
              <w:rPr>
                <w:highlight w:val="cyan"/>
              </w:rPr>
            </w:pPr>
            <w:r w:rsidRPr="003E4227">
              <w:t>0</w:t>
            </w:r>
          </w:p>
        </w:tc>
        <w:tc>
          <w:tcPr>
            <w:tcW w:w="1055" w:type="dxa"/>
            <w:shd w:val="clear" w:color="auto" w:fill="auto"/>
          </w:tcPr>
          <w:p w:rsidR="00A53D7D" w:rsidRPr="00657606" w:rsidRDefault="00A53D7D" w:rsidP="005140B4">
            <w:pPr>
              <w:pStyle w:val="TableofFigures"/>
            </w:pPr>
            <w:r w:rsidRPr="00657606">
              <w:t>1</w:t>
            </w:r>
          </w:p>
        </w:tc>
        <w:tc>
          <w:tcPr>
            <w:tcW w:w="1010" w:type="dxa"/>
            <w:shd w:val="clear" w:color="auto" w:fill="auto"/>
          </w:tcPr>
          <w:p w:rsidR="00A53D7D" w:rsidRPr="00657606" w:rsidRDefault="00A53D7D" w:rsidP="005140B4">
            <w:pPr>
              <w:pStyle w:val="TableofFigures"/>
            </w:pPr>
            <w:r w:rsidRPr="00657606">
              <w:t>1</w:t>
            </w:r>
          </w:p>
        </w:tc>
        <w:tc>
          <w:tcPr>
            <w:tcW w:w="1134" w:type="dxa"/>
            <w:shd w:val="clear" w:color="auto" w:fill="auto"/>
          </w:tcPr>
          <w:p w:rsidR="00A53D7D" w:rsidRPr="002E3B8F" w:rsidRDefault="00A53D7D" w:rsidP="005140B4">
            <w:pPr>
              <w:pStyle w:val="TableofFigures"/>
              <w:rPr>
                <w:rFonts w:cs="Calibri"/>
              </w:rPr>
            </w:pPr>
            <w:r w:rsidRPr="002E3B8F">
              <w:rPr>
                <w:rFonts w:cs="Calibri"/>
              </w:rPr>
              <w:t>Restructure</w:t>
            </w:r>
          </w:p>
        </w:tc>
      </w:tr>
      <w:tr w:rsidR="00A53D7D" w:rsidRPr="00993275" w:rsidTr="005140B4">
        <w:trPr>
          <w:cantSplit/>
        </w:trPr>
        <w:tc>
          <w:tcPr>
            <w:tcW w:w="3558" w:type="dxa"/>
            <w:tcBorders>
              <w:top w:val="single" w:sz="6" w:space="0" w:color="auto"/>
              <w:bottom w:val="single" w:sz="12" w:space="0" w:color="auto"/>
            </w:tcBorders>
            <w:shd w:val="clear" w:color="auto" w:fill="auto"/>
          </w:tcPr>
          <w:p w:rsidR="00A53D7D" w:rsidRPr="00993275" w:rsidRDefault="00A53D7D" w:rsidP="005140B4">
            <w:pPr>
              <w:pStyle w:val="Tabletext"/>
              <w:rPr>
                <w:b/>
              </w:rPr>
            </w:pPr>
            <w:r w:rsidRPr="00993275">
              <w:rPr>
                <w:b/>
              </w:rPr>
              <w:t>Total</w:t>
            </w:r>
          </w:p>
        </w:tc>
        <w:tc>
          <w:tcPr>
            <w:tcW w:w="1054" w:type="dxa"/>
            <w:tcBorders>
              <w:top w:val="single" w:sz="6" w:space="0" w:color="auto"/>
              <w:bottom w:val="single" w:sz="12" w:space="0" w:color="auto"/>
            </w:tcBorders>
            <w:shd w:val="clear" w:color="auto" w:fill="auto"/>
          </w:tcPr>
          <w:p w:rsidR="00A53D7D" w:rsidRPr="00560216" w:rsidRDefault="00A53D7D" w:rsidP="00560216">
            <w:pPr>
              <w:pStyle w:val="TableofFigures"/>
              <w:rPr>
                <w:b/>
              </w:rPr>
            </w:pPr>
            <w:r w:rsidRPr="00560216">
              <w:rPr>
                <w:b/>
              </w:rPr>
              <w:t>116</w:t>
            </w:r>
          </w:p>
        </w:tc>
        <w:tc>
          <w:tcPr>
            <w:tcW w:w="1055" w:type="dxa"/>
            <w:tcBorders>
              <w:top w:val="single" w:sz="6" w:space="0" w:color="auto"/>
              <w:bottom w:val="single" w:sz="12" w:space="0" w:color="auto"/>
            </w:tcBorders>
            <w:shd w:val="clear" w:color="auto" w:fill="auto"/>
          </w:tcPr>
          <w:p w:rsidR="00A53D7D" w:rsidRPr="00560216" w:rsidRDefault="00A53D7D" w:rsidP="00560216">
            <w:pPr>
              <w:pStyle w:val="TableofFigures"/>
              <w:rPr>
                <w:b/>
                <w:highlight w:val="lightGray"/>
              </w:rPr>
            </w:pPr>
            <w:r w:rsidRPr="00560216">
              <w:rPr>
                <w:b/>
              </w:rPr>
              <w:t>117</w:t>
            </w:r>
          </w:p>
        </w:tc>
        <w:tc>
          <w:tcPr>
            <w:tcW w:w="1010" w:type="dxa"/>
            <w:tcBorders>
              <w:top w:val="single" w:sz="6" w:space="0" w:color="auto"/>
              <w:bottom w:val="single" w:sz="12" w:space="0" w:color="auto"/>
            </w:tcBorders>
            <w:shd w:val="clear" w:color="auto" w:fill="auto"/>
          </w:tcPr>
          <w:p w:rsidR="00A53D7D" w:rsidRPr="00560216" w:rsidRDefault="00A53D7D" w:rsidP="00560216">
            <w:pPr>
              <w:pStyle w:val="TableofFigures"/>
              <w:rPr>
                <w:b/>
                <w:highlight w:val="lightGray"/>
              </w:rPr>
            </w:pPr>
            <w:r w:rsidRPr="00560216">
              <w:rPr>
                <w:b/>
              </w:rPr>
              <w:t>1</w:t>
            </w:r>
          </w:p>
        </w:tc>
        <w:tc>
          <w:tcPr>
            <w:tcW w:w="1134" w:type="dxa"/>
            <w:tcBorders>
              <w:top w:val="single" w:sz="6" w:space="0" w:color="auto"/>
              <w:bottom w:val="single" w:sz="12" w:space="0" w:color="auto"/>
            </w:tcBorders>
            <w:shd w:val="clear" w:color="auto" w:fill="auto"/>
          </w:tcPr>
          <w:p w:rsidR="00A53D7D" w:rsidRPr="00560216" w:rsidRDefault="00A53D7D" w:rsidP="00560216">
            <w:pPr>
              <w:pStyle w:val="TableofFigures"/>
              <w:rPr>
                <w:b/>
              </w:rPr>
            </w:pPr>
            <w:r w:rsidRPr="00560216">
              <w:rPr>
                <w:b/>
              </w:rPr>
              <w:t xml:space="preserve"> </w:t>
            </w:r>
          </w:p>
        </w:tc>
      </w:tr>
    </w:tbl>
    <w:p w:rsidR="00A53D7D" w:rsidRDefault="00A53D7D" w:rsidP="005140B4"/>
    <w:p w:rsidR="00A53D7D" w:rsidRDefault="00A53D7D">
      <w:pPr>
        <w:spacing w:after="0"/>
      </w:pPr>
      <w:r>
        <w:br w:type="page"/>
      </w:r>
    </w:p>
    <w:p w:rsidR="00A53D7D" w:rsidRDefault="00A53D7D" w:rsidP="005140B4">
      <w:pPr>
        <w:pStyle w:val="Heading2"/>
      </w:pPr>
      <w:r>
        <w:t>Other matters to note</w:t>
      </w:r>
    </w:p>
    <w:p w:rsidR="00A53D7D" w:rsidRDefault="00A53D7D" w:rsidP="005140B4">
      <w:r>
        <w:t>Performance measures that are proposed to be substantially changed or discontinued in 2014</w:t>
      </w:r>
      <w:r>
        <w:noBreakHyphen/>
        <w:t>15 are identified in ‘</w:t>
      </w:r>
      <w:r w:rsidRPr="007C35B5">
        <w:t>Appendix A – Output performance measures for review by the Public Accounts and Estimates Committee</w:t>
      </w:r>
      <w:r>
        <w:t>’.</w:t>
      </w:r>
    </w:p>
    <w:p w:rsidR="00A53D7D" w:rsidRDefault="00A53D7D" w:rsidP="005140B4">
      <w:r>
        <w:t>Situations where it is appropriate to substantially change or discontinue a performance measure include where:</w:t>
      </w:r>
    </w:p>
    <w:p w:rsidR="00A53D7D" w:rsidRDefault="00A53D7D" w:rsidP="005140B4">
      <w:pPr>
        <w:pStyle w:val="BulletText"/>
      </w:pPr>
      <w:r>
        <w:t>a current measure can be replaced by a more appropriate measure and the new measure will provide more meaningful information to the Parliament and the public;</w:t>
      </w:r>
    </w:p>
    <w:p w:rsidR="00A53D7D" w:rsidRDefault="00A53D7D" w:rsidP="005140B4">
      <w:pPr>
        <w:pStyle w:val="BulletText"/>
      </w:pPr>
      <w:r>
        <w:t>it is no longer relevant due to a change in Government policy or priorities and/or departmental objectives;</w:t>
      </w:r>
    </w:p>
    <w:p w:rsidR="00A53D7D" w:rsidRDefault="00A53D7D" w:rsidP="005140B4">
      <w:pPr>
        <w:pStyle w:val="BulletText"/>
      </w:pPr>
      <w:r>
        <w:t>milestones, projects or programs have been completed, substantially changed, or discontinued; and</w:t>
      </w:r>
    </w:p>
    <w:p w:rsidR="00A53D7D" w:rsidRDefault="00A53D7D" w:rsidP="005140B4">
      <w:pPr>
        <w:pStyle w:val="BulletText"/>
      </w:pPr>
      <w:proofErr w:type="gramStart"/>
      <w:r>
        <w:t>funding</w:t>
      </w:r>
      <w:proofErr w:type="gramEnd"/>
      <w:r>
        <w:t xml:space="preserve"> is not provided in the current budget for the continuation of the initiative.</w:t>
      </w:r>
    </w:p>
    <w:p w:rsidR="00A53D7D" w:rsidRDefault="00A53D7D" w:rsidP="005140B4">
      <w:r>
        <w:t xml:space="preserve">In the main, substantially changed or discontinued measures have been amended or replaced by new measures that provide a stronger basis for evaluation of performance in the delivery of services to the community. </w:t>
      </w:r>
    </w:p>
    <w:p w:rsidR="00A53D7D" w:rsidRDefault="00A53D7D" w:rsidP="005140B4">
      <w:r>
        <w:t>When reading the performance statements, ‘nm’ refers to a new performance measure and ‘</w:t>
      </w:r>
      <w:proofErr w:type="spellStart"/>
      <w:r>
        <w:t>na</w:t>
      </w:r>
      <w:proofErr w:type="spellEnd"/>
      <w:r>
        <w:t>’ refers to data either not being available or not applicable in the specified year. Where a department has included a new measure in 2014</w:t>
      </w:r>
      <w:r>
        <w:rPr>
          <w:i/>
        </w:rPr>
        <w:noBreakHyphen/>
      </w:r>
      <w:r>
        <w:t>15, historical performance data has been provided, where available, to assist with analysis of the department’s performance over time.</w:t>
      </w:r>
    </w:p>
    <w:p w:rsidR="00A53D7D" w:rsidRDefault="00A53D7D" w:rsidP="005140B4"/>
    <w:p w:rsidR="00A53D7D" w:rsidRDefault="00A53D7D" w:rsidP="00497606"/>
    <w:p w:rsidR="00A53D7D" w:rsidRDefault="00A53D7D" w:rsidP="004463C6">
      <w:pPr>
        <w:sectPr w:rsidR="00A53D7D" w:rsidSect="00CD2017">
          <w:footerReference w:type="even" r:id="rId21"/>
          <w:footerReference w:type="default" r:id="rId22"/>
          <w:type w:val="oddPage"/>
          <w:pgSz w:w="9979" w:h="14181" w:code="138"/>
          <w:pgMar w:top="1140" w:right="1140" w:bottom="1140" w:left="1140" w:header="720" w:footer="431" w:gutter="0"/>
          <w:cols w:space="708"/>
          <w:docGrid w:linePitch="360"/>
        </w:sectPr>
      </w:pPr>
    </w:p>
    <w:p w:rsidR="00A53D7D" w:rsidRDefault="00A53D7D" w:rsidP="005140B4">
      <w:pPr>
        <w:pStyle w:val="Heading1"/>
      </w:pPr>
      <w:bookmarkStart w:id="69" w:name="_Toc386364075"/>
      <w:bookmarkStart w:id="70" w:name="_Toc386541216"/>
      <w:bookmarkStart w:id="71" w:name="_Toc407116908"/>
      <w:r>
        <w:t>Department of Education and Early Childhood Development</w:t>
      </w:r>
      <w:bookmarkEnd w:id="69"/>
      <w:bookmarkEnd w:id="70"/>
      <w:bookmarkEnd w:id="71"/>
    </w:p>
    <w:p w:rsidR="00A53D7D" w:rsidRDefault="00A53D7D" w:rsidP="005140B4">
      <w:pPr>
        <w:pStyle w:val="Heading2"/>
      </w:pPr>
      <w:r>
        <w:t>Ministerial portfolios</w:t>
      </w:r>
    </w:p>
    <w:p w:rsidR="00A53D7D" w:rsidRDefault="00A53D7D" w:rsidP="005140B4">
      <w:r>
        <w:t>The Department supports the ministerial portfolios of children and early childhood development, education, and higher education and skills.</w:t>
      </w:r>
    </w:p>
    <w:p w:rsidR="00A53D7D" w:rsidRDefault="00A53D7D" w:rsidP="005140B4">
      <w:pPr>
        <w:pStyle w:val="Heading2"/>
      </w:pPr>
      <w:r>
        <w:t>Departmental mission statement</w:t>
      </w:r>
    </w:p>
    <w:p w:rsidR="00A53D7D" w:rsidRDefault="00A53D7D" w:rsidP="005140B4">
      <w:r>
        <w:t xml:space="preserve">The Department of Education and Early Childhood Development exists to support Victorians to build prosperous, socially </w:t>
      </w:r>
      <w:proofErr w:type="gramStart"/>
      <w:r>
        <w:t>engaged</w:t>
      </w:r>
      <w:proofErr w:type="gramEnd"/>
      <w:r>
        <w:t xml:space="preserve"> and healthy lives. We do this by supporting lifelong learning, through strengthening families and helping people to gain the skills and knowledge they need to thrive and participate in a complex and challenging economy and society.</w:t>
      </w:r>
    </w:p>
    <w:p w:rsidR="00A53D7D" w:rsidRDefault="00A53D7D" w:rsidP="005140B4">
      <w:r>
        <w:t>The provision of education, training, development, wellbeing and child health services (i.e. our learning and development services) are central to rewarding lives for individuals and families, and for a strong society that has lower crime rates, better health outcomes, greater social mobility, and strong economic growth, productivity and employment. The goals we set, the changes we implement, the systems we support, and the services we offer – all must lead to improved learning and development outcomes.</w:t>
      </w:r>
    </w:p>
    <w:p w:rsidR="00A53D7D" w:rsidRDefault="00A53D7D" w:rsidP="005140B4">
      <w:pPr>
        <w:pStyle w:val="Heading2"/>
      </w:pPr>
      <w:r>
        <w:t>Departmental objectives, indicators and outputs</w:t>
      </w:r>
    </w:p>
    <w:p w:rsidR="00A53D7D" w:rsidRDefault="00A53D7D" w:rsidP="005140B4">
      <w:r w:rsidRPr="00CE6B74">
        <w:t>The Department of Education and Early Childhood Development</w:t>
      </w:r>
      <w:r>
        <w:t>’</w:t>
      </w:r>
      <w:r w:rsidRPr="00CE6B74">
        <w:t xml:space="preserve">s objectives, </w:t>
      </w:r>
      <w:proofErr w:type="gramStart"/>
      <w:r w:rsidRPr="00CE6B74">
        <w:t>indicators</w:t>
      </w:r>
      <w:proofErr w:type="gramEnd"/>
      <w:r w:rsidRPr="00CE6B74">
        <w:t xml:space="preserve"> and linked outputs are:</w:t>
      </w:r>
    </w:p>
    <w:tbl>
      <w:tblPr>
        <w:tblW w:w="7776" w:type="dxa"/>
        <w:tblInd w:w="29" w:type="dxa"/>
        <w:tblLayout w:type="fixed"/>
        <w:tblCellMar>
          <w:left w:w="43" w:type="dxa"/>
          <w:right w:w="43" w:type="dxa"/>
        </w:tblCellMar>
        <w:tblLook w:val="04A0" w:firstRow="1" w:lastRow="0" w:firstColumn="1" w:lastColumn="0" w:noHBand="0" w:noVBand="1"/>
      </w:tblPr>
      <w:tblGrid>
        <w:gridCol w:w="2282"/>
        <w:gridCol w:w="3178"/>
        <w:gridCol w:w="2316"/>
      </w:tblGrid>
      <w:tr w:rsidR="00A53D7D" w:rsidTr="005140B4">
        <w:tc>
          <w:tcPr>
            <w:tcW w:w="2282" w:type="dxa"/>
            <w:tcBorders>
              <w:top w:val="single" w:sz="4" w:space="0" w:color="auto"/>
              <w:left w:val="single" w:sz="4" w:space="0" w:color="auto"/>
              <w:bottom w:val="single" w:sz="4" w:space="0" w:color="auto"/>
            </w:tcBorders>
            <w:shd w:val="clear" w:color="auto" w:fill="000000"/>
          </w:tcPr>
          <w:p w:rsidR="00A53D7D" w:rsidRDefault="00A53D7D" w:rsidP="005140B4">
            <w:pPr>
              <w:pStyle w:val="Tabletextheadingleft"/>
            </w:pPr>
            <w:r w:rsidRPr="00A31801">
              <w:t>Departmental objectives</w:t>
            </w:r>
          </w:p>
        </w:tc>
        <w:tc>
          <w:tcPr>
            <w:tcW w:w="3178" w:type="dxa"/>
            <w:tcBorders>
              <w:top w:val="single" w:sz="4" w:space="0" w:color="auto"/>
              <w:bottom w:val="single" w:sz="4" w:space="0" w:color="auto"/>
            </w:tcBorders>
            <w:shd w:val="clear" w:color="auto" w:fill="000000"/>
          </w:tcPr>
          <w:p w:rsidR="00A53D7D" w:rsidRDefault="00A53D7D" w:rsidP="005140B4">
            <w:pPr>
              <w:pStyle w:val="Tabletextheadingleft"/>
            </w:pPr>
            <w:r w:rsidRPr="00A31801">
              <w:t>Objective Indicators</w:t>
            </w:r>
          </w:p>
        </w:tc>
        <w:tc>
          <w:tcPr>
            <w:tcW w:w="2316" w:type="dxa"/>
            <w:tcBorders>
              <w:top w:val="single" w:sz="4" w:space="0" w:color="auto"/>
              <w:bottom w:val="single" w:sz="4" w:space="0" w:color="auto"/>
              <w:right w:val="single" w:sz="4" w:space="0" w:color="auto"/>
            </w:tcBorders>
            <w:shd w:val="clear" w:color="auto" w:fill="000000"/>
          </w:tcPr>
          <w:p w:rsidR="00A53D7D" w:rsidRDefault="00A53D7D" w:rsidP="005140B4">
            <w:pPr>
              <w:pStyle w:val="Tabletextheadingleft"/>
            </w:pPr>
            <w:r w:rsidRPr="00A31801">
              <w:t>Outputs</w:t>
            </w:r>
          </w:p>
        </w:tc>
      </w:tr>
      <w:tr w:rsidR="00A53D7D" w:rsidTr="005140B4">
        <w:tc>
          <w:tcPr>
            <w:tcW w:w="2282" w:type="dxa"/>
            <w:tcBorders>
              <w:top w:val="single" w:sz="4" w:space="0" w:color="auto"/>
              <w:bottom w:val="single" w:sz="6" w:space="0" w:color="auto"/>
            </w:tcBorders>
          </w:tcPr>
          <w:p w:rsidR="00A53D7D" w:rsidRPr="00BA1BD6" w:rsidRDefault="00A53D7D" w:rsidP="005140B4">
            <w:pPr>
              <w:pStyle w:val="Tabletextnoindent"/>
              <w:rPr>
                <w:b/>
              </w:rPr>
            </w:pPr>
            <w:r w:rsidRPr="00BA1BD6">
              <w:rPr>
                <w:b/>
              </w:rPr>
              <w:t xml:space="preserve">Achievement </w:t>
            </w:r>
          </w:p>
          <w:p w:rsidR="00A53D7D" w:rsidRPr="00AF025D" w:rsidRDefault="00A53D7D" w:rsidP="005140B4">
            <w:pPr>
              <w:pStyle w:val="Tabletextnoindent"/>
            </w:pPr>
            <w:r w:rsidRPr="002B564A">
              <w:t>Raise standards of learning and development achieved by Victorians using education, training, development and child health services</w:t>
            </w:r>
          </w:p>
        </w:tc>
        <w:tc>
          <w:tcPr>
            <w:tcW w:w="3178" w:type="dxa"/>
            <w:tcBorders>
              <w:top w:val="single" w:sz="4" w:space="0" w:color="auto"/>
              <w:bottom w:val="single" w:sz="6" w:space="0" w:color="auto"/>
            </w:tcBorders>
          </w:tcPr>
          <w:p w:rsidR="00A53D7D" w:rsidRDefault="00A53D7D" w:rsidP="005140B4">
            <w:pPr>
              <w:pStyle w:val="Tabletextnoindent"/>
            </w:pPr>
            <w:r w:rsidRPr="00C357A3">
              <w:t xml:space="preserve">Children developmentally </w:t>
            </w:r>
            <w:r>
              <w:t>‘</w:t>
            </w:r>
            <w:r w:rsidRPr="00C357A3">
              <w:t>on track</w:t>
            </w:r>
            <w:r>
              <w:t>’</w:t>
            </w:r>
            <w:r w:rsidRPr="00C357A3">
              <w:t xml:space="preserve"> on the Australian Early Development Index (AEDI) language and cognitive skills domains</w:t>
            </w:r>
          </w:p>
          <w:p w:rsidR="00A53D7D" w:rsidRDefault="00A53D7D" w:rsidP="005140B4">
            <w:pPr>
              <w:pStyle w:val="Tabletextnoindent"/>
            </w:pPr>
            <w:r w:rsidRPr="00C357A3">
              <w:t>Students meeting the expected standard in national and international literacy and numeracy assessment</w:t>
            </w:r>
          </w:p>
          <w:p w:rsidR="00A53D7D" w:rsidRDefault="00A53D7D" w:rsidP="005140B4">
            <w:pPr>
              <w:pStyle w:val="Tabletextnoindent"/>
            </w:pPr>
            <w:r w:rsidRPr="001125A1">
              <w:t>Students meeting the expected standards in other key learning areas, such as science, arts, history and ICT</w:t>
            </w:r>
            <w:r w:rsidRPr="00BA1BD6">
              <w:rPr>
                <w:vertAlign w:val="superscript"/>
              </w:rPr>
              <w:t>(a)</w:t>
            </w:r>
          </w:p>
          <w:p w:rsidR="00A53D7D" w:rsidRPr="001125A1" w:rsidRDefault="00A53D7D" w:rsidP="005140B4">
            <w:pPr>
              <w:pStyle w:val="Tabletextnoindent"/>
            </w:pPr>
            <w:r w:rsidRPr="001125A1">
              <w:t>Year 12 or equivalent</w:t>
            </w:r>
            <w:r w:rsidRPr="00BA1BD6">
              <w:rPr>
                <w:vertAlign w:val="superscript"/>
              </w:rPr>
              <w:t>(b)</w:t>
            </w:r>
            <w:r w:rsidRPr="001125A1">
              <w:t xml:space="preserve"> completion rates of young people </w:t>
            </w:r>
          </w:p>
          <w:p w:rsidR="00A53D7D" w:rsidRDefault="00A53D7D" w:rsidP="005140B4">
            <w:pPr>
              <w:pStyle w:val="Tabletextnoindent"/>
            </w:pPr>
            <w:r w:rsidRPr="00AF025D">
              <w:t>VET course completions</w:t>
            </w:r>
          </w:p>
          <w:p w:rsidR="00A53D7D" w:rsidRPr="00AF025D" w:rsidRDefault="00A53D7D" w:rsidP="005140B4">
            <w:pPr>
              <w:pStyle w:val="Tabletextnoindent"/>
            </w:pPr>
            <w:r w:rsidRPr="001125A1">
              <w:t>Certificate III or above course completions</w:t>
            </w:r>
            <w:r w:rsidRPr="00BA1BD6">
              <w:rPr>
                <w:vertAlign w:val="superscript"/>
              </w:rPr>
              <w:t>(a)</w:t>
            </w:r>
          </w:p>
        </w:tc>
        <w:tc>
          <w:tcPr>
            <w:tcW w:w="2316" w:type="dxa"/>
            <w:tcBorders>
              <w:top w:val="single" w:sz="4" w:space="0" w:color="auto"/>
              <w:bottom w:val="single" w:sz="6" w:space="0" w:color="auto"/>
            </w:tcBorders>
          </w:tcPr>
          <w:p w:rsidR="00A53D7D" w:rsidRPr="00AF025D" w:rsidRDefault="00A53D7D" w:rsidP="005140B4">
            <w:pPr>
              <w:pStyle w:val="Tabletextnoindent"/>
            </w:pPr>
            <w:r w:rsidRPr="00AF025D">
              <w:t xml:space="preserve">Strategy, Review and Regulation </w:t>
            </w:r>
          </w:p>
          <w:p w:rsidR="00A53D7D" w:rsidRPr="00AF025D" w:rsidRDefault="00A53D7D" w:rsidP="005140B4">
            <w:pPr>
              <w:pStyle w:val="Tabletextnoindent"/>
            </w:pPr>
            <w:r w:rsidRPr="00AF025D">
              <w:t>Early Childhood Development</w:t>
            </w:r>
          </w:p>
          <w:p w:rsidR="00A53D7D" w:rsidRPr="00AF025D" w:rsidRDefault="00A53D7D" w:rsidP="005140B4">
            <w:pPr>
              <w:pStyle w:val="Tabletextnoindent"/>
            </w:pPr>
            <w:r w:rsidRPr="00AF025D">
              <w:t>School Education</w:t>
            </w:r>
            <w:r>
              <w:t xml:space="preserve"> – </w:t>
            </w:r>
            <w:r w:rsidRPr="00AF025D">
              <w:t>Primary</w:t>
            </w:r>
          </w:p>
          <w:p w:rsidR="00A53D7D" w:rsidRPr="00AF025D" w:rsidRDefault="00A53D7D" w:rsidP="005140B4">
            <w:pPr>
              <w:pStyle w:val="Tabletextnoindent"/>
            </w:pPr>
            <w:r w:rsidRPr="00AF025D">
              <w:t>School Education</w:t>
            </w:r>
            <w:r>
              <w:t xml:space="preserve"> – </w:t>
            </w:r>
            <w:r w:rsidRPr="00AF025D">
              <w:t>Secondary</w:t>
            </w:r>
          </w:p>
          <w:p w:rsidR="00A53D7D" w:rsidRPr="00AF025D" w:rsidRDefault="00A53D7D" w:rsidP="005140B4">
            <w:pPr>
              <w:pStyle w:val="Tabletextnoindent"/>
            </w:pPr>
            <w:r w:rsidRPr="00AF025D">
              <w:t>Support Services Delivery</w:t>
            </w:r>
          </w:p>
          <w:p w:rsidR="00A53D7D" w:rsidRPr="00AF025D" w:rsidRDefault="00A53D7D" w:rsidP="005140B4">
            <w:pPr>
              <w:pStyle w:val="Tabletextnoindent"/>
            </w:pPr>
            <w:r w:rsidRPr="00AF025D">
              <w:t>Support for Students with Disabilities</w:t>
            </w:r>
          </w:p>
          <w:p w:rsidR="00A53D7D" w:rsidRPr="00AF025D" w:rsidRDefault="00A53D7D" w:rsidP="005140B4">
            <w:pPr>
              <w:pStyle w:val="Tabletextnoindent"/>
            </w:pPr>
            <w:r w:rsidRPr="00AF025D">
              <w:t>Higher Education and Skills</w:t>
            </w:r>
          </w:p>
        </w:tc>
      </w:tr>
      <w:tr w:rsidR="00A53D7D" w:rsidTr="005140B4">
        <w:tc>
          <w:tcPr>
            <w:tcW w:w="2282" w:type="dxa"/>
            <w:tcBorders>
              <w:top w:val="single" w:sz="6" w:space="0" w:color="auto"/>
              <w:bottom w:val="single" w:sz="6" w:space="0" w:color="auto"/>
            </w:tcBorders>
          </w:tcPr>
          <w:p w:rsidR="00A53D7D" w:rsidRPr="00BA1BD6" w:rsidRDefault="00A53D7D" w:rsidP="005140B4">
            <w:pPr>
              <w:pStyle w:val="Tabletextnoindent"/>
              <w:keepNext/>
              <w:rPr>
                <w:b/>
              </w:rPr>
            </w:pPr>
            <w:r w:rsidRPr="00BA1BD6">
              <w:rPr>
                <w:b/>
              </w:rPr>
              <w:t>Engagement</w:t>
            </w:r>
          </w:p>
          <w:p w:rsidR="00A53D7D" w:rsidRPr="00AF025D" w:rsidRDefault="00A53D7D" w:rsidP="005140B4">
            <w:pPr>
              <w:pStyle w:val="Tabletextnoindent"/>
              <w:keepNext/>
            </w:pPr>
            <w:r w:rsidRPr="002B564A">
              <w:t>Increase the number of Victorians actively participating in education, training, development and child health services</w:t>
            </w:r>
          </w:p>
        </w:tc>
        <w:tc>
          <w:tcPr>
            <w:tcW w:w="3178" w:type="dxa"/>
            <w:tcBorders>
              <w:top w:val="single" w:sz="6" w:space="0" w:color="auto"/>
              <w:bottom w:val="single" w:sz="6" w:space="0" w:color="auto"/>
            </w:tcBorders>
          </w:tcPr>
          <w:p w:rsidR="00A53D7D" w:rsidRDefault="00A53D7D" w:rsidP="005140B4">
            <w:pPr>
              <w:pStyle w:val="Tabletextnoindent"/>
              <w:keepNext/>
            </w:pPr>
            <w:r w:rsidRPr="009A46B1">
              <w:t>Participation in a kindergarten service in the year before school</w:t>
            </w:r>
          </w:p>
          <w:p w:rsidR="00A53D7D" w:rsidRPr="00AF025D" w:rsidRDefault="00A53D7D" w:rsidP="005140B4">
            <w:pPr>
              <w:pStyle w:val="Tabletextnoindent"/>
              <w:keepNext/>
            </w:pPr>
            <w:r w:rsidRPr="00AF025D">
              <w:t>Participation in Maternal and Child Health Services</w:t>
            </w:r>
          </w:p>
          <w:p w:rsidR="00A53D7D" w:rsidRPr="00AF025D" w:rsidRDefault="00A53D7D" w:rsidP="005140B4">
            <w:pPr>
              <w:pStyle w:val="Tabletextnoindent"/>
              <w:keepNext/>
            </w:pPr>
            <w:r w:rsidRPr="00AF025D">
              <w:t>Students with acceptable levels of school attendance</w:t>
            </w:r>
          </w:p>
          <w:p w:rsidR="00A53D7D" w:rsidRDefault="00A53D7D" w:rsidP="005140B4">
            <w:pPr>
              <w:pStyle w:val="Tabletextnoindent"/>
              <w:keepNext/>
            </w:pPr>
            <w:r w:rsidRPr="009A46B1">
              <w:t>Students with a positive opinion of their school teachers providing a stimulating learning environment</w:t>
            </w:r>
          </w:p>
          <w:p w:rsidR="00A53D7D" w:rsidRPr="00AF025D" w:rsidRDefault="00A53D7D" w:rsidP="005140B4">
            <w:pPr>
              <w:pStyle w:val="Tabletextnoindent"/>
              <w:keepNext/>
            </w:pPr>
            <w:r w:rsidRPr="00AF025D">
              <w:t>VET enrolments by age and gender</w:t>
            </w:r>
          </w:p>
          <w:p w:rsidR="00A53D7D" w:rsidRDefault="00A53D7D" w:rsidP="005140B4">
            <w:pPr>
              <w:pStyle w:val="Tabletextnoindent"/>
              <w:keepNext/>
            </w:pPr>
            <w:r w:rsidRPr="00AF025D">
              <w:t>VET enrolments by administrative regions</w:t>
            </w:r>
          </w:p>
          <w:p w:rsidR="00A53D7D" w:rsidRPr="009A46B1" w:rsidRDefault="00A53D7D" w:rsidP="005140B4">
            <w:pPr>
              <w:pStyle w:val="Tabletextnoindent"/>
              <w:keepNext/>
            </w:pPr>
            <w:r w:rsidRPr="009A46B1">
              <w:t>VET enrolments by skills shortage category courses</w:t>
            </w:r>
          </w:p>
          <w:p w:rsidR="00A53D7D" w:rsidRPr="009A46B1" w:rsidRDefault="00A53D7D" w:rsidP="005140B4">
            <w:pPr>
              <w:pStyle w:val="Tabletextnoindent"/>
              <w:keepNext/>
            </w:pPr>
            <w:r w:rsidRPr="009A46B1">
              <w:t>VET enrolments by specialised category courses</w:t>
            </w:r>
          </w:p>
          <w:p w:rsidR="00A53D7D" w:rsidRPr="009A46B1" w:rsidRDefault="00A53D7D" w:rsidP="005140B4">
            <w:pPr>
              <w:pStyle w:val="Tabletextnoindent"/>
              <w:keepNext/>
            </w:pPr>
            <w:r w:rsidRPr="009A46B1">
              <w:t>VET participation by learners facing barriers</w:t>
            </w:r>
            <w:r w:rsidRPr="00BA1BD6">
              <w:rPr>
                <w:vertAlign w:val="superscript"/>
              </w:rPr>
              <w:t>(a)</w:t>
            </w:r>
          </w:p>
          <w:p w:rsidR="00A53D7D" w:rsidRPr="00AF025D" w:rsidRDefault="00A53D7D" w:rsidP="005140B4">
            <w:pPr>
              <w:pStyle w:val="Tabletextnoindent"/>
              <w:keepNext/>
            </w:pPr>
            <w:r w:rsidRPr="009A46B1">
              <w:t>VET participation by unemployed learners</w:t>
            </w:r>
            <w:r w:rsidRPr="00BA1BD6">
              <w:rPr>
                <w:vertAlign w:val="superscript"/>
              </w:rPr>
              <w:t>(a)</w:t>
            </w:r>
          </w:p>
        </w:tc>
        <w:tc>
          <w:tcPr>
            <w:tcW w:w="2316" w:type="dxa"/>
            <w:tcBorders>
              <w:top w:val="single" w:sz="6" w:space="0" w:color="auto"/>
              <w:bottom w:val="single" w:sz="6" w:space="0" w:color="auto"/>
            </w:tcBorders>
          </w:tcPr>
          <w:p w:rsidR="00A53D7D" w:rsidRPr="00AF025D" w:rsidRDefault="00A53D7D" w:rsidP="005140B4">
            <w:pPr>
              <w:pStyle w:val="Tabletextnoindent"/>
              <w:keepNext/>
            </w:pPr>
            <w:r w:rsidRPr="00AF025D">
              <w:t xml:space="preserve">Strategy, Review and Regulation </w:t>
            </w:r>
          </w:p>
          <w:p w:rsidR="00A53D7D" w:rsidRPr="00AF025D" w:rsidRDefault="00A53D7D" w:rsidP="005140B4">
            <w:pPr>
              <w:pStyle w:val="Tabletextnoindent"/>
              <w:keepNext/>
            </w:pPr>
            <w:r w:rsidRPr="00AF025D">
              <w:t>Early Childhood Development</w:t>
            </w:r>
          </w:p>
          <w:p w:rsidR="00A53D7D" w:rsidRPr="00AF025D" w:rsidRDefault="00A53D7D" w:rsidP="005140B4">
            <w:pPr>
              <w:pStyle w:val="Tabletextnoindent"/>
              <w:keepNext/>
            </w:pPr>
            <w:r w:rsidRPr="00AF025D">
              <w:t>School Education</w:t>
            </w:r>
            <w:r>
              <w:t xml:space="preserve"> – </w:t>
            </w:r>
            <w:r w:rsidRPr="00AF025D">
              <w:t>Primary</w:t>
            </w:r>
          </w:p>
          <w:p w:rsidR="00A53D7D" w:rsidRPr="00AF025D" w:rsidRDefault="00A53D7D" w:rsidP="005140B4">
            <w:pPr>
              <w:pStyle w:val="Tabletextnoindent"/>
              <w:keepNext/>
            </w:pPr>
            <w:r w:rsidRPr="00AF025D">
              <w:t>School Education</w:t>
            </w:r>
            <w:r>
              <w:t xml:space="preserve"> – </w:t>
            </w:r>
            <w:r w:rsidRPr="00AF025D">
              <w:t>Secondary</w:t>
            </w:r>
          </w:p>
          <w:p w:rsidR="00A53D7D" w:rsidRPr="00AF025D" w:rsidRDefault="00A53D7D" w:rsidP="005140B4">
            <w:pPr>
              <w:pStyle w:val="Tabletextnoindent"/>
              <w:keepNext/>
            </w:pPr>
            <w:r w:rsidRPr="00AF025D">
              <w:t>Support Services Delivery</w:t>
            </w:r>
          </w:p>
          <w:p w:rsidR="00A53D7D" w:rsidRPr="00AF025D" w:rsidRDefault="00A53D7D" w:rsidP="005140B4">
            <w:pPr>
              <w:pStyle w:val="Tabletextnoindent"/>
              <w:keepNext/>
            </w:pPr>
            <w:r w:rsidRPr="00AF025D">
              <w:t>Support for Students with Disabilities</w:t>
            </w:r>
          </w:p>
          <w:p w:rsidR="00A53D7D" w:rsidRPr="00AF025D" w:rsidRDefault="00A53D7D" w:rsidP="005140B4">
            <w:pPr>
              <w:pStyle w:val="Tabletextnoindent"/>
              <w:keepNext/>
            </w:pPr>
            <w:r w:rsidRPr="00AF025D">
              <w:t>Higher Education and Skills</w:t>
            </w:r>
          </w:p>
        </w:tc>
      </w:tr>
      <w:tr w:rsidR="00A53D7D" w:rsidTr="005140B4">
        <w:tc>
          <w:tcPr>
            <w:tcW w:w="2282" w:type="dxa"/>
            <w:tcBorders>
              <w:top w:val="single" w:sz="6" w:space="0" w:color="auto"/>
              <w:bottom w:val="single" w:sz="6" w:space="0" w:color="auto"/>
            </w:tcBorders>
          </w:tcPr>
          <w:p w:rsidR="00A53D7D" w:rsidRPr="00BA1BD6" w:rsidRDefault="00A53D7D" w:rsidP="005140B4">
            <w:pPr>
              <w:pStyle w:val="Tabletextnoindent"/>
              <w:rPr>
                <w:b/>
              </w:rPr>
            </w:pPr>
            <w:r w:rsidRPr="00BA1BD6">
              <w:rPr>
                <w:b/>
              </w:rPr>
              <w:t>Wellbeing</w:t>
            </w:r>
          </w:p>
          <w:p w:rsidR="00A53D7D" w:rsidRPr="00AF025D" w:rsidRDefault="00A53D7D" w:rsidP="005140B4">
            <w:pPr>
              <w:pStyle w:val="Tabletextnoindent"/>
            </w:pPr>
            <w:r w:rsidRPr="002B564A">
              <w:t>Increase the contribution education, training, development and child health services make to good health and quality of life for all Victorians, particularly children and young people</w:t>
            </w:r>
          </w:p>
        </w:tc>
        <w:tc>
          <w:tcPr>
            <w:tcW w:w="3178" w:type="dxa"/>
            <w:tcBorders>
              <w:top w:val="single" w:sz="6" w:space="0" w:color="auto"/>
              <w:bottom w:val="single" w:sz="6" w:space="0" w:color="auto"/>
            </w:tcBorders>
          </w:tcPr>
          <w:p w:rsidR="00A53D7D" w:rsidRPr="009A46B1" w:rsidRDefault="00A53D7D" w:rsidP="005140B4">
            <w:pPr>
              <w:pStyle w:val="Tabletextnoindent"/>
            </w:pPr>
            <w:r w:rsidRPr="009A46B1">
              <w:t xml:space="preserve">Proportion of infants fully or partially breastfed at </w:t>
            </w:r>
            <w:r>
              <w:t>three</w:t>
            </w:r>
            <w:r w:rsidRPr="009A46B1">
              <w:t xml:space="preserve"> and </w:t>
            </w:r>
            <w:r>
              <w:t>six</w:t>
            </w:r>
            <w:r w:rsidRPr="009A46B1">
              <w:t xml:space="preserve"> months</w:t>
            </w:r>
            <w:r w:rsidRPr="00BA1BD6">
              <w:rPr>
                <w:vertAlign w:val="superscript"/>
              </w:rPr>
              <w:t>(a)</w:t>
            </w:r>
          </w:p>
          <w:p w:rsidR="00A53D7D" w:rsidRPr="009A46B1" w:rsidRDefault="00A53D7D" w:rsidP="005140B4">
            <w:pPr>
              <w:pStyle w:val="Tabletextnoindent"/>
            </w:pPr>
            <w:r w:rsidRPr="009A46B1">
              <w:t>Children who have no development or behavioural issues on entry into Prep</w:t>
            </w:r>
            <w:r w:rsidRPr="00BA1BD6">
              <w:rPr>
                <w:vertAlign w:val="superscript"/>
              </w:rPr>
              <w:t>(a)</w:t>
            </w:r>
          </w:p>
          <w:p w:rsidR="00A53D7D" w:rsidRPr="00AF025D" w:rsidRDefault="00A53D7D" w:rsidP="005140B4">
            <w:pPr>
              <w:pStyle w:val="Tabletextnoindent"/>
            </w:pPr>
            <w:r w:rsidRPr="009A46B1">
              <w:t xml:space="preserve">Children developmentally </w:t>
            </w:r>
            <w:r>
              <w:t>‘</w:t>
            </w:r>
            <w:r w:rsidRPr="009A46B1">
              <w:t>on track</w:t>
            </w:r>
            <w:r>
              <w:t>’</w:t>
            </w:r>
            <w:r w:rsidRPr="009A46B1">
              <w:t xml:space="preserve"> on the AEDI social competence and emotional maturity domains</w:t>
            </w:r>
          </w:p>
          <w:p w:rsidR="00A53D7D" w:rsidRPr="00AF025D" w:rsidRDefault="00A53D7D" w:rsidP="005140B4">
            <w:pPr>
              <w:pStyle w:val="Tabletextnoindent"/>
            </w:pPr>
            <w:r w:rsidRPr="00AF025D">
              <w:t>Students feeling connected to their school</w:t>
            </w:r>
          </w:p>
          <w:p w:rsidR="00A53D7D" w:rsidRPr="00AF025D" w:rsidRDefault="00A53D7D" w:rsidP="005140B4">
            <w:pPr>
              <w:pStyle w:val="Tabletextnoindent"/>
            </w:pPr>
            <w:r w:rsidRPr="00AF025D">
              <w:t>Students with a positive opinion about their school providing a safe and orderly environment for learning</w:t>
            </w:r>
          </w:p>
          <w:p w:rsidR="00A53D7D" w:rsidRPr="00AF025D" w:rsidRDefault="00A53D7D" w:rsidP="005140B4">
            <w:pPr>
              <w:pStyle w:val="Tabletextnoindent"/>
            </w:pPr>
            <w:r w:rsidRPr="00AF025D">
              <w:t>Level of student satisfaction with VET</w:t>
            </w:r>
          </w:p>
        </w:tc>
        <w:tc>
          <w:tcPr>
            <w:tcW w:w="2316" w:type="dxa"/>
            <w:tcBorders>
              <w:top w:val="single" w:sz="6" w:space="0" w:color="auto"/>
              <w:bottom w:val="single" w:sz="6" w:space="0" w:color="auto"/>
            </w:tcBorders>
          </w:tcPr>
          <w:p w:rsidR="00A53D7D" w:rsidRPr="00AF025D" w:rsidRDefault="00A53D7D" w:rsidP="005140B4">
            <w:pPr>
              <w:pStyle w:val="Tabletextnoindent"/>
            </w:pPr>
            <w:r w:rsidRPr="00AF025D">
              <w:t xml:space="preserve">Strategy, Review and Regulation </w:t>
            </w:r>
          </w:p>
          <w:p w:rsidR="00A53D7D" w:rsidRPr="00AF025D" w:rsidRDefault="00A53D7D" w:rsidP="005140B4">
            <w:pPr>
              <w:pStyle w:val="Tabletextnoindent"/>
            </w:pPr>
            <w:r w:rsidRPr="00AF025D">
              <w:t>Early Childhood Development</w:t>
            </w:r>
          </w:p>
          <w:p w:rsidR="00A53D7D" w:rsidRPr="00AF025D" w:rsidRDefault="00A53D7D" w:rsidP="005140B4">
            <w:pPr>
              <w:pStyle w:val="Tabletextnoindent"/>
            </w:pPr>
            <w:r w:rsidRPr="00AF025D">
              <w:t>School Education</w:t>
            </w:r>
            <w:r>
              <w:t xml:space="preserve"> – </w:t>
            </w:r>
            <w:r w:rsidRPr="00AF025D">
              <w:t>Primary</w:t>
            </w:r>
          </w:p>
          <w:p w:rsidR="00A53D7D" w:rsidRPr="00AF025D" w:rsidRDefault="00A53D7D" w:rsidP="005140B4">
            <w:pPr>
              <w:pStyle w:val="Tabletextnoindent"/>
            </w:pPr>
            <w:r w:rsidRPr="00AF025D">
              <w:t>School Education</w:t>
            </w:r>
            <w:r>
              <w:t xml:space="preserve"> – </w:t>
            </w:r>
            <w:r w:rsidRPr="00AF025D">
              <w:t>Secondary</w:t>
            </w:r>
          </w:p>
          <w:p w:rsidR="00A53D7D" w:rsidRPr="00AF025D" w:rsidRDefault="00A53D7D" w:rsidP="005140B4">
            <w:pPr>
              <w:pStyle w:val="Tabletextnoindent"/>
            </w:pPr>
            <w:r w:rsidRPr="00AF025D">
              <w:t>Support Services Delivery</w:t>
            </w:r>
          </w:p>
          <w:p w:rsidR="00A53D7D" w:rsidRPr="00AF025D" w:rsidRDefault="00A53D7D" w:rsidP="005140B4">
            <w:pPr>
              <w:pStyle w:val="Tabletextnoindent"/>
            </w:pPr>
            <w:r w:rsidRPr="00AF025D">
              <w:t>Support for Students with Disabilities</w:t>
            </w:r>
          </w:p>
          <w:p w:rsidR="00A53D7D" w:rsidRPr="00AF025D" w:rsidRDefault="00A53D7D" w:rsidP="005140B4">
            <w:pPr>
              <w:pStyle w:val="Tabletextnoindent"/>
            </w:pPr>
            <w:r w:rsidRPr="00AF025D">
              <w:t>Higher Education and Skills</w:t>
            </w:r>
          </w:p>
        </w:tc>
      </w:tr>
      <w:tr w:rsidR="00A53D7D" w:rsidTr="005140B4">
        <w:tc>
          <w:tcPr>
            <w:tcW w:w="2282" w:type="dxa"/>
            <w:tcBorders>
              <w:top w:val="single" w:sz="6" w:space="0" w:color="auto"/>
              <w:bottom w:val="single" w:sz="12" w:space="0" w:color="auto"/>
            </w:tcBorders>
          </w:tcPr>
          <w:p w:rsidR="00A53D7D" w:rsidRPr="00BA1BD6" w:rsidRDefault="00A53D7D" w:rsidP="005140B4">
            <w:pPr>
              <w:pStyle w:val="Tabletextnoindent"/>
              <w:pageBreakBefore/>
              <w:rPr>
                <w:b/>
              </w:rPr>
            </w:pPr>
            <w:r w:rsidRPr="00BA1BD6">
              <w:rPr>
                <w:b/>
              </w:rPr>
              <w:t>Productivity</w:t>
            </w:r>
          </w:p>
          <w:p w:rsidR="00A53D7D" w:rsidRPr="00AF025D" w:rsidRDefault="00A53D7D" w:rsidP="005140B4">
            <w:pPr>
              <w:pStyle w:val="Tabletextnoindent"/>
              <w:pageBreakBefore/>
            </w:pPr>
            <w:r w:rsidRPr="002B564A">
              <w:t>Increase the productivity of our services</w:t>
            </w:r>
          </w:p>
        </w:tc>
        <w:tc>
          <w:tcPr>
            <w:tcW w:w="3178" w:type="dxa"/>
            <w:tcBorders>
              <w:top w:val="single" w:sz="6" w:space="0" w:color="auto"/>
              <w:bottom w:val="single" w:sz="12" w:space="0" w:color="auto"/>
            </w:tcBorders>
          </w:tcPr>
          <w:p w:rsidR="00A53D7D" w:rsidRPr="00AF781B" w:rsidRDefault="00A53D7D" w:rsidP="005140B4">
            <w:pPr>
              <w:pStyle w:val="Tabletextnoindent"/>
              <w:pageBreakBefore/>
            </w:pPr>
            <w:r w:rsidRPr="00AF781B">
              <w:t>$ per kindergarten st</w:t>
            </w:r>
            <w:r>
              <w:t>udent per year (or ECIS or MCH)</w:t>
            </w:r>
            <w:r w:rsidRPr="00BA1BD6">
              <w:rPr>
                <w:vertAlign w:val="superscript"/>
              </w:rPr>
              <w:t>(a)</w:t>
            </w:r>
          </w:p>
          <w:p w:rsidR="00A53D7D" w:rsidRPr="00AF781B" w:rsidRDefault="00A53D7D" w:rsidP="005140B4">
            <w:pPr>
              <w:pStyle w:val="Tabletextnoindent"/>
              <w:pageBreakBefore/>
            </w:pPr>
            <w:r w:rsidRPr="00AF781B">
              <w:t>$ per primary school student per</w:t>
            </w:r>
            <w:r>
              <w:t> </w:t>
            </w:r>
            <w:r w:rsidRPr="00AF781B">
              <w:t>year</w:t>
            </w:r>
            <w:r w:rsidRPr="00BA1BD6">
              <w:rPr>
                <w:vertAlign w:val="superscript"/>
              </w:rPr>
              <w:t>(a)</w:t>
            </w:r>
          </w:p>
          <w:p w:rsidR="00A53D7D" w:rsidRPr="00AF781B" w:rsidRDefault="00A53D7D" w:rsidP="005140B4">
            <w:pPr>
              <w:pStyle w:val="Tabletextnoindent"/>
              <w:pageBreakBefore/>
            </w:pPr>
            <w:r w:rsidRPr="00AF781B">
              <w:t>$ per se</w:t>
            </w:r>
            <w:r>
              <w:t>condary school student per year</w:t>
            </w:r>
            <w:r w:rsidRPr="00BA1BD6">
              <w:rPr>
                <w:vertAlign w:val="superscript"/>
              </w:rPr>
              <w:t>(a)</w:t>
            </w:r>
          </w:p>
          <w:p w:rsidR="00A53D7D" w:rsidRPr="00AF025D" w:rsidRDefault="00A53D7D" w:rsidP="005140B4">
            <w:pPr>
              <w:pStyle w:val="Tabletextnoindent"/>
              <w:pageBreakBefore/>
            </w:pPr>
            <w:r>
              <w:t>$ per VET student contact hour</w:t>
            </w:r>
            <w:r w:rsidRPr="00BA1BD6">
              <w:rPr>
                <w:vertAlign w:val="superscript"/>
              </w:rPr>
              <w:t>(a)</w:t>
            </w:r>
          </w:p>
        </w:tc>
        <w:tc>
          <w:tcPr>
            <w:tcW w:w="2316" w:type="dxa"/>
            <w:tcBorders>
              <w:top w:val="single" w:sz="6" w:space="0" w:color="auto"/>
              <w:bottom w:val="single" w:sz="12" w:space="0" w:color="auto"/>
            </w:tcBorders>
          </w:tcPr>
          <w:p w:rsidR="00A53D7D" w:rsidRPr="00AF025D" w:rsidRDefault="00A53D7D" w:rsidP="005140B4">
            <w:pPr>
              <w:pStyle w:val="Tabletextnoindent"/>
              <w:pageBreakBefore/>
            </w:pPr>
            <w:r w:rsidRPr="00AF025D">
              <w:t xml:space="preserve">Strategy, Review and Regulation </w:t>
            </w:r>
          </w:p>
          <w:p w:rsidR="00A53D7D" w:rsidRPr="00AF025D" w:rsidRDefault="00A53D7D" w:rsidP="005140B4">
            <w:pPr>
              <w:pStyle w:val="Tabletextnoindent"/>
              <w:pageBreakBefore/>
            </w:pPr>
            <w:r w:rsidRPr="00AF025D">
              <w:t>Early Childhood Development</w:t>
            </w:r>
          </w:p>
          <w:p w:rsidR="00A53D7D" w:rsidRPr="00AF025D" w:rsidRDefault="00A53D7D" w:rsidP="005140B4">
            <w:pPr>
              <w:pStyle w:val="Tabletextnoindent"/>
              <w:pageBreakBefore/>
            </w:pPr>
            <w:r w:rsidRPr="00AF025D">
              <w:t>School Education</w:t>
            </w:r>
            <w:r>
              <w:t xml:space="preserve"> – </w:t>
            </w:r>
            <w:r w:rsidRPr="00AF025D">
              <w:t>Primary</w:t>
            </w:r>
          </w:p>
          <w:p w:rsidR="00A53D7D" w:rsidRPr="00AF025D" w:rsidRDefault="00A53D7D" w:rsidP="005140B4">
            <w:pPr>
              <w:pStyle w:val="Tabletextnoindent"/>
              <w:pageBreakBefore/>
            </w:pPr>
            <w:r w:rsidRPr="00AF025D">
              <w:t>School Education</w:t>
            </w:r>
            <w:r>
              <w:t xml:space="preserve"> – </w:t>
            </w:r>
            <w:r w:rsidRPr="00AF025D">
              <w:t>Secondary</w:t>
            </w:r>
          </w:p>
          <w:p w:rsidR="00A53D7D" w:rsidRPr="00AF025D" w:rsidRDefault="00A53D7D" w:rsidP="005140B4">
            <w:pPr>
              <w:pStyle w:val="Tabletextnoindent"/>
              <w:pageBreakBefore/>
            </w:pPr>
            <w:r w:rsidRPr="00AF025D">
              <w:t>Support Services Delivery</w:t>
            </w:r>
          </w:p>
          <w:p w:rsidR="00A53D7D" w:rsidRPr="00AF025D" w:rsidRDefault="00A53D7D" w:rsidP="005140B4">
            <w:pPr>
              <w:pStyle w:val="Tabletextnoindent"/>
              <w:pageBreakBefore/>
            </w:pPr>
            <w:r w:rsidRPr="00AF025D">
              <w:t>Support for Students with Disabilities</w:t>
            </w:r>
          </w:p>
          <w:p w:rsidR="00A53D7D" w:rsidRPr="00AF025D" w:rsidRDefault="00A53D7D" w:rsidP="005140B4">
            <w:pPr>
              <w:pStyle w:val="Tabletextnoindent"/>
              <w:pageBreakBefore/>
            </w:pPr>
            <w:r w:rsidRPr="00AF025D">
              <w:t>Higher Education and Skills</w:t>
            </w:r>
          </w:p>
        </w:tc>
      </w:tr>
    </w:tbl>
    <w:p w:rsidR="00A53D7D" w:rsidRDefault="00A53D7D" w:rsidP="005140B4">
      <w:pPr>
        <w:pStyle w:val="Source"/>
      </w:pPr>
      <w:r>
        <w:t>Source: Department of Education and Early Childhood Development 2013</w:t>
      </w:r>
      <w:r>
        <w:noBreakHyphen/>
        <w:t>17 Strategic Plan</w:t>
      </w:r>
    </w:p>
    <w:p w:rsidR="00A53D7D" w:rsidRDefault="00A53D7D" w:rsidP="005140B4">
      <w:pPr>
        <w:pStyle w:val="Notes"/>
      </w:pPr>
      <w:r>
        <w:t xml:space="preserve">Notes: </w:t>
      </w:r>
    </w:p>
    <w:p w:rsidR="00A53D7D" w:rsidRDefault="00A53D7D" w:rsidP="005140B4">
      <w:pPr>
        <w:pStyle w:val="Notes"/>
      </w:pPr>
      <w:r>
        <w:t>(a)</w:t>
      </w:r>
      <w:r>
        <w:tab/>
        <w:t>New indicators that were not published in the 2013</w:t>
      </w:r>
      <w:r>
        <w:noBreakHyphen/>
        <w:t>14 State Budget papers.</w:t>
      </w:r>
    </w:p>
    <w:p w:rsidR="00A53D7D" w:rsidRDefault="00A53D7D" w:rsidP="005140B4">
      <w:pPr>
        <w:pStyle w:val="Notes"/>
      </w:pPr>
      <w:r>
        <w:t>(b)</w:t>
      </w:r>
      <w:r>
        <w:tab/>
        <w:t>In the future, the term ‘or equivalent’ will be removed from this indicator and replaced with Year 12 or equivalent vocational qualification completion rates of young people.</w:t>
      </w:r>
    </w:p>
    <w:p w:rsidR="00F820F9" w:rsidRDefault="00F820F9" w:rsidP="005140B4">
      <w:pPr>
        <w:pStyle w:val="Notes"/>
      </w:pPr>
    </w:p>
    <w:p w:rsidR="00A53D7D" w:rsidRDefault="00A53D7D" w:rsidP="005140B4">
      <w:pPr>
        <w:pStyle w:val="Heading2"/>
      </w:pPr>
      <w:r>
        <w:t>Changes to the output structure</w:t>
      </w:r>
    </w:p>
    <w:p w:rsidR="00A53D7D" w:rsidRDefault="00A53D7D" w:rsidP="005140B4">
      <w:r>
        <w:t>The Department of Education and Early Childhood Development reviews its output structure and performance measures regularly to ensure they continue to align with and support its objectives.</w:t>
      </w:r>
    </w:p>
    <w:p w:rsidR="00A53D7D" w:rsidRDefault="00A53D7D" w:rsidP="005140B4">
      <w:r>
        <w:t>There are no changes to the Department’s output structure for 2014</w:t>
      </w:r>
      <w:r>
        <w:noBreakHyphen/>
        <w:t>15.</w:t>
      </w:r>
    </w:p>
    <w:p w:rsidR="00A53D7D" w:rsidRDefault="00A53D7D" w:rsidP="005140B4">
      <w:r>
        <w:t>The following table summarises the Department’s total output cost by output group and by output for the School Education output group:</w:t>
      </w:r>
    </w:p>
    <w:p w:rsidR="00A53D7D" w:rsidRDefault="00A53D7D">
      <w:pPr>
        <w:spacing w:after="0"/>
        <w:rPr>
          <w:rFonts w:ascii="Calibri" w:hAnsi="Calibri"/>
          <w:b/>
        </w:rPr>
      </w:pPr>
      <w:r>
        <w:br w:type="page"/>
      </w:r>
    </w:p>
    <w:p w:rsidR="00A53D7D" w:rsidRDefault="00A53D7D" w:rsidP="005140B4">
      <w:pPr>
        <w:pStyle w:val="Tableheading"/>
      </w:pPr>
      <w:r>
        <w:t>Table 2.2:</w:t>
      </w:r>
      <w:r>
        <w:tab/>
        <w:t xml:space="preserve">Output summary </w:t>
      </w:r>
    </w:p>
    <w:p w:rsidR="00A53D7D" w:rsidRPr="00DF29A1"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DF29A1" w:rsidTr="005140B4">
        <w:tc>
          <w:tcPr>
            <w:tcW w:w="3801" w:type="dxa"/>
            <w:tcBorders>
              <w:top w:val="single" w:sz="4" w:space="0" w:color="auto"/>
              <w:left w:val="single" w:sz="4" w:space="0" w:color="auto"/>
              <w:bottom w:val="nil"/>
              <w:right w:val="nil"/>
            </w:tcBorders>
            <w:shd w:val="clear" w:color="auto" w:fill="000000"/>
          </w:tcPr>
          <w:p w:rsidR="00A53D7D" w:rsidRPr="00DF29A1" w:rsidRDefault="00A53D7D" w:rsidP="005140B4">
            <w:pPr>
              <w:pStyle w:val="Tabletext"/>
              <w:rPr>
                <w:rFonts w:eastAsiaTheme="minorEastAsia"/>
                <w:lang w:eastAsia="en-AU"/>
              </w:rPr>
            </w:pPr>
          </w:p>
        </w:tc>
        <w:tc>
          <w:tcPr>
            <w:tcW w:w="993" w:type="dxa"/>
            <w:tcBorders>
              <w:top w:val="single" w:sz="4" w:space="0" w:color="auto"/>
              <w:left w:val="nil"/>
              <w:bottom w:val="nil"/>
              <w:right w:val="nil"/>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2014-15</w:t>
            </w:r>
          </w:p>
        </w:tc>
        <w:tc>
          <w:tcPr>
            <w:tcW w:w="993" w:type="dxa"/>
            <w:tcBorders>
              <w:top w:val="single" w:sz="4" w:space="0" w:color="auto"/>
              <w:left w:val="nil"/>
              <w:bottom w:val="nil"/>
              <w:right w:val="single" w:sz="4" w:space="0" w:color="auto"/>
            </w:tcBorders>
            <w:shd w:val="clear" w:color="auto" w:fill="000000"/>
          </w:tcPr>
          <w:p w:rsidR="00A53D7D" w:rsidRPr="00DF29A1" w:rsidRDefault="00A53D7D" w:rsidP="005140B4">
            <w:pPr>
              <w:pStyle w:val="Tabletextheading"/>
              <w:rPr>
                <w:rFonts w:eastAsiaTheme="minorEastAsia"/>
                <w:vertAlign w:val="superscript"/>
                <w:lang w:eastAsia="en-AU"/>
              </w:rPr>
            </w:pPr>
            <w:r w:rsidRPr="00DF29A1">
              <w:rPr>
                <w:rFonts w:eastAsiaTheme="minorEastAsia"/>
                <w:lang w:eastAsia="en-AU"/>
              </w:rPr>
              <w:t>Variation</w:t>
            </w:r>
            <w:r w:rsidRPr="00DF29A1">
              <w:rPr>
                <w:rFonts w:eastAsiaTheme="minorEastAsia"/>
                <w:vertAlign w:val="superscript"/>
                <w:lang w:eastAsia="en-AU"/>
              </w:rPr>
              <w:t>(a)</w:t>
            </w:r>
          </w:p>
        </w:tc>
      </w:tr>
      <w:tr w:rsidR="00A53D7D" w:rsidRPr="00DF29A1" w:rsidTr="005140B4">
        <w:tc>
          <w:tcPr>
            <w:tcW w:w="3801" w:type="dxa"/>
            <w:tcBorders>
              <w:top w:val="nil"/>
              <w:left w:val="single" w:sz="4" w:space="0" w:color="auto"/>
              <w:bottom w:val="single" w:sz="4" w:space="0" w:color="auto"/>
              <w:right w:val="nil"/>
            </w:tcBorders>
            <w:shd w:val="clear" w:color="auto" w:fill="000000"/>
          </w:tcPr>
          <w:p w:rsidR="00A53D7D" w:rsidRPr="00DF29A1" w:rsidRDefault="00A53D7D" w:rsidP="005140B4">
            <w:pPr>
              <w:pStyle w:val="Tabletext"/>
              <w:rPr>
                <w:rFonts w:eastAsiaTheme="minorEastAsia"/>
                <w:lang w:eastAsia="en-AU"/>
              </w:rPr>
            </w:pPr>
          </w:p>
        </w:tc>
        <w:tc>
          <w:tcPr>
            <w:tcW w:w="993" w:type="dxa"/>
            <w:tcBorders>
              <w:top w:val="nil"/>
              <w:left w:val="nil"/>
              <w:bottom w:val="single" w:sz="4" w:space="0" w:color="auto"/>
              <w:right w:val="nil"/>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Budget</w:t>
            </w:r>
          </w:p>
        </w:tc>
        <w:tc>
          <w:tcPr>
            <w:tcW w:w="993" w:type="dxa"/>
            <w:tcBorders>
              <w:top w:val="nil"/>
              <w:left w:val="nil"/>
              <w:bottom w:val="single" w:sz="4" w:space="0" w:color="auto"/>
              <w:right w:val="single" w:sz="4" w:space="0" w:color="auto"/>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w:t>
            </w:r>
          </w:p>
        </w:tc>
      </w:tr>
      <w:tr w:rsidR="00A53D7D" w:rsidRPr="00DF29A1" w:rsidTr="005140B4">
        <w:tc>
          <w:tcPr>
            <w:tcW w:w="3801" w:type="dxa"/>
            <w:tcBorders>
              <w:top w:val="single" w:sz="4" w:space="0" w:color="auto"/>
              <w:left w:val="nil"/>
              <w:bottom w:val="nil"/>
              <w:right w:val="nil"/>
            </w:tcBorders>
          </w:tcPr>
          <w:p w:rsidR="00A53D7D" w:rsidRPr="00DF29A1" w:rsidRDefault="00A53D7D" w:rsidP="005140B4">
            <w:pPr>
              <w:pStyle w:val="Tabletext"/>
              <w:rPr>
                <w:rFonts w:eastAsiaTheme="minorEastAsia" w:cs="Calibri"/>
                <w:color w:val="000000"/>
                <w:vertAlign w:val="superscript"/>
                <w:lang w:eastAsia="en-AU"/>
              </w:rPr>
            </w:pPr>
            <w:r w:rsidRPr="00DF29A1">
              <w:rPr>
                <w:rFonts w:eastAsiaTheme="minorEastAsia"/>
                <w:lang w:eastAsia="en-AU"/>
              </w:rPr>
              <w:t>Strategy, Review and Regulation</w:t>
            </w:r>
            <w:r w:rsidRPr="00DF29A1">
              <w:rPr>
                <w:rFonts w:eastAsiaTheme="minorEastAsia"/>
                <w:vertAlign w:val="superscript"/>
                <w:lang w:eastAsia="en-AU"/>
              </w:rPr>
              <w:t xml:space="preserve"> (b)</w:t>
            </w:r>
          </w:p>
        </w:tc>
        <w:tc>
          <w:tcPr>
            <w:tcW w:w="993" w:type="dxa"/>
            <w:tcBorders>
              <w:top w:val="single" w:sz="4" w:space="0" w:color="auto"/>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99.9</w:t>
            </w:r>
          </w:p>
        </w:tc>
        <w:tc>
          <w:tcPr>
            <w:tcW w:w="993" w:type="dxa"/>
            <w:tcBorders>
              <w:top w:val="single" w:sz="4" w:space="0" w:color="auto"/>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104.2</w:t>
            </w:r>
          </w:p>
        </w:tc>
        <w:tc>
          <w:tcPr>
            <w:tcW w:w="993" w:type="dxa"/>
            <w:tcBorders>
              <w:top w:val="single" w:sz="4" w:space="0" w:color="auto"/>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102.8</w:t>
            </w:r>
          </w:p>
        </w:tc>
        <w:tc>
          <w:tcPr>
            <w:tcW w:w="993" w:type="dxa"/>
            <w:tcBorders>
              <w:top w:val="single" w:sz="4" w:space="0" w:color="auto"/>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2.9</w:t>
            </w:r>
          </w:p>
        </w:tc>
      </w:tr>
      <w:tr w:rsidR="00A53D7D" w:rsidRPr="00DF29A1" w:rsidTr="005140B4">
        <w:tc>
          <w:tcPr>
            <w:tcW w:w="3801" w:type="dxa"/>
            <w:tcBorders>
              <w:top w:val="nil"/>
              <w:left w:val="nil"/>
              <w:bottom w:val="nil"/>
              <w:right w:val="nil"/>
            </w:tcBorders>
          </w:tcPr>
          <w:p w:rsidR="00A53D7D" w:rsidRPr="00DF29A1" w:rsidRDefault="00A53D7D" w:rsidP="005140B4">
            <w:pPr>
              <w:pStyle w:val="Tabletext"/>
              <w:rPr>
                <w:rFonts w:eastAsiaTheme="minorEastAsia" w:cs="Calibri"/>
                <w:color w:val="000000"/>
                <w:vertAlign w:val="superscript"/>
                <w:lang w:eastAsia="en-AU"/>
              </w:rPr>
            </w:pPr>
            <w:r w:rsidRPr="00DF29A1">
              <w:rPr>
                <w:rFonts w:eastAsiaTheme="minorEastAsia"/>
                <w:lang w:eastAsia="en-AU"/>
              </w:rPr>
              <w:t>Early Childhood Development</w:t>
            </w:r>
            <w:r w:rsidRPr="00DF29A1">
              <w:rPr>
                <w:rFonts w:eastAsiaTheme="minorEastAsia"/>
                <w:vertAlign w:val="superscript"/>
                <w:lang w:eastAsia="en-AU"/>
              </w:rPr>
              <w:t xml:space="preserve"> (c)</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543.0</w:t>
            </w:r>
          </w:p>
        </w:tc>
        <w:tc>
          <w:tcPr>
            <w:tcW w:w="993" w:type="dxa"/>
            <w:tcBorders>
              <w:top w:val="nil"/>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531.9</w:t>
            </w:r>
          </w:p>
        </w:tc>
        <w:tc>
          <w:tcPr>
            <w:tcW w:w="993" w:type="dxa"/>
            <w:tcBorders>
              <w:top w:val="nil"/>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522.5</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-3.8</w:t>
            </w:r>
          </w:p>
        </w:tc>
      </w:tr>
      <w:tr w:rsidR="00A53D7D" w:rsidRPr="00DF29A1" w:rsidTr="005140B4">
        <w:tc>
          <w:tcPr>
            <w:tcW w:w="3801" w:type="dxa"/>
            <w:tcBorders>
              <w:top w:val="nil"/>
              <w:left w:val="nil"/>
              <w:bottom w:val="nil"/>
              <w:right w:val="nil"/>
            </w:tcBorders>
          </w:tcPr>
          <w:p w:rsidR="00A53D7D" w:rsidRPr="00382704" w:rsidRDefault="00A53D7D" w:rsidP="005140B4">
            <w:pPr>
              <w:pStyle w:val="Tabletext"/>
              <w:rPr>
                <w:rFonts w:eastAsiaTheme="minorEastAsia"/>
                <w:lang w:eastAsia="en-AU"/>
              </w:rPr>
            </w:pPr>
            <w:r w:rsidRPr="00382704">
              <w:rPr>
                <w:rFonts w:eastAsiaTheme="minorEastAsia"/>
                <w:lang w:eastAsia="en-AU"/>
              </w:rPr>
              <w:t>School Education</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p>
        </w:tc>
      </w:tr>
      <w:tr w:rsidR="00A53D7D" w:rsidRPr="00DF29A1" w:rsidTr="005140B4">
        <w:tc>
          <w:tcPr>
            <w:tcW w:w="3801" w:type="dxa"/>
            <w:tcBorders>
              <w:top w:val="nil"/>
              <w:left w:val="nil"/>
              <w:bottom w:val="nil"/>
              <w:right w:val="nil"/>
            </w:tcBorders>
          </w:tcPr>
          <w:p w:rsidR="00A53D7D" w:rsidRPr="00DF29A1" w:rsidRDefault="00382704" w:rsidP="005140B4">
            <w:pPr>
              <w:pStyle w:val="Tabletext"/>
              <w:rPr>
                <w:rFonts w:eastAsiaTheme="minorEastAsia" w:cs="Calibri"/>
                <w:color w:val="000000"/>
                <w:vertAlign w:val="superscript"/>
                <w:lang w:eastAsia="en-AU"/>
              </w:rPr>
            </w:pPr>
            <w:r>
              <w:rPr>
                <w:rFonts w:eastAsiaTheme="minorEastAsia"/>
                <w:lang w:eastAsia="en-AU"/>
              </w:rPr>
              <w:t xml:space="preserve">   </w:t>
            </w:r>
            <w:r w:rsidR="00A53D7D" w:rsidRPr="00DF29A1">
              <w:rPr>
                <w:rFonts w:eastAsiaTheme="minorEastAsia"/>
                <w:lang w:eastAsia="en-AU"/>
              </w:rPr>
              <w:t xml:space="preserve">School Education </w:t>
            </w:r>
            <w:r w:rsidR="00A53D7D">
              <w:rPr>
                <w:rFonts w:eastAsiaTheme="minorEastAsia"/>
                <w:lang w:eastAsia="en-AU"/>
              </w:rPr>
              <w:t>–</w:t>
            </w:r>
            <w:r w:rsidR="00A53D7D" w:rsidRPr="00DF29A1">
              <w:rPr>
                <w:rFonts w:eastAsiaTheme="minorEastAsia"/>
                <w:lang w:eastAsia="en-AU"/>
              </w:rPr>
              <w:t xml:space="preserve"> Primary</w:t>
            </w:r>
            <w:r w:rsidR="00A53D7D" w:rsidRPr="00DF29A1">
              <w:rPr>
                <w:rFonts w:eastAsiaTheme="minorEastAsia"/>
                <w:vertAlign w:val="superscript"/>
                <w:lang w:eastAsia="en-AU"/>
              </w:rPr>
              <w:t xml:space="preserve"> (d)</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4072.7</w:t>
            </w:r>
          </w:p>
        </w:tc>
        <w:tc>
          <w:tcPr>
            <w:tcW w:w="993" w:type="dxa"/>
            <w:tcBorders>
              <w:top w:val="nil"/>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4151.5</w:t>
            </w:r>
          </w:p>
        </w:tc>
        <w:tc>
          <w:tcPr>
            <w:tcW w:w="993" w:type="dxa"/>
            <w:tcBorders>
              <w:top w:val="nil"/>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4336.5</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6.5</w:t>
            </w:r>
          </w:p>
        </w:tc>
      </w:tr>
      <w:tr w:rsidR="00A53D7D" w:rsidRPr="00DF29A1" w:rsidTr="005140B4">
        <w:tc>
          <w:tcPr>
            <w:tcW w:w="3801" w:type="dxa"/>
            <w:tcBorders>
              <w:top w:val="nil"/>
              <w:left w:val="nil"/>
              <w:bottom w:val="nil"/>
              <w:right w:val="nil"/>
            </w:tcBorders>
          </w:tcPr>
          <w:p w:rsidR="00A53D7D" w:rsidRPr="00DF29A1" w:rsidRDefault="00382704" w:rsidP="005140B4">
            <w:pPr>
              <w:pStyle w:val="Tabletext"/>
              <w:rPr>
                <w:rFonts w:eastAsiaTheme="minorEastAsia" w:cs="Calibri"/>
                <w:color w:val="000000"/>
                <w:vertAlign w:val="superscript"/>
                <w:lang w:eastAsia="en-AU"/>
              </w:rPr>
            </w:pPr>
            <w:r>
              <w:rPr>
                <w:rFonts w:eastAsiaTheme="minorEastAsia"/>
                <w:lang w:eastAsia="en-AU"/>
              </w:rPr>
              <w:t xml:space="preserve">   </w:t>
            </w:r>
            <w:r w:rsidR="00A53D7D" w:rsidRPr="00DF29A1">
              <w:rPr>
                <w:rFonts w:eastAsiaTheme="minorEastAsia"/>
                <w:lang w:eastAsia="en-AU"/>
              </w:rPr>
              <w:t xml:space="preserve">School Education </w:t>
            </w:r>
            <w:r w:rsidR="00A53D7D">
              <w:rPr>
                <w:rFonts w:eastAsiaTheme="minorEastAsia"/>
                <w:lang w:eastAsia="en-AU"/>
              </w:rPr>
              <w:t>–</w:t>
            </w:r>
            <w:r w:rsidR="00A53D7D" w:rsidRPr="00DF29A1">
              <w:rPr>
                <w:rFonts w:eastAsiaTheme="minorEastAsia"/>
                <w:lang w:eastAsia="en-AU"/>
              </w:rPr>
              <w:t xml:space="preserve"> Secondary</w:t>
            </w:r>
            <w:r w:rsidR="00A53D7D" w:rsidRPr="00DF29A1">
              <w:rPr>
                <w:rFonts w:eastAsiaTheme="minorEastAsia"/>
                <w:vertAlign w:val="superscript"/>
                <w:lang w:eastAsia="en-AU"/>
              </w:rPr>
              <w:t xml:space="preserve"> (e)</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3507.7</w:t>
            </w:r>
          </w:p>
        </w:tc>
        <w:tc>
          <w:tcPr>
            <w:tcW w:w="993" w:type="dxa"/>
            <w:tcBorders>
              <w:top w:val="nil"/>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3528.5</w:t>
            </w:r>
          </w:p>
        </w:tc>
        <w:tc>
          <w:tcPr>
            <w:tcW w:w="993" w:type="dxa"/>
            <w:tcBorders>
              <w:top w:val="nil"/>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3672.6</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4.7</w:t>
            </w:r>
          </w:p>
        </w:tc>
      </w:tr>
      <w:tr w:rsidR="00A53D7D" w:rsidRPr="00DF29A1" w:rsidTr="005140B4">
        <w:tc>
          <w:tcPr>
            <w:tcW w:w="3801" w:type="dxa"/>
            <w:tcBorders>
              <w:top w:val="nil"/>
              <w:left w:val="nil"/>
              <w:bottom w:val="nil"/>
              <w:right w:val="nil"/>
            </w:tcBorders>
          </w:tcPr>
          <w:p w:rsidR="00A53D7D" w:rsidRPr="00DF29A1" w:rsidRDefault="00A53D7D" w:rsidP="005140B4">
            <w:pPr>
              <w:pStyle w:val="Tabletext"/>
              <w:rPr>
                <w:rFonts w:eastAsiaTheme="minorEastAsia" w:cs="Calibri"/>
                <w:color w:val="000000"/>
                <w:vertAlign w:val="superscript"/>
                <w:lang w:eastAsia="en-AU"/>
              </w:rPr>
            </w:pPr>
            <w:r w:rsidRPr="00DF29A1">
              <w:rPr>
                <w:rFonts w:eastAsiaTheme="minorEastAsia"/>
                <w:lang w:eastAsia="en-AU"/>
              </w:rPr>
              <w:t>Higher Education and Skills</w:t>
            </w:r>
            <w:r w:rsidRPr="00DF29A1">
              <w:rPr>
                <w:rFonts w:eastAsiaTheme="minorEastAsia"/>
                <w:vertAlign w:val="superscript"/>
                <w:lang w:eastAsia="en-AU"/>
              </w:rPr>
              <w:t xml:space="preserve"> (f)</w:t>
            </w:r>
            <w:r w:rsidRPr="00DF29A1">
              <w:rPr>
                <w:rFonts w:eastAsiaTheme="minorEastAsia" w:cs="Calibri"/>
                <w:color w:val="000000"/>
                <w:vertAlign w:val="superscript"/>
                <w:lang w:eastAsia="en-AU"/>
              </w:rPr>
              <w:t xml:space="preserve"> (g)</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2268.2</w:t>
            </w:r>
          </w:p>
        </w:tc>
        <w:tc>
          <w:tcPr>
            <w:tcW w:w="993" w:type="dxa"/>
            <w:tcBorders>
              <w:top w:val="nil"/>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2447.0</w:t>
            </w:r>
          </w:p>
        </w:tc>
        <w:tc>
          <w:tcPr>
            <w:tcW w:w="993" w:type="dxa"/>
            <w:tcBorders>
              <w:top w:val="nil"/>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2323.3</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2.4</w:t>
            </w:r>
          </w:p>
        </w:tc>
      </w:tr>
      <w:tr w:rsidR="00A53D7D" w:rsidRPr="00DF29A1" w:rsidTr="005140B4">
        <w:tc>
          <w:tcPr>
            <w:tcW w:w="3801" w:type="dxa"/>
            <w:tcBorders>
              <w:top w:val="nil"/>
              <w:left w:val="nil"/>
              <w:bottom w:val="nil"/>
              <w:right w:val="nil"/>
            </w:tcBorders>
          </w:tcPr>
          <w:p w:rsidR="00A53D7D" w:rsidRPr="00DF29A1" w:rsidRDefault="00A53D7D" w:rsidP="005140B4">
            <w:pPr>
              <w:pStyle w:val="Tabletext"/>
              <w:rPr>
                <w:rFonts w:eastAsiaTheme="minorEastAsia" w:cs="Calibri"/>
                <w:color w:val="000000"/>
                <w:vertAlign w:val="superscript"/>
                <w:lang w:eastAsia="en-AU"/>
              </w:rPr>
            </w:pPr>
            <w:r w:rsidRPr="00DF29A1">
              <w:rPr>
                <w:rFonts w:eastAsiaTheme="minorEastAsia"/>
                <w:lang w:eastAsia="en-AU"/>
              </w:rPr>
              <w:t>Support Services Delivery</w:t>
            </w:r>
            <w:r w:rsidRPr="00DF29A1">
              <w:rPr>
                <w:rFonts w:eastAsiaTheme="minorEastAsia"/>
                <w:vertAlign w:val="superscript"/>
                <w:lang w:eastAsia="en-AU"/>
              </w:rPr>
              <w:t xml:space="preserve"> (h)</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297.2</w:t>
            </w:r>
          </w:p>
        </w:tc>
        <w:tc>
          <w:tcPr>
            <w:tcW w:w="993" w:type="dxa"/>
            <w:tcBorders>
              <w:top w:val="nil"/>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297.9</w:t>
            </w:r>
          </w:p>
        </w:tc>
        <w:tc>
          <w:tcPr>
            <w:tcW w:w="993" w:type="dxa"/>
            <w:tcBorders>
              <w:top w:val="nil"/>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272.4</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-8.3</w:t>
            </w:r>
          </w:p>
        </w:tc>
      </w:tr>
      <w:tr w:rsidR="00A53D7D" w:rsidRPr="00DF29A1" w:rsidTr="005140B4">
        <w:tc>
          <w:tcPr>
            <w:tcW w:w="3801" w:type="dxa"/>
            <w:tcBorders>
              <w:top w:val="nil"/>
              <w:left w:val="nil"/>
              <w:bottom w:val="nil"/>
              <w:right w:val="nil"/>
            </w:tcBorders>
          </w:tcPr>
          <w:p w:rsidR="00A53D7D" w:rsidRPr="00DF29A1" w:rsidRDefault="00A53D7D" w:rsidP="005140B4">
            <w:pPr>
              <w:pStyle w:val="Tabletext"/>
              <w:rPr>
                <w:rFonts w:eastAsiaTheme="minorEastAsia" w:cs="Calibri"/>
                <w:color w:val="000000"/>
                <w:vertAlign w:val="superscript"/>
                <w:lang w:eastAsia="en-AU"/>
              </w:rPr>
            </w:pPr>
            <w:r w:rsidRPr="00DF29A1">
              <w:rPr>
                <w:rFonts w:eastAsiaTheme="minorEastAsia"/>
                <w:lang w:eastAsia="en-AU"/>
              </w:rPr>
              <w:t>Support for Students with Disabilities</w:t>
            </w:r>
            <w:r w:rsidRPr="00DF29A1">
              <w:rPr>
                <w:rFonts w:eastAsiaTheme="minorEastAsia"/>
                <w:vertAlign w:val="superscript"/>
                <w:lang w:eastAsia="en-AU"/>
              </w:rPr>
              <w:t xml:space="preserve"> (</w:t>
            </w:r>
            <w:proofErr w:type="spellStart"/>
            <w:r w:rsidRPr="00DF29A1">
              <w:rPr>
                <w:rFonts w:eastAsiaTheme="minorEastAsia"/>
                <w:vertAlign w:val="superscript"/>
                <w:lang w:eastAsia="en-AU"/>
              </w:rPr>
              <w:t>i</w:t>
            </w:r>
            <w:proofErr w:type="spellEnd"/>
            <w:r w:rsidRPr="00DF29A1">
              <w:rPr>
                <w:rFonts w:eastAsiaTheme="minorEastAsia"/>
                <w:vertAlign w:val="superscript"/>
                <w:lang w:eastAsia="en-AU"/>
              </w:rPr>
              <w:t>)</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773.6</w:t>
            </w:r>
          </w:p>
        </w:tc>
        <w:tc>
          <w:tcPr>
            <w:tcW w:w="993" w:type="dxa"/>
            <w:tcBorders>
              <w:top w:val="nil"/>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774.0</w:t>
            </w:r>
          </w:p>
        </w:tc>
        <w:tc>
          <w:tcPr>
            <w:tcW w:w="993" w:type="dxa"/>
            <w:tcBorders>
              <w:top w:val="nil"/>
              <w:left w:val="nil"/>
              <w:bottom w:val="nil"/>
              <w:right w:val="nil"/>
            </w:tcBorders>
          </w:tcPr>
          <w:p w:rsidR="00A53D7D" w:rsidRPr="00DF29A1" w:rsidRDefault="00A53D7D" w:rsidP="005140B4">
            <w:pPr>
              <w:pStyle w:val="TableofFigures"/>
              <w:rPr>
                <w:rFonts w:eastAsiaTheme="minorEastAsia" w:cs="Calibri"/>
                <w:color w:val="000000"/>
                <w:lang w:eastAsia="en-AU"/>
              </w:rPr>
            </w:pPr>
            <w:r w:rsidRPr="00DF29A1">
              <w:rPr>
                <w:rFonts w:eastAsiaTheme="minorEastAsia"/>
                <w:lang w:eastAsia="en-AU"/>
              </w:rPr>
              <w:t>835.5</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8.0</w:t>
            </w:r>
          </w:p>
        </w:tc>
      </w:tr>
      <w:tr w:rsidR="00A53D7D" w:rsidRPr="00DF29A1" w:rsidTr="005140B4">
        <w:tc>
          <w:tcPr>
            <w:tcW w:w="3801" w:type="dxa"/>
            <w:tcBorders>
              <w:top w:val="single" w:sz="6" w:space="0" w:color="auto"/>
              <w:left w:val="nil"/>
              <w:bottom w:val="single" w:sz="12" w:space="0" w:color="auto"/>
              <w:right w:val="nil"/>
            </w:tcBorders>
          </w:tcPr>
          <w:p w:rsidR="00A53D7D" w:rsidRPr="00DF29A1" w:rsidRDefault="00A53D7D" w:rsidP="005140B4">
            <w:pPr>
              <w:pStyle w:val="Tabletext"/>
              <w:rPr>
                <w:rFonts w:eastAsiaTheme="minorEastAsia"/>
                <w:b/>
                <w:bCs/>
                <w:lang w:eastAsia="en-AU"/>
              </w:rPr>
            </w:pPr>
            <w:r w:rsidRPr="00DF29A1">
              <w:rPr>
                <w:rFonts w:eastAsiaTheme="minorEastAsia"/>
                <w:b/>
                <w:bCs/>
                <w:lang w:eastAsia="en-AU"/>
              </w:rPr>
              <w:t>Total</w:t>
            </w:r>
          </w:p>
        </w:tc>
        <w:tc>
          <w:tcPr>
            <w:tcW w:w="993" w:type="dxa"/>
            <w:tcBorders>
              <w:top w:val="single" w:sz="6" w:space="0" w:color="auto"/>
              <w:left w:val="nil"/>
              <w:bottom w:val="single" w:sz="12" w:space="0" w:color="auto"/>
              <w:right w:val="nil"/>
            </w:tcBorders>
          </w:tcPr>
          <w:p w:rsidR="00A53D7D" w:rsidRPr="00DF29A1" w:rsidRDefault="00A53D7D" w:rsidP="005140B4">
            <w:pPr>
              <w:pStyle w:val="TableofFigures"/>
              <w:rPr>
                <w:rFonts w:eastAsiaTheme="minorEastAsia"/>
                <w:b/>
                <w:bCs/>
                <w:lang w:eastAsia="en-AU"/>
              </w:rPr>
            </w:pPr>
            <w:r w:rsidRPr="00DF29A1">
              <w:rPr>
                <w:rFonts w:eastAsiaTheme="minorEastAsia"/>
                <w:b/>
                <w:bCs/>
                <w:lang w:eastAsia="en-AU"/>
              </w:rPr>
              <w:t>11 562.3</w:t>
            </w:r>
          </w:p>
        </w:tc>
        <w:tc>
          <w:tcPr>
            <w:tcW w:w="993" w:type="dxa"/>
            <w:tcBorders>
              <w:top w:val="single" w:sz="6" w:space="0" w:color="auto"/>
              <w:left w:val="nil"/>
              <w:bottom w:val="single" w:sz="12" w:space="0" w:color="auto"/>
              <w:right w:val="nil"/>
            </w:tcBorders>
          </w:tcPr>
          <w:p w:rsidR="00A53D7D" w:rsidRPr="00DF29A1" w:rsidRDefault="00A53D7D" w:rsidP="005140B4">
            <w:pPr>
              <w:pStyle w:val="TableofFigures"/>
              <w:rPr>
                <w:rFonts w:eastAsiaTheme="minorEastAsia"/>
                <w:b/>
                <w:bCs/>
                <w:lang w:eastAsia="en-AU"/>
              </w:rPr>
            </w:pPr>
            <w:r w:rsidRPr="00DF29A1">
              <w:rPr>
                <w:rFonts w:eastAsiaTheme="minorEastAsia"/>
                <w:b/>
                <w:bCs/>
                <w:lang w:eastAsia="en-AU"/>
              </w:rPr>
              <w:t>11 835.0</w:t>
            </w:r>
          </w:p>
        </w:tc>
        <w:tc>
          <w:tcPr>
            <w:tcW w:w="993" w:type="dxa"/>
            <w:tcBorders>
              <w:top w:val="single" w:sz="6" w:space="0" w:color="auto"/>
              <w:left w:val="nil"/>
              <w:bottom w:val="single" w:sz="12" w:space="0" w:color="auto"/>
              <w:right w:val="nil"/>
            </w:tcBorders>
          </w:tcPr>
          <w:p w:rsidR="00A53D7D" w:rsidRPr="00DF29A1" w:rsidRDefault="00A53D7D" w:rsidP="005140B4">
            <w:pPr>
              <w:pStyle w:val="TableofFigures"/>
              <w:rPr>
                <w:rFonts w:eastAsiaTheme="minorEastAsia"/>
                <w:b/>
                <w:bCs/>
                <w:lang w:eastAsia="en-AU"/>
              </w:rPr>
            </w:pPr>
            <w:r w:rsidRPr="00DF29A1">
              <w:rPr>
                <w:rFonts w:eastAsiaTheme="minorEastAsia"/>
                <w:b/>
                <w:bCs/>
                <w:lang w:eastAsia="en-AU"/>
              </w:rPr>
              <w:t>12 065.6</w:t>
            </w:r>
          </w:p>
        </w:tc>
        <w:tc>
          <w:tcPr>
            <w:tcW w:w="993" w:type="dxa"/>
            <w:tcBorders>
              <w:top w:val="single" w:sz="6" w:space="0" w:color="auto"/>
              <w:left w:val="nil"/>
              <w:bottom w:val="single" w:sz="12" w:space="0" w:color="auto"/>
              <w:right w:val="nil"/>
            </w:tcBorders>
          </w:tcPr>
          <w:p w:rsidR="00A53D7D" w:rsidRPr="00DF29A1" w:rsidRDefault="00A53D7D" w:rsidP="005140B4">
            <w:pPr>
              <w:pStyle w:val="TableofFigures"/>
              <w:rPr>
                <w:rFonts w:eastAsiaTheme="minorEastAsia"/>
                <w:b/>
                <w:bCs/>
                <w:lang w:eastAsia="en-AU"/>
              </w:rPr>
            </w:pPr>
            <w:r w:rsidRPr="00DF29A1">
              <w:rPr>
                <w:rFonts w:eastAsiaTheme="minorEastAsia"/>
                <w:b/>
                <w:bCs/>
                <w:lang w:eastAsia="en-AU"/>
              </w:rPr>
              <w:t>4.4</w:t>
            </w:r>
          </w:p>
        </w:tc>
      </w:tr>
    </w:tbl>
    <w:p w:rsidR="00A53D7D" w:rsidRDefault="00A53D7D" w:rsidP="005140B4">
      <w:pPr>
        <w:pStyle w:val="Source"/>
      </w:pPr>
      <w:r>
        <w:t xml:space="preserve">Source: Department of Education and Early Childhood Development </w:t>
      </w:r>
      <w:r>
        <w:fldChar w:fldCharType="begin"/>
      </w:r>
      <w:r>
        <w:instrText xml:space="preserve"> XE "</w:instrText>
      </w:r>
      <w:r w:rsidRPr="00B15ECE">
        <w:instrText xml:space="preserve">Department of </w:instrText>
      </w:r>
      <w:r>
        <w:instrText>Education</w:instrText>
      </w:r>
      <w:r w:rsidRPr="00B15ECE">
        <w:instrText xml:space="preserve"> and </w:instrText>
      </w:r>
      <w:r>
        <w:instrText>Early Childhood Development</w:instrText>
      </w:r>
      <w:r w:rsidRPr="00B15ECE">
        <w:instrText>:Output summary</w:instrText>
      </w:r>
      <w:r>
        <w:instrText xml:space="preserve">" </w:instrText>
      </w:r>
      <w:r>
        <w:fldChar w:fldCharType="end"/>
      </w:r>
    </w:p>
    <w:p w:rsidR="00A53D7D" w:rsidRDefault="00A53D7D" w:rsidP="005140B4">
      <w:pPr>
        <w:pStyle w:val="Notes"/>
      </w:pPr>
      <w:r>
        <w:t>Notes</w:t>
      </w:r>
      <w:r w:rsidRPr="00FC012A">
        <w:t>:</w:t>
      </w:r>
    </w:p>
    <w:p w:rsidR="00A53D7D" w:rsidRPr="000E5CE7" w:rsidRDefault="00A53D7D" w:rsidP="005140B4">
      <w:pPr>
        <w:pStyle w:val="Notes"/>
      </w:pPr>
      <w:r w:rsidRPr="000E5CE7">
        <w:t>(a)</w:t>
      </w:r>
      <w:r w:rsidRPr="000E5CE7">
        <w:tab/>
        <w:t xml:space="preserve">Variation between </w:t>
      </w:r>
      <w:r w:rsidRPr="00A63DF7">
        <w:t>2013</w:t>
      </w:r>
      <w:r w:rsidRPr="00A63DF7">
        <w:noBreakHyphen/>
        <w:t>14 budget</w:t>
      </w:r>
      <w:r>
        <w:t xml:space="preserve"> and </w:t>
      </w:r>
      <w:r w:rsidRPr="00A63DF7">
        <w:t>2014</w:t>
      </w:r>
      <w:r w:rsidRPr="00A63DF7">
        <w:noBreakHyphen/>
        <w:t>15 budget</w:t>
      </w:r>
      <w:r w:rsidRPr="000E5CE7">
        <w:t>.</w:t>
      </w:r>
    </w:p>
    <w:p w:rsidR="00A53D7D" w:rsidRPr="000E5CE7" w:rsidRDefault="00A53D7D" w:rsidP="005140B4">
      <w:pPr>
        <w:pStyle w:val="Notes"/>
      </w:pPr>
      <w:r w:rsidRPr="000E5CE7">
        <w:t>(b)</w:t>
      </w:r>
      <w:r w:rsidRPr="000E5CE7">
        <w:tab/>
        <w:t xml:space="preserve">The higher </w:t>
      </w:r>
      <w:r w:rsidRPr="00333CE5">
        <w:t>2014</w:t>
      </w:r>
      <w:r w:rsidRPr="00333CE5">
        <w:noBreakHyphen/>
        <w:t>15 budget</w:t>
      </w:r>
      <w:r w:rsidRPr="000E5CE7">
        <w:t xml:space="preserve"> primarily reflects higher amount of estimated carry forward from 2013</w:t>
      </w:r>
      <w:r>
        <w:noBreakHyphen/>
      </w:r>
      <w:r w:rsidRPr="000E5CE7">
        <w:t>14 in comparison with estimated carry forward from 2012</w:t>
      </w:r>
      <w:r>
        <w:noBreakHyphen/>
      </w:r>
      <w:r w:rsidRPr="000E5CE7">
        <w:t>13 to 2013</w:t>
      </w:r>
      <w:r>
        <w:noBreakHyphen/>
      </w:r>
      <w:r w:rsidRPr="000E5CE7">
        <w:t>14.</w:t>
      </w:r>
    </w:p>
    <w:p w:rsidR="00A53D7D" w:rsidRPr="000E5CE7" w:rsidRDefault="00A53D7D" w:rsidP="005140B4">
      <w:pPr>
        <w:pStyle w:val="Notes"/>
      </w:pPr>
      <w:r w:rsidRPr="000E5CE7">
        <w:t>(c)</w:t>
      </w:r>
      <w:r w:rsidRPr="000E5CE7">
        <w:tab/>
        <w:t xml:space="preserve">The lower </w:t>
      </w:r>
      <w:r w:rsidRPr="00333CE5">
        <w:t>2014</w:t>
      </w:r>
      <w:r w:rsidRPr="00333CE5">
        <w:noBreakHyphen/>
        <w:t>15 budget</w:t>
      </w:r>
      <w:r w:rsidRPr="000E5CE7">
        <w:t xml:space="preserve"> </w:t>
      </w:r>
      <w:r>
        <w:t>is due to the Commonwealth contribution to the Universal Access Program not having been committed at the time of publication.</w:t>
      </w:r>
    </w:p>
    <w:p w:rsidR="00A53D7D" w:rsidRDefault="00A53D7D" w:rsidP="005140B4">
      <w:pPr>
        <w:pStyle w:val="Notes"/>
      </w:pPr>
      <w:r w:rsidRPr="000E5CE7">
        <w:t>(d)</w:t>
      </w:r>
      <w:r w:rsidRPr="000E5CE7">
        <w:tab/>
        <w:t xml:space="preserve">The higher </w:t>
      </w:r>
      <w:r w:rsidRPr="00333CE5">
        <w:t>2014</w:t>
      </w:r>
      <w:r w:rsidRPr="00333CE5">
        <w:noBreakHyphen/>
        <w:t>15 budget</w:t>
      </w:r>
      <w:r w:rsidRPr="000E5CE7">
        <w:t xml:space="preserve"> primarily reflects increased investment associated with the Victorian/Commonw</w:t>
      </w:r>
      <w:r>
        <w:t>ealth school funding commitments.</w:t>
      </w:r>
    </w:p>
    <w:p w:rsidR="00A53D7D" w:rsidRDefault="00A53D7D" w:rsidP="005140B4">
      <w:pPr>
        <w:pStyle w:val="Notes"/>
      </w:pPr>
      <w:r w:rsidRPr="000E5CE7">
        <w:t>(e)</w:t>
      </w:r>
      <w:r w:rsidRPr="000E5CE7">
        <w:tab/>
        <w:t xml:space="preserve">The higher </w:t>
      </w:r>
      <w:r w:rsidRPr="00333CE5">
        <w:t>2014</w:t>
      </w:r>
      <w:r w:rsidRPr="00333CE5">
        <w:noBreakHyphen/>
        <w:t>15 budget</w:t>
      </w:r>
      <w:r w:rsidRPr="000E5CE7">
        <w:t xml:space="preserve"> primarily reflects increased investment associated with the Victorian/Commonw</w:t>
      </w:r>
      <w:r>
        <w:t>ealth school funding commitments.</w:t>
      </w:r>
    </w:p>
    <w:p w:rsidR="00A53D7D" w:rsidRDefault="00A53D7D" w:rsidP="005140B4">
      <w:pPr>
        <w:pStyle w:val="Notes"/>
      </w:pPr>
      <w:r w:rsidRPr="000E5CE7">
        <w:t>(f)</w:t>
      </w:r>
      <w:r w:rsidRPr="000E5CE7">
        <w:tab/>
      </w:r>
      <w:r>
        <w:t xml:space="preserve">The higher 2013-14 revised compared with the </w:t>
      </w:r>
      <w:r w:rsidRPr="00333CE5">
        <w:t>2013-14 budget</w:t>
      </w:r>
      <w:r>
        <w:t xml:space="preserve"> is primarily driven by additional funding associated with Victorian Training Guarantee (VTG). This has partially been offset by the deconsolidation of the dual sector TAFEs from the general government sector as a result of the passing of the </w:t>
      </w:r>
      <w:r w:rsidRPr="001E7972">
        <w:rPr>
          <w:i w:val="0"/>
        </w:rPr>
        <w:t>Education and Training Reform Amendment (Dual Sector Universities) Act 2013</w:t>
      </w:r>
      <w:r>
        <w:t>.</w:t>
      </w:r>
    </w:p>
    <w:p w:rsidR="00A53D7D" w:rsidRPr="000E5CE7" w:rsidRDefault="00A53D7D" w:rsidP="005140B4">
      <w:pPr>
        <w:pStyle w:val="Notes"/>
      </w:pPr>
      <w:r>
        <w:t>(g)</w:t>
      </w:r>
      <w:r>
        <w:tab/>
        <w:t xml:space="preserve">The higher </w:t>
      </w:r>
      <w:r w:rsidRPr="0010216B">
        <w:rPr>
          <w:i w:val="0"/>
        </w:rPr>
        <w:t>2014-15 budget</w:t>
      </w:r>
      <w:r>
        <w:t xml:space="preserve"> compared with the </w:t>
      </w:r>
      <w:r w:rsidRPr="00333CE5">
        <w:t xml:space="preserve">2013-14 </w:t>
      </w:r>
      <w:proofErr w:type="gramStart"/>
      <w:r w:rsidRPr="00333CE5">
        <w:t>budget</w:t>
      </w:r>
      <w:proofErr w:type="gramEnd"/>
      <w:r>
        <w:t xml:space="preserve"> is primarily driven by additional funding associated with VTG. This has partially been offset by the deconsolidation of the dual sector TAFEs from the general government sector as a result of the passing of the </w:t>
      </w:r>
      <w:r w:rsidRPr="001E7972">
        <w:rPr>
          <w:i w:val="0"/>
        </w:rPr>
        <w:t>Education and Training Reform Amendment (Dual Sector Universities) Act 2013</w:t>
      </w:r>
      <w:r>
        <w:t>.</w:t>
      </w:r>
    </w:p>
    <w:p w:rsidR="00A53D7D" w:rsidRPr="000E5CE7" w:rsidRDefault="00A53D7D" w:rsidP="005140B4">
      <w:pPr>
        <w:pStyle w:val="Notes"/>
      </w:pPr>
      <w:r w:rsidRPr="000E5CE7">
        <w:t>(</w:t>
      </w:r>
      <w:r>
        <w:t>h</w:t>
      </w:r>
      <w:r w:rsidRPr="000E5CE7">
        <w:t>)</w:t>
      </w:r>
      <w:r w:rsidRPr="000E5CE7">
        <w:tab/>
        <w:t xml:space="preserve">The lower </w:t>
      </w:r>
      <w:r w:rsidRPr="00333CE5">
        <w:t>2014</w:t>
      </w:r>
      <w:r w:rsidRPr="00333CE5">
        <w:noBreakHyphen/>
        <w:t>15 budget</w:t>
      </w:r>
      <w:r w:rsidRPr="000E5CE7">
        <w:t xml:space="preserve"> primarily reflects the cessation of the Education Maintenance Allowance program from 1</w:t>
      </w:r>
      <w:r>
        <w:t> </w:t>
      </w:r>
      <w:r w:rsidRPr="000E5CE7">
        <w:t>January</w:t>
      </w:r>
      <w:r>
        <w:t> </w:t>
      </w:r>
      <w:r w:rsidRPr="000E5CE7">
        <w:t>2015.</w:t>
      </w:r>
    </w:p>
    <w:p w:rsidR="00A53D7D" w:rsidRDefault="00A53D7D" w:rsidP="005140B4">
      <w:pPr>
        <w:pStyle w:val="Notes"/>
      </w:pPr>
      <w:r w:rsidRPr="000E5CE7">
        <w:t>(</w:t>
      </w:r>
      <w:proofErr w:type="spellStart"/>
      <w:r>
        <w:t>i</w:t>
      </w:r>
      <w:proofErr w:type="spellEnd"/>
      <w:r w:rsidRPr="000E5CE7">
        <w:t>)</w:t>
      </w:r>
      <w:r w:rsidRPr="000E5CE7">
        <w:tab/>
        <w:t xml:space="preserve">The higher </w:t>
      </w:r>
      <w:r w:rsidRPr="00333CE5">
        <w:t>2014</w:t>
      </w:r>
      <w:r w:rsidRPr="00333CE5">
        <w:noBreakHyphen/>
        <w:t>15 budget</w:t>
      </w:r>
      <w:r w:rsidRPr="000E5CE7">
        <w:t xml:space="preserve"> primarily reflects growth in the number of eligible students and increased</w:t>
      </w:r>
      <w:r>
        <w:t xml:space="preserve"> total</w:t>
      </w:r>
      <w:r w:rsidRPr="000E5CE7">
        <w:t xml:space="preserve"> delivery</w:t>
      </w:r>
      <w:r>
        <w:t xml:space="preserve"> </w:t>
      </w:r>
      <w:r w:rsidRPr="000E5CE7">
        <w:t>costs.</w:t>
      </w:r>
    </w:p>
    <w:p w:rsidR="00F820F9" w:rsidRDefault="00F820F9" w:rsidP="005140B4">
      <w:pPr>
        <w:pStyle w:val="Notes"/>
      </w:pPr>
    </w:p>
    <w:p w:rsidR="00A53D7D" w:rsidRDefault="00A53D7D" w:rsidP="005140B4">
      <w:pPr>
        <w:pStyle w:val="Heading2"/>
      </w:pPr>
      <w:r>
        <w:t>Amounts available</w:t>
      </w:r>
    </w:p>
    <w:p w:rsidR="00A53D7D" w:rsidRDefault="00A53D7D" w:rsidP="005140B4">
      <w:pPr>
        <w:rPr>
          <w:lang w:eastAsia="en-AU"/>
        </w:rPr>
      </w:pPr>
      <w:r>
        <w:rPr>
          <w:lang w:eastAsia="en-AU"/>
        </w:rPr>
        <w:t>The following tables detail the amounts available to the Department from Parliamentary authority and income generated through transactions.</w:t>
      </w:r>
    </w:p>
    <w:p w:rsidR="00A53D7D" w:rsidRDefault="00A53D7D" w:rsidP="005140B4">
      <w:r>
        <w:rPr>
          <w:lang w:eastAsia="en-AU"/>
        </w:rPr>
        <w:t>Table 2.3 outlines the Department’s income from transactions and Table 2.4 summarises the sources of Parliamentary authority available to the Department to fund the provision of outputs, additions to the net asset base and payments made on behalf of the State.</w:t>
      </w:r>
    </w:p>
    <w:p w:rsidR="00A53D7D" w:rsidRDefault="00A53D7D">
      <w:pPr>
        <w:spacing w:after="0"/>
        <w:rPr>
          <w:rFonts w:ascii="Calibri" w:hAnsi="Calibri"/>
          <w:b/>
        </w:rPr>
      </w:pPr>
      <w:r>
        <w:br w:type="page"/>
      </w:r>
    </w:p>
    <w:p w:rsidR="00A53D7D" w:rsidRDefault="00A53D7D" w:rsidP="005140B4">
      <w:pPr>
        <w:pStyle w:val="Tableheading"/>
      </w:pPr>
      <w:r>
        <w:t>Table 2.3:</w:t>
      </w:r>
      <w:r>
        <w:tab/>
        <w:t xml:space="preserve">Income from transactions </w:t>
      </w:r>
    </w:p>
    <w:p w:rsidR="00A53D7D" w:rsidRPr="00DF29A1"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DF29A1" w:rsidTr="005140B4">
        <w:tc>
          <w:tcPr>
            <w:tcW w:w="3803" w:type="dxa"/>
            <w:tcBorders>
              <w:top w:val="single" w:sz="4" w:space="0" w:color="auto"/>
              <w:left w:val="single" w:sz="4" w:space="0" w:color="auto"/>
              <w:bottom w:val="nil"/>
              <w:right w:val="nil"/>
            </w:tcBorders>
            <w:shd w:val="clear" w:color="auto" w:fill="000000"/>
          </w:tcPr>
          <w:p w:rsidR="00A53D7D" w:rsidRPr="00DF29A1" w:rsidRDefault="00A53D7D" w:rsidP="005140B4">
            <w:pPr>
              <w:pStyle w:val="Tabletext"/>
              <w:rPr>
                <w:rFonts w:eastAsiaTheme="minorEastAsia"/>
                <w:lang w:eastAsia="en-AU"/>
              </w:rPr>
            </w:pPr>
            <w:r w:rsidRPr="00DF29A1">
              <w:rPr>
                <w:rFonts w:eastAsiaTheme="minorEastAsia"/>
                <w:lang w:eastAsia="en-AU"/>
              </w:rPr>
              <w:t xml:space="preserve"> </w:t>
            </w:r>
          </w:p>
        </w:tc>
        <w:tc>
          <w:tcPr>
            <w:tcW w:w="994" w:type="dxa"/>
            <w:tcBorders>
              <w:top w:val="single" w:sz="4" w:space="0" w:color="auto"/>
              <w:left w:val="nil"/>
              <w:bottom w:val="nil"/>
              <w:right w:val="nil"/>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2012-13</w:t>
            </w:r>
          </w:p>
        </w:tc>
        <w:tc>
          <w:tcPr>
            <w:tcW w:w="993" w:type="dxa"/>
            <w:tcBorders>
              <w:top w:val="single" w:sz="4" w:space="0" w:color="auto"/>
              <w:left w:val="nil"/>
              <w:bottom w:val="nil"/>
              <w:right w:val="nil"/>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2013-14</w:t>
            </w:r>
          </w:p>
        </w:tc>
        <w:tc>
          <w:tcPr>
            <w:tcW w:w="993" w:type="dxa"/>
            <w:tcBorders>
              <w:top w:val="single" w:sz="4" w:space="0" w:color="auto"/>
              <w:left w:val="nil"/>
              <w:bottom w:val="nil"/>
              <w:right w:val="single" w:sz="4" w:space="0" w:color="auto"/>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2014-15</w:t>
            </w:r>
          </w:p>
        </w:tc>
      </w:tr>
      <w:tr w:rsidR="00A53D7D" w:rsidRPr="00DF29A1" w:rsidTr="005140B4">
        <w:tc>
          <w:tcPr>
            <w:tcW w:w="3803" w:type="dxa"/>
            <w:tcBorders>
              <w:top w:val="nil"/>
              <w:left w:val="single" w:sz="4" w:space="0" w:color="auto"/>
              <w:bottom w:val="single" w:sz="4" w:space="0" w:color="auto"/>
              <w:right w:val="nil"/>
            </w:tcBorders>
            <w:shd w:val="clear" w:color="auto" w:fill="000000"/>
          </w:tcPr>
          <w:p w:rsidR="00A53D7D" w:rsidRPr="00DF29A1" w:rsidRDefault="00A53D7D" w:rsidP="005140B4">
            <w:pPr>
              <w:pStyle w:val="Tabletext"/>
              <w:rPr>
                <w:rFonts w:eastAsiaTheme="minorEastAsia"/>
                <w:lang w:eastAsia="en-AU"/>
              </w:rPr>
            </w:pPr>
            <w:r w:rsidRPr="00DF29A1">
              <w:rPr>
                <w:rFonts w:eastAsiaTheme="minorEastAsia"/>
                <w:lang w:eastAsia="en-AU"/>
              </w:rPr>
              <w:t xml:space="preserve"> </w:t>
            </w:r>
          </w:p>
        </w:tc>
        <w:tc>
          <w:tcPr>
            <w:tcW w:w="994" w:type="dxa"/>
            <w:tcBorders>
              <w:top w:val="nil"/>
              <w:left w:val="nil"/>
              <w:bottom w:val="single" w:sz="4" w:space="0" w:color="auto"/>
              <w:right w:val="nil"/>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Actual</w:t>
            </w:r>
          </w:p>
        </w:tc>
        <w:tc>
          <w:tcPr>
            <w:tcW w:w="993" w:type="dxa"/>
            <w:tcBorders>
              <w:top w:val="nil"/>
              <w:left w:val="nil"/>
              <w:bottom w:val="single" w:sz="4" w:space="0" w:color="auto"/>
              <w:right w:val="nil"/>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 xml:space="preserve">Budget </w:t>
            </w:r>
          </w:p>
        </w:tc>
        <w:tc>
          <w:tcPr>
            <w:tcW w:w="993" w:type="dxa"/>
            <w:tcBorders>
              <w:top w:val="nil"/>
              <w:left w:val="nil"/>
              <w:bottom w:val="single" w:sz="4" w:space="0" w:color="auto"/>
              <w:right w:val="nil"/>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Revised</w:t>
            </w:r>
          </w:p>
        </w:tc>
        <w:tc>
          <w:tcPr>
            <w:tcW w:w="993" w:type="dxa"/>
            <w:tcBorders>
              <w:top w:val="nil"/>
              <w:left w:val="nil"/>
              <w:bottom w:val="single" w:sz="4" w:space="0" w:color="auto"/>
              <w:right w:val="single" w:sz="4" w:space="0" w:color="auto"/>
            </w:tcBorders>
            <w:shd w:val="clear" w:color="auto" w:fill="000000"/>
          </w:tcPr>
          <w:p w:rsidR="00A53D7D" w:rsidRPr="00DF29A1" w:rsidRDefault="00A53D7D" w:rsidP="005140B4">
            <w:pPr>
              <w:pStyle w:val="Tabletextheading"/>
              <w:rPr>
                <w:rFonts w:eastAsiaTheme="minorEastAsia"/>
                <w:lang w:eastAsia="en-AU"/>
              </w:rPr>
            </w:pPr>
            <w:r w:rsidRPr="00DF29A1">
              <w:rPr>
                <w:rFonts w:eastAsiaTheme="minorEastAsia"/>
                <w:lang w:eastAsia="en-AU"/>
              </w:rPr>
              <w:t>Budget</w:t>
            </w:r>
          </w:p>
        </w:tc>
      </w:tr>
      <w:tr w:rsidR="00A53D7D" w:rsidRPr="00DF29A1" w:rsidTr="005140B4">
        <w:tc>
          <w:tcPr>
            <w:tcW w:w="3803" w:type="dxa"/>
            <w:tcBorders>
              <w:top w:val="single" w:sz="4" w:space="0" w:color="auto"/>
              <w:left w:val="nil"/>
              <w:bottom w:val="nil"/>
              <w:right w:val="nil"/>
            </w:tcBorders>
          </w:tcPr>
          <w:p w:rsidR="00A53D7D" w:rsidRPr="00DF29A1" w:rsidRDefault="00A53D7D" w:rsidP="005140B4">
            <w:pPr>
              <w:pStyle w:val="Tabletext"/>
              <w:rPr>
                <w:rFonts w:eastAsiaTheme="minorEastAsia"/>
                <w:lang w:eastAsia="en-AU"/>
              </w:rPr>
            </w:pPr>
            <w:r w:rsidRPr="00DF29A1">
              <w:rPr>
                <w:rFonts w:eastAsiaTheme="minorEastAsia"/>
                <w:lang w:eastAsia="en-AU"/>
              </w:rPr>
              <w:t>Output appropriations</w:t>
            </w:r>
          </w:p>
        </w:tc>
        <w:tc>
          <w:tcPr>
            <w:tcW w:w="994" w:type="dxa"/>
            <w:tcBorders>
              <w:top w:val="single" w:sz="4" w:space="0" w:color="auto"/>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10 375.8</w:t>
            </w:r>
          </w:p>
        </w:tc>
        <w:tc>
          <w:tcPr>
            <w:tcW w:w="993" w:type="dxa"/>
            <w:tcBorders>
              <w:top w:val="single" w:sz="4" w:space="0" w:color="auto"/>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10 236.2</w:t>
            </w:r>
          </w:p>
        </w:tc>
        <w:tc>
          <w:tcPr>
            <w:tcW w:w="993" w:type="dxa"/>
            <w:tcBorders>
              <w:top w:val="single" w:sz="4" w:space="0" w:color="auto"/>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10 528.5</w:t>
            </w:r>
          </w:p>
        </w:tc>
        <w:tc>
          <w:tcPr>
            <w:tcW w:w="993" w:type="dxa"/>
            <w:tcBorders>
              <w:top w:val="single" w:sz="4" w:space="0" w:color="auto"/>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10 817.9</w:t>
            </w:r>
          </w:p>
        </w:tc>
      </w:tr>
      <w:tr w:rsidR="00A53D7D" w:rsidRPr="00DF29A1" w:rsidTr="005140B4">
        <w:tc>
          <w:tcPr>
            <w:tcW w:w="3803" w:type="dxa"/>
            <w:tcBorders>
              <w:top w:val="nil"/>
              <w:left w:val="nil"/>
              <w:bottom w:val="nil"/>
              <w:right w:val="nil"/>
            </w:tcBorders>
          </w:tcPr>
          <w:p w:rsidR="00A53D7D" w:rsidRPr="00DF29A1" w:rsidRDefault="00A53D7D" w:rsidP="005140B4">
            <w:pPr>
              <w:pStyle w:val="Tabletext"/>
              <w:rPr>
                <w:rFonts w:eastAsiaTheme="minorEastAsia"/>
                <w:lang w:eastAsia="en-AU"/>
              </w:rPr>
            </w:pPr>
            <w:r w:rsidRPr="00DF29A1">
              <w:rPr>
                <w:rFonts w:eastAsiaTheme="minorEastAsia"/>
                <w:lang w:eastAsia="en-AU"/>
              </w:rPr>
              <w:t>Special appropriations</w:t>
            </w:r>
          </w:p>
        </w:tc>
        <w:tc>
          <w:tcPr>
            <w:tcW w:w="994"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6.5</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26.5</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0.3</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13.0</w:t>
            </w:r>
          </w:p>
        </w:tc>
      </w:tr>
      <w:tr w:rsidR="00A53D7D" w:rsidRPr="00DF29A1" w:rsidTr="005140B4">
        <w:tc>
          <w:tcPr>
            <w:tcW w:w="3803" w:type="dxa"/>
            <w:tcBorders>
              <w:top w:val="nil"/>
              <w:left w:val="nil"/>
              <w:bottom w:val="nil"/>
              <w:right w:val="nil"/>
            </w:tcBorders>
          </w:tcPr>
          <w:p w:rsidR="00A53D7D" w:rsidRPr="00DF29A1" w:rsidRDefault="00A53D7D" w:rsidP="005140B4">
            <w:pPr>
              <w:pStyle w:val="Tabletext"/>
              <w:rPr>
                <w:rFonts w:eastAsiaTheme="minorEastAsia"/>
                <w:lang w:eastAsia="en-AU"/>
              </w:rPr>
            </w:pPr>
            <w:r w:rsidRPr="00DF29A1">
              <w:rPr>
                <w:rFonts w:eastAsiaTheme="minorEastAsia"/>
                <w:lang w:eastAsia="en-AU"/>
              </w:rPr>
              <w:t>Interest</w:t>
            </w:r>
          </w:p>
        </w:tc>
        <w:tc>
          <w:tcPr>
            <w:tcW w:w="994"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45.6</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46.1</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35.9</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35.2</w:t>
            </w:r>
          </w:p>
        </w:tc>
      </w:tr>
      <w:tr w:rsidR="00A53D7D" w:rsidRPr="00DF29A1" w:rsidTr="005140B4">
        <w:tc>
          <w:tcPr>
            <w:tcW w:w="3803" w:type="dxa"/>
            <w:tcBorders>
              <w:top w:val="nil"/>
              <w:left w:val="nil"/>
              <w:bottom w:val="nil"/>
              <w:right w:val="nil"/>
            </w:tcBorders>
          </w:tcPr>
          <w:p w:rsidR="00A53D7D" w:rsidRPr="00DF29A1" w:rsidRDefault="00A53D7D" w:rsidP="005140B4">
            <w:pPr>
              <w:pStyle w:val="Tabletext"/>
              <w:rPr>
                <w:rFonts w:eastAsiaTheme="minorEastAsia"/>
                <w:lang w:eastAsia="en-AU"/>
              </w:rPr>
            </w:pPr>
            <w:r w:rsidRPr="00DF29A1">
              <w:rPr>
                <w:rFonts w:eastAsiaTheme="minorEastAsia"/>
                <w:lang w:eastAsia="en-AU"/>
              </w:rPr>
              <w:t>Sale of goods and services</w:t>
            </w:r>
          </w:p>
        </w:tc>
        <w:tc>
          <w:tcPr>
            <w:tcW w:w="994"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737.4</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816.1</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698.5</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687.6</w:t>
            </w:r>
          </w:p>
        </w:tc>
      </w:tr>
      <w:tr w:rsidR="00A53D7D" w:rsidRPr="00DF29A1" w:rsidTr="005140B4">
        <w:tc>
          <w:tcPr>
            <w:tcW w:w="3803" w:type="dxa"/>
            <w:tcBorders>
              <w:top w:val="nil"/>
              <w:left w:val="nil"/>
              <w:bottom w:val="nil"/>
              <w:right w:val="nil"/>
            </w:tcBorders>
          </w:tcPr>
          <w:p w:rsidR="00A53D7D" w:rsidRPr="00DF29A1" w:rsidRDefault="00A53D7D" w:rsidP="005140B4">
            <w:pPr>
              <w:pStyle w:val="Tabletext"/>
              <w:rPr>
                <w:rFonts w:eastAsiaTheme="minorEastAsia"/>
                <w:lang w:eastAsia="en-AU"/>
              </w:rPr>
            </w:pPr>
            <w:r w:rsidRPr="00DF29A1">
              <w:rPr>
                <w:rFonts w:eastAsiaTheme="minorEastAsia"/>
                <w:lang w:eastAsia="en-AU"/>
              </w:rPr>
              <w:t>Grants</w:t>
            </w:r>
          </w:p>
        </w:tc>
        <w:tc>
          <w:tcPr>
            <w:tcW w:w="994"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125.5</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67.1</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89.3</w:t>
            </w:r>
          </w:p>
        </w:tc>
        <w:tc>
          <w:tcPr>
            <w:tcW w:w="993" w:type="dxa"/>
            <w:tcBorders>
              <w:top w:val="nil"/>
              <w:left w:val="nil"/>
              <w:bottom w:val="nil"/>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20.1</w:t>
            </w:r>
          </w:p>
        </w:tc>
      </w:tr>
      <w:tr w:rsidR="00A53D7D" w:rsidRPr="00DF29A1" w:rsidTr="005140B4">
        <w:tc>
          <w:tcPr>
            <w:tcW w:w="3803" w:type="dxa"/>
            <w:tcBorders>
              <w:top w:val="nil"/>
              <w:left w:val="nil"/>
              <w:bottom w:val="single" w:sz="6" w:space="0" w:color="auto"/>
              <w:right w:val="nil"/>
            </w:tcBorders>
          </w:tcPr>
          <w:p w:rsidR="00A53D7D" w:rsidRPr="00DF29A1" w:rsidRDefault="00A53D7D" w:rsidP="005140B4">
            <w:pPr>
              <w:pStyle w:val="Tabletext"/>
              <w:rPr>
                <w:rFonts w:eastAsiaTheme="minorEastAsia"/>
                <w:lang w:eastAsia="en-AU"/>
              </w:rPr>
            </w:pPr>
            <w:r w:rsidRPr="00DF29A1">
              <w:rPr>
                <w:rFonts w:eastAsiaTheme="minorEastAsia"/>
                <w:lang w:eastAsia="en-AU"/>
              </w:rPr>
              <w:t>Other income</w:t>
            </w:r>
          </w:p>
        </w:tc>
        <w:tc>
          <w:tcPr>
            <w:tcW w:w="994" w:type="dxa"/>
            <w:tcBorders>
              <w:top w:val="nil"/>
              <w:left w:val="nil"/>
              <w:bottom w:val="single" w:sz="6" w:space="0" w:color="auto"/>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551.1</w:t>
            </w:r>
          </w:p>
        </w:tc>
        <w:tc>
          <w:tcPr>
            <w:tcW w:w="993" w:type="dxa"/>
            <w:tcBorders>
              <w:top w:val="nil"/>
              <w:left w:val="nil"/>
              <w:bottom w:val="single" w:sz="6" w:space="0" w:color="auto"/>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544.9</w:t>
            </w:r>
          </w:p>
        </w:tc>
        <w:tc>
          <w:tcPr>
            <w:tcW w:w="993" w:type="dxa"/>
            <w:tcBorders>
              <w:top w:val="nil"/>
              <w:left w:val="nil"/>
              <w:bottom w:val="single" w:sz="6" w:space="0" w:color="auto"/>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569.5</w:t>
            </w:r>
          </w:p>
        </w:tc>
        <w:tc>
          <w:tcPr>
            <w:tcW w:w="993" w:type="dxa"/>
            <w:tcBorders>
              <w:top w:val="nil"/>
              <w:left w:val="nil"/>
              <w:bottom w:val="single" w:sz="6" w:space="0" w:color="auto"/>
              <w:right w:val="nil"/>
            </w:tcBorders>
          </w:tcPr>
          <w:p w:rsidR="00A53D7D" w:rsidRPr="00DF29A1" w:rsidRDefault="00A53D7D" w:rsidP="005140B4">
            <w:pPr>
              <w:pStyle w:val="TableofFigures"/>
              <w:rPr>
                <w:rFonts w:eastAsiaTheme="minorEastAsia"/>
                <w:lang w:eastAsia="en-AU"/>
              </w:rPr>
            </w:pPr>
            <w:r w:rsidRPr="00DF29A1">
              <w:rPr>
                <w:rFonts w:eastAsiaTheme="minorEastAsia"/>
                <w:lang w:eastAsia="en-AU"/>
              </w:rPr>
              <w:t xml:space="preserve"> 577.4</w:t>
            </w:r>
          </w:p>
        </w:tc>
      </w:tr>
      <w:tr w:rsidR="00A53D7D" w:rsidRPr="00DF29A1" w:rsidTr="005140B4">
        <w:tc>
          <w:tcPr>
            <w:tcW w:w="3803" w:type="dxa"/>
            <w:tcBorders>
              <w:top w:val="single" w:sz="6" w:space="0" w:color="auto"/>
              <w:left w:val="nil"/>
              <w:bottom w:val="single" w:sz="12" w:space="0" w:color="auto"/>
              <w:right w:val="nil"/>
            </w:tcBorders>
          </w:tcPr>
          <w:p w:rsidR="00A53D7D" w:rsidRPr="00DF29A1" w:rsidRDefault="00A53D7D" w:rsidP="005140B4">
            <w:pPr>
              <w:pStyle w:val="Tabletext"/>
              <w:rPr>
                <w:rFonts w:eastAsiaTheme="minorEastAsia" w:cs="Calibri"/>
                <w:b/>
                <w:bCs/>
                <w:lang w:eastAsia="en-AU"/>
              </w:rPr>
            </w:pPr>
            <w:r w:rsidRPr="00DF29A1">
              <w:rPr>
                <w:rFonts w:eastAsiaTheme="minorEastAsia"/>
                <w:b/>
                <w:lang w:eastAsia="en-AU"/>
              </w:rPr>
              <w:t xml:space="preserve">Total income </w:t>
            </w:r>
            <w:r w:rsidRPr="00DF29A1">
              <w:rPr>
                <w:rFonts w:eastAsiaTheme="minorEastAsia" w:cs="Calibri"/>
                <w:b/>
                <w:bCs/>
                <w:lang w:eastAsia="en-AU"/>
              </w:rPr>
              <w:t>from transactions</w:t>
            </w:r>
          </w:p>
        </w:tc>
        <w:tc>
          <w:tcPr>
            <w:tcW w:w="994" w:type="dxa"/>
            <w:tcBorders>
              <w:top w:val="single" w:sz="6" w:space="0" w:color="auto"/>
              <w:left w:val="nil"/>
              <w:bottom w:val="single" w:sz="12" w:space="0" w:color="auto"/>
              <w:right w:val="nil"/>
            </w:tcBorders>
          </w:tcPr>
          <w:p w:rsidR="00A53D7D" w:rsidRPr="00DF29A1" w:rsidRDefault="00A53D7D" w:rsidP="005140B4">
            <w:pPr>
              <w:pStyle w:val="TableofFigures"/>
              <w:rPr>
                <w:rFonts w:eastAsiaTheme="minorEastAsia" w:cs="Calibri"/>
                <w:b/>
                <w:bCs/>
                <w:lang w:eastAsia="en-AU"/>
              </w:rPr>
            </w:pPr>
            <w:r w:rsidRPr="00DF29A1">
              <w:rPr>
                <w:rFonts w:eastAsiaTheme="minorEastAsia"/>
                <w:b/>
                <w:lang w:eastAsia="en-AU"/>
              </w:rPr>
              <w:t>11 841.9</w:t>
            </w:r>
          </w:p>
        </w:tc>
        <w:tc>
          <w:tcPr>
            <w:tcW w:w="993" w:type="dxa"/>
            <w:tcBorders>
              <w:top w:val="single" w:sz="6" w:space="0" w:color="auto"/>
              <w:left w:val="nil"/>
              <w:bottom w:val="single" w:sz="12" w:space="0" w:color="auto"/>
              <w:right w:val="nil"/>
            </w:tcBorders>
          </w:tcPr>
          <w:p w:rsidR="00A53D7D" w:rsidRPr="00DF29A1" w:rsidRDefault="00A53D7D" w:rsidP="005140B4">
            <w:pPr>
              <w:pStyle w:val="TableofFigures"/>
              <w:rPr>
                <w:rFonts w:eastAsiaTheme="minorEastAsia" w:cs="Calibri"/>
                <w:b/>
                <w:bCs/>
                <w:lang w:eastAsia="en-AU"/>
              </w:rPr>
            </w:pPr>
            <w:r w:rsidRPr="00DF29A1">
              <w:rPr>
                <w:rFonts w:eastAsiaTheme="minorEastAsia"/>
                <w:b/>
                <w:lang w:eastAsia="en-AU"/>
              </w:rPr>
              <w:t>11 736.7</w:t>
            </w:r>
          </w:p>
        </w:tc>
        <w:tc>
          <w:tcPr>
            <w:tcW w:w="993" w:type="dxa"/>
            <w:tcBorders>
              <w:top w:val="single" w:sz="6" w:space="0" w:color="auto"/>
              <w:left w:val="nil"/>
              <w:bottom w:val="single" w:sz="12" w:space="0" w:color="auto"/>
              <w:right w:val="nil"/>
            </w:tcBorders>
          </w:tcPr>
          <w:p w:rsidR="00A53D7D" w:rsidRPr="00DF29A1" w:rsidRDefault="00A53D7D" w:rsidP="005140B4">
            <w:pPr>
              <w:pStyle w:val="TableofFigures"/>
              <w:rPr>
                <w:rFonts w:eastAsiaTheme="minorEastAsia" w:cs="Calibri"/>
                <w:b/>
                <w:bCs/>
                <w:lang w:eastAsia="en-AU"/>
              </w:rPr>
            </w:pPr>
            <w:r w:rsidRPr="00DF29A1">
              <w:rPr>
                <w:rFonts w:eastAsiaTheme="minorEastAsia"/>
                <w:b/>
                <w:lang w:eastAsia="en-AU"/>
              </w:rPr>
              <w:t>11 922.1</w:t>
            </w:r>
          </w:p>
        </w:tc>
        <w:tc>
          <w:tcPr>
            <w:tcW w:w="993" w:type="dxa"/>
            <w:tcBorders>
              <w:top w:val="single" w:sz="6" w:space="0" w:color="auto"/>
              <w:left w:val="nil"/>
              <w:bottom w:val="single" w:sz="12" w:space="0" w:color="auto"/>
              <w:right w:val="nil"/>
            </w:tcBorders>
          </w:tcPr>
          <w:p w:rsidR="00A53D7D" w:rsidRPr="00DF29A1" w:rsidRDefault="00A53D7D" w:rsidP="005140B4">
            <w:pPr>
              <w:pStyle w:val="TableofFigures"/>
              <w:rPr>
                <w:rFonts w:eastAsiaTheme="minorEastAsia" w:cs="Calibri"/>
                <w:b/>
                <w:bCs/>
                <w:lang w:eastAsia="en-AU"/>
              </w:rPr>
            </w:pPr>
            <w:r w:rsidRPr="00DF29A1">
              <w:rPr>
                <w:rFonts w:eastAsiaTheme="minorEastAsia"/>
                <w:b/>
                <w:lang w:eastAsia="en-AU"/>
              </w:rPr>
              <w:t>12 151.3</w:t>
            </w:r>
          </w:p>
        </w:tc>
      </w:tr>
    </w:tbl>
    <w:p w:rsidR="00F820F9" w:rsidRDefault="00A53D7D" w:rsidP="005140B4">
      <w:pPr>
        <w:pStyle w:val="Source"/>
      </w:pPr>
      <w:r>
        <w:t>Source: Departments of Education and Early Childhood Development and Treasury and Finance</w:t>
      </w:r>
    </w:p>
    <w:p w:rsidR="00A53D7D" w:rsidRPr="00A566CF" w:rsidRDefault="00A53D7D" w:rsidP="00F820F9">
      <w:pPr>
        <w:pStyle w:val="Notes"/>
      </w:pPr>
      <w:r>
        <w:t xml:space="preserve"> </w:t>
      </w:r>
      <w:r>
        <w:fldChar w:fldCharType="begin"/>
      </w:r>
      <w:r>
        <w:instrText xml:space="preserve"> XE "Department of Education and Early Childhood Development</w:instrText>
      </w:r>
      <w:r w:rsidRPr="00C642EA">
        <w:instrText>:Income from transactions</w:instrText>
      </w:r>
      <w:r>
        <w:instrText xml:space="preserve">" </w:instrText>
      </w:r>
      <w:r>
        <w:fldChar w:fldCharType="end"/>
      </w:r>
    </w:p>
    <w:p w:rsidR="00A53D7D" w:rsidRDefault="00A53D7D" w:rsidP="005140B4">
      <w:pPr>
        <w:pStyle w:val="Tableheading"/>
      </w:pPr>
      <w:r>
        <w:t>Table 2.4:</w:t>
      </w:r>
      <w:r>
        <w:tab/>
        <w:t xml:space="preserve">Parliamentary authority for resources </w:t>
      </w:r>
    </w:p>
    <w:p w:rsidR="00A53D7D" w:rsidRPr="00CC3821"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53D7D" w:rsidRPr="00CC3821" w:rsidTr="005140B4">
        <w:tc>
          <w:tcPr>
            <w:tcW w:w="4668" w:type="dxa"/>
            <w:tcBorders>
              <w:top w:val="single" w:sz="4" w:space="0" w:color="auto"/>
              <w:left w:val="single" w:sz="4" w:space="0" w:color="auto"/>
              <w:bottom w:val="nil"/>
              <w:right w:val="nil"/>
            </w:tcBorders>
            <w:shd w:val="clear" w:color="auto" w:fill="000000"/>
          </w:tcPr>
          <w:p w:rsidR="00A53D7D" w:rsidRPr="00CC3821" w:rsidRDefault="00A53D7D" w:rsidP="005140B4">
            <w:pPr>
              <w:pStyle w:val="Tabletext"/>
              <w:rPr>
                <w:rFonts w:eastAsiaTheme="minorEastAsia"/>
                <w:lang w:eastAsia="en-AU"/>
              </w:rPr>
            </w:pPr>
            <w:r w:rsidRPr="00CC3821">
              <w:rPr>
                <w:rFonts w:eastAsiaTheme="minorEastAsia"/>
                <w:lang w:eastAsia="en-AU"/>
              </w:rPr>
              <w:t xml:space="preserve"> </w:t>
            </w:r>
          </w:p>
        </w:tc>
        <w:tc>
          <w:tcPr>
            <w:tcW w:w="1036" w:type="dxa"/>
            <w:tcBorders>
              <w:top w:val="single" w:sz="4" w:space="0" w:color="auto"/>
              <w:left w:val="nil"/>
              <w:bottom w:val="nil"/>
              <w:right w:val="nil"/>
            </w:tcBorders>
            <w:shd w:val="clear" w:color="auto" w:fill="000000"/>
          </w:tcPr>
          <w:p w:rsidR="00A53D7D" w:rsidRPr="00CC3821" w:rsidRDefault="00A53D7D" w:rsidP="005140B4">
            <w:pPr>
              <w:pStyle w:val="Tabletextheading"/>
              <w:rPr>
                <w:rFonts w:eastAsiaTheme="minorEastAsia"/>
                <w:lang w:eastAsia="en-AU"/>
              </w:rPr>
            </w:pPr>
            <w:r w:rsidRPr="00CC3821">
              <w:rPr>
                <w:rFonts w:eastAsiaTheme="minorEastAsia"/>
                <w:lang w:eastAsia="en-AU"/>
              </w:rPr>
              <w:t>2013-14</w:t>
            </w:r>
          </w:p>
        </w:tc>
        <w:tc>
          <w:tcPr>
            <w:tcW w:w="1036" w:type="dxa"/>
            <w:tcBorders>
              <w:top w:val="single" w:sz="4" w:space="0" w:color="auto"/>
              <w:left w:val="nil"/>
              <w:bottom w:val="nil"/>
              <w:right w:val="nil"/>
            </w:tcBorders>
            <w:shd w:val="clear" w:color="auto" w:fill="000000"/>
          </w:tcPr>
          <w:p w:rsidR="00A53D7D" w:rsidRPr="00CC3821" w:rsidRDefault="00A53D7D" w:rsidP="005140B4">
            <w:pPr>
              <w:pStyle w:val="Tabletextheading"/>
              <w:rPr>
                <w:rFonts w:eastAsiaTheme="minorEastAsia"/>
                <w:lang w:eastAsia="en-AU"/>
              </w:rPr>
            </w:pPr>
            <w:r w:rsidRPr="00CC3821">
              <w:rPr>
                <w:rFonts w:eastAsiaTheme="minorEastAsia"/>
                <w:lang w:eastAsia="en-AU"/>
              </w:rPr>
              <w:t>2013-14</w:t>
            </w:r>
          </w:p>
        </w:tc>
        <w:tc>
          <w:tcPr>
            <w:tcW w:w="1036" w:type="dxa"/>
            <w:tcBorders>
              <w:top w:val="single" w:sz="4" w:space="0" w:color="auto"/>
              <w:left w:val="nil"/>
              <w:bottom w:val="nil"/>
              <w:right w:val="single" w:sz="4" w:space="0" w:color="auto"/>
            </w:tcBorders>
            <w:shd w:val="clear" w:color="auto" w:fill="000000"/>
          </w:tcPr>
          <w:p w:rsidR="00A53D7D" w:rsidRPr="00CC3821" w:rsidRDefault="00A53D7D" w:rsidP="005140B4">
            <w:pPr>
              <w:pStyle w:val="Tabletextheading"/>
              <w:rPr>
                <w:rFonts w:eastAsiaTheme="minorEastAsia"/>
                <w:lang w:eastAsia="en-AU"/>
              </w:rPr>
            </w:pPr>
            <w:r w:rsidRPr="00CC3821">
              <w:rPr>
                <w:rFonts w:eastAsiaTheme="minorEastAsia"/>
                <w:lang w:eastAsia="en-AU"/>
              </w:rPr>
              <w:t>2014-15</w:t>
            </w:r>
          </w:p>
        </w:tc>
      </w:tr>
      <w:tr w:rsidR="00A53D7D" w:rsidRPr="00CC3821" w:rsidTr="005140B4">
        <w:tc>
          <w:tcPr>
            <w:tcW w:w="4668" w:type="dxa"/>
            <w:tcBorders>
              <w:top w:val="nil"/>
              <w:left w:val="single" w:sz="4" w:space="0" w:color="auto"/>
              <w:bottom w:val="single" w:sz="4" w:space="0" w:color="auto"/>
              <w:right w:val="nil"/>
            </w:tcBorders>
            <w:shd w:val="clear" w:color="auto" w:fill="000000"/>
          </w:tcPr>
          <w:p w:rsidR="00A53D7D" w:rsidRPr="00CC3821" w:rsidRDefault="00A53D7D" w:rsidP="005140B4">
            <w:pPr>
              <w:pStyle w:val="Tabletext"/>
              <w:rPr>
                <w:rFonts w:eastAsiaTheme="minorEastAsia"/>
                <w:lang w:eastAsia="en-AU"/>
              </w:rPr>
            </w:pPr>
            <w:r w:rsidRPr="00CC3821">
              <w:rPr>
                <w:rFonts w:eastAsiaTheme="minorEastAsia"/>
                <w:lang w:eastAsia="en-AU"/>
              </w:rPr>
              <w:t xml:space="preserve"> </w:t>
            </w:r>
          </w:p>
        </w:tc>
        <w:tc>
          <w:tcPr>
            <w:tcW w:w="1036" w:type="dxa"/>
            <w:tcBorders>
              <w:top w:val="nil"/>
              <w:left w:val="nil"/>
              <w:bottom w:val="single" w:sz="4" w:space="0" w:color="auto"/>
              <w:right w:val="nil"/>
            </w:tcBorders>
            <w:shd w:val="clear" w:color="auto" w:fill="000000"/>
          </w:tcPr>
          <w:p w:rsidR="00A53D7D" w:rsidRPr="00CC3821" w:rsidRDefault="00A53D7D" w:rsidP="005140B4">
            <w:pPr>
              <w:pStyle w:val="Tabletextheading"/>
              <w:rPr>
                <w:rFonts w:eastAsiaTheme="minorEastAsia"/>
                <w:lang w:eastAsia="en-AU"/>
              </w:rPr>
            </w:pPr>
            <w:r w:rsidRPr="00CC3821">
              <w:rPr>
                <w:rFonts w:eastAsiaTheme="minorEastAsia"/>
                <w:lang w:eastAsia="en-AU"/>
              </w:rPr>
              <w:t>Budget</w:t>
            </w:r>
          </w:p>
        </w:tc>
        <w:tc>
          <w:tcPr>
            <w:tcW w:w="1036" w:type="dxa"/>
            <w:tcBorders>
              <w:top w:val="nil"/>
              <w:left w:val="nil"/>
              <w:bottom w:val="single" w:sz="4" w:space="0" w:color="auto"/>
              <w:right w:val="nil"/>
            </w:tcBorders>
            <w:shd w:val="clear" w:color="auto" w:fill="000000"/>
          </w:tcPr>
          <w:p w:rsidR="00A53D7D" w:rsidRPr="00CC3821" w:rsidRDefault="00A53D7D" w:rsidP="005140B4">
            <w:pPr>
              <w:pStyle w:val="Tabletextheading"/>
              <w:rPr>
                <w:rFonts w:eastAsiaTheme="minorEastAsia"/>
                <w:lang w:eastAsia="en-AU"/>
              </w:rPr>
            </w:pPr>
            <w:r w:rsidRPr="00CC3821">
              <w:rPr>
                <w:rFonts w:eastAsiaTheme="minorEastAsia"/>
                <w:lang w:eastAsia="en-AU"/>
              </w:rPr>
              <w:t>Revised</w:t>
            </w:r>
          </w:p>
        </w:tc>
        <w:tc>
          <w:tcPr>
            <w:tcW w:w="1036" w:type="dxa"/>
            <w:tcBorders>
              <w:top w:val="nil"/>
              <w:left w:val="nil"/>
              <w:bottom w:val="single" w:sz="4" w:space="0" w:color="auto"/>
              <w:right w:val="single" w:sz="4" w:space="0" w:color="auto"/>
            </w:tcBorders>
            <w:shd w:val="clear" w:color="auto" w:fill="000000"/>
          </w:tcPr>
          <w:p w:rsidR="00A53D7D" w:rsidRPr="00CC3821" w:rsidRDefault="00A53D7D" w:rsidP="005140B4">
            <w:pPr>
              <w:pStyle w:val="Tabletextheading"/>
              <w:rPr>
                <w:rFonts w:eastAsiaTheme="minorEastAsia"/>
                <w:lang w:eastAsia="en-AU"/>
              </w:rPr>
            </w:pPr>
            <w:r w:rsidRPr="00CC3821">
              <w:rPr>
                <w:rFonts w:eastAsiaTheme="minorEastAsia"/>
                <w:lang w:eastAsia="en-AU"/>
              </w:rPr>
              <w:t>Budget</w:t>
            </w:r>
          </w:p>
        </w:tc>
      </w:tr>
      <w:tr w:rsidR="00A53D7D" w:rsidRPr="00CC3821" w:rsidTr="005140B4">
        <w:tc>
          <w:tcPr>
            <w:tcW w:w="4668" w:type="dxa"/>
            <w:tcBorders>
              <w:top w:val="nil"/>
              <w:left w:val="nil"/>
              <w:bottom w:val="nil"/>
              <w:right w:val="nil"/>
            </w:tcBorders>
            <w:shd w:val="solid" w:color="FFFFFF" w:fill="auto"/>
          </w:tcPr>
          <w:p w:rsidR="00A53D7D" w:rsidRPr="00CC3821" w:rsidRDefault="00A53D7D" w:rsidP="005140B4">
            <w:pPr>
              <w:pStyle w:val="Tabletext"/>
              <w:rPr>
                <w:rFonts w:eastAsiaTheme="minorEastAsia"/>
                <w:b/>
                <w:bCs/>
                <w:lang w:eastAsia="en-AU"/>
              </w:rPr>
            </w:pPr>
            <w:r w:rsidRPr="00CC3821">
              <w:rPr>
                <w:rFonts w:eastAsiaTheme="minorEastAsia"/>
                <w:b/>
                <w:bCs/>
                <w:lang w:eastAsia="en-AU"/>
              </w:rPr>
              <w:t>Annual appropriations</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b/>
                <w:bCs/>
                <w:lang w:eastAsia="en-AU"/>
              </w:rPr>
            </w:pPr>
            <w:r w:rsidRPr="00CC3821">
              <w:rPr>
                <w:rFonts w:eastAsiaTheme="minorEastAsia"/>
                <w:b/>
                <w:bCs/>
                <w:lang w:eastAsia="en-AU"/>
              </w:rPr>
              <w:t>9 603.8</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b/>
                <w:bCs/>
                <w:lang w:eastAsia="en-AU"/>
              </w:rPr>
            </w:pPr>
            <w:r w:rsidRPr="00CC3821">
              <w:rPr>
                <w:rFonts w:eastAsiaTheme="minorEastAsia"/>
                <w:b/>
                <w:bCs/>
                <w:lang w:eastAsia="en-AU"/>
              </w:rPr>
              <w:t>9 778.7</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b/>
                <w:bCs/>
                <w:lang w:eastAsia="en-AU"/>
              </w:rPr>
            </w:pPr>
            <w:r w:rsidRPr="00CC3821">
              <w:rPr>
                <w:rFonts w:eastAsiaTheme="minorEastAsia"/>
                <w:b/>
                <w:bCs/>
                <w:lang w:eastAsia="en-AU"/>
              </w:rPr>
              <w:t>10 211.9</w:t>
            </w:r>
          </w:p>
        </w:tc>
      </w:tr>
      <w:tr w:rsidR="00A53D7D" w:rsidRPr="00CC3821" w:rsidTr="005140B4">
        <w:tc>
          <w:tcPr>
            <w:tcW w:w="4668" w:type="dxa"/>
            <w:tcBorders>
              <w:top w:val="nil"/>
              <w:left w:val="nil"/>
              <w:bottom w:val="nil"/>
              <w:right w:val="nil"/>
            </w:tcBorders>
            <w:shd w:val="solid" w:color="FFFFFF" w:fill="auto"/>
          </w:tcPr>
          <w:p w:rsidR="00A53D7D" w:rsidRPr="00CC3821" w:rsidRDefault="00A53D7D" w:rsidP="005140B4">
            <w:pPr>
              <w:pStyle w:val="Tabletext"/>
              <w:rPr>
                <w:rFonts w:eastAsiaTheme="minorEastAsia"/>
                <w:lang w:eastAsia="en-AU"/>
              </w:rPr>
            </w:pPr>
            <w:r w:rsidRPr="00CC3821">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9 603.8</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9 776.2</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10 211.9</w:t>
            </w:r>
          </w:p>
        </w:tc>
      </w:tr>
      <w:tr w:rsidR="00A53D7D" w:rsidRPr="00CC3821" w:rsidTr="005140B4">
        <w:tc>
          <w:tcPr>
            <w:tcW w:w="4668" w:type="dxa"/>
            <w:tcBorders>
              <w:top w:val="nil"/>
              <w:left w:val="nil"/>
              <w:bottom w:val="nil"/>
              <w:right w:val="nil"/>
            </w:tcBorders>
            <w:shd w:val="solid" w:color="FFFFFF" w:fill="auto"/>
          </w:tcPr>
          <w:p w:rsidR="00A53D7D" w:rsidRPr="00CC3821" w:rsidRDefault="00A53D7D" w:rsidP="005140B4">
            <w:pPr>
              <w:pStyle w:val="Tabletext"/>
              <w:rPr>
                <w:rFonts w:eastAsiaTheme="minorEastAsia"/>
                <w:lang w:eastAsia="en-AU"/>
              </w:rPr>
            </w:pPr>
            <w:r w:rsidRPr="00CC3821">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 xml:space="preserve"> 2.5</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w:t>
            </w:r>
          </w:p>
        </w:tc>
      </w:tr>
      <w:tr w:rsidR="00A53D7D" w:rsidRPr="00CC3821" w:rsidTr="005140B4">
        <w:tc>
          <w:tcPr>
            <w:tcW w:w="4668" w:type="dxa"/>
            <w:tcBorders>
              <w:top w:val="nil"/>
              <w:left w:val="nil"/>
              <w:bottom w:val="nil"/>
              <w:right w:val="nil"/>
            </w:tcBorders>
            <w:shd w:val="solid" w:color="FFFFFF" w:fill="auto"/>
          </w:tcPr>
          <w:p w:rsidR="00A53D7D" w:rsidRPr="00CC3821" w:rsidRDefault="00A53D7D" w:rsidP="005140B4">
            <w:pPr>
              <w:pStyle w:val="Tabletext"/>
              <w:rPr>
                <w:rFonts w:eastAsiaTheme="minorEastAsia"/>
                <w:lang w:eastAsia="en-AU"/>
              </w:rPr>
            </w:pPr>
            <w:r w:rsidRPr="00CC3821">
              <w:rPr>
                <w:rFonts w:eastAsiaTheme="minorEastAsia"/>
                <w:lang w:eastAsia="en-AU"/>
              </w:rPr>
              <w:t>Receipts credited to appropriations</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 xml:space="preserve"> 667.4</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 xml:space="preserve"> 665.9</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 xml:space="preserve"> 487.3</w:t>
            </w:r>
          </w:p>
        </w:tc>
      </w:tr>
      <w:tr w:rsidR="00A53D7D" w:rsidRPr="00CC3821" w:rsidTr="005140B4">
        <w:tc>
          <w:tcPr>
            <w:tcW w:w="4668" w:type="dxa"/>
            <w:tcBorders>
              <w:top w:val="nil"/>
              <w:left w:val="nil"/>
              <w:bottom w:val="nil"/>
              <w:right w:val="nil"/>
            </w:tcBorders>
            <w:shd w:val="solid" w:color="FFFFFF" w:fill="auto"/>
          </w:tcPr>
          <w:p w:rsidR="00A53D7D" w:rsidRPr="00CC3821" w:rsidRDefault="00A53D7D" w:rsidP="005140B4">
            <w:pPr>
              <w:pStyle w:val="Tabletext"/>
              <w:rPr>
                <w:rFonts w:eastAsiaTheme="minorEastAsia"/>
                <w:b/>
                <w:lang w:eastAsia="en-AU"/>
              </w:rPr>
            </w:pPr>
            <w:r w:rsidRPr="00CC3821">
              <w:rPr>
                <w:rFonts w:eastAsiaTheme="minorEastAsia"/>
                <w:b/>
                <w:lang w:eastAsia="en-AU"/>
              </w:rPr>
              <w:t>Unapplied previous years appropriation</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b/>
                <w:lang w:eastAsia="en-AU"/>
              </w:rPr>
            </w:pPr>
            <w:r w:rsidRPr="00CC3821">
              <w:rPr>
                <w:rFonts w:eastAsiaTheme="minorEastAsia"/>
                <w:b/>
                <w:lang w:eastAsia="en-AU"/>
              </w:rPr>
              <w:t xml:space="preserve"> 43.1</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b/>
                <w:lang w:eastAsia="en-AU"/>
              </w:rPr>
            </w:pPr>
            <w:r w:rsidRPr="00CC3821">
              <w:rPr>
                <w:rFonts w:eastAsiaTheme="minorEastAsia"/>
                <w:b/>
                <w:lang w:eastAsia="en-AU"/>
              </w:rPr>
              <w:t xml:space="preserve"> 220.0</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b/>
                <w:lang w:eastAsia="en-AU"/>
              </w:rPr>
            </w:pPr>
            <w:r w:rsidRPr="00CC3821">
              <w:rPr>
                <w:rFonts w:eastAsiaTheme="minorEastAsia"/>
                <w:b/>
                <w:lang w:eastAsia="en-AU"/>
              </w:rPr>
              <w:t xml:space="preserve"> 170.0</w:t>
            </w:r>
          </w:p>
        </w:tc>
      </w:tr>
      <w:tr w:rsidR="00A53D7D" w:rsidRPr="00CC3821" w:rsidTr="005140B4">
        <w:tc>
          <w:tcPr>
            <w:tcW w:w="4668" w:type="dxa"/>
            <w:tcBorders>
              <w:top w:val="nil"/>
              <w:left w:val="nil"/>
              <w:bottom w:val="single" w:sz="6" w:space="0" w:color="auto"/>
              <w:right w:val="nil"/>
            </w:tcBorders>
            <w:shd w:val="solid" w:color="FFFFFF" w:fill="auto"/>
          </w:tcPr>
          <w:p w:rsidR="00A53D7D" w:rsidRPr="00CC3821" w:rsidRDefault="00A53D7D" w:rsidP="005140B4">
            <w:pPr>
              <w:pStyle w:val="Tabletext"/>
              <w:rPr>
                <w:rFonts w:eastAsiaTheme="minorEastAsia"/>
                <w:bCs/>
                <w:lang w:eastAsia="en-AU"/>
              </w:rPr>
            </w:pPr>
            <w:r w:rsidRPr="00CC3821">
              <w:rPr>
                <w:rFonts w:eastAsiaTheme="minorEastAsia"/>
                <w:bCs/>
                <w:lang w:eastAsia="en-AU"/>
              </w:rPr>
              <w:t xml:space="preserve"> Provision of outputs</w:t>
            </w:r>
          </w:p>
        </w:tc>
        <w:tc>
          <w:tcPr>
            <w:tcW w:w="1036" w:type="dxa"/>
            <w:tcBorders>
              <w:top w:val="nil"/>
              <w:left w:val="nil"/>
              <w:bottom w:val="single" w:sz="6" w:space="0" w:color="auto"/>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 xml:space="preserve"> 43.1</w:t>
            </w:r>
          </w:p>
        </w:tc>
        <w:tc>
          <w:tcPr>
            <w:tcW w:w="1036" w:type="dxa"/>
            <w:tcBorders>
              <w:top w:val="nil"/>
              <w:left w:val="nil"/>
              <w:bottom w:val="single" w:sz="6" w:space="0" w:color="auto"/>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 xml:space="preserve"> 220.0</w:t>
            </w:r>
          </w:p>
        </w:tc>
        <w:tc>
          <w:tcPr>
            <w:tcW w:w="1036" w:type="dxa"/>
            <w:tcBorders>
              <w:top w:val="nil"/>
              <w:left w:val="nil"/>
              <w:bottom w:val="single" w:sz="6" w:space="0" w:color="auto"/>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 xml:space="preserve"> 170.0</w:t>
            </w:r>
          </w:p>
        </w:tc>
      </w:tr>
      <w:tr w:rsidR="00A53D7D" w:rsidRPr="00CC3821" w:rsidTr="005140B4">
        <w:tc>
          <w:tcPr>
            <w:tcW w:w="4668" w:type="dxa"/>
            <w:tcBorders>
              <w:top w:val="single" w:sz="6" w:space="0" w:color="auto"/>
              <w:left w:val="nil"/>
              <w:bottom w:val="nil"/>
              <w:right w:val="nil"/>
            </w:tcBorders>
            <w:shd w:val="solid" w:color="FFFFFF" w:fill="auto"/>
          </w:tcPr>
          <w:p w:rsidR="00A53D7D" w:rsidRPr="00CC3821" w:rsidRDefault="00A53D7D" w:rsidP="005140B4">
            <w:pPr>
              <w:pStyle w:val="Tabletext"/>
              <w:rPr>
                <w:rFonts w:eastAsiaTheme="minorEastAsia"/>
                <w:b/>
                <w:lang w:eastAsia="en-AU"/>
              </w:rPr>
            </w:pPr>
            <w:r w:rsidRPr="00CC3821">
              <w:rPr>
                <w:rFonts w:eastAsiaTheme="minorEastAsia"/>
                <w:b/>
                <w:lang w:eastAsia="en-AU"/>
              </w:rPr>
              <w:t>Gross annual appropriation</w:t>
            </w:r>
          </w:p>
        </w:tc>
        <w:tc>
          <w:tcPr>
            <w:tcW w:w="1036" w:type="dxa"/>
            <w:tcBorders>
              <w:top w:val="single" w:sz="6" w:space="0" w:color="auto"/>
              <w:left w:val="nil"/>
              <w:bottom w:val="nil"/>
              <w:right w:val="nil"/>
            </w:tcBorders>
            <w:shd w:val="solid" w:color="FFFFFF" w:fill="auto"/>
          </w:tcPr>
          <w:p w:rsidR="00A53D7D" w:rsidRPr="00CC3821" w:rsidRDefault="00A53D7D" w:rsidP="005140B4">
            <w:pPr>
              <w:pStyle w:val="TableofFigures"/>
              <w:rPr>
                <w:rFonts w:eastAsiaTheme="minorEastAsia" w:cs="Calibri"/>
                <w:b/>
                <w:bCs/>
                <w:lang w:eastAsia="en-AU"/>
              </w:rPr>
            </w:pPr>
            <w:r w:rsidRPr="00CC3821">
              <w:rPr>
                <w:rFonts w:eastAsiaTheme="minorEastAsia"/>
                <w:b/>
                <w:lang w:eastAsia="en-AU"/>
              </w:rPr>
              <w:t>10 314.2</w:t>
            </w:r>
          </w:p>
        </w:tc>
        <w:tc>
          <w:tcPr>
            <w:tcW w:w="1036" w:type="dxa"/>
            <w:tcBorders>
              <w:top w:val="single" w:sz="6" w:space="0" w:color="auto"/>
              <w:left w:val="nil"/>
              <w:bottom w:val="nil"/>
              <w:right w:val="nil"/>
            </w:tcBorders>
            <w:shd w:val="solid" w:color="FFFFFF" w:fill="auto"/>
          </w:tcPr>
          <w:p w:rsidR="00A53D7D" w:rsidRPr="00CC3821" w:rsidRDefault="00A53D7D" w:rsidP="005140B4">
            <w:pPr>
              <w:pStyle w:val="TableofFigures"/>
              <w:rPr>
                <w:rFonts w:eastAsiaTheme="minorEastAsia" w:cs="Calibri"/>
                <w:b/>
                <w:bCs/>
                <w:lang w:eastAsia="en-AU"/>
              </w:rPr>
            </w:pPr>
            <w:r w:rsidRPr="00CC3821">
              <w:rPr>
                <w:rFonts w:eastAsiaTheme="minorEastAsia"/>
                <w:b/>
                <w:lang w:eastAsia="en-AU"/>
              </w:rPr>
              <w:t>10 664.7</w:t>
            </w:r>
          </w:p>
        </w:tc>
        <w:tc>
          <w:tcPr>
            <w:tcW w:w="1036" w:type="dxa"/>
            <w:tcBorders>
              <w:top w:val="single" w:sz="6" w:space="0" w:color="auto"/>
              <w:left w:val="nil"/>
              <w:bottom w:val="nil"/>
              <w:right w:val="nil"/>
            </w:tcBorders>
            <w:shd w:val="solid" w:color="FFFFFF" w:fill="auto"/>
          </w:tcPr>
          <w:p w:rsidR="00A53D7D" w:rsidRPr="00CC3821" w:rsidRDefault="00A53D7D" w:rsidP="005140B4">
            <w:pPr>
              <w:pStyle w:val="TableofFigures"/>
              <w:rPr>
                <w:rFonts w:eastAsiaTheme="minorEastAsia" w:cs="Calibri"/>
                <w:b/>
                <w:bCs/>
                <w:lang w:eastAsia="en-AU"/>
              </w:rPr>
            </w:pPr>
            <w:r w:rsidRPr="00CC3821">
              <w:rPr>
                <w:rFonts w:eastAsiaTheme="minorEastAsia"/>
                <w:b/>
                <w:lang w:eastAsia="en-AU"/>
              </w:rPr>
              <w:t>10 869.2</w:t>
            </w:r>
          </w:p>
        </w:tc>
      </w:tr>
      <w:tr w:rsidR="00A53D7D" w:rsidRPr="00CC3821" w:rsidTr="005140B4">
        <w:tc>
          <w:tcPr>
            <w:tcW w:w="4668" w:type="dxa"/>
            <w:tcBorders>
              <w:top w:val="nil"/>
              <w:left w:val="nil"/>
              <w:bottom w:val="nil"/>
              <w:right w:val="nil"/>
            </w:tcBorders>
            <w:shd w:val="solid" w:color="FFFFFF" w:fill="auto"/>
          </w:tcPr>
          <w:p w:rsidR="00A53D7D" w:rsidRPr="00CC3821" w:rsidRDefault="00A53D7D" w:rsidP="005140B4">
            <w:pPr>
              <w:pStyle w:val="Tabletext"/>
              <w:rPr>
                <w:rFonts w:eastAsiaTheme="minorEastAsia"/>
                <w:lang w:eastAsia="en-AU"/>
              </w:rPr>
            </w:pPr>
            <w:r w:rsidRPr="00CC3821">
              <w:rPr>
                <w:rFonts w:eastAsiaTheme="minorEastAsia"/>
                <w:lang w:eastAsia="en-AU"/>
              </w:rPr>
              <w:t>Special appropriations</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 xml:space="preserve"> 26.5</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 xml:space="preserve"> 0.3</w:t>
            </w:r>
          </w:p>
        </w:tc>
        <w:tc>
          <w:tcPr>
            <w:tcW w:w="1036" w:type="dxa"/>
            <w:tcBorders>
              <w:top w:val="nil"/>
              <w:left w:val="nil"/>
              <w:bottom w:val="nil"/>
              <w:right w:val="nil"/>
            </w:tcBorders>
            <w:shd w:val="solid" w:color="FFFFFF" w:fill="auto"/>
          </w:tcPr>
          <w:p w:rsidR="00A53D7D" w:rsidRPr="00CC3821" w:rsidRDefault="00A53D7D" w:rsidP="005140B4">
            <w:pPr>
              <w:pStyle w:val="TableofFigures"/>
              <w:rPr>
                <w:rFonts w:eastAsiaTheme="minorEastAsia"/>
                <w:lang w:eastAsia="en-AU"/>
              </w:rPr>
            </w:pPr>
            <w:r w:rsidRPr="00CC3821">
              <w:rPr>
                <w:rFonts w:eastAsiaTheme="minorEastAsia"/>
                <w:lang w:eastAsia="en-AU"/>
              </w:rPr>
              <w:t xml:space="preserve"> 13.0</w:t>
            </w:r>
          </w:p>
        </w:tc>
      </w:tr>
      <w:tr w:rsidR="00A53D7D" w:rsidRPr="00CC3821" w:rsidTr="005140B4">
        <w:tc>
          <w:tcPr>
            <w:tcW w:w="4668" w:type="dxa"/>
            <w:tcBorders>
              <w:top w:val="nil"/>
              <w:left w:val="nil"/>
              <w:bottom w:val="single" w:sz="6" w:space="0" w:color="auto"/>
              <w:right w:val="nil"/>
            </w:tcBorders>
            <w:shd w:val="solid" w:color="FFFFFF" w:fill="auto"/>
          </w:tcPr>
          <w:p w:rsidR="00A53D7D" w:rsidRPr="00CC3821" w:rsidRDefault="00A53D7D" w:rsidP="005140B4">
            <w:pPr>
              <w:pStyle w:val="Tabletext"/>
              <w:rPr>
                <w:rFonts w:eastAsiaTheme="minorEastAsia"/>
                <w:lang w:eastAsia="en-AU"/>
              </w:rPr>
            </w:pPr>
            <w:r w:rsidRPr="00CC3821">
              <w:rPr>
                <w:rFonts w:eastAsiaTheme="minorEastAsia"/>
                <w:lang w:eastAsia="en-AU"/>
              </w:rPr>
              <w:t>Trust funds</w:t>
            </w:r>
          </w:p>
        </w:tc>
        <w:tc>
          <w:tcPr>
            <w:tcW w:w="1036" w:type="dxa"/>
            <w:tcBorders>
              <w:top w:val="nil"/>
              <w:left w:val="nil"/>
              <w:bottom w:val="single" w:sz="6" w:space="0" w:color="auto"/>
              <w:right w:val="nil"/>
            </w:tcBorders>
            <w:shd w:val="solid" w:color="FFFFFF" w:fill="auto"/>
          </w:tcPr>
          <w:p w:rsidR="00A53D7D" w:rsidRPr="00CC3821" w:rsidRDefault="00A53D7D" w:rsidP="005140B4">
            <w:pPr>
              <w:pStyle w:val="TableofFigures"/>
              <w:rPr>
                <w:rFonts w:eastAsiaTheme="minorEastAsia" w:cs="Calibri"/>
                <w:lang w:eastAsia="en-AU"/>
              </w:rPr>
            </w:pPr>
            <w:r w:rsidRPr="00CC3821">
              <w:rPr>
                <w:rFonts w:eastAsiaTheme="minorEastAsia"/>
                <w:lang w:eastAsia="en-AU"/>
              </w:rPr>
              <w:t>2 533.9</w:t>
            </w:r>
          </w:p>
        </w:tc>
        <w:tc>
          <w:tcPr>
            <w:tcW w:w="1036" w:type="dxa"/>
            <w:tcBorders>
              <w:top w:val="nil"/>
              <w:left w:val="nil"/>
              <w:bottom w:val="single" w:sz="6" w:space="0" w:color="auto"/>
              <w:right w:val="nil"/>
            </w:tcBorders>
            <w:shd w:val="solid" w:color="FFFFFF" w:fill="auto"/>
          </w:tcPr>
          <w:p w:rsidR="00A53D7D" w:rsidRPr="00CC3821" w:rsidRDefault="00A53D7D" w:rsidP="005140B4">
            <w:pPr>
              <w:pStyle w:val="TableofFigures"/>
              <w:rPr>
                <w:rFonts w:eastAsiaTheme="minorEastAsia" w:cs="Calibri"/>
                <w:lang w:eastAsia="en-AU"/>
              </w:rPr>
            </w:pPr>
            <w:r w:rsidRPr="00CC3821">
              <w:rPr>
                <w:rFonts w:eastAsiaTheme="minorEastAsia"/>
                <w:lang w:eastAsia="en-AU"/>
              </w:rPr>
              <w:t>2 522.4</w:t>
            </w:r>
          </w:p>
        </w:tc>
        <w:tc>
          <w:tcPr>
            <w:tcW w:w="1036" w:type="dxa"/>
            <w:tcBorders>
              <w:top w:val="nil"/>
              <w:left w:val="nil"/>
              <w:bottom w:val="single" w:sz="6" w:space="0" w:color="auto"/>
              <w:right w:val="nil"/>
            </w:tcBorders>
            <w:shd w:val="solid" w:color="FFFFFF" w:fill="auto"/>
          </w:tcPr>
          <w:p w:rsidR="00A53D7D" w:rsidRPr="00CC3821" w:rsidRDefault="00A53D7D" w:rsidP="005140B4">
            <w:pPr>
              <w:pStyle w:val="TableofFigures"/>
              <w:rPr>
                <w:rFonts w:eastAsiaTheme="minorEastAsia" w:cs="Calibri"/>
                <w:lang w:eastAsia="en-AU"/>
              </w:rPr>
            </w:pPr>
            <w:r w:rsidRPr="00CC3821">
              <w:rPr>
                <w:rFonts w:eastAsiaTheme="minorEastAsia"/>
                <w:lang w:eastAsia="en-AU"/>
              </w:rPr>
              <w:t>2 648.5</w:t>
            </w:r>
          </w:p>
        </w:tc>
      </w:tr>
      <w:tr w:rsidR="00A53D7D" w:rsidRPr="00CC3821" w:rsidTr="005140B4">
        <w:tc>
          <w:tcPr>
            <w:tcW w:w="4668" w:type="dxa"/>
            <w:tcBorders>
              <w:top w:val="single" w:sz="6" w:space="0" w:color="auto"/>
              <w:left w:val="nil"/>
              <w:bottom w:val="single" w:sz="12" w:space="0" w:color="auto"/>
              <w:right w:val="nil"/>
            </w:tcBorders>
            <w:shd w:val="solid" w:color="FFFFFF" w:fill="auto"/>
          </w:tcPr>
          <w:p w:rsidR="00A53D7D" w:rsidRPr="00CC3821" w:rsidRDefault="00A53D7D" w:rsidP="005140B4">
            <w:pPr>
              <w:pStyle w:val="Tabletext"/>
              <w:rPr>
                <w:rFonts w:eastAsiaTheme="minorEastAsia"/>
                <w:b/>
                <w:bCs/>
                <w:lang w:eastAsia="en-AU"/>
              </w:rPr>
            </w:pPr>
            <w:r w:rsidRPr="00CC3821">
              <w:rPr>
                <w:rFonts w:eastAsiaTheme="minorEastAsia"/>
                <w:b/>
                <w:bCs/>
                <w:lang w:eastAsia="en-AU"/>
              </w:rPr>
              <w:t>Total parliamentary authority</w:t>
            </w:r>
          </w:p>
        </w:tc>
        <w:tc>
          <w:tcPr>
            <w:tcW w:w="1036" w:type="dxa"/>
            <w:tcBorders>
              <w:top w:val="single" w:sz="6" w:space="0" w:color="auto"/>
              <w:left w:val="nil"/>
              <w:bottom w:val="single" w:sz="12" w:space="0" w:color="auto"/>
              <w:right w:val="nil"/>
            </w:tcBorders>
            <w:shd w:val="solid" w:color="FFFFFF" w:fill="auto"/>
          </w:tcPr>
          <w:p w:rsidR="00A53D7D" w:rsidRPr="00CC3821" w:rsidRDefault="00A53D7D" w:rsidP="005140B4">
            <w:pPr>
              <w:pStyle w:val="TableofFigures"/>
              <w:rPr>
                <w:rFonts w:eastAsiaTheme="minorEastAsia"/>
                <w:b/>
                <w:bCs/>
                <w:lang w:eastAsia="en-AU"/>
              </w:rPr>
            </w:pPr>
            <w:r w:rsidRPr="00CC3821">
              <w:rPr>
                <w:rFonts w:eastAsiaTheme="minorEastAsia"/>
                <w:b/>
                <w:bCs/>
                <w:lang w:eastAsia="en-AU"/>
              </w:rPr>
              <w:t>12 874.6</w:t>
            </w:r>
          </w:p>
        </w:tc>
        <w:tc>
          <w:tcPr>
            <w:tcW w:w="1036" w:type="dxa"/>
            <w:tcBorders>
              <w:top w:val="single" w:sz="6" w:space="0" w:color="auto"/>
              <w:left w:val="nil"/>
              <w:bottom w:val="single" w:sz="12" w:space="0" w:color="auto"/>
              <w:right w:val="nil"/>
            </w:tcBorders>
            <w:shd w:val="solid" w:color="FFFFFF" w:fill="auto"/>
          </w:tcPr>
          <w:p w:rsidR="00A53D7D" w:rsidRPr="00CC3821" w:rsidRDefault="00A53D7D" w:rsidP="005140B4">
            <w:pPr>
              <w:pStyle w:val="TableofFigures"/>
              <w:rPr>
                <w:rFonts w:eastAsiaTheme="minorEastAsia"/>
                <w:b/>
                <w:bCs/>
                <w:lang w:eastAsia="en-AU"/>
              </w:rPr>
            </w:pPr>
            <w:r w:rsidRPr="00CC3821">
              <w:rPr>
                <w:rFonts w:eastAsiaTheme="minorEastAsia"/>
                <w:b/>
                <w:bCs/>
                <w:lang w:eastAsia="en-AU"/>
              </w:rPr>
              <w:t>13 187.3</w:t>
            </w:r>
          </w:p>
        </w:tc>
        <w:tc>
          <w:tcPr>
            <w:tcW w:w="1036" w:type="dxa"/>
            <w:tcBorders>
              <w:top w:val="single" w:sz="6" w:space="0" w:color="auto"/>
              <w:left w:val="nil"/>
              <w:bottom w:val="single" w:sz="12" w:space="0" w:color="auto"/>
              <w:right w:val="nil"/>
            </w:tcBorders>
            <w:shd w:val="solid" w:color="FFFFFF" w:fill="auto"/>
          </w:tcPr>
          <w:p w:rsidR="00A53D7D" w:rsidRPr="00CC3821" w:rsidRDefault="00A53D7D" w:rsidP="005140B4">
            <w:pPr>
              <w:pStyle w:val="TableofFigures"/>
              <w:rPr>
                <w:rFonts w:eastAsiaTheme="minorEastAsia"/>
                <w:b/>
                <w:bCs/>
                <w:lang w:eastAsia="en-AU"/>
              </w:rPr>
            </w:pPr>
            <w:r w:rsidRPr="00CC3821">
              <w:rPr>
                <w:rFonts w:eastAsiaTheme="minorEastAsia"/>
                <w:b/>
                <w:bCs/>
                <w:lang w:eastAsia="en-AU"/>
              </w:rPr>
              <w:t>13 530.7</w:t>
            </w:r>
          </w:p>
        </w:tc>
      </w:tr>
    </w:tbl>
    <w:p w:rsidR="00F820F9" w:rsidRDefault="00A53D7D" w:rsidP="005140B4">
      <w:pPr>
        <w:pStyle w:val="Source"/>
      </w:pPr>
      <w:r>
        <w:t xml:space="preserve">Source: Departments of Education and Early Childhood Development and Treasury and Finance </w:t>
      </w:r>
    </w:p>
    <w:p w:rsidR="00A53D7D" w:rsidRDefault="00A53D7D" w:rsidP="00F820F9">
      <w:pPr>
        <w:pStyle w:val="Notes"/>
      </w:pPr>
      <w:r>
        <w:fldChar w:fldCharType="begin"/>
      </w:r>
      <w:r>
        <w:instrText xml:space="preserve"> XE "Department of Education and Early Childhood Development</w:instrText>
      </w:r>
      <w:r w:rsidRPr="00ED1DC7">
        <w:instrText>:Parliamentary authority for resources</w:instrText>
      </w:r>
      <w:r>
        <w:instrText xml:space="preserve">" </w:instrText>
      </w:r>
      <w:r>
        <w:fldChar w:fldCharType="end"/>
      </w:r>
    </w:p>
    <w:p w:rsidR="00A53D7D" w:rsidRDefault="00A53D7D" w:rsidP="005140B4">
      <w:r w:rsidRPr="00970780">
        <w:rPr>
          <w:lang w:eastAsia="en-AU"/>
        </w:rPr>
        <w:t xml:space="preserve">The following section provides details of the outputs provided to government, including performance measures and costs for each output. </w:t>
      </w:r>
      <w:r>
        <w:t xml:space="preserve">There is reference </w:t>
      </w:r>
      <w:r w:rsidRPr="0098503D">
        <w:t xml:space="preserve">to the calendar year for the delivery of services, </w:t>
      </w:r>
      <w:r>
        <w:t xml:space="preserve">the </w:t>
      </w:r>
      <w:r w:rsidRPr="0098503D">
        <w:t>201</w:t>
      </w:r>
      <w:r>
        <w:t>4</w:t>
      </w:r>
      <w:r>
        <w:noBreakHyphen/>
      </w:r>
      <w:r w:rsidRPr="0098503D">
        <w:t>1</w:t>
      </w:r>
      <w:r>
        <w:t>5 targets refer to the 2014</w:t>
      </w:r>
      <w:r w:rsidRPr="0098503D">
        <w:t xml:space="preserve"> calendar year</w:t>
      </w:r>
      <w:r>
        <w:t>. The 2013</w:t>
      </w:r>
      <w:r>
        <w:noBreakHyphen/>
        <w:t>14</w:t>
      </w:r>
      <w:r w:rsidRPr="0098503D">
        <w:t xml:space="preserve"> </w:t>
      </w:r>
      <w:r>
        <w:t>expected outcome</w:t>
      </w:r>
      <w:r w:rsidRPr="0098503D">
        <w:t>s and Targets refer to the 201</w:t>
      </w:r>
      <w:r>
        <w:t>3</w:t>
      </w:r>
      <w:r w:rsidRPr="0098503D">
        <w:t xml:space="preserve"> calendar year</w:t>
      </w:r>
      <w:r>
        <w:t>. The 2012</w:t>
      </w:r>
      <w:r>
        <w:noBreakHyphen/>
        <w:t>13</w:t>
      </w:r>
      <w:r w:rsidRPr="0098503D">
        <w:t xml:space="preserve"> </w:t>
      </w:r>
      <w:r>
        <w:t>a</w:t>
      </w:r>
      <w:r w:rsidRPr="0098503D">
        <w:t>ctuals refer to the 201</w:t>
      </w:r>
      <w:r>
        <w:t>2 calendar year</w:t>
      </w:r>
      <w:r w:rsidRPr="0098503D">
        <w:t>.</w:t>
      </w:r>
    </w:p>
    <w:p w:rsidR="00A53D7D" w:rsidRDefault="00A53D7D" w:rsidP="005140B4">
      <w:pPr>
        <w:rPr>
          <w:lang w:eastAsia="en-AU"/>
        </w:rPr>
      </w:pPr>
      <w:r w:rsidRPr="00970780">
        <w:rPr>
          <w:lang w:eastAsia="en-AU"/>
        </w:rPr>
        <w:t>Fin</w:t>
      </w:r>
      <w:r>
        <w:rPr>
          <w:lang w:eastAsia="en-AU"/>
        </w:rPr>
        <w:t>al results are provided for the 2013</w:t>
      </w:r>
      <w:r>
        <w:rPr>
          <w:lang w:eastAsia="en-AU"/>
        </w:rPr>
        <w:noBreakHyphen/>
        <w:t>14</w:t>
      </w:r>
      <w:r w:rsidRPr="00970780">
        <w:rPr>
          <w:lang w:eastAsia="en-AU"/>
        </w:rPr>
        <w:t xml:space="preserve"> </w:t>
      </w:r>
      <w:r>
        <w:rPr>
          <w:lang w:eastAsia="en-AU"/>
        </w:rPr>
        <w:t>expected outcome</w:t>
      </w:r>
      <w:r w:rsidRPr="00970780">
        <w:rPr>
          <w:lang w:eastAsia="en-AU"/>
        </w:rPr>
        <w:t xml:space="preserve">s where available. </w:t>
      </w:r>
      <w:r>
        <w:rPr>
          <w:lang w:eastAsia="en-AU"/>
        </w:rPr>
        <w:t>The 2012</w:t>
      </w:r>
      <w:r>
        <w:rPr>
          <w:lang w:eastAsia="en-AU"/>
        </w:rPr>
        <w:noBreakHyphen/>
        <w:t>13</w:t>
      </w:r>
      <w:r w:rsidRPr="00970780">
        <w:rPr>
          <w:lang w:eastAsia="en-AU"/>
        </w:rPr>
        <w:t xml:space="preserve"> Actuals reflect those published in the Department of Education and Ea</w:t>
      </w:r>
      <w:r>
        <w:rPr>
          <w:lang w:eastAsia="en-AU"/>
        </w:rPr>
        <w:t xml:space="preserve">rly Childhood Development’s </w:t>
      </w:r>
      <w:r w:rsidRPr="0010216B">
        <w:rPr>
          <w:i/>
          <w:lang w:eastAsia="en-AU"/>
        </w:rPr>
        <w:t>2012</w:t>
      </w:r>
      <w:r w:rsidRPr="0010216B">
        <w:rPr>
          <w:i/>
          <w:lang w:eastAsia="en-AU"/>
        </w:rPr>
        <w:noBreakHyphen/>
        <w:t>13 Annual Report</w:t>
      </w:r>
      <w:r w:rsidRPr="00970780">
        <w:rPr>
          <w:lang w:eastAsia="en-AU"/>
        </w:rPr>
        <w:t>. Explanations for</w:t>
      </w:r>
      <w:r>
        <w:rPr>
          <w:lang w:eastAsia="en-AU"/>
        </w:rPr>
        <w:t xml:space="preserve"> significant variances from the 2012</w:t>
      </w:r>
      <w:r>
        <w:rPr>
          <w:lang w:eastAsia="en-AU"/>
        </w:rPr>
        <w:noBreakHyphen/>
        <w:t>13</w:t>
      </w:r>
      <w:r w:rsidRPr="00970780">
        <w:rPr>
          <w:lang w:eastAsia="en-AU"/>
        </w:rPr>
        <w:t xml:space="preserve"> Targets may be found in that report. Total expenditure for the Department can be found in </w:t>
      </w:r>
      <w:r w:rsidRPr="00A24005">
        <w:rPr>
          <w:i/>
          <w:lang w:eastAsia="en-AU"/>
        </w:rPr>
        <w:t>Budget Paper No. 5</w:t>
      </w:r>
      <w:r w:rsidRPr="00970780">
        <w:rPr>
          <w:lang w:eastAsia="en-AU"/>
        </w:rPr>
        <w:t xml:space="preserve">, Chapter 3 </w:t>
      </w:r>
      <w:r>
        <w:rPr>
          <w:lang w:eastAsia="en-AU"/>
        </w:rPr>
        <w:t>‘</w:t>
      </w:r>
      <w:r w:rsidRPr="00A24005">
        <w:rPr>
          <w:lang w:eastAsia="en-AU"/>
        </w:rPr>
        <w:t>Departmental financial statements</w:t>
      </w:r>
      <w:r>
        <w:rPr>
          <w:lang w:eastAsia="en-AU"/>
        </w:rPr>
        <w:t>’</w:t>
      </w:r>
      <w:r w:rsidRPr="00970780">
        <w:rPr>
          <w:lang w:eastAsia="en-AU"/>
        </w:rPr>
        <w:t>.</w:t>
      </w:r>
    </w:p>
    <w:p w:rsidR="00A53D7D" w:rsidRPr="00BD4BE1" w:rsidRDefault="00A53D7D" w:rsidP="005140B4">
      <w:r>
        <w:rPr>
          <w:lang w:eastAsia="en-AU"/>
        </w:rPr>
        <w:br w:type="page"/>
      </w:r>
    </w:p>
    <w:p w:rsidR="00A53D7D" w:rsidRDefault="00A53D7D" w:rsidP="005140B4">
      <w:pPr>
        <w:pStyle w:val="OGHeading1"/>
        <w:rPr>
          <w:lang w:eastAsia="en-AU"/>
        </w:rPr>
      </w:pPr>
      <w:r>
        <w:rPr>
          <w:lang w:eastAsia="en-AU"/>
        </w:rPr>
        <w:t>Strategy, Review and Regulation</w:t>
      </w:r>
    </w:p>
    <w:p w:rsidR="00A53D7D" w:rsidRDefault="00A53D7D" w:rsidP="005140B4">
      <w:pPr>
        <w:pStyle w:val="OGText"/>
        <w:rPr>
          <w:lang w:eastAsia="en-AU"/>
        </w:rPr>
      </w:pPr>
      <w:r>
        <w:rPr>
          <w:lang w:eastAsia="en-AU"/>
        </w:rPr>
        <w:t xml:space="preserve">This output group </w:t>
      </w:r>
      <w:proofErr w:type="gramStart"/>
      <w:r>
        <w:rPr>
          <w:lang w:eastAsia="en-AU"/>
        </w:rPr>
        <w:t>develops,</w:t>
      </w:r>
      <w:proofErr w:type="gramEnd"/>
      <w:r>
        <w:rPr>
          <w:lang w:eastAsia="en-AU"/>
        </w:rPr>
        <w:t xml:space="preserve"> plans and monitors strategic policy settings across all stages of learning. It also includes inter</w:t>
      </w:r>
      <w:r>
        <w:rPr>
          <w:lang w:eastAsia="en-AU"/>
        </w:rPr>
        <w:noBreakHyphen/>
        <w:t xml:space="preserve">governmental negotiations as well as research, data and performance evaluations. This output group also supports regulation that ensures quality education and training is delivered and contributes to all the Department’s objectives of achievement, engagement, </w:t>
      </w:r>
      <w:proofErr w:type="gramStart"/>
      <w:r>
        <w:rPr>
          <w:lang w:eastAsia="en-AU"/>
        </w:rPr>
        <w:t>wellbeing</w:t>
      </w:r>
      <w:proofErr w:type="gramEnd"/>
      <w:r>
        <w:rPr>
          <w:lang w:eastAsia="en-AU"/>
        </w:rPr>
        <w:t xml:space="preserve"> and productivity.</w:t>
      </w:r>
    </w:p>
    <w:tbl>
      <w:tblPr>
        <w:tblW w:w="7782" w:type="dxa"/>
        <w:tblInd w:w="29" w:type="dxa"/>
        <w:tblLayout w:type="fixed"/>
        <w:tblCellMar>
          <w:left w:w="43" w:type="dxa"/>
          <w:right w:w="43" w:type="dxa"/>
        </w:tblCellMar>
        <w:tblLook w:val="04A0" w:firstRow="1" w:lastRow="0" w:firstColumn="1" w:lastColumn="0" w:noHBand="0" w:noVBand="1"/>
      </w:tblPr>
      <w:tblGrid>
        <w:gridCol w:w="3108"/>
        <w:gridCol w:w="42"/>
        <w:gridCol w:w="910"/>
        <w:gridCol w:w="909"/>
        <w:gridCol w:w="993"/>
        <w:gridCol w:w="895"/>
        <w:gridCol w:w="12"/>
        <w:gridCol w:w="913"/>
      </w:tblGrid>
      <w:tr w:rsidR="00A53D7D" w:rsidRPr="00204234" w:rsidTr="005140B4">
        <w:trPr>
          <w:cantSplit/>
        </w:trPr>
        <w:tc>
          <w:tcPr>
            <w:tcW w:w="3150" w:type="dxa"/>
            <w:gridSpan w:val="2"/>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10"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9"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gridSpan w:val="2"/>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13"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rPr>
        <w:tc>
          <w:tcPr>
            <w:tcW w:w="3150" w:type="dxa"/>
            <w:gridSpan w:val="2"/>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10"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9"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gridSpan w:val="2"/>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1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807665" w:rsidTr="005140B4">
        <w:trPr>
          <w:cantSplit/>
        </w:trPr>
        <w:tc>
          <w:tcPr>
            <w:tcW w:w="7782" w:type="dxa"/>
            <w:gridSpan w:val="8"/>
            <w:tcBorders>
              <w:top w:val="nil"/>
              <w:left w:val="nil"/>
              <w:bottom w:val="nil"/>
              <w:right w:val="nil"/>
            </w:tcBorders>
            <w:shd w:val="clear" w:color="auto" w:fill="auto"/>
            <w:vAlign w:val="bottom"/>
          </w:tcPr>
          <w:p w:rsidR="00A53D7D" w:rsidRDefault="00A53D7D" w:rsidP="005140B4">
            <w:pPr>
              <w:pStyle w:val="OGHeading2"/>
              <w:rPr>
                <w:sz w:val="20"/>
              </w:rPr>
            </w:pPr>
            <w:r>
              <w:t>Strategy, Review and Regulation</w:t>
            </w:r>
          </w:p>
        </w:tc>
      </w:tr>
      <w:tr w:rsidR="00A53D7D" w:rsidRPr="00807665" w:rsidTr="005140B4">
        <w:trPr>
          <w:cantSplit/>
        </w:trPr>
        <w:tc>
          <w:tcPr>
            <w:tcW w:w="7782" w:type="dxa"/>
            <w:gridSpan w:val="8"/>
            <w:tcBorders>
              <w:top w:val="nil"/>
              <w:left w:val="nil"/>
              <w:bottom w:val="nil"/>
              <w:right w:val="nil"/>
            </w:tcBorders>
            <w:shd w:val="clear" w:color="auto" w:fill="auto"/>
            <w:vAlign w:val="bottom"/>
          </w:tcPr>
          <w:p w:rsidR="00A53D7D" w:rsidRDefault="00A53D7D" w:rsidP="005140B4">
            <w:pPr>
              <w:pStyle w:val="OGText"/>
              <w:rPr>
                <w:rFonts w:cs="Calibri"/>
                <w:color w:val="000000"/>
              </w:rPr>
            </w:pPr>
            <w:r>
              <w:t>This output provides Department</w:t>
            </w:r>
            <w:r>
              <w:noBreakHyphen/>
              <w:t>wide policy, administrative and strategic advice as well as research and economic analysis, planning, monitoring, reporting and evaluations. It also covers administrative functions and the responsibilities of the Victorian Registration and Qualifications Authority.</w:t>
            </w:r>
          </w:p>
        </w:tc>
      </w:tr>
      <w:tr w:rsidR="00A53D7D" w:rsidRPr="00807665" w:rsidTr="005140B4">
        <w:trPr>
          <w:cantSplit/>
        </w:trPr>
        <w:tc>
          <w:tcPr>
            <w:tcW w:w="3108" w:type="dxa"/>
            <w:tcBorders>
              <w:top w:val="single" w:sz="6" w:space="0" w:color="auto"/>
              <w:left w:val="nil"/>
              <w:bottom w:val="nil"/>
              <w:right w:val="nil"/>
            </w:tcBorders>
            <w:shd w:val="clear" w:color="auto" w:fill="auto"/>
            <w:vAlign w:val="bottom"/>
          </w:tcPr>
          <w:p w:rsidR="00A53D7D" w:rsidRDefault="00A53D7D" w:rsidP="005140B4">
            <w:pPr>
              <w:pStyle w:val="OGTabHead"/>
            </w:pPr>
            <w:r>
              <w:t>Quality</w:t>
            </w:r>
          </w:p>
        </w:tc>
        <w:tc>
          <w:tcPr>
            <w:tcW w:w="952" w:type="dxa"/>
            <w:gridSpan w:val="2"/>
            <w:tcBorders>
              <w:top w:val="single" w:sz="6" w:space="0" w:color="auto"/>
              <w:left w:val="nil"/>
              <w:bottom w:val="nil"/>
              <w:right w:val="nil"/>
            </w:tcBorders>
            <w:shd w:val="clear" w:color="auto" w:fill="auto"/>
            <w:noWrap/>
            <w:vAlign w:val="bottom"/>
          </w:tcPr>
          <w:p w:rsidR="00A53D7D" w:rsidRDefault="00A53D7D" w:rsidP="005140B4">
            <w:pPr>
              <w:pStyle w:val="OGTabText"/>
            </w:pPr>
          </w:p>
        </w:tc>
        <w:tc>
          <w:tcPr>
            <w:tcW w:w="909" w:type="dxa"/>
            <w:tcBorders>
              <w:top w:val="single" w:sz="6" w:space="0" w:color="auto"/>
              <w:left w:val="nil"/>
              <w:bottom w:val="nil"/>
              <w:right w:val="nil"/>
            </w:tcBorders>
            <w:shd w:val="clear" w:color="auto" w:fill="D9D9D9"/>
            <w:noWrap/>
            <w:vAlign w:val="bottom"/>
          </w:tcPr>
          <w:p w:rsidR="00A53D7D" w:rsidRDefault="00A53D7D" w:rsidP="005140B4">
            <w:pPr>
              <w:pStyle w:val="OGTabText"/>
            </w:pPr>
          </w:p>
        </w:tc>
        <w:tc>
          <w:tcPr>
            <w:tcW w:w="993" w:type="dxa"/>
            <w:tcBorders>
              <w:top w:val="single" w:sz="6" w:space="0" w:color="auto"/>
              <w:left w:val="nil"/>
              <w:bottom w:val="nil"/>
              <w:right w:val="nil"/>
            </w:tcBorders>
            <w:shd w:val="clear" w:color="auto" w:fill="auto"/>
            <w:noWrap/>
            <w:vAlign w:val="bottom"/>
          </w:tcPr>
          <w:p w:rsidR="00A53D7D" w:rsidRDefault="00A53D7D" w:rsidP="005140B4">
            <w:pPr>
              <w:pStyle w:val="OGTabText"/>
            </w:pPr>
          </w:p>
        </w:tc>
        <w:tc>
          <w:tcPr>
            <w:tcW w:w="895" w:type="dxa"/>
            <w:tcBorders>
              <w:top w:val="single" w:sz="6" w:space="0" w:color="auto"/>
              <w:left w:val="nil"/>
              <w:bottom w:val="nil"/>
              <w:right w:val="nil"/>
            </w:tcBorders>
            <w:shd w:val="clear" w:color="auto" w:fill="auto"/>
            <w:noWrap/>
            <w:vAlign w:val="bottom"/>
          </w:tcPr>
          <w:p w:rsidR="00A53D7D" w:rsidRDefault="00A53D7D" w:rsidP="005140B4">
            <w:pPr>
              <w:pStyle w:val="OGTabText"/>
            </w:pPr>
          </w:p>
        </w:tc>
        <w:tc>
          <w:tcPr>
            <w:tcW w:w="925" w:type="dxa"/>
            <w:gridSpan w:val="2"/>
            <w:tcBorders>
              <w:top w:val="single" w:sz="6" w:space="0" w:color="auto"/>
              <w:left w:val="nil"/>
              <w:bottom w:val="nil"/>
              <w:right w:val="nil"/>
            </w:tcBorders>
            <w:shd w:val="clear" w:color="auto" w:fill="auto"/>
            <w:noWrap/>
            <w:vAlign w:val="bottom"/>
          </w:tcPr>
          <w:p w:rsidR="00A53D7D" w:rsidRDefault="00A53D7D" w:rsidP="005140B4">
            <w:pPr>
              <w:pStyle w:val="OGTabText"/>
            </w:pPr>
          </w:p>
        </w:tc>
      </w:tr>
      <w:tr w:rsidR="00A53D7D" w:rsidRPr="00807665" w:rsidTr="005140B4">
        <w:trPr>
          <w:cantSplit/>
        </w:trPr>
        <w:tc>
          <w:tcPr>
            <w:tcW w:w="3108" w:type="dxa"/>
            <w:tcBorders>
              <w:top w:val="nil"/>
              <w:left w:val="nil"/>
              <w:bottom w:val="nil"/>
              <w:right w:val="nil"/>
            </w:tcBorders>
            <w:shd w:val="clear" w:color="auto" w:fill="auto"/>
          </w:tcPr>
          <w:p w:rsidR="00A53D7D" w:rsidRDefault="00A53D7D" w:rsidP="005140B4">
            <w:pPr>
              <w:pStyle w:val="OGTabText"/>
            </w:pPr>
            <w:r>
              <w:t>Stakeholder satisfaction with the Victorian Registration and Qualifications Authority and its services</w:t>
            </w:r>
          </w:p>
        </w:tc>
        <w:tc>
          <w:tcPr>
            <w:tcW w:w="952" w:type="dxa"/>
            <w:gridSpan w:val="2"/>
            <w:tcBorders>
              <w:top w:val="nil"/>
              <w:left w:val="nil"/>
              <w:bottom w:val="nil"/>
              <w:right w:val="nil"/>
            </w:tcBorders>
            <w:shd w:val="clear" w:color="auto" w:fill="auto"/>
            <w:noWrap/>
          </w:tcPr>
          <w:p w:rsidR="00A53D7D" w:rsidRDefault="00A53D7D" w:rsidP="005140B4">
            <w:pPr>
              <w:pStyle w:val="OGUoM"/>
            </w:pPr>
            <w:r>
              <w:t>per cent</w:t>
            </w:r>
          </w:p>
        </w:tc>
        <w:tc>
          <w:tcPr>
            <w:tcW w:w="909" w:type="dxa"/>
            <w:tcBorders>
              <w:top w:val="nil"/>
              <w:left w:val="nil"/>
              <w:bottom w:val="nil"/>
              <w:right w:val="nil"/>
            </w:tcBorders>
            <w:shd w:val="clear" w:color="auto" w:fill="D9D9D9"/>
            <w:noWrap/>
          </w:tcPr>
          <w:p w:rsidR="00A53D7D" w:rsidRPr="00527B2D" w:rsidRDefault="00A53D7D" w:rsidP="005140B4">
            <w:pPr>
              <w:pStyle w:val="OGTableofFigures"/>
            </w:pPr>
            <w:r>
              <w:t>65</w:t>
            </w:r>
          </w:p>
        </w:tc>
        <w:tc>
          <w:tcPr>
            <w:tcW w:w="993" w:type="dxa"/>
            <w:tcBorders>
              <w:top w:val="nil"/>
              <w:left w:val="nil"/>
              <w:bottom w:val="nil"/>
              <w:right w:val="nil"/>
            </w:tcBorders>
            <w:shd w:val="clear" w:color="auto" w:fill="auto"/>
            <w:noWrap/>
          </w:tcPr>
          <w:p w:rsidR="00A53D7D" w:rsidRPr="00527B2D" w:rsidRDefault="00A53D7D" w:rsidP="005140B4">
            <w:pPr>
              <w:pStyle w:val="OGTableofFigures"/>
            </w:pPr>
            <w:r>
              <w:t>73</w:t>
            </w:r>
          </w:p>
        </w:tc>
        <w:tc>
          <w:tcPr>
            <w:tcW w:w="895" w:type="dxa"/>
            <w:tcBorders>
              <w:top w:val="nil"/>
              <w:left w:val="nil"/>
              <w:bottom w:val="nil"/>
              <w:right w:val="nil"/>
            </w:tcBorders>
            <w:shd w:val="clear" w:color="auto" w:fill="auto"/>
            <w:noWrap/>
          </w:tcPr>
          <w:p w:rsidR="00A53D7D" w:rsidRPr="00527B2D" w:rsidRDefault="00A53D7D" w:rsidP="005140B4">
            <w:pPr>
              <w:pStyle w:val="OGTableofFigures"/>
            </w:pPr>
            <w:r w:rsidRPr="00527B2D">
              <w:t>60</w:t>
            </w:r>
          </w:p>
        </w:tc>
        <w:tc>
          <w:tcPr>
            <w:tcW w:w="925" w:type="dxa"/>
            <w:gridSpan w:val="2"/>
            <w:tcBorders>
              <w:top w:val="nil"/>
              <w:left w:val="nil"/>
              <w:bottom w:val="nil"/>
              <w:right w:val="nil"/>
            </w:tcBorders>
            <w:shd w:val="clear" w:color="auto" w:fill="auto"/>
            <w:noWrap/>
          </w:tcPr>
          <w:p w:rsidR="00A53D7D" w:rsidRDefault="00A53D7D" w:rsidP="005140B4">
            <w:pPr>
              <w:pStyle w:val="OGTableofFigures"/>
            </w:pPr>
            <w:r w:rsidRPr="00527B2D">
              <w:t>63</w:t>
            </w:r>
          </w:p>
        </w:tc>
      </w:tr>
      <w:tr w:rsidR="00A53D7D" w:rsidRPr="00807665" w:rsidTr="005140B4">
        <w:trPr>
          <w:cantSplit/>
        </w:trPr>
        <w:tc>
          <w:tcPr>
            <w:tcW w:w="7782" w:type="dxa"/>
            <w:gridSpan w:val="8"/>
            <w:tcBorders>
              <w:top w:val="nil"/>
              <w:left w:val="nil"/>
              <w:bottom w:val="nil"/>
              <w:right w:val="nil"/>
            </w:tcBorders>
            <w:shd w:val="clear" w:color="auto" w:fill="auto"/>
          </w:tcPr>
          <w:p w:rsidR="00A53D7D" w:rsidRDefault="00A53D7D" w:rsidP="005140B4">
            <w:pPr>
              <w:pStyle w:val="OGNotes"/>
              <w:spacing w:after="0"/>
            </w:pPr>
            <w:r>
              <w:t>This performance measure relates to the calendar year.</w:t>
            </w:r>
          </w:p>
          <w:p w:rsidR="00A53D7D" w:rsidRDefault="00A53D7D" w:rsidP="005140B4">
            <w:pPr>
              <w:pStyle w:val="OGNotes"/>
              <w:spacing w:after="0"/>
            </w:pPr>
            <w:r>
              <w:t>The 2013</w:t>
            </w:r>
            <w:r>
              <w:noBreakHyphen/>
            </w:r>
            <w:r w:rsidRPr="006F7817">
              <w:t xml:space="preserve">14 </w:t>
            </w:r>
            <w:r>
              <w:t>Expected Outcome</w:t>
            </w:r>
            <w:r w:rsidRPr="006F7817">
              <w:t xml:space="preserve"> is higher than the 2013</w:t>
            </w:r>
            <w:r>
              <w:noBreakHyphen/>
            </w:r>
            <w:r w:rsidRPr="006F7817">
              <w:t>14 Target due to the success of V</w:t>
            </w:r>
            <w:r>
              <w:t xml:space="preserve">ictorian </w:t>
            </w:r>
            <w:r w:rsidRPr="006F7817">
              <w:t>R</w:t>
            </w:r>
            <w:r>
              <w:t xml:space="preserve">egistration and </w:t>
            </w:r>
            <w:r w:rsidRPr="006F7817">
              <w:t>Q</w:t>
            </w:r>
            <w:r>
              <w:t xml:space="preserve">ualifications </w:t>
            </w:r>
            <w:r w:rsidRPr="006F7817">
              <w:t>A</w:t>
            </w:r>
            <w:r>
              <w:t>uthority</w:t>
            </w:r>
            <w:r w:rsidRPr="006F7817">
              <w:t xml:space="preserve"> business improvement initiatives. </w:t>
            </w:r>
          </w:p>
          <w:p w:rsidR="00A53D7D" w:rsidRDefault="00A53D7D" w:rsidP="005140B4">
            <w:pPr>
              <w:pStyle w:val="OGNotes"/>
              <w:spacing w:after="0"/>
            </w:pPr>
            <w:r w:rsidRPr="006F7817">
              <w:t>A conservative 2014</w:t>
            </w:r>
            <w:r>
              <w:noBreakHyphen/>
            </w:r>
            <w:r w:rsidRPr="006F7817">
              <w:t xml:space="preserve">15 </w:t>
            </w:r>
            <w:r>
              <w:t>Target</w:t>
            </w:r>
            <w:r w:rsidRPr="006F7817">
              <w:t xml:space="preserve"> was set as the Apprenticeship and Traineeship stakeholders will be included for the first time in 2014</w:t>
            </w:r>
            <w:r>
              <w:noBreakHyphen/>
            </w:r>
            <w:r w:rsidRPr="006F7817">
              <w:t>15.</w:t>
            </w:r>
          </w:p>
        </w:tc>
      </w:tr>
      <w:tr w:rsidR="00A53D7D" w:rsidRPr="00807665" w:rsidTr="005140B4">
        <w:trPr>
          <w:cantSplit/>
        </w:trPr>
        <w:tc>
          <w:tcPr>
            <w:tcW w:w="3108" w:type="dxa"/>
            <w:tcBorders>
              <w:top w:val="single" w:sz="6" w:space="0" w:color="auto"/>
              <w:left w:val="nil"/>
              <w:right w:val="nil"/>
            </w:tcBorders>
            <w:shd w:val="clear" w:color="auto" w:fill="auto"/>
            <w:vAlign w:val="bottom"/>
          </w:tcPr>
          <w:p w:rsidR="00A53D7D" w:rsidRDefault="00A53D7D" w:rsidP="005140B4">
            <w:pPr>
              <w:pStyle w:val="OGTabText"/>
            </w:pPr>
            <w:r w:rsidRPr="00E27FA7">
              <w:t>Percentage of government schools where an enrolment audit is conducted</w:t>
            </w:r>
          </w:p>
        </w:tc>
        <w:tc>
          <w:tcPr>
            <w:tcW w:w="952" w:type="dxa"/>
            <w:gridSpan w:val="2"/>
            <w:tcBorders>
              <w:top w:val="single" w:sz="6" w:space="0" w:color="auto"/>
              <w:left w:val="nil"/>
              <w:right w:val="nil"/>
            </w:tcBorders>
            <w:shd w:val="clear" w:color="auto" w:fill="auto"/>
            <w:noWrap/>
          </w:tcPr>
          <w:p w:rsidR="00A53D7D" w:rsidRDefault="00A53D7D" w:rsidP="005140B4">
            <w:pPr>
              <w:pStyle w:val="OGTabText"/>
            </w:pPr>
            <w:r>
              <w:t>per cent</w:t>
            </w:r>
          </w:p>
        </w:tc>
        <w:tc>
          <w:tcPr>
            <w:tcW w:w="909" w:type="dxa"/>
            <w:tcBorders>
              <w:top w:val="single" w:sz="6" w:space="0" w:color="auto"/>
              <w:left w:val="nil"/>
              <w:right w:val="nil"/>
            </w:tcBorders>
            <w:shd w:val="clear" w:color="auto" w:fill="D9D9D9"/>
            <w:noWrap/>
          </w:tcPr>
          <w:p w:rsidR="00A53D7D" w:rsidRDefault="00A53D7D" w:rsidP="005140B4">
            <w:pPr>
              <w:pStyle w:val="OGTableofFigures"/>
              <w:rPr>
                <w:lang w:eastAsia="en-AU"/>
              </w:rPr>
            </w:pPr>
            <w:r>
              <w:rPr>
                <w:lang w:eastAsia="en-AU"/>
              </w:rPr>
              <w:t>3</w:t>
            </w:r>
            <w:r w:rsidRPr="00220450">
              <w:rPr>
                <w:lang w:eastAsia="en-AU"/>
              </w:rPr>
              <w:t>1</w:t>
            </w:r>
          </w:p>
        </w:tc>
        <w:tc>
          <w:tcPr>
            <w:tcW w:w="993" w:type="dxa"/>
            <w:tcBorders>
              <w:top w:val="single" w:sz="6" w:space="0" w:color="auto"/>
              <w:left w:val="nil"/>
              <w:right w:val="nil"/>
            </w:tcBorders>
            <w:shd w:val="clear" w:color="auto" w:fill="auto"/>
            <w:noWrap/>
          </w:tcPr>
          <w:p w:rsidR="00A53D7D" w:rsidRDefault="00A53D7D" w:rsidP="005140B4">
            <w:pPr>
              <w:pStyle w:val="OGTableofFigures"/>
              <w:rPr>
                <w:lang w:eastAsia="en-AU"/>
              </w:rPr>
            </w:pPr>
            <w:r w:rsidRPr="00533BFD">
              <w:rPr>
                <w:lang w:eastAsia="en-AU"/>
              </w:rPr>
              <w:t>nm</w:t>
            </w:r>
          </w:p>
        </w:tc>
        <w:tc>
          <w:tcPr>
            <w:tcW w:w="895" w:type="dxa"/>
            <w:tcBorders>
              <w:top w:val="single" w:sz="6" w:space="0" w:color="auto"/>
              <w:left w:val="nil"/>
              <w:right w:val="nil"/>
            </w:tcBorders>
            <w:shd w:val="clear" w:color="auto" w:fill="auto"/>
            <w:noWrap/>
          </w:tcPr>
          <w:p w:rsidR="00A53D7D" w:rsidRDefault="00A53D7D" w:rsidP="005140B4">
            <w:pPr>
              <w:pStyle w:val="OGTableofFigures"/>
              <w:rPr>
                <w:lang w:eastAsia="en-AU"/>
              </w:rPr>
            </w:pPr>
            <w:r w:rsidRPr="00533BFD">
              <w:rPr>
                <w:lang w:eastAsia="en-AU"/>
              </w:rPr>
              <w:t>nm</w:t>
            </w:r>
          </w:p>
        </w:tc>
        <w:tc>
          <w:tcPr>
            <w:tcW w:w="925" w:type="dxa"/>
            <w:gridSpan w:val="2"/>
            <w:tcBorders>
              <w:top w:val="single" w:sz="6" w:space="0" w:color="auto"/>
              <w:left w:val="nil"/>
              <w:right w:val="nil"/>
            </w:tcBorders>
            <w:shd w:val="clear" w:color="auto" w:fill="auto"/>
            <w:noWrap/>
          </w:tcPr>
          <w:p w:rsidR="00A53D7D" w:rsidRDefault="00A53D7D" w:rsidP="005140B4">
            <w:pPr>
              <w:pStyle w:val="OGTableofFigures"/>
              <w:rPr>
                <w:lang w:eastAsia="en-AU"/>
              </w:rPr>
            </w:pPr>
            <w:r w:rsidRPr="00533BFD">
              <w:rPr>
                <w:lang w:eastAsia="en-AU"/>
              </w:rPr>
              <w:t>nm</w:t>
            </w:r>
          </w:p>
        </w:tc>
      </w:tr>
      <w:tr w:rsidR="00A53D7D" w:rsidRPr="00807665" w:rsidTr="005140B4">
        <w:trPr>
          <w:cantSplit/>
        </w:trPr>
        <w:tc>
          <w:tcPr>
            <w:tcW w:w="7782" w:type="dxa"/>
            <w:gridSpan w:val="8"/>
            <w:tcBorders>
              <w:left w:val="nil"/>
              <w:bottom w:val="nil"/>
              <w:right w:val="nil"/>
            </w:tcBorders>
            <w:shd w:val="clear" w:color="auto" w:fill="auto"/>
            <w:vAlign w:val="bottom"/>
          </w:tcPr>
          <w:p w:rsidR="00A53D7D" w:rsidRDefault="00A53D7D" w:rsidP="005140B4">
            <w:pPr>
              <w:pStyle w:val="OGNotes"/>
              <w:spacing w:after="0"/>
            </w:pPr>
            <w:r>
              <w:t>This performance measure relates to the calendar year.</w:t>
            </w:r>
          </w:p>
          <w:p w:rsidR="00A53D7D" w:rsidRPr="00F03F85" w:rsidRDefault="00A53D7D" w:rsidP="005140B4">
            <w:pPr>
              <w:pStyle w:val="OGNotes"/>
              <w:spacing w:after="0"/>
            </w:pPr>
            <w:r w:rsidRPr="00280938">
              <w:t>New performance measure for 2014</w:t>
            </w:r>
            <w:r>
              <w:noBreakHyphen/>
            </w:r>
            <w:r w:rsidRPr="00280938">
              <w:t>15 to reflect Government priorities regarding</w:t>
            </w:r>
            <w:r>
              <w:t xml:space="preserve"> accurate monitoring of student </w:t>
            </w:r>
            <w:r w:rsidRPr="00280938">
              <w:t>numbers in government schools, to improve government</w:t>
            </w:r>
            <w:r>
              <w:t>’</w:t>
            </w:r>
            <w:r w:rsidRPr="00280938">
              <w:t>s ability to deliver education services.</w:t>
            </w:r>
          </w:p>
        </w:tc>
      </w:tr>
      <w:tr w:rsidR="00A53D7D" w:rsidRPr="00807665" w:rsidTr="005140B4">
        <w:trPr>
          <w:cantSplit/>
        </w:trPr>
        <w:tc>
          <w:tcPr>
            <w:tcW w:w="3108" w:type="dxa"/>
            <w:tcBorders>
              <w:top w:val="single" w:sz="6" w:space="0" w:color="auto"/>
              <w:left w:val="nil"/>
              <w:bottom w:val="nil"/>
              <w:right w:val="nil"/>
            </w:tcBorders>
            <w:shd w:val="clear" w:color="auto" w:fill="auto"/>
            <w:vAlign w:val="bottom"/>
          </w:tcPr>
          <w:p w:rsidR="00A53D7D" w:rsidRDefault="00A53D7D" w:rsidP="005140B4">
            <w:pPr>
              <w:pStyle w:val="OGTabHead"/>
            </w:pPr>
            <w:r>
              <w:t>Quantity</w:t>
            </w:r>
          </w:p>
        </w:tc>
        <w:tc>
          <w:tcPr>
            <w:tcW w:w="952" w:type="dxa"/>
            <w:gridSpan w:val="2"/>
            <w:tcBorders>
              <w:top w:val="single" w:sz="6" w:space="0" w:color="auto"/>
              <w:left w:val="nil"/>
              <w:bottom w:val="nil"/>
              <w:right w:val="nil"/>
            </w:tcBorders>
            <w:shd w:val="clear" w:color="auto" w:fill="auto"/>
            <w:noWrap/>
            <w:vAlign w:val="bottom"/>
          </w:tcPr>
          <w:p w:rsidR="00A53D7D" w:rsidRDefault="00A53D7D" w:rsidP="005140B4">
            <w:pPr>
              <w:pStyle w:val="OGTabText"/>
            </w:pPr>
          </w:p>
        </w:tc>
        <w:tc>
          <w:tcPr>
            <w:tcW w:w="909" w:type="dxa"/>
            <w:tcBorders>
              <w:top w:val="single" w:sz="6" w:space="0" w:color="auto"/>
              <w:left w:val="nil"/>
              <w:right w:val="nil"/>
            </w:tcBorders>
            <w:shd w:val="clear" w:color="auto" w:fill="D9D9D9"/>
            <w:noWrap/>
            <w:vAlign w:val="bottom"/>
          </w:tcPr>
          <w:p w:rsidR="00A53D7D" w:rsidRDefault="00A53D7D" w:rsidP="005140B4">
            <w:pPr>
              <w:pStyle w:val="OGTabText"/>
            </w:pPr>
          </w:p>
        </w:tc>
        <w:tc>
          <w:tcPr>
            <w:tcW w:w="993" w:type="dxa"/>
            <w:tcBorders>
              <w:top w:val="single" w:sz="6" w:space="0" w:color="auto"/>
              <w:left w:val="nil"/>
              <w:bottom w:val="nil"/>
              <w:right w:val="nil"/>
            </w:tcBorders>
            <w:shd w:val="clear" w:color="auto" w:fill="auto"/>
            <w:noWrap/>
            <w:vAlign w:val="bottom"/>
          </w:tcPr>
          <w:p w:rsidR="00A53D7D" w:rsidRDefault="00A53D7D" w:rsidP="005140B4">
            <w:pPr>
              <w:pStyle w:val="OGTabText"/>
            </w:pPr>
          </w:p>
        </w:tc>
        <w:tc>
          <w:tcPr>
            <w:tcW w:w="895" w:type="dxa"/>
            <w:tcBorders>
              <w:top w:val="single" w:sz="6" w:space="0" w:color="auto"/>
              <w:left w:val="nil"/>
              <w:bottom w:val="nil"/>
              <w:right w:val="nil"/>
            </w:tcBorders>
            <w:shd w:val="clear" w:color="auto" w:fill="auto"/>
            <w:noWrap/>
            <w:vAlign w:val="bottom"/>
          </w:tcPr>
          <w:p w:rsidR="00A53D7D" w:rsidRDefault="00A53D7D" w:rsidP="005140B4">
            <w:pPr>
              <w:pStyle w:val="OGTabText"/>
            </w:pPr>
          </w:p>
        </w:tc>
        <w:tc>
          <w:tcPr>
            <w:tcW w:w="925" w:type="dxa"/>
            <w:gridSpan w:val="2"/>
            <w:tcBorders>
              <w:top w:val="single" w:sz="6" w:space="0" w:color="auto"/>
              <w:left w:val="nil"/>
              <w:bottom w:val="nil"/>
              <w:right w:val="nil"/>
            </w:tcBorders>
            <w:shd w:val="clear" w:color="auto" w:fill="auto"/>
            <w:noWrap/>
            <w:vAlign w:val="bottom"/>
          </w:tcPr>
          <w:p w:rsidR="00A53D7D" w:rsidRDefault="00A53D7D" w:rsidP="005140B4">
            <w:pPr>
              <w:pStyle w:val="OGTabText"/>
            </w:pPr>
          </w:p>
        </w:tc>
      </w:tr>
      <w:tr w:rsidR="00A53D7D" w:rsidRPr="00807665" w:rsidTr="005140B4">
        <w:trPr>
          <w:cantSplit/>
        </w:trPr>
        <w:tc>
          <w:tcPr>
            <w:tcW w:w="3108" w:type="dxa"/>
            <w:tcBorders>
              <w:top w:val="nil"/>
              <w:left w:val="nil"/>
              <w:bottom w:val="nil"/>
              <w:right w:val="nil"/>
            </w:tcBorders>
            <w:shd w:val="clear" w:color="auto" w:fill="auto"/>
          </w:tcPr>
          <w:p w:rsidR="00A53D7D" w:rsidRDefault="00A53D7D" w:rsidP="005140B4">
            <w:pPr>
              <w:pStyle w:val="OGTabText"/>
            </w:pPr>
            <w:r>
              <w:t>Participants benefiting from initiatives to increase the supply of trained/qualified teachers</w:t>
            </w:r>
          </w:p>
        </w:tc>
        <w:tc>
          <w:tcPr>
            <w:tcW w:w="952" w:type="dxa"/>
            <w:gridSpan w:val="2"/>
            <w:tcBorders>
              <w:top w:val="nil"/>
              <w:left w:val="nil"/>
              <w:bottom w:val="nil"/>
              <w:right w:val="nil"/>
            </w:tcBorders>
            <w:shd w:val="clear" w:color="auto" w:fill="auto"/>
            <w:noWrap/>
          </w:tcPr>
          <w:p w:rsidR="00A53D7D" w:rsidRDefault="00A53D7D" w:rsidP="005140B4">
            <w:pPr>
              <w:pStyle w:val="OGUoM"/>
            </w:pPr>
            <w:r>
              <w:t>number</w:t>
            </w:r>
          </w:p>
        </w:tc>
        <w:tc>
          <w:tcPr>
            <w:tcW w:w="909" w:type="dxa"/>
            <w:tcBorders>
              <w:top w:val="nil"/>
              <w:left w:val="nil"/>
              <w:bottom w:val="nil"/>
              <w:right w:val="nil"/>
            </w:tcBorders>
            <w:shd w:val="clear" w:color="auto" w:fill="D9D9D9" w:themeFill="background1" w:themeFillShade="D9"/>
            <w:noWrap/>
          </w:tcPr>
          <w:p w:rsidR="00A53D7D" w:rsidRPr="00403F6B" w:rsidRDefault="00A53D7D" w:rsidP="005140B4">
            <w:pPr>
              <w:pStyle w:val="OGTableofFigures"/>
              <w:rPr>
                <w:lang w:eastAsia="en-AU"/>
              </w:rPr>
            </w:pPr>
            <w:r>
              <w:rPr>
                <w:lang w:eastAsia="en-AU"/>
              </w:rPr>
              <w:t>640</w:t>
            </w:r>
          </w:p>
        </w:tc>
        <w:tc>
          <w:tcPr>
            <w:tcW w:w="993" w:type="dxa"/>
            <w:tcBorders>
              <w:top w:val="nil"/>
              <w:left w:val="nil"/>
              <w:bottom w:val="nil"/>
              <w:right w:val="nil"/>
            </w:tcBorders>
            <w:shd w:val="clear" w:color="auto" w:fill="auto"/>
            <w:noWrap/>
          </w:tcPr>
          <w:p w:rsidR="00A53D7D" w:rsidRDefault="00A53D7D" w:rsidP="005140B4">
            <w:pPr>
              <w:pStyle w:val="OGTableofFigures"/>
              <w:rPr>
                <w:lang w:eastAsia="en-AU"/>
              </w:rPr>
            </w:pPr>
            <w:r w:rsidRPr="00097F88">
              <w:rPr>
                <w:lang w:eastAsia="en-AU"/>
              </w:rPr>
              <w:t>640</w:t>
            </w:r>
          </w:p>
        </w:tc>
        <w:tc>
          <w:tcPr>
            <w:tcW w:w="895" w:type="dxa"/>
            <w:tcBorders>
              <w:top w:val="nil"/>
              <w:left w:val="nil"/>
              <w:bottom w:val="nil"/>
              <w:right w:val="nil"/>
            </w:tcBorders>
            <w:shd w:val="clear" w:color="auto" w:fill="auto"/>
            <w:noWrap/>
          </w:tcPr>
          <w:p w:rsidR="00A53D7D" w:rsidRPr="00334EC5" w:rsidRDefault="00A53D7D" w:rsidP="005140B4">
            <w:pPr>
              <w:pStyle w:val="OGTableofFigures"/>
              <w:rPr>
                <w:lang w:eastAsia="en-AU"/>
              </w:rPr>
            </w:pPr>
            <w:r w:rsidRPr="00334EC5">
              <w:rPr>
                <w:lang w:eastAsia="en-AU"/>
              </w:rPr>
              <w:t>640</w:t>
            </w:r>
          </w:p>
        </w:tc>
        <w:tc>
          <w:tcPr>
            <w:tcW w:w="925" w:type="dxa"/>
            <w:gridSpan w:val="2"/>
            <w:tcBorders>
              <w:top w:val="nil"/>
              <w:left w:val="nil"/>
              <w:bottom w:val="nil"/>
              <w:right w:val="nil"/>
            </w:tcBorders>
            <w:shd w:val="clear" w:color="auto" w:fill="auto"/>
            <w:noWrap/>
          </w:tcPr>
          <w:p w:rsidR="00A53D7D" w:rsidRPr="00334EC5" w:rsidRDefault="00A53D7D" w:rsidP="005140B4">
            <w:pPr>
              <w:pStyle w:val="OGTableofFigures"/>
              <w:rPr>
                <w:lang w:eastAsia="en-AU"/>
              </w:rPr>
            </w:pPr>
            <w:r w:rsidRPr="00334EC5">
              <w:rPr>
                <w:lang w:eastAsia="en-AU"/>
              </w:rPr>
              <w:t>637</w:t>
            </w:r>
          </w:p>
        </w:tc>
      </w:tr>
      <w:tr w:rsidR="00A53D7D" w:rsidRPr="00807665" w:rsidTr="005140B4">
        <w:trPr>
          <w:cantSplit/>
        </w:trPr>
        <w:tc>
          <w:tcPr>
            <w:tcW w:w="3108" w:type="dxa"/>
            <w:tcBorders>
              <w:top w:val="single" w:sz="6" w:space="0" w:color="auto"/>
              <w:left w:val="nil"/>
              <w:bottom w:val="nil"/>
              <w:right w:val="nil"/>
            </w:tcBorders>
            <w:shd w:val="clear" w:color="auto" w:fill="auto"/>
            <w:vAlign w:val="bottom"/>
          </w:tcPr>
          <w:p w:rsidR="00A53D7D" w:rsidRDefault="00A53D7D" w:rsidP="005140B4">
            <w:pPr>
              <w:pStyle w:val="OGTabHead"/>
            </w:pPr>
            <w:r>
              <w:t>Cost</w:t>
            </w:r>
          </w:p>
        </w:tc>
        <w:tc>
          <w:tcPr>
            <w:tcW w:w="952" w:type="dxa"/>
            <w:gridSpan w:val="2"/>
            <w:tcBorders>
              <w:top w:val="single" w:sz="6" w:space="0" w:color="auto"/>
              <w:left w:val="nil"/>
              <w:bottom w:val="nil"/>
              <w:right w:val="nil"/>
            </w:tcBorders>
            <w:shd w:val="clear" w:color="auto" w:fill="auto"/>
            <w:noWrap/>
          </w:tcPr>
          <w:p w:rsidR="00A53D7D" w:rsidRDefault="00A53D7D" w:rsidP="005140B4">
            <w:pPr>
              <w:pStyle w:val="OGTabText"/>
              <w:jc w:val="center"/>
            </w:pPr>
          </w:p>
        </w:tc>
        <w:tc>
          <w:tcPr>
            <w:tcW w:w="909" w:type="dxa"/>
            <w:tcBorders>
              <w:top w:val="single" w:sz="6" w:space="0" w:color="auto"/>
              <w:left w:val="nil"/>
              <w:bottom w:val="nil"/>
              <w:right w:val="nil"/>
            </w:tcBorders>
            <w:shd w:val="clear" w:color="auto" w:fill="D9D9D9"/>
            <w:noWrap/>
          </w:tcPr>
          <w:p w:rsidR="00A53D7D" w:rsidRDefault="00A53D7D" w:rsidP="005140B4">
            <w:pPr>
              <w:pStyle w:val="OGTabText"/>
              <w:jc w:val="right"/>
            </w:pPr>
          </w:p>
        </w:tc>
        <w:tc>
          <w:tcPr>
            <w:tcW w:w="993" w:type="dxa"/>
            <w:tcBorders>
              <w:top w:val="single" w:sz="6" w:space="0" w:color="auto"/>
              <w:left w:val="nil"/>
              <w:bottom w:val="nil"/>
              <w:right w:val="nil"/>
            </w:tcBorders>
            <w:shd w:val="clear" w:color="auto" w:fill="auto"/>
            <w:noWrap/>
          </w:tcPr>
          <w:p w:rsidR="00A53D7D" w:rsidRDefault="00A53D7D" w:rsidP="005140B4">
            <w:pPr>
              <w:pStyle w:val="OGTabText"/>
              <w:jc w:val="right"/>
            </w:pPr>
          </w:p>
        </w:tc>
        <w:tc>
          <w:tcPr>
            <w:tcW w:w="895" w:type="dxa"/>
            <w:tcBorders>
              <w:top w:val="single" w:sz="6" w:space="0" w:color="auto"/>
              <w:left w:val="nil"/>
              <w:bottom w:val="nil"/>
              <w:right w:val="nil"/>
            </w:tcBorders>
            <w:shd w:val="clear" w:color="auto" w:fill="auto"/>
            <w:noWrap/>
          </w:tcPr>
          <w:p w:rsidR="00A53D7D" w:rsidRDefault="00A53D7D" w:rsidP="005140B4">
            <w:pPr>
              <w:pStyle w:val="OGTabText"/>
              <w:jc w:val="right"/>
            </w:pPr>
          </w:p>
        </w:tc>
        <w:tc>
          <w:tcPr>
            <w:tcW w:w="925" w:type="dxa"/>
            <w:gridSpan w:val="2"/>
            <w:tcBorders>
              <w:top w:val="single" w:sz="6" w:space="0" w:color="auto"/>
              <w:left w:val="nil"/>
              <w:bottom w:val="nil"/>
              <w:right w:val="nil"/>
            </w:tcBorders>
            <w:shd w:val="clear" w:color="auto" w:fill="auto"/>
            <w:noWrap/>
          </w:tcPr>
          <w:p w:rsidR="00A53D7D" w:rsidRDefault="00A53D7D" w:rsidP="005140B4">
            <w:pPr>
              <w:pStyle w:val="OGTabText"/>
              <w:jc w:val="right"/>
            </w:pPr>
          </w:p>
        </w:tc>
      </w:tr>
      <w:tr w:rsidR="00A53D7D" w:rsidRPr="00BE1917" w:rsidTr="005140B4">
        <w:trPr>
          <w:cantSplit/>
        </w:trPr>
        <w:tc>
          <w:tcPr>
            <w:tcW w:w="3108" w:type="dxa"/>
            <w:tcBorders>
              <w:top w:val="nil"/>
              <w:left w:val="nil"/>
              <w:right w:val="nil"/>
            </w:tcBorders>
            <w:shd w:val="clear" w:color="auto" w:fill="auto"/>
          </w:tcPr>
          <w:p w:rsidR="00A53D7D" w:rsidRDefault="00A53D7D" w:rsidP="005140B4">
            <w:pPr>
              <w:pStyle w:val="OGTabText"/>
            </w:pPr>
            <w:r>
              <w:t>Total output cost</w:t>
            </w:r>
          </w:p>
        </w:tc>
        <w:tc>
          <w:tcPr>
            <w:tcW w:w="952" w:type="dxa"/>
            <w:gridSpan w:val="2"/>
            <w:tcBorders>
              <w:top w:val="nil"/>
              <w:left w:val="nil"/>
              <w:right w:val="nil"/>
            </w:tcBorders>
            <w:shd w:val="clear" w:color="auto" w:fill="auto"/>
            <w:noWrap/>
          </w:tcPr>
          <w:p w:rsidR="00A53D7D" w:rsidRDefault="00A53D7D" w:rsidP="005140B4">
            <w:pPr>
              <w:pStyle w:val="OGUoM"/>
            </w:pPr>
            <w:r>
              <w:t>$ million</w:t>
            </w:r>
          </w:p>
        </w:tc>
        <w:tc>
          <w:tcPr>
            <w:tcW w:w="909" w:type="dxa"/>
            <w:tcBorders>
              <w:top w:val="nil"/>
              <w:left w:val="nil"/>
              <w:right w:val="nil"/>
            </w:tcBorders>
            <w:shd w:val="clear" w:color="auto" w:fill="D9D9D9"/>
            <w:noWrap/>
          </w:tcPr>
          <w:p w:rsidR="00A53D7D" w:rsidRPr="00334EC5" w:rsidRDefault="00A53D7D" w:rsidP="005140B4">
            <w:pPr>
              <w:pStyle w:val="OGTableofFigures"/>
              <w:rPr>
                <w:lang w:eastAsia="en-AU"/>
              </w:rPr>
            </w:pPr>
            <w:r>
              <w:rPr>
                <w:lang w:eastAsia="en-AU"/>
              </w:rPr>
              <w:t>102.8</w:t>
            </w:r>
          </w:p>
        </w:tc>
        <w:tc>
          <w:tcPr>
            <w:tcW w:w="993" w:type="dxa"/>
            <w:tcBorders>
              <w:top w:val="nil"/>
              <w:left w:val="nil"/>
              <w:right w:val="nil"/>
            </w:tcBorders>
            <w:shd w:val="clear" w:color="auto" w:fill="auto"/>
            <w:noWrap/>
          </w:tcPr>
          <w:p w:rsidR="00A53D7D" w:rsidRPr="00334EC5" w:rsidRDefault="00A53D7D" w:rsidP="005140B4">
            <w:pPr>
              <w:pStyle w:val="OGTableofFigures"/>
              <w:rPr>
                <w:lang w:eastAsia="en-AU"/>
              </w:rPr>
            </w:pPr>
            <w:r>
              <w:rPr>
                <w:lang w:eastAsia="en-AU"/>
              </w:rPr>
              <w:t>104.2</w:t>
            </w:r>
          </w:p>
        </w:tc>
        <w:tc>
          <w:tcPr>
            <w:tcW w:w="895" w:type="dxa"/>
            <w:tcBorders>
              <w:top w:val="nil"/>
              <w:left w:val="nil"/>
              <w:right w:val="nil"/>
            </w:tcBorders>
            <w:shd w:val="clear" w:color="auto" w:fill="auto"/>
            <w:noWrap/>
          </w:tcPr>
          <w:p w:rsidR="00A53D7D" w:rsidRPr="00334EC5" w:rsidRDefault="00A53D7D" w:rsidP="005140B4">
            <w:pPr>
              <w:pStyle w:val="OGTableofFigures"/>
              <w:rPr>
                <w:lang w:eastAsia="en-AU"/>
              </w:rPr>
            </w:pPr>
            <w:r w:rsidRPr="00334EC5">
              <w:rPr>
                <w:lang w:eastAsia="en-AU"/>
              </w:rPr>
              <w:t>99.9</w:t>
            </w:r>
          </w:p>
        </w:tc>
        <w:tc>
          <w:tcPr>
            <w:tcW w:w="925" w:type="dxa"/>
            <w:gridSpan w:val="2"/>
            <w:tcBorders>
              <w:top w:val="nil"/>
              <w:left w:val="nil"/>
              <w:right w:val="nil"/>
            </w:tcBorders>
            <w:shd w:val="clear" w:color="auto" w:fill="auto"/>
            <w:noWrap/>
          </w:tcPr>
          <w:p w:rsidR="00A53D7D" w:rsidRPr="00334EC5" w:rsidRDefault="00A53D7D" w:rsidP="005140B4">
            <w:pPr>
              <w:pStyle w:val="OGTableofFigures"/>
              <w:rPr>
                <w:lang w:eastAsia="en-AU"/>
              </w:rPr>
            </w:pPr>
            <w:r w:rsidRPr="00127A68">
              <w:rPr>
                <w:lang w:eastAsia="en-AU"/>
              </w:rPr>
              <w:t>95.9</w:t>
            </w:r>
          </w:p>
        </w:tc>
      </w:tr>
      <w:tr w:rsidR="00A53D7D" w:rsidRPr="00807665" w:rsidTr="005140B4">
        <w:trPr>
          <w:cantSplit/>
        </w:trPr>
        <w:tc>
          <w:tcPr>
            <w:tcW w:w="7782" w:type="dxa"/>
            <w:gridSpan w:val="8"/>
            <w:tcBorders>
              <w:top w:val="nil"/>
              <w:left w:val="nil"/>
              <w:bottom w:val="single" w:sz="12" w:space="0" w:color="auto"/>
              <w:right w:val="nil"/>
            </w:tcBorders>
            <w:shd w:val="clear" w:color="auto" w:fill="auto"/>
            <w:vAlign w:val="bottom"/>
          </w:tcPr>
          <w:p w:rsidR="00A53D7D" w:rsidRPr="00FF03B7" w:rsidRDefault="00A53D7D" w:rsidP="005140B4">
            <w:pPr>
              <w:pStyle w:val="OGNotes"/>
              <w:rPr>
                <w:rFonts w:cs="Calibri"/>
                <w:color w:val="000000"/>
                <w:szCs w:val="15"/>
              </w:rPr>
            </w:pPr>
            <w:r w:rsidRPr="00FF03B7">
              <w:rPr>
                <w:szCs w:val="15"/>
                <w:lang w:eastAsia="en-US"/>
              </w:rPr>
              <w:t>The</w:t>
            </w:r>
            <w:r>
              <w:rPr>
                <w:szCs w:val="15"/>
                <w:lang w:eastAsia="en-US"/>
              </w:rPr>
              <w:t xml:space="preserve"> higher</w:t>
            </w:r>
            <w:r w:rsidRPr="00FF03B7">
              <w:rPr>
                <w:szCs w:val="15"/>
                <w:lang w:eastAsia="en-US"/>
              </w:rPr>
              <w:t xml:space="preserve"> 2014</w:t>
            </w:r>
            <w:r>
              <w:rPr>
                <w:szCs w:val="15"/>
                <w:lang w:eastAsia="en-US"/>
              </w:rPr>
              <w:noBreakHyphen/>
            </w:r>
            <w:r w:rsidRPr="00FF03B7">
              <w:rPr>
                <w:szCs w:val="15"/>
                <w:lang w:eastAsia="en-US"/>
              </w:rPr>
              <w:t xml:space="preserve">15 </w:t>
            </w:r>
            <w:r>
              <w:rPr>
                <w:szCs w:val="15"/>
                <w:lang w:eastAsia="en-US"/>
              </w:rPr>
              <w:t>Target</w:t>
            </w:r>
            <w:r w:rsidRPr="00FF03B7">
              <w:rPr>
                <w:szCs w:val="15"/>
                <w:lang w:eastAsia="en-US"/>
              </w:rPr>
              <w:t xml:space="preserve"> primarily</w:t>
            </w:r>
            <w:r>
              <w:rPr>
                <w:szCs w:val="15"/>
                <w:lang w:eastAsia="en-US"/>
              </w:rPr>
              <w:t xml:space="preserve"> reflects</w:t>
            </w:r>
            <w:r w:rsidRPr="00FF03B7">
              <w:rPr>
                <w:szCs w:val="15"/>
                <w:lang w:eastAsia="en-US"/>
              </w:rPr>
              <w:t xml:space="preserve"> higher amount of estimated </w:t>
            </w:r>
            <w:proofErr w:type="spellStart"/>
            <w:r w:rsidRPr="00FF03B7">
              <w:rPr>
                <w:szCs w:val="15"/>
                <w:lang w:eastAsia="en-US"/>
              </w:rPr>
              <w:t>carryforward</w:t>
            </w:r>
            <w:proofErr w:type="spellEnd"/>
            <w:r w:rsidRPr="00FF03B7">
              <w:rPr>
                <w:szCs w:val="15"/>
                <w:lang w:eastAsia="en-US"/>
              </w:rPr>
              <w:t xml:space="preserve"> from 2013</w:t>
            </w:r>
            <w:r>
              <w:rPr>
                <w:szCs w:val="15"/>
                <w:lang w:eastAsia="en-US"/>
              </w:rPr>
              <w:noBreakHyphen/>
            </w:r>
            <w:r w:rsidRPr="00FF03B7">
              <w:rPr>
                <w:szCs w:val="15"/>
                <w:lang w:eastAsia="en-US"/>
              </w:rPr>
              <w:t xml:space="preserve">14 in comparison with estimated </w:t>
            </w:r>
            <w:proofErr w:type="spellStart"/>
            <w:r w:rsidRPr="00FF03B7">
              <w:rPr>
                <w:szCs w:val="15"/>
                <w:lang w:eastAsia="en-US"/>
              </w:rPr>
              <w:t>carryforward</w:t>
            </w:r>
            <w:proofErr w:type="spellEnd"/>
            <w:r w:rsidRPr="00FF03B7">
              <w:rPr>
                <w:szCs w:val="15"/>
                <w:lang w:eastAsia="en-US"/>
              </w:rPr>
              <w:t xml:space="preserve"> from 2012</w:t>
            </w:r>
            <w:r>
              <w:rPr>
                <w:szCs w:val="15"/>
                <w:lang w:eastAsia="en-US"/>
              </w:rPr>
              <w:noBreakHyphen/>
            </w:r>
            <w:r w:rsidRPr="00FF03B7">
              <w:rPr>
                <w:szCs w:val="15"/>
                <w:lang w:eastAsia="en-US"/>
              </w:rPr>
              <w:t>13 to 2013</w:t>
            </w:r>
            <w:r>
              <w:rPr>
                <w:szCs w:val="15"/>
                <w:lang w:eastAsia="en-US"/>
              </w:rPr>
              <w:noBreakHyphen/>
            </w:r>
            <w:r w:rsidRPr="00FF03B7">
              <w:rPr>
                <w:szCs w:val="15"/>
                <w:lang w:eastAsia="en-US"/>
              </w:rPr>
              <w:t>14</w:t>
            </w:r>
            <w:r>
              <w:rPr>
                <w:szCs w:val="15"/>
                <w:lang w:eastAsia="en-US"/>
              </w:rPr>
              <w:t>.</w:t>
            </w:r>
          </w:p>
        </w:tc>
      </w:tr>
    </w:tbl>
    <w:p w:rsidR="00A53D7D" w:rsidRDefault="00A53D7D" w:rsidP="005140B4">
      <w:pPr>
        <w:pStyle w:val="Source"/>
      </w:pPr>
      <w:r w:rsidRPr="00A87C79">
        <w:t>Source: Department of Education and Early Childhood Development</w:t>
      </w:r>
      <w:r>
        <w:fldChar w:fldCharType="begin"/>
      </w:r>
      <w:r>
        <w:instrText xml:space="preserve"> XE "</w:instrText>
      </w:r>
      <w:r w:rsidRPr="00951B27">
        <w:rPr>
          <w:lang w:eastAsia="en-AU"/>
        </w:rPr>
        <w:instrText>Department of Education and Early Childhood Development</w:instrText>
      </w:r>
      <w:r w:rsidRPr="00951B27">
        <w:instrText>:Strategy, review and regulation</w:instrText>
      </w:r>
      <w:r>
        <w:instrText xml:space="preserve">" </w:instrText>
      </w:r>
      <w:r>
        <w:fldChar w:fldCharType="end"/>
      </w:r>
    </w:p>
    <w:p w:rsidR="00A53D7D" w:rsidRDefault="00A53D7D">
      <w:pPr>
        <w:spacing w:after="0"/>
      </w:pPr>
      <w:r>
        <w:br w:type="page"/>
      </w:r>
    </w:p>
    <w:p w:rsidR="00A53D7D" w:rsidRDefault="00A53D7D" w:rsidP="005140B4">
      <w:pPr>
        <w:pStyle w:val="OGHeading1"/>
      </w:pPr>
      <w:bookmarkStart w:id="72" w:name="DEECDearly"/>
      <w:r>
        <w:t>Early Childhood Development</w:t>
      </w:r>
    </w:p>
    <w:p w:rsidR="00A53D7D" w:rsidRDefault="00A53D7D" w:rsidP="005140B4">
      <w:pPr>
        <w:pStyle w:val="OGText"/>
      </w:pPr>
      <w:r>
        <w:t xml:space="preserve">The early childhood development output group provides funding for a range of services that support children in the early years, including kindergarten and children’s services, maternal and child health, and early intervention services for children with a disability. These outputs make a significant contribution to the Government’s key outcomes in early childhood services. This output group and its outputs contribute towards providing and improving services to support all the Department’s objectives of achievement, engagement, </w:t>
      </w:r>
      <w:proofErr w:type="gramStart"/>
      <w:r>
        <w:t>wellbeing</w:t>
      </w:r>
      <w:proofErr w:type="gramEnd"/>
      <w:r>
        <w:t xml:space="preserve"> and productivity.</w:t>
      </w:r>
    </w:p>
    <w:tbl>
      <w:tblPr>
        <w:tblW w:w="7782" w:type="dxa"/>
        <w:tblInd w:w="29" w:type="dxa"/>
        <w:tblLayout w:type="fixed"/>
        <w:tblCellMar>
          <w:left w:w="43" w:type="dxa"/>
          <w:right w:w="43" w:type="dxa"/>
        </w:tblCellMar>
        <w:tblLook w:val="04A0" w:firstRow="1" w:lastRow="0" w:firstColumn="1" w:lastColumn="0" w:noHBand="0" w:noVBand="1"/>
      </w:tblPr>
      <w:tblGrid>
        <w:gridCol w:w="3108"/>
        <w:gridCol w:w="42"/>
        <w:gridCol w:w="910"/>
        <w:gridCol w:w="909"/>
        <w:gridCol w:w="993"/>
        <w:gridCol w:w="895"/>
        <w:gridCol w:w="12"/>
        <w:gridCol w:w="913"/>
      </w:tblGrid>
      <w:tr w:rsidR="00A53D7D" w:rsidRPr="00204234" w:rsidTr="005140B4">
        <w:trPr>
          <w:cantSplit/>
          <w:tblHeader/>
        </w:trPr>
        <w:tc>
          <w:tcPr>
            <w:tcW w:w="3150" w:type="dxa"/>
            <w:gridSpan w:val="2"/>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10"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9"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gridSpan w:val="2"/>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13"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0" w:type="dxa"/>
            <w:gridSpan w:val="2"/>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10"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9"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gridSpan w:val="2"/>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1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C542E" w:rsidTr="00F820F9">
        <w:trPr>
          <w:cantSplit/>
        </w:trPr>
        <w:tc>
          <w:tcPr>
            <w:tcW w:w="7782" w:type="dxa"/>
            <w:gridSpan w:val="8"/>
            <w:tcBorders>
              <w:top w:val="nil"/>
              <w:left w:val="nil"/>
              <w:right w:val="nil"/>
            </w:tcBorders>
            <w:shd w:val="clear" w:color="auto" w:fill="auto"/>
            <w:vAlign w:val="bottom"/>
            <w:hideMark/>
          </w:tcPr>
          <w:p w:rsidR="00A53D7D" w:rsidRPr="005C542E" w:rsidRDefault="00A53D7D" w:rsidP="005140B4">
            <w:pPr>
              <w:pStyle w:val="OGHeading2"/>
              <w:rPr>
                <w:lang w:eastAsia="en-AU"/>
              </w:rPr>
            </w:pPr>
            <w:r w:rsidRPr="005C542E">
              <w:rPr>
                <w:lang w:eastAsia="en-AU"/>
              </w:rPr>
              <w:t>Early Childhood Development</w:t>
            </w:r>
          </w:p>
        </w:tc>
      </w:tr>
      <w:tr w:rsidR="00A53D7D" w:rsidRPr="005C542E" w:rsidTr="00F820F9">
        <w:trPr>
          <w:cantSplit/>
        </w:trPr>
        <w:tc>
          <w:tcPr>
            <w:tcW w:w="7782" w:type="dxa"/>
            <w:gridSpan w:val="8"/>
            <w:tcBorders>
              <w:top w:val="nil"/>
              <w:left w:val="nil"/>
              <w:bottom w:val="single" w:sz="6" w:space="0" w:color="auto"/>
              <w:right w:val="nil"/>
            </w:tcBorders>
            <w:shd w:val="clear" w:color="auto" w:fill="auto"/>
            <w:vAlign w:val="bottom"/>
            <w:hideMark/>
          </w:tcPr>
          <w:p w:rsidR="00A53D7D" w:rsidRPr="005C542E" w:rsidRDefault="00A53D7D" w:rsidP="005140B4">
            <w:pPr>
              <w:pStyle w:val="OGText"/>
              <w:rPr>
                <w:lang w:eastAsia="en-AU"/>
              </w:rPr>
            </w:pPr>
            <w:r w:rsidRPr="005C542E">
              <w:rPr>
                <w:lang w:eastAsia="en-AU"/>
              </w:rPr>
              <w:t>This output involves the provision of kindergarten and children</w:t>
            </w:r>
            <w:r>
              <w:rPr>
                <w:lang w:eastAsia="en-AU"/>
              </w:rPr>
              <w:t>’</w:t>
            </w:r>
            <w:r w:rsidRPr="005C542E">
              <w:rPr>
                <w:lang w:eastAsia="en-AU"/>
              </w:rPr>
              <w:t>s services. Services include the monitoring of education and care services and specialist services to improve access to kindergartens for disadvantaged children. It also includes community</w:t>
            </w:r>
            <w:r>
              <w:rPr>
                <w:lang w:eastAsia="en-AU"/>
              </w:rPr>
              <w:noBreakHyphen/>
            </w:r>
            <w:r w:rsidRPr="005C542E">
              <w:rPr>
                <w:lang w:eastAsia="en-AU"/>
              </w:rPr>
              <w:t>based maternal and child health services available to all families with children aged 0</w:t>
            </w:r>
            <w:r>
              <w:rPr>
                <w:lang w:eastAsia="en-AU"/>
              </w:rPr>
              <w:t>–</w:t>
            </w:r>
            <w:r w:rsidRPr="005C542E">
              <w:rPr>
                <w:lang w:eastAsia="en-AU"/>
              </w:rPr>
              <w:t>6 years. This output provides developmental health surveillance, early intervention, parenting support and health education. It also includes a range of services and support for children with a developmental delay or disability and their families.</w:t>
            </w:r>
          </w:p>
        </w:tc>
      </w:tr>
      <w:tr w:rsidR="00A53D7D" w:rsidRPr="005C542E" w:rsidTr="00F820F9">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Quality</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bottom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bottom w:val="nil"/>
              <w:right w:val="nil"/>
            </w:tcBorders>
            <w:shd w:val="clear" w:color="000000" w:fill="FFFFFF"/>
            <w:hideMark/>
          </w:tcPr>
          <w:p w:rsidR="00A53D7D" w:rsidRPr="005C542E" w:rsidRDefault="00A53D7D" w:rsidP="005140B4">
            <w:pPr>
              <w:pStyle w:val="OGTabText"/>
              <w:rPr>
                <w:lang w:eastAsia="en-AU"/>
              </w:rPr>
            </w:pPr>
            <w:r w:rsidRPr="005C542E">
              <w:rPr>
                <w:lang w:eastAsia="en-AU"/>
              </w:rPr>
              <w:t>Families who are satisfied with the Early Childhood Intervention Services provided</w:t>
            </w:r>
          </w:p>
        </w:tc>
        <w:tc>
          <w:tcPr>
            <w:tcW w:w="952" w:type="dxa"/>
            <w:gridSpan w:val="2"/>
            <w:tcBorders>
              <w:top w:val="nil"/>
              <w:left w:val="nil"/>
              <w:bottom w:val="nil"/>
              <w:right w:val="nil"/>
            </w:tcBorders>
            <w:shd w:val="clear" w:color="000000" w:fill="FFFFFF"/>
            <w:hideMark/>
          </w:tcPr>
          <w:p w:rsidR="00A53D7D" w:rsidRPr="005C542E" w:rsidRDefault="00A53D7D" w:rsidP="005140B4">
            <w:pPr>
              <w:pStyle w:val="OGUoM"/>
            </w:pPr>
            <w:r>
              <w:t>per cent</w:t>
            </w:r>
          </w:p>
        </w:tc>
        <w:tc>
          <w:tcPr>
            <w:tcW w:w="909" w:type="dxa"/>
            <w:tcBorders>
              <w:top w:val="nil"/>
              <w:left w:val="nil"/>
              <w:bottom w:val="nil"/>
              <w:right w:val="nil"/>
            </w:tcBorders>
            <w:shd w:val="clear" w:color="auto" w:fill="D9D9D9"/>
            <w:hideMark/>
          </w:tcPr>
          <w:p w:rsidR="00A53D7D" w:rsidRPr="00AE54B9" w:rsidRDefault="00A53D7D" w:rsidP="005140B4">
            <w:pPr>
              <w:pStyle w:val="OGTableofFigures"/>
              <w:rPr>
                <w:lang w:eastAsia="en-AU"/>
              </w:rPr>
            </w:pPr>
            <w:r w:rsidRPr="00AE54B9">
              <w:rPr>
                <w:lang w:eastAsia="en-AU"/>
              </w:rPr>
              <w:t>90</w:t>
            </w:r>
          </w:p>
        </w:tc>
        <w:tc>
          <w:tcPr>
            <w:tcW w:w="993" w:type="dxa"/>
            <w:tcBorders>
              <w:top w:val="nil"/>
              <w:left w:val="nil"/>
              <w:bottom w:val="nil"/>
              <w:right w:val="nil"/>
            </w:tcBorders>
            <w:shd w:val="clear" w:color="000000" w:fill="FFFFFF"/>
            <w:hideMark/>
          </w:tcPr>
          <w:p w:rsidR="00A53D7D" w:rsidRDefault="00A53D7D" w:rsidP="005140B4">
            <w:pPr>
              <w:pStyle w:val="OGTableofFigures"/>
              <w:rPr>
                <w:lang w:eastAsia="en-AU"/>
              </w:rPr>
            </w:pPr>
            <w:r w:rsidRPr="00AE54B9">
              <w:rPr>
                <w:lang w:eastAsia="en-AU"/>
              </w:rPr>
              <w:t>90</w:t>
            </w:r>
          </w:p>
        </w:tc>
        <w:tc>
          <w:tcPr>
            <w:tcW w:w="895" w:type="dxa"/>
            <w:tcBorders>
              <w:top w:val="nil"/>
              <w:left w:val="nil"/>
              <w:bottom w:val="nil"/>
              <w:right w:val="nil"/>
            </w:tcBorders>
            <w:shd w:val="clear" w:color="000000" w:fill="FFFFFF"/>
            <w:hideMark/>
          </w:tcPr>
          <w:p w:rsidR="00A53D7D" w:rsidRPr="005C542E" w:rsidRDefault="00A53D7D" w:rsidP="005140B4">
            <w:pPr>
              <w:pStyle w:val="OGTableofFigures"/>
              <w:rPr>
                <w:lang w:eastAsia="en-AU"/>
              </w:rPr>
            </w:pPr>
            <w:r>
              <w:rPr>
                <w:lang w:eastAsia="en-AU"/>
              </w:rPr>
              <w:t>90</w:t>
            </w:r>
          </w:p>
        </w:tc>
        <w:tc>
          <w:tcPr>
            <w:tcW w:w="925" w:type="dxa"/>
            <w:gridSpan w:val="2"/>
            <w:tcBorders>
              <w:top w:val="nil"/>
              <w:left w:val="nil"/>
              <w:bottom w:val="nil"/>
              <w:right w:val="nil"/>
            </w:tcBorders>
            <w:shd w:val="clear" w:color="000000" w:fill="FFFFFF"/>
            <w:hideMark/>
          </w:tcPr>
          <w:p w:rsidR="00A53D7D" w:rsidRPr="005C542E" w:rsidRDefault="00A53D7D" w:rsidP="005140B4">
            <w:pPr>
              <w:pStyle w:val="OGTableofFigures"/>
              <w:rPr>
                <w:lang w:eastAsia="en-AU"/>
              </w:rPr>
            </w:pPr>
            <w:r w:rsidRPr="00BE2151">
              <w:rPr>
                <w:lang w:eastAsia="en-AU"/>
              </w:rPr>
              <w:t>90</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EE26A2" w:rsidRDefault="00A53D7D" w:rsidP="005140B4">
            <w:pPr>
              <w:pStyle w:val="OGTabText"/>
              <w:rPr>
                <w:lang w:eastAsia="en-AU"/>
              </w:rPr>
            </w:pPr>
            <w:r w:rsidRPr="005C542E">
              <w:rPr>
                <w:lang w:eastAsia="en-AU"/>
              </w:rPr>
              <w:t>Funded kindergarten services assessed under the National Quality Framework that have a quality assurance process</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pPr>
            <w:r>
              <w:t>per cent</w:t>
            </w:r>
          </w:p>
        </w:tc>
        <w:tc>
          <w:tcPr>
            <w:tcW w:w="909" w:type="dxa"/>
            <w:tcBorders>
              <w:top w:val="single" w:sz="6" w:space="0" w:color="auto"/>
              <w:left w:val="nil"/>
              <w:right w:val="nil"/>
            </w:tcBorders>
            <w:shd w:val="clear" w:color="auto" w:fill="D9D9D9"/>
            <w:hideMark/>
          </w:tcPr>
          <w:p w:rsidR="00A53D7D" w:rsidRPr="005C542E" w:rsidRDefault="00A53D7D" w:rsidP="005140B4">
            <w:pPr>
              <w:pStyle w:val="OGTableofFigures"/>
              <w:rPr>
                <w:lang w:eastAsia="en-AU"/>
              </w:rPr>
            </w:pPr>
            <w:r w:rsidRPr="005C542E">
              <w:rPr>
                <w:lang w:eastAsia="en-AU"/>
              </w:rPr>
              <w:t>100</w:t>
            </w:r>
          </w:p>
        </w:tc>
        <w:tc>
          <w:tcPr>
            <w:tcW w:w="993" w:type="dxa"/>
            <w:tcBorders>
              <w:top w:val="single" w:sz="6" w:space="0" w:color="auto"/>
              <w:left w:val="nil"/>
              <w:right w:val="nil"/>
            </w:tcBorders>
            <w:shd w:val="clear" w:color="auto" w:fill="FFFFFF" w:themeFill="background1"/>
            <w:hideMark/>
          </w:tcPr>
          <w:p w:rsidR="00A53D7D" w:rsidRPr="00403F6B" w:rsidRDefault="00A53D7D" w:rsidP="005140B4">
            <w:pPr>
              <w:pStyle w:val="OGTableofFigures"/>
              <w:rPr>
                <w:lang w:eastAsia="en-AU"/>
              </w:rPr>
            </w:pPr>
            <w:r w:rsidRPr="005C542E">
              <w:rPr>
                <w:lang w:eastAsia="en-AU"/>
              </w:rPr>
              <w:t>100</w:t>
            </w:r>
          </w:p>
        </w:tc>
        <w:tc>
          <w:tcPr>
            <w:tcW w:w="895" w:type="dxa"/>
            <w:tcBorders>
              <w:top w:val="single" w:sz="6" w:space="0" w:color="auto"/>
              <w:left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100</w:t>
            </w:r>
          </w:p>
        </w:tc>
        <w:tc>
          <w:tcPr>
            <w:tcW w:w="925" w:type="dxa"/>
            <w:gridSpan w:val="2"/>
            <w:tcBorders>
              <w:top w:val="single" w:sz="6" w:space="0" w:color="auto"/>
              <w:left w:val="nil"/>
              <w:right w:val="nil"/>
            </w:tcBorders>
            <w:shd w:val="clear" w:color="000000" w:fill="FFFFFF"/>
            <w:hideMark/>
          </w:tcPr>
          <w:p w:rsidR="00A53D7D" w:rsidRPr="005C542E" w:rsidRDefault="00A53D7D" w:rsidP="005140B4">
            <w:pPr>
              <w:pStyle w:val="OGTableofFigures"/>
              <w:rPr>
                <w:lang w:eastAsia="en-AU"/>
              </w:rPr>
            </w:pPr>
            <w:r>
              <w:rPr>
                <w:lang w:eastAsia="en-AU"/>
              </w:rPr>
              <w:t>100</w:t>
            </w:r>
          </w:p>
        </w:tc>
      </w:tr>
      <w:tr w:rsidR="00A53D7D" w:rsidRPr="005C542E" w:rsidTr="005140B4">
        <w:trPr>
          <w:cantSplit/>
        </w:trPr>
        <w:tc>
          <w:tcPr>
            <w:tcW w:w="7782" w:type="dxa"/>
            <w:gridSpan w:val="8"/>
            <w:tcBorders>
              <w:left w:val="nil"/>
              <w:bottom w:val="single" w:sz="6" w:space="0" w:color="auto"/>
              <w:right w:val="nil"/>
            </w:tcBorders>
            <w:shd w:val="clear" w:color="000000" w:fill="FFFFFF"/>
          </w:tcPr>
          <w:p w:rsidR="00A53D7D" w:rsidRPr="005C542E" w:rsidRDefault="00A53D7D" w:rsidP="005140B4">
            <w:pPr>
              <w:pStyle w:val="OGNotes"/>
            </w:pPr>
            <w:r w:rsidRPr="00417B02">
              <w:t>This performance measure relates to the calendar year.</w:t>
            </w:r>
            <w:r>
              <w:t xml:space="preserve"> </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Quantity</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bottom w:val="nil"/>
              <w:right w:val="nil"/>
            </w:tcBorders>
            <w:shd w:val="clear" w:color="000000" w:fill="FFFFFF"/>
            <w:hideMark/>
          </w:tcPr>
          <w:p w:rsidR="00A53D7D" w:rsidRPr="005C542E" w:rsidRDefault="00A53D7D" w:rsidP="005140B4">
            <w:pPr>
              <w:pStyle w:val="OGTabText"/>
              <w:spacing w:after="0"/>
              <w:rPr>
                <w:lang w:eastAsia="en-AU"/>
              </w:rPr>
            </w:pPr>
            <w:r w:rsidRPr="005C542E">
              <w:rPr>
                <w:lang w:eastAsia="en-AU"/>
              </w:rPr>
              <w:t>Children funded to participate in kindergarten</w:t>
            </w:r>
          </w:p>
        </w:tc>
        <w:tc>
          <w:tcPr>
            <w:tcW w:w="952" w:type="dxa"/>
            <w:gridSpan w:val="2"/>
            <w:tcBorders>
              <w:top w:val="nil"/>
              <w:left w:val="nil"/>
              <w:bottom w:val="nil"/>
              <w:right w:val="nil"/>
            </w:tcBorders>
            <w:shd w:val="clear" w:color="000000" w:fill="FFFFFF"/>
            <w:hideMark/>
          </w:tcPr>
          <w:p w:rsidR="00A53D7D" w:rsidRPr="005C542E" w:rsidRDefault="00A53D7D" w:rsidP="005140B4">
            <w:pPr>
              <w:pStyle w:val="OGUoM"/>
            </w:pPr>
            <w:r w:rsidRPr="005C542E">
              <w:t>number</w:t>
            </w:r>
          </w:p>
        </w:tc>
        <w:tc>
          <w:tcPr>
            <w:tcW w:w="909" w:type="dxa"/>
            <w:tcBorders>
              <w:top w:val="nil"/>
              <w:left w:val="nil"/>
              <w:bottom w:val="nil"/>
              <w:right w:val="nil"/>
            </w:tcBorders>
            <w:shd w:val="clear" w:color="auto" w:fill="D9D9D9" w:themeFill="background1" w:themeFillShade="D9"/>
            <w:hideMark/>
          </w:tcPr>
          <w:p w:rsidR="00A53D7D" w:rsidRPr="00403F6B" w:rsidRDefault="00A53D7D" w:rsidP="005140B4">
            <w:pPr>
              <w:pStyle w:val="OGTableofFigures"/>
              <w:rPr>
                <w:lang w:eastAsia="en-AU"/>
              </w:rPr>
            </w:pPr>
            <w:r w:rsidRPr="00DB6AFB">
              <w:rPr>
                <w:lang w:eastAsia="en-AU"/>
              </w:rPr>
              <w:t>71 250</w:t>
            </w:r>
          </w:p>
        </w:tc>
        <w:tc>
          <w:tcPr>
            <w:tcW w:w="993" w:type="dxa"/>
            <w:tcBorders>
              <w:top w:val="nil"/>
              <w:left w:val="nil"/>
              <w:bottom w:val="nil"/>
              <w:right w:val="nil"/>
            </w:tcBorders>
            <w:shd w:val="clear" w:color="000000" w:fill="FFFFFF"/>
            <w:hideMark/>
          </w:tcPr>
          <w:p w:rsidR="00A53D7D" w:rsidRPr="00DB6AFB" w:rsidRDefault="00A53D7D" w:rsidP="005140B4">
            <w:pPr>
              <w:pStyle w:val="OGTableofFigures"/>
              <w:rPr>
                <w:lang w:eastAsia="en-AU"/>
              </w:rPr>
            </w:pPr>
            <w:r w:rsidRPr="00DB6AFB">
              <w:rPr>
                <w:lang w:eastAsia="en-AU"/>
              </w:rPr>
              <w:t>72 500</w:t>
            </w:r>
          </w:p>
        </w:tc>
        <w:tc>
          <w:tcPr>
            <w:tcW w:w="895" w:type="dxa"/>
            <w:tcBorders>
              <w:top w:val="nil"/>
              <w:left w:val="nil"/>
              <w:bottom w:val="nil"/>
              <w:right w:val="nil"/>
            </w:tcBorders>
            <w:shd w:val="clear" w:color="000000" w:fill="FFFFFF"/>
            <w:hideMark/>
          </w:tcPr>
          <w:p w:rsidR="00A53D7D" w:rsidRPr="00DB6AFB" w:rsidRDefault="00A53D7D" w:rsidP="005140B4">
            <w:pPr>
              <w:pStyle w:val="OGTableofFigures"/>
              <w:rPr>
                <w:lang w:eastAsia="en-AU"/>
              </w:rPr>
            </w:pPr>
            <w:r w:rsidRPr="00DB6AFB">
              <w:rPr>
                <w:lang w:eastAsia="en-AU"/>
              </w:rPr>
              <w:t>71 000</w:t>
            </w:r>
          </w:p>
        </w:tc>
        <w:tc>
          <w:tcPr>
            <w:tcW w:w="925" w:type="dxa"/>
            <w:gridSpan w:val="2"/>
            <w:tcBorders>
              <w:top w:val="nil"/>
              <w:left w:val="nil"/>
              <w:bottom w:val="nil"/>
              <w:right w:val="nil"/>
            </w:tcBorders>
            <w:shd w:val="clear" w:color="000000" w:fill="FFFFFF"/>
            <w:hideMark/>
          </w:tcPr>
          <w:p w:rsidR="00A53D7D" w:rsidRPr="00DB6AFB" w:rsidRDefault="00A53D7D" w:rsidP="005140B4">
            <w:pPr>
              <w:pStyle w:val="OGTableofFigures"/>
              <w:rPr>
                <w:lang w:eastAsia="en-AU"/>
              </w:rPr>
            </w:pPr>
            <w:r w:rsidRPr="00DB6AFB">
              <w:rPr>
                <w:lang w:eastAsia="en-AU"/>
              </w:rPr>
              <w:t>72 520</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pPr>
            <w:r w:rsidRPr="00417B02">
              <w:t>This performance measure includes second year participants.</w:t>
            </w:r>
            <w:r>
              <w:t xml:space="preserve"> </w:t>
            </w:r>
          </w:p>
          <w:p w:rsidR="00A53D7D" w:rsidRDefault="00A53D7D" w:rsidP="005140B4">
            <w:pPr>
              <w:pStyle w:val="OGNotes"/>
            </w:pPr>
            <w:r w:rsidRPr="00417B02">
              <w:t>The 2013</w:t>
            </w:r>
            <w:r>
              <w:noBreakHyphen/>
            </w:r>
            <w:r w:rsidRPr="00417B02">
              <w:t xml:space="preserve">14 </w:t>
            </w:r>
            <w:r>
              <w:t>Expected Outcome</w:t>
            </w:r>
            <w:r w:rsidRPr="00417B02">
              <w:t xml:space="preserve"> is higher than the 2013</w:t>
            </w:r>
            <w:r>
              <w:noBreakHyphen/>
            </w:r>
            <w:r w:rsidRPr="00417B02">
              <w:t xml:space="preserve">14 </w:t>
            </w:r>
            <w:r>
              <w:t>Target</w:t>
            </w:r>
            <w:r w:rsidRPr="00417B02">
              <w:t xml:space="preserve"> due to population growth and reflects the high quality service offering.</w:t>
            </w:r>
          </w:p>
          <w:p w:rsidR="00A53D7D" w:rsidRPr="006E1208" w:rsidRDefault="00A53D7D" w:rsidP="005140B4">
            <w:pPr>
              <w:pStyle w:val="OGNotes"/>
            </w:pPr>
            <w:r w:rsidRPr="00417B02">
              <w:t>The 2014</w:t>
            </w:r>
            <w:r>
              <w:noBreakHyphen/>
            </w:r>
            <w:r w:rsidRPr="00417B02">
              <w:t xml:space="preserve">15 </w:t>
            </w:r>
            <w:r>
              <w:t>Target</w:t>
            </w:r>
            <w:r w:rsidRPr="00417B02">
              <w:t xml:space="preserve"> </w:t>
            </w:r>
            <w:r>
              <w:t>is higher than the 2013-14 Target</w:t>
            </w:r>
            <w:r w:rsidRPr="00417B02">
              <w:t xml:space="preserve"> to reflect </w:t>
            </w:r>
            <w:r>
              <w:t>the four</w:t>
            </w:r>
            <w:r>
              <w:noBreakHyphen/>
            </w:r>
            <w:r w:rsidRPr="00417B02">
              <w:t>year</w:t>
            </w:r>
            <w:r>
              <w:noBreakHyphen/>
            </w:r>
            <w:r w:rsidRPr="00417B02">
              <w:t>old population estimates</w:t>
            </w:r>
            <w:r>
              <w:t xml:space="preserve"> for 2014</w:t>
            </w:r>
            <w:r>
              <w:noBreakHyphen/>
              <w:t>15</w:t>
            </w:r>
            <w:r w:rsidRPr="00417B02">
              <w:t>.</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rPr>
                <w:lang w:eastAsia="en-AU"/>
              </w:rPr>
            </w:pPr>
            <w:r w:rsidRPr="005C542E">
              <w:rPr>
                <w:lang w:eastAsia="en-AU"/>
              </w:rPr>
              <w:t>Kindergarten participation rate</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pPr>
            <w:r>
              <w:t>per cent</w:t>
            </w:r>
          </w:p>
        </w:tc>
        <w:tc>
          <w:tcPr>
            <w:tcW w:w="909" w:type="dxa"/>
            <w:tcBorders>
              <w:top w:val="single" w:sz="6" w:space="0" w:color="auto"/>
              <w:left w:val="nil"/>
              <w:bottom w:val="nil"/>
              <w:right w:val="nil"/>
            </w:tcBorders>
            <w:shd w:val="clear" w:color="auto" w:fill="D9D9D9"/>
            <w:hideMark/>
          </w:tcPr>
          <w:p w:rsidR="00A53D7D" w:rsidRPr="00E274F8" w:rsidRDefault="00A53D7D" w:rsidP="005140B4">
            <w:pPr>
              <w:pStyle w:val="OGTableofFigures"/>
              <w:rPr>
                <w:rFonts w:cs="Calibri"/>
              </w:rPr>
            </w:pPr>
            <w:r w:rsidRPr="00DB6AFB">
              <w:rPr>
                <w:lang w:eastAsia="en-AU"/>
              </w:rPr>
              <w:t>95</w:t>
            </w:r>
          </w:p>
        </w:tc>
        <w:tc>
          <w:tcPr>
            <w:tcW w:w="993" w:type="dxa"/>
            <w:tcBorders>
              <w:top w:val="single" w:sz="6" w:space="0" w:color="auto"/>
              <w:left w:val="nil"/>
              <w:bottom w:val="nil"/>
              <w:right w:val="nil"/>
            </w:tcBorders>
            <w:shd w:val="clear" w:color="auto" w:fill="FFFFFF" w:themeFill="background1"/>
            <w:hideMark/>
          </w:tcPr>
          <w:p w:rsidR="00A53D7D" w:rsidRPr="00403F6B" w:rsidRDefault="00A53D7D" w:rsidP="005140B4">
            <w:pPr>
              <w:pStyle w:val="OGTableofFigures"/>
              <w:rPr>
                <w:lang w:eastAsia="en-AU"/>
              </w:rPr>
            </w:pPr>
            <w:r w:rsidRPr="00DB6AFB">
              <w:rPr>
                <w:lang w:eastAsia="en-AU"/>
              </w:rPr>
              <w:t>98.2</w:t>
            </w:r>
          </w:p>
        </w:tc>
        <w:tc>
          <w:tcPr>
            <w:tcW w:w="895" w:type="dxa"/>
            <w:tcBorders>
              <w:top w:val="single" w:sz="6" w:space="0" w:color="auto"/>
              <w:left w:val="nil"/>
              <w:bottom w:val="nil"/>
              <w:right w:val="nil"/>
            </w:tcBorders>
            <w:shd w:val="clear" w:color="000000" w:fill="FFFFFF"/>
            <w:hideMark/>
          </w:tcPr>
          <w:p w:rsidR="00A53D7D" w:rsidRPr="00DB6AFB" w:rsidRDefault="00A53D7D" w:rsidP="005140B4">
            <w:pPr>
              <w:pStyle w:val="OGTableofFigures"/>
              <w:rPr>
                <w:lang w:eastAsia="en-AU"/>
              </w:rPr>
            </w:pPr>
            <w:r w:rsidRPr="00DB6AFB">
              <w:rPr>
                <w:lang w:eastAsia="en-AU"/>
              </w:rPr>
              <w:t>95</w:t>
            </w:r>
          </w:p>
        </w:tc>
        <w:tc>
          <w:tcPr>
            <w:tcW w:w="925" w:type="dxa"/>
            <w:gridSpan w:val="2"/>
            <w:tcBorders>
              <w:top w:val="single" w:sz="6" w:space="0" w:color="auto"/>
              <w:left w:val="nil"/>
              <w:bottom w:val="nil"/>
              <w:right w:val="nil"/>
            </w:tcBorders>
            <w:shd w:val="clear" w:color="000000" w:fill="FFFFFF"/>
            <w:hideMark/>
          </w:tcPr>
          <w:p w:rsidR="00A53D7D" w:rsidRPr="00DB6AFB" w:rsidRDefault="00A53D7D" w:rsidP="005140B4">
            <w:pPr>
              <w:pStyle w:val="OGTableofFigures"/>
              <w:rPr>
                <w:lang w:eastAsia="en-AU"/>
              </w:rPr>
            </w:pPr>
            <w:r w:rsidRPr="00DB6AFB">
              <w:rPr>
                <w:lang w:eastAsia="en-AU"/>
              </w:rPr>
              <w:t>97.9</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Pr="006E1208" w:rsidRDefault="00A53D7D" w:rsidP="005140B4">
            <w:pPr>
              <w:pStyle w:val="OGNotes"/>
            </w:pPr>
            <w:r w:rsidRPr="00417B02">
              <w:t>This performance measure relates to the calendar year.</w:t>
            </w:r>
            <w:r>
              <w:br/>
            </w:r>
            <w:r w:rsidRPr="00417B02">
              <w:t>This performance measure excludes second year participants.</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ind w:left="142"/>
              <w:rPr>
                <w:lang w:eastAsia="en-AU"/>
              </w:rPr>
            </w:pPr>
            <w:r w:rsidRPr="005C542E">
              <w:rPr>
                <w:lang w:eastAsia="en-AU"/>
              </w:rPr>
              <w:t>Maternal and child health clients with children aged</w:t>
            </w:r>
            <w:r>
              <w:rPr>
                <w:lang w:eastAsia="en-AU"/>
              </w:rPr>
              <w:t xml:space="preserve"> 0–</w:t>
            </w:r>
            <w:r w:rsidRPr="005C542E">
              <w:rPr>
                <w:lang w:eastAsia="en-AU"/>
              </w:rPr>
              <w:t>1 year receiving enhanced maternal and child health services</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bottom w:val="nil"/>
              <w:right w:val="nil"/>
            </w:tcBorders>
            <w:shd w:val="clear" w:color="auto" w:fill="D9D9D9"/>
            <w:hideMark/>
          </w:tcPr>
          <w:p w:rsidR="00A53D7D" w:rsidRPr="005C542E" w:rsidRDefault="00A53D7D" w:rsidP="005140B4">
            <w:pPr>
              <w:pStyle w:val="OGTabText"/>
              <w:keepNext/>
              <w:ind w:left="142"/>
              <w:jc w:val="right"/>
              <w:rPr>
                <w:lang w:eastAsia="en-AU"/>
              </w:rPr>
            </w:pPr>
            <w:r w:rsidRPr="005C542E">
              <w:rPr>
                <w:lang w:eastAsia="en-AU"/>
              </w:rPr>
              <w:t>10</w:t>
            </w:r>
          </w:p>
        </w:tc>
        <w:tc>
          <w:tcPr>
            <w:tcW w:w="993"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ind w:left="142"/>
              <w:jc w:val="right"/>
              <w:rPr>
                <w:lang w:eastAsia="en-AU"/>
              </w:rPr>
            </w:pPr>
            <w:r w:rsidRPr="005C542E">
              <w:rPr>
                <w:lang w:eastAsia="en-AU"/>
              </w:rPr>
              <w:t>15</w:t>
            </w:r>
          </w:p>
        </w:tc>
        <w:tc>
          <w:tcPr>
            <w:tcW w:w="895"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ind w:left="142"/>
              <w:jc w:val="right"/>
              <w:rPr>
                <w:lang w:eastAsia="en-AU"/>
              </w:rPr>
            </w:pPr>
            <w:r w:rsidRPr="005C542E">
              <w:rPr>
                <w:lang w:eastAsia="en-AU"/>
              </w:rPr>
              <w:t>10</w:t>
            </w:r>
          </w:p>
        </w:tc>
        <w:tc>
          <w:tcPr>
            <w:tcW w:w="925"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TabText"/>
              <w:keepNext/>
              <w:ind w:left="142"/>
              <w:jc w:val="right"/>
              <w:rPr>
                <w:lang w:eastAsia="en-AU"/>
              </w:rPr>
            </w:pPr>
            <w:r>
              <w:rPr>
                <w:lang w:eastAsia="en-AU"/>
              </w:rPr>
              <w:t>15.6</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Pr="00127A68" w:rsidRDefault="00A53D7D" w:rsidP="005140B4">
            <w:pPr>
              <w:pStyle w:val="OGNotes"/>
            </w:pPr>
            <w:r w:rsidRPr="00417B02">
              <w:t>The 2013</w:t>
            </w:r>
            <w:r>
              <w:noBreakHyphen/>
            </w:r>
            <w:r w:rsidRPr="00417B02">
              <w:t xml:space="preserve">14 </w:t>
            </w:r>
            <w:r>
              <w:t>Expected Outcome</w:t>
            </w:r>
            <w:r w:rsidRPr="00417B02">
              <w:t xml:space="preserve"> is higher than the 2013</w:t>
            </w:r>
            <w:r>
              <w:noBreakHyphen/>
            </w:r>
            <w:r w:rsidRPr="00417B02">
              <w:t xml:space="preserve">14 </w:t>
            </w:r>
            <w:r>
              <w:t>Target</w:t>
            </w:r>
            <w:r w:rsidRPr="00417B02">
              <w:t xml:space="preserve"> due to municipal councils providing services above the funded target cohort of 10 per cent of the population of families with a child from 0</w:t>
            </w:r>
            <w:r>
              <w:t>–</w:t>
            </w:r>
            <w:r w:rsidRPr="00417B02">
              <w:t>1 years of age.</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ind w:left="142"/>
              <w:rPr>
                <w:lang w:eastAsia="en-AU"/>
              </w:rPr>
            </w:pPr>
            <w:r w:rsidRPr="005C542E">
              <w:rPr>
                <w:lang w:eastAsia="en-AU"/>
              </w:rPr>
              <w:t>Number of Early Childhood Intervention Service places and packages funded annually</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single" w:sz="6" w:space="0" w:color="auto"/>
              <w:left w:val="nil"/>
              <w:bottom w:val="nil"/>
              <w:right w:val="nil"/>
            </w:tcBorders>
            <w:shd w:val="clear" w:color="auto" w:fill="D9D9D9"/>
            <w:hideMark/>
          </w:tcPr>
          <w:p w:rsidR="00A53D7D" w:rsidRPr="00DB6AFB" w:rsidRDefault="00A53D7D" w:rsidP="005140B4">
            <w:pPr>
              <w:pStyle w:val="OGTableofFigures"/>
              <w:rPr>
                <w:lang w:eastAsia="en-AU"/>
              </w:rPr>
            </w:pPr>
            <w:r w:rsidRPr="00DB6AFB">
              <w:rPr>
                <w:lang w:eastAsia="en-AU"/>
              </w:rPr>
              <w:t>11</w:t>
            </w:r>
            <w:r>
              <w:rPr>
                <w:lang w:eastAsia="en-AU"/>
              </w:rPr>
              <w:t> </w:t>
            </w:r>
            <w:r w:rsidRPr="00DB6AFB">
              <w:rPr>
                <w:lang w:eastAsia="en-AU"/>
              </w:rPr>
              <w:t>258</w:t>
            </w:r>
          </w:p>
        </w:tc>
        <w:tc>
          <w:tcPr>
            <w:tcW w:w="993" w:type="dxa"/>
            <w:tcBorders>
              <w:top w:val="single" w:sz="6" w:space="0" w:color="auto"/>
              <w:left w:val="nil"/>
              <w:bottom w:val="nil"/>
              <w:right w:val="nil"/>
            </w:tcBorders>
            <w:shd w:val="clear" w:color="000000" w:fill="FFFFFF"/>
            <w:hideMark/>
          </w:tcPr>
          <w:p w:rsidR="00A53D7D" w:rsidRPr="00DB6AFB" w:rsidRDefault="00A53D7D" w:rsidP="005140B4">
            <w:pPr>
              <w:pStyle w:val="OGTableofFigures"/>
              <w:rPr>
                <w:lang w:eastAsia="en-AU"/>
              </w:rPr>
            </w:pPr>
            <w:r w:rsidRPr="00DB6AFB">
              <w:rPr>
                <w:lang w:eastAsia="en-AU"/>
              </w:rPr>
              <w:t>11</w:t>
            </w:r>
            <w:r>
              <w:rPr>
                <w:lang w:eastAsia="en-AU"/>
              </w:rPr>
              <w:t> </w:t>
            </w:r>
            <w:r w:rsidRPr="00DB6AFB">
              <w:rPr>
                <w:lang w:eastAsia="en-AU"/>
              </w:rPr>
              <w:t>258</w:t>
            </w:r>
          </w:p>
        </w:tc>
        <w:tc>
          <w:tcPr>
            <w:tcW w:w="895" w:type="dxa"/>
            <w:tcBorders>
              <w:top w:val="single" w:sz="6" w:space="0" w:color="auto"/>
              <w:left w:val="nil"/>
              <w:bottom w:val="nil"/>
              <w:right w:val="nil"/>
            </w:tcBorders>
            <w:shd w:val="clear" w:color="000000" w:fill="FFFFFF"/>
            <w:hideMark/>
          </w:tcPr>
          <w:p w:rsidR="00A53D7D" w:rsidRPr="00DB6AFB" w:rsidRDefault="00A53D7D" w:rsidP="005140B4">
            <w:pPr>
              <w:pStyle w:val="OGTableofFigures"/>
              <w:rPr>
                <w:lang w:eastAsia="en-AU"/>
              </w:rPr>
            </w:pPr>
            <w:r w:rsidRPr="00DB6AFB">
              <w:rPr>
                <w:lang w:eastAsia="en-AU"/>
              </w:rPr>
              <w:t>11</w:t>
            </w:r>
            <w:r>
              <w:rPr>
                <w:lang w:eastAsia="en-AU"/>
              </w:rPr>
              <w:t> </w:t>
            </w:r>
            <w:r w:rsidRPr="00DB6AFB">
              <w:rPr>
                <w:lang w:eastAsia="en-AU"/>
              </w:rPr>
              <w:t>258</w:t>
            </w:r>
          </w:p>
        </w:tc>
        <w:tc>
          <w:tcPr>
            <w:tcW w:w="925"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TableofFigures"/>
              <w:rPr>
                <w:lang w:eastAsia="en-AU"/>
              </w:rPr>
            </w:pPr>
            <w:r w:rsidRPr="00BE2151">
              <w:rPr>
                <w:lang w:eastAsia="en-AU"/>
              </w:rPr>
              <w:t>10</w:t>
            </w:r>
            <w:r>
              <w:rPr>
                <w:lang w:eastAsia="en-AU"/>
              </w:rPr>
              <w:t> </w:t>
            </w:r>
            <w:r w:rsidRPr="00BE2151">
              <w:rPr>
                <w:lang w:eastAsia="en-AU"/>
              </w:rPr>
              <w:t>758</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ind w:left="142"/>
              <w:rPr>
                <w:lang w:eastAsia="en-AU"/>
              </w:rPr>
            </w:pPr>
            <w:r w:rsidRPr="005C542E">
              <w:rPr>
                <w:lang w:eastAsia="en-AU"/>
              </w:rPr>
              <w:t>Total number of Maternal and Child Health Service clients (aged 0</w:t>
            </w:r>
            <w:r>
              <w:rPr>
                <w:lang w:eastAsia="en-AU"/>
              </w:rPr>
              <w:t>–</w:t>
            </w:r>
            <w:r w:rsidRPr="005C542E">
              <w:rPr>
                <w:lang w:eastAsia="en-AU"/>
              </w:rPr>
              <w:t>1 year)</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single" w:sz="6" w:space="0" w:color="auto"/>
              <w:left w:val="nil"/>
              <w:bottom w:val="nil"/>
              <w:right w:val="nil"/>
            </w:tcBorders>
            <w:shd w:val="clear" w:color="auto" w:fill="D9D9D9"/>
            <w:hideMark/>
          </w:tcPr>
          <w:p w:rsidR="00A53D7D" w:rsidRPr="005C542E" w:rsidRDefault="00A53D7D" w:rsidP="005140B4">
            <w:pPr>
              <w:pStyle w:val="OGTableofFigures"/>
              <w:rPr>
                <w:lang w:eastAsia="en-AU"/>
              </w:rPr>
            </w:pPr>
            <w:r w:rsidRPr="005C542E">
              <w:rPr>
                <w:lang w:eastAsia="en-AU"/>
              </w:rPr>
              <w:t>73</w:t>
            </w:r>
            <w:r>
              <w:rPr>
                <w:lang w:eastAsia="en-AU"/>
              </w:rPr>
              <w:t> </w:t>
            </w:r>
            <w:r w:rsidRPr="005C542E">
              <w:rPr>
                <w:lang w:eastAsia="en-AU"/>
              </w:rPr>
              <w:t>000</w:t>
            </w:r>
          </w:p>
        </w:tc>
        <w:tc>
          <w:tcPr>
            <w:tcW w:w="993" w:type="dxa"/>
            <w:tcBorders>
              <w:top w:val="single" w:sz="6" w:space="0" w:color="auto"/>
              <w:left w:val="nil"/>
              <w:bottom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73</w:t>
            </w:r>
            <w:r>
              <w:rPr>
                <w:lang w:eastAsia="en-AU"/>
              </w:rPr>
              <w:t> </w:t>
            </w:r>
            <w:r w:rsidRPr="005C542E">
              <w:rPr>
                <w:lang w:eastAsia="en-AU"/>
              </w:rPr>
              <w:t>000</w:t>
            </w:r>
          </w:p>
        </w:tc>
        <w:tc>
          <w:tcPr>
            <w:tcW w:w="895" w:type="dxa"/>
            <w:tcBorders>
              <w:top w:val="single" w:sz="6" w:space="0" w:color="auto"/>
              <w:left w:val="nil"/>
              <w:bottom w:val="nil"/>
              <w:right w:val="nil"/>
            </w:tcBorders>
            <w:shd w:val="clear" w:color="000000" w:fill="FFFFFF"/>
            <w:hideMark/>
          </w:tcPr>
          <w:p w:rsidR="00A53D7D" w:rsidRPr="005C542E" w:rsidRDefault="00A53D7D" w:rsidP="005140B4">
            <w:pPr>
              <w:pStyle w:val="OGTableofFigures"/>
              <w:rPr>
                <w:lang w:eastAsia="en-AU"/>
              </w:rPr>
            </w:pPr>
            <w:r>
              <w:rPr>
                <w:lang w:eastAsia="en-AU"/>
              </w:rPr>
              <w:t>73 </w:t>
            </w:r>
            <w:r w:rsidRPr="005C542E">
              <w:rPr>
                <w:lang w:eastAsia="en-AU"/>
              </w:rPr>
              <w:t>000</w:t>
            </w:r>
          </w:p>
        </w:tc>
        <w:tc>
          <w:tcPr>
            <w:tcW w:w="925"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TableofFigures"/>
              <w:rPr>
                <w:lang w:eastAsia="en-AU"/>
              </w:rPr>
            </w:pPr>
            <w:r w:rsidRPr="006A3E69">
              <w:rPr>
                <w:lang w:eastAsia="en-AU"/>
              </w:rPr>
              <w:t>75</w:t>
            </w:r>
            <w:r>
              <w:rPr>
                <w:lang w:eastAsia="en-AU"/>
              </w:rPr>
              <w:t> </w:t>
            </w:r>
            <w:r w:rsidRPr="006A3E69">
              <w:rPr>
                <w:lang w:eastAsia="en-AU"/>
              </w:rPr>
              <w:t>921</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spacing w:before="0" w:after="0"/>
              <w:rPr>
                <w:lang w:eastAsia="en-AU"/>
              </w:rPr>
            </w:pPr>
            <w:r w:rsidRPr="005C542E">
              <w:rPr>
                <w:lang w:eastAsia="en-AU"/>
              </w:rPr>
              <w:t>Total number of children receiving Early Childhood Intervention Services</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single" w:sz="6" w:space="0" w:color="auto"/>
              <w:left w:val="nil"/>
              <w:bottom w:val="nil"/>
              <w:right w:val="nil"/>
            </w:tcBorders>
            <w:shd w:val="clear" w:color="auto" w:fill="D9D9D9" w:themeFill="background1" w:themeFillShade="D9"/>
            <w:hideMark/>
          </w:tcPr>
          <w:p w:rsidR="00A53D7D" w:rsidRPr="00403F6B" w:rsidRDefault="00A53D7D" w:rsidP="005140B4">
            <w:pPr>
              <w:pStyle w:val="OGTableofFigures"/>
              <w:rPr>
                <w:lang w:eastAsia="en-AU"/>
              </w:rPr>
            </w:pPr>
            <w:r w:rsidRPr="00E274F8">
              <w:rPr>
                <w:lang w:eastAsia="en-AU"/>
              </w:rPr>
              <w:t>14</w:t>
            </w:r>
            <w:r>
              <w:rPr>
                <w:lang w:eastAsia="en-AU"/>
              </w:rPr>
              <w:t> </w:t>
            </w:r>
            <w:r w:rsidRPr="00E274F8">
              <w:rPr>
                <w:lang w:eastAsia="en-AU"/>
              </w:rPr>
              <w:t>628</w:t>
            </w:r>
          </w:p>
        </w:tc>
        <w:tc>
          <w:tcPr>
            <w:tcW w:w="993" w:type="dxa"/>
            <w:tcBorders>
              <w:top w:val="single" w:sz="6" w:space="0" w:color="auto"/>
              <w:left w:val="nil"/>
              <w:bottom w:val="nil"/>
              <w:right w:val="nil"/>
            </w:tcBorders>
            <w:shd w:val="clear" w:color="000000" w:fill="FFFFFF"/>
            <w:hideMark/>
          </w:tcPr>
          <w:p w:rsidR="00A53D7D" w:rsidRPr="00E274F8" w:rsidRDefault="00A53D7D" w:rsidP="005140B4">
            <w:pPr>
              <w:pStyle w:val="OGTableofFigures"/>
              <w:rPr>
                <w:lang w:eastAsia="en-AU"/>
              </w:rPr>
            </w:pPr>
            <w:r w:rsidRPr="00E274F8">
              <w:rPr>
                <w:lang w:eastAsia="en-AU"/>
              </w:rPr>
              <w:t>14</w:t>
            </w:r>
            <w:r>
              <w:rPr>
                <w:lang w:eastAsia="en-AU"/>
              </w:rPr>
              <w:t> </w:t>
            </w:r>
            <w:r w:rsidRPr="00E274F8">
              <w:rPr>
                <w:lang w:eastAsia="en-AU"/>
              </w:rPr>
              <w:t>628</w:t>
            </w:r>
          </w:p>
        </w:tc>
        <w:tc>
          <w:tcPr>
            <w:tcW w:w="895" w:type="dxa"/>
            <w:tcBorders>
              <w:top w:val="single" w:sz="6" w:space="0" w:color="auto"/>
              <w:left w:val="nil"/>
              <w:bottom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14</w:t>
            </w:r>
            <w:r>
              <w:rPr>
                <w:lang w:eastAsia="en-AU"/>
              </w:rPr>
              <w:t> </w:t>
            </w:r>
            <w:r w:rsidRPr="005C542E">
              <w:rPr>
                <w:lang w:eastAsia="en-AU"/>
              </w:rPr>
              <w:t>000</w:t>
            </w:r>
          </w:p>
        </w:tc>
        <w:tc>
          <w:tcPr>
            <w:tcW w:w="925"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TableofFigures"/>
              <w:rPr>
                <w:lang w:eastAsia="en-AU"/>
              </w:rPr>
            </w:pPr>
            <w:r w:rsidRPr="00BE2151">
              <w:rPr>
                <w:lang w:eastAsia="en-AU"/>
              </w:rPr>
              <w:t>13</w:t>
            </w:r>
            <w:r>
              <w:rPr>
                <w:lang w:eastAsia="en-AU"/>
              </w:rPr>
              <w:t> </w:t>
            </w:r>
            <w:r w:rsidRPr="00BE2151">
              <w:rPr>
                <w:lang w:eastAsia="en-AU"/>
              </w:rPr>
              <w:t>963</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Pr="00127A68" w:rsidRDefault="00A53D7D" w:rsidP="005140B4">
            <w:pPr>
              <w:pStyle w:val="OGNotes"/>
            </w:pPr>
            <w:r w:rsidRPr="00417B02">
              <w:t>The higher 2014</w:t>
            </w:r>
            <w:r>
              <w:noBreakHyphen/>
            </w:r>
            <w:r w:rsidRPr="00417B02">
              <w:t xml:space="preserve">15 </w:t>
            </w:r>
            <w:r>
              <w:t>Target</w:t>
            </w:r>
            <w:r w:rsidRPr="00417B02">
              <w:t xml:space="preserve"> reflects additional funding provided to increase the number of ECIS places and continued growth in the number of children receiving ECIS.</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Timeliness</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right w:val="nil"/>
            </w:tcBorders>
            <w:shd w:val="clear" w:color="000000" w:fill="FFFFFF"/>
            <w:hideMark/>
          </w:tcPr>
          <w:p w:rsidR="00A53D7D" w:rsidRPr="005C542E" w:rsidRDefault="00A53D7D" w:rsidP="005140B4">
            <w:pPr>
              <w:pStyle w:val="OGTabText"/>
              <w:spacing w:before="0" w:after="0"/>
              <w:rPr>
                <w:lang w:eastAsia="en-AU"/>
              </w:rPr>
            </w:pPr>
            <w:r>
              <w:rPr>
                <w:lang w:eastAsia="en-AU"/>
              </w:rPr>
              <w:t>Children aged 0–</w:t>
            </w:r>
            <w:r w:rsidRPr="005C542E">
              <w:rPr>
                <w:lang w:eastAsia="en-AU"/>
              </w:rPr>
              <w:t>1 month enrolled at maternal and child health services from birth notifications</w:t>
            </w:r>
          </w:p>
        </w:tc>
        <w:tc>
          <w:tcPr>
            <w:tcW w:w="952" w:type="dxa"/>
            <w:gridSpan w:val="2"/>
            <w:tcBorders>
              <w:top w:val="nil"/>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nil"/>
              <w:left w:val="nil"/>
              <w:right w:val="nil"/>
            </w:tcBorders>
            <w:shd w:val="clear" w:color="auto" w:fill="D9D9D9" w:themeFill="background1" w:themeFillShade="D9"/>
            <w:hideMark/>
          </w:tcPr>
          <w:p w:rsidR="00A53D7D" w:rsidRPr="00403F6B" w:rsidRDefault="00A53D7D" w:rsidP="005140B4">
            <w:pPr>
              <w:pStyle w:val="OGTableofFigures"/>
              <w:rPr>
                <w:lang w:eastAsia="en-AU"/>
              </w:rPr>
            </w:pPr>
            <w:r>
              <w:rPr>
                <w:lang w:eastAsia="en-AU"/>
              </w:rPr>
              <w:t>98.5</w:t>
            </w:r>
          </w:p>
        </w:tc>
        <w:tc>
          <w:tcPr>
            <w:tcW w:w="993" w:type="dxa"/>
            <w:tcBorders>
              <w:top w:val="nil"/>
              <w:left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99</w:t>
            </w:r>
          </w:p>
        </w:tc>
        <w:tc>
          <w:tcPr>
            <w:tcW w:w="895" w:type="dxa"/>
            <w:tcBorders>
              <w:top w:val="nil"/>
              <w:left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98.5</w:t>
            </w:r>
          </w:p>
        </w:tc>
        <w:tc>
          <w:tcPr>
            <w:tcW w:w="925" w:type="dxa"/>
            <w:gridSpan w:val="2"/>
            <w:tcBorders>
              <w:top w:val="nil"/>
              <w:left w:val="nil"/>
              <w:right w:val="nil"/>
            </w:tcBorders>
            <w:shd w:val="clear" w:color="000000" w:fill="FFFFFF"/>
            <w:hideMark/>
          </w:tcPr>
          <w:p w:rsidR="00A53D7D" w:rsidRPr="005C542E" w:rsidRDefault="00A53D7D" w:rsidP="005140B4">
            <w:pPr>
              <w:pStyle w:val="OGTableofFigures"/>
              <w:rPr>
                <w:lang w:eastAsia="en-AU"/>
              </w:rPr>
            </w:pPr>
            <w:r w:rsidRPr="001D6970">
              <w:rPr>
                <w:lang w:eastAsia="en-AU"/>
              </w:rPr>
              <w:t>99.5</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Cost</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keepNext/>
              <w:jc w:val="center"/>
              <w:rPr>
                <w:lang w:eastAsia="en-AU"/>
              </w:rPr>
            </w:pPr>
          </w:p>
        </w:tc>
        <w:tc>
          <w:tcPr>
            <w:tcW w:w="909" w:type="dxa"/>
            <w:tcBorders>
              <w:top w:val="single" w:sz="6" w:space="0" w:color="auto"/>
              <w:left w:val="nil"/>
              <w:bottom w:val="nil"/>
              <w:right w:val="nil"/>
            </w:tcBorders>
            <w:shd w:val="clear" w:color="auto" w:fill="D9D9D9"/>
            <w:noWrap/>
            <w:hideMark/>
          </w:tcPr>
          <w:p w:rsidR="00A53D7D" w:rsidRPr="005C542E" w:rsidRDefault="00A53D7D" w:rsidP="005140B4">
            <w:pPr>
              <w:pStyle w:val="OGTabText"/>
              <w:keepNext/>
              <w:jc w:val="right"/>
              <w:rPr>
                <w:lang w:eastAsia="en-AU"/>
              </w:rPr>
            </w:pPr>
          </w:p>
        </w:tc>
        <w:tc>
          <w:tcPr>
            <w:tcW w:w="993" w:type="dxa"/>
            <w:tcBorders>
              <w:top w:val="single" w:sz="6" w:space="0" w:color="auto"/>
              <w:left w:val="nil"/>
              <w:bottom w:val="nil"/>
              <w:right w:val="nil"/>
            </w:tcBorders>
            <w:shd w:val="clear" w:color="auto" w:fill="auto"/>
            <w:noWrap/>
            <w:hideMark/>
          </w:tcPr>
          <w:p w:rsidR="00A53D7D" w:rsidRPr="005C542E" w:rsidRDefault="00A53D7D" w:rsidP="005140B4">
            <w:pPr>
              <w:pStyle w:val="OGTabText"/>
              <w:keepN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keepN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keepNext/>
              <w:jc w:val="right"/>
              <w:rPr>
                <w:lang w:eastAsia="en-AU"/>
              </w:rPr>
            </w:pPr>
          </w:p>
        </w:tc>
      </w:tr>
      <w:tr w:rsidR="00A53D7D" w:rsidRPr="005C542E" w:rsidTr="005140B4">
        <w:trPr>
          <w:cantSplit/>
        </w:trPr>
        <w:tc>
          <w:tcPr>
            <w:tcW w:w="3108" w:type="dxa"/>
            <w:tcBorders>
              <w:top w:val="nil"/>
              <w:left w:val="nil"/>
              <w:right w:val="nil"/>
            </w:tcBorders>
            <w:shd w:val="clear" w:color="000000" w:fill="FFFFFF"/>
            <w:hideMark/>
          </w:tcPr>
          <w:p w:rsidR="00A53D7D" w:rsidRPr="005C542E" w:rsidRDefault="00A53D7D" w:rsidP="005140B4">
            <w:pPr>
              <w:pStyle w:val="OGTabText"/>
              <w:keepNext/>
              <w:rPr>
                <w:lang w:eastAsia="en-AU"/>
              </w:rPr>
            </w:pPr>
            <w:r w:rsidRPr="005C542E">
              <w:rPr>
                <w:lang w:eastAsia="en-AU"/>
              </w:rPr>
              <w:t>Total output cost</w:t>
            </w:r>
          </w:p>
        </w:tc>
        <w:tc>
          <w:tcPr>
            <w:tcW w:w="952" w:type="dxa"/>
            <w:gridSpan w:val="2"/>
            <w:tcBorders>
              <w:top w:val="nil"/>
              <w:left w:val="nil"/>
              <w:right w:val="nil"/>
            </w:tcBorders>
            <w:shd w:val="clear" w:color="000000" w:fill="FFFFFF"/>
            <w:hideMark/>
          </w:tcPr>
          <w:p w:rsidR="00A53D7D" w:rsidRPr="005C542E" w:rsidRDefault="00A53D7D" w:rsidP="005140B4">
            <w:pPr>
              <w:pStyle w:val="OGUoM"/>
              <w:rPr>
                <w:lang w:eastAsia="en-AU"/>
              </w:rPr>
            </w:pPr>
            <w:r>
              <w:t>$ million</w:t>
            </w:r>
          </w:p>
        </w:tc>
        <w:tc>
          <w:tcPr>
            <w:tcW w:w="909" w:type="dxa"/>
            <w:tcBorders>
              <w:top w:val="nil"/>
              <w:left w:val="nil"/>
              <w:right w:val="nil"/>
            </w:tcBorders>
            <w:shd w:val="clear" w:color="auto" w:fill="D9D9D9"/>
            <w:hideMark/>
          </w:tcPr>
          <w:p w:rsidR="00A53D7D" w:rsidRPr="005C542E" w:rsidRDefault="00A53D7D" w:rsidP="005140B4">
            <w:pPr>
              <w:pStyle w:val="OGTableofFigures"/>
              <w:rPr>
                <w:lang w:eastAsia="en-AU"/>
              </w:rPr>
            </w:pPr>
            <w:r>
              <w:rPr>
                <w:lang w:eastAsia="en-AU"/>
              </w:rPr>
              <w:t>522.5</w:t>
            </w:r>
          </w:p>
        </w:tc>
        <w:tc>
          <w:tcPr>
            <w:tcW w:w="993" w:type="dxa"/>
            <w:tcBorders>
              <w:top w:val="nil"/>
              <w:left w:val="nil"/>
              <w:right w:val="nil"/>
            </w:tcBorders>
            <w:shd w:val="clear" w:color="000000" w:fill="FFFFFF"/>
            <w:hideMark/>
          </w:tcPr>
          <w:p w:rsidR="00A53D7D" w:rsidRPr="005C542E" w:rsidRDefault="00A53D7D" w:rsidP="005140B4">
            <w:pPr>
              <w:pStyle w:val="OGTableofFigures"/>
              <w:rPr>
                <w:lang w:eastAsia="en-AU"/>
              </w:rPr>
            </w:pPr>
            <w:r>
              <w:rPr>
                <w:lang w:eastAsia="en-AU"/>
              </w:rPr>
              <w:t>531.9</w:t>
            </w:r>
          </w:p>
        </w:tc>
        <w:tc>
          <w:tcPr>
            <w:tcW w:w="895" w:type="dxa"/>
            <w:tcBorders>
              <w:top w:val="nil"/>
              <w:left w:val="nil"/>
              <w:right w:val="nil"/>
            </w:tcBorders>
            <w:shd w:val="clear" w:color="000000" w:fill="FFFFFF"/>
            <w:hideMark/>
          </w:tcPr>
          <w:p w:rsidR="00A53D7D" w:rsidRPr="0083131F" w:rsidRDefault="00A53D7D" w:rsidP="005140B4">
            <w:pPr>
              <w:pStyle w:val="OGTableofFigures"/>
              <w:rPr>
                <w:lang w:eastAsia="en-AU"/>
              </w:rPr>
            </w:pPr>
            <w:r w:rsidRPr="0083131F">
              <w:rPr>
                <w:lang w:eastAsia="en-AU"/>
              </w:rPr>
              <w:t>543</w:t>
            </w:r>
            <w:r>
              <w:rPr>
                <w:lang w:eastAsia="en-AU"/>
              </w:rPr>
              <w:t>.0</w:t>
            </w:r>
          </w:p>
        </w:tc>
        <w:tc>
          <w:tcPr>
            <w:tcW w:w="925" w:type="dxa"/>
            <w:gridSpan w:val="2"/>
            <w:tcBorders>
              <w:top w:val="nil"/>
              <w:left w:val="nil"/>
              <w:right w:val="nil"/>
            </w:tcBorders>
            <w:shd w:val="clear" w:color="000000" w:fill="FFFFFF"/>
            <w:hideMark/>
          </w:tcPr>
          <w:p w:rsidR="00A53D7D" w:rsidRPr="005C542E" w:rsidRDefault="00A53D7D" w:rsidP="005140B4">
            <w:pPr>
              <w:pStyle w:val="OGTableofFigures"/>
              <w:rPr>
                <w:lang w:eastAsia="en-AU"/>
              </w:rPr>
            </w:pPr>
            <w:r w:rsidRPr="00127A68">
              <w:rPr>
                <w:lang w:eastAsia="en-AU"/>
              </w:rPr>
              <w:t>522.1</w:t>
            </w:r>
          </w:p>
        </w:tc>
      </w:tr>
      <w:tr w:rsidR="00A53D7D" w:rsidRPr="00807665" w:rsidTr="005140B4">
        <w:trPr>
          <w:cantSplit/>
        </w:trPr>
        <w:tc>
          <w:tcPr>
            <w:tcW w:w="7782" w:type="dxa"/>
            <w:gridSpan w:val="8"/>
            <w:tcBorders>
              <w:top w:val="nil"/>
              <w:left w:val="nil"/>
              <w:bottom w:val="single" w:sz="12" w:space="0" w:color="auto"/>
              <w:right w:val="nil"/>
            </w:tcBorders>
            <w:shd w:val="clear" w:color="auto" w:fill="auto"/>
            <w:vAlign w:val="bottom"/>
          </w:tcPr>
          <w:p w:rsidR="00A53D7D" w:rsidRDefault="00A53D7D" w:rsidP="005140B4">
            <w:pPr>
              <w:pStyle w:val="OGNotes"/>
              <w:rPr>
                <w:rFonts w:cs="Calibri"/>
                <w:color w:val="000000"/>
                <w:sz w:val="20"/>
              </w:rPr>
            </w:pPr>
            <w:r w:rsidRPr="00FF03B7">
              <w:t>The 2014</w:t>
            </w:r>
            <w:r>
              <w:noBreakHyphen/>
            </w:r>
            <w:r w:rsidRPr="00FF03B7">
              <w:t xml:space="preserve">15 </w:t>
            </w:r>
            <w:r>
              <w:t>Target</w:t>
            </w:r>
            <w:r w:rsidRPr="00FF03B7">
              <w:t xml:space="preserve"> is lower than the 2013</w:t>
            </w:r>
            <w:r>
              <w:noBreakHyphen/>
            </w:r>
            <w:r w:rsidRPr="00FF03B7">
              <w:t xml:space="preserve">14 </w:t>
            </w:r>
            <w:r>
              <w:t>Target</w:t>
            </w:r>
            <w:r w:rsidRPr="00FF03B7">
              <w:t xml:space="preserve"> due </w:t>
            </w:r>
            <w:r>
              <w:t>to the Commonwealth contribution to the Universal Access Program not having been committed at the time of publication.</w:t>
            </w:r>
          </w:p>
        </w:tc>
      </w:tr>
    </w:tbl>
    <w:p w:rsidR="00A53D7D" w:rsidRDefault="00A53D7D" w:rsidP="005140B4">
      <w:pPr>
        <w:pStyle w:val="Source"/>
      </w:pPr>
      <w:r w:rsidRPr="00A87C79">
        <w:t>Source: Department of Education and Early Childhood Development</w:t>
      </w:r>
      <w:r>
        <w:fldChar w:fldCharType="begin"/>
      </w:r>
      <w:r>
        <w:instrText xml:space="preserve"> XE "</w:instrText>
      </w:r>
      <w:r w:rsidRPr="003F7B2B">
        <w:instrText>Department of Education and Early Childhood Development:Early Childhood Development</w:instrText>
      </w:r>
      <w:r>
        <w:instrText xml:space="preserve">" \r "DEECDearly" </w:instrText>
      </w:r>
      <w:r>
        <w:fldChar w:fldCharType="end"/>
      </w:r>
      <w:r>
        <w:fldChar w:fldCharType="begin"/>
      </w:r>
      <w:r>
        <w:instrText xml:space="preserve"> XE "</w:instrText>
      </w:r>
      <w:r w:rsidRPr="00FF3EC3">
        <w:instrText>Early Childhood Development</w:instrText>
      </w:r>
      <w:r>
        <w:instrText xml:space="preserve">" \r "DEECDearly" </w:instrText>
      </w:r>
      <w:r>
        <w:fldChar w:fldCharType="end"/>
      </w:r>
    </w:p>
    <w:bookmarkEnd w:id="72"/>
    <w:p w:rsidR="00A53D7D" w:rsidRDefault="00A53D7D" w:rsidP="005140B4">
      <w:r>
        <w:br w:type="page"/>
      </w:r>
    </w:p>
    <w:p w:rsidR="00A53D7D" w:rsidRDefault="00A53D7D" w:rsidP="005140B4">
      <w:pPr>
        <w:pStyle w:val="OGHeading1"/>
      </w:pPr>
      <w:bookmarkStart w:id="73" w:name="DEECDschool"/>
      <w:r>
        <w:t>School Education</w:t>
      </w:r>
    </w:p>
    <w:p w:rsidR="00A53D7D" w:rsidRDefault="00A53D7D" w:rsidP="005140B4">
      <w:pPr>
        <w:pStyle w:val="OGText"/>
      </w:pPr>
      <w:r>
        <w:t xml:space="preserve">The school education output group consists of two outputs. The School Education – Primary output provides services to develop essential skills and learning experiences to engage young minds in the primary sector. The School Education – Secondary output delivers services to consolidate literacy and numeracy competencies including creative and critical thinking, as well as physical, social, </w:t>
      </w:r>
      <w:proofErr w:type="gramStart"/>
      <w:r>
        <w:t>emotional</w:t>
      </w:r>
      <w:proofErr w:type="gramEnd"/>
      <w:r>
        <w:t xml:space="preserve"> and intellectual development in adolescence. It also provides education services as well as varied pathways and support for transition across sectors to further study or employment. This output group contributes towards providing and improving services to support all the Department’s objectives of achievement, engagement, </w:t>
      </w:r>
      <w:proofErr w:type="gramStart"/>
      <w:r>
        <w:t>wellbeing</w:t>
      </w:r>
      <w:proofErr w:type="gramEnd"/>
      <w:r>
        <w:t xml:space="preserve"> and productivity.</w:t>
      </w:r>
    </w:p>
    <w:tbl>
      <w:tblPr>
        <w:tblW w:w="7782" w:type="dxa"/>
        <w:tblInd w:w="29" w:type="dxa"/>
        <w:tblLayout w:type="fixed"/>
        <w:tblCellMar>
          <w:left w:w="43" w:type="dxa"/>
          <w:right w:w="43" w:type="dxa"/>
        </w:tblCellMar>
        <w:tblLook w:val="04A0" w:firstRow="1" w:lastRow="0" w:firstColumn="1" w:lastColumn="0" w:noHBand="0" w:noVBand="1"/>
      </w:tblPr>
      <w:tblGrid>
        <w:gridCol w:w="3108"/>
        <w:gridCol w:w="42"/>
        <w:gridCol w:w="910"/>
        <w:gridCol w:w="909"/>
        <w:gridCol w:w="993"/>
        <w:gridCol w:w="895"/>
        <w:gridCol w:w="12"/>
        <w:gridCol w:w="913"/>
      </w:tblGrid>
      <w:tr w:rsidR="00A53D7D" w:rsidRPr="00204234" w:rsidTr="005140B4">
        <w:trPr>
          <w:cantSplit/>
          <w:tblHeader/>
        </w:trPr>
        <w:tc>
          <w:tcPr>
            <w:tcW w:w="3150" w:type="dxa"/>
            <w:gridSpan w:val="2"/>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10"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9"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gridSpan w:val="2"/>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13"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0" w:type="dxa"/>
            <w:gridSpan w:val="2"/>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10"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9"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gridSpan w:val="2"/>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1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Pr="005C542E" w:rsidRDefault="00A53D7D" w:rsidP="005140B4">
            <w:pPr>
              <w:pStyle w:val="OGHeading2"/>
              <w:rPr>
                <w:lang w:eastAsia="en-AU"/>
              </w:rPr>
            </w:pPr>
            <w:r w:rsidRPr="005C542E">
              <w:rPr>
                <w:lang w:eastAsia="en-AU"/>
              </w:rPr>
              <w:t>School Education</w:t>
            </w:r>
            <w:r>
              <w:rPr>
                <w:lang w:eastAsia="en-AU"/>
              </w:rPr>
              <w:t xml:space="preserve"> – </w:t>
            </w:r>
            <w:r w:rsidRPr="005C542E">
              <w:rPr>
                <w:lang w:eastAsia="en-AU"/>
              </w:rPr>
              <w:t>Primary</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Pr="005C542E" w:rsidRDefault="00A53D7D" w:rsidP="005140B4">
            <w:pPr>
              <w:pStyle w:val="OGText"/>
              <w:rPr>
                <w:lang w:eastAsia="en-AU"/>
              </w:rPr>
            </w:pPr>
            <w:r w:rsidRPr="005C542E">
              <w:rPr>
                <w:lang w:eastAsia="en-AU"/>
              </w:rPr>
              <w:t>This output provides education and other associated services designed to improve the quality of learning of students in Prep to Year</w:t>
            </w:r>
            <w:r>
              <w:rPr>
                <w:lang w:eastAsia="en-AU"/>
              </w:rPr>
              <w:t> </w:t>
            </w:r>
            <w:r w:rsidRPr="005C542E">
              <w:rPr>
                <w:lang w:eastAsia="en-AU"/>
              </w:rPr>
              <w:t>6 in government and non</w:t>
            </w:r>
            <w:r>
              <w:rPr>
                <w:lang w:eastAsia="en-AU"/>
              </w:rPr>
              <w:noBreakHyphen/>
            </w:r>
            <w:r w:rsidRPr="005C542E">
              <w:rPr>
                <w:lang w:eastAsia="en-AU"/>
              </w:rPr>
              <w:t>government schools.</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Quality</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bottom w:val="nil"/>
              <w:right w:val="nil"/>
            </w:tcBorders>
            <w:shd w:val="clear" w:color="000000" w:fill="FFFFFF"/>
            <w:hideMark/>
          </w:tcPr>
          <w:p w:rsidR="00A53D7D" w:rsidRPr="005C542E" w:rsidRDefault="00A53D7D" w:rsidP="005140B4">
            <w:pPr>
              <w:pStyle w:val="OGTabText"/>
              <w:spacing w:after="0"/>
              <w:rPr>
                <w:lang w:eastAsia="en-AU"/>
              </w:rPr>
            </w:pPr>
            <w:r w:rsidRPr="005C542E">
              <w:rPr>
                <w:lang w:eastAsia="en-AU"/>
              </w:rPr>
              <w:t>Parent satisfaction with primary schooling on a 100</w:t>
            </w:r>
            <w:r>
              <w:rPr>
                <w:lang w:eastAsia="en-AU"/>
              </w:rPr>
              <w:noBreakHyphen/>
            </w:r>
            <w:r w:rsidRPr="005C542E">
              <w:rPr>
                <w:lang w:eastAsia="en-AU"/>
              </w:rPr>
              <w:t>point scale</w:t>
            </w:r>
          </w:p>
        </w:tc>
        <w:tc>
          <w:tcPr>
            <w:tcW w:w="952" w:type="dxa"/>
            <w:gridSpan w:val="2"/>
            <w:tcBorders>
              <w:top w:val="nil"/>
              <w:left w:val="nil"/>
              <w:bottom w:val="nil"/>
              <w:right w:val="nil"/>
            </w:tcBorders>
            <w:shd w:val="clear" w:color="000000" w:fill="FFFFFF"/>
            <w:hideMark/>
          </w:tcPr>
          <w:p w:rsidR="00A53D7D" w:rsidRPr="005C542E" w:rsidRDefault="00A53D7D" w:rsidP="005140B4">
            <w:pPr>
              <w:pStyle w:val="OGUoM"/>
              <w:spacing w:after="0"/>
              <w:rPr>
                <w:lang w:eastAsia="en-AU"/>
              </w:rPr>
            </w:pPr>
            <w:r w:rsidRPr="005C542E">
              <w:rPr>
                <w:lang w:eastAsia="en-AU"/>
              </w:rPr>
              <w:t>100</w:t>
            </w:r>
            <w:r>
              <w:rPr>
                <w:lang w:eastAsia="en-AU"/>
              </w:rPr>
              <w:noBreakHyphen/>
            </w:r>
            <w:r w:rsidRPr="005C542E">
              <w:rPr>
                <w:lang w:eastAsia="en-AU"/>
              </w:rPr>
              <w:t>point scale</w:t>
            </w:r>
          </w:p>
        </w:tc>
        <w:tc>
          <w:tcPr>
            <w:tcW w:w="909" w:type="dxa"/>
            <w:tcBorders>
              <w:top w:val="nil"/>
              <w:left w:val="nil"/>
              <w:bottom w:val="nil"/>
              <w:right w:val="nil"/>
            </w:tcBorders>
            <w:shd w:val="clear" w:color="auto" w:fill="D9D9D9" w:themeFill="background1" w:themeFillShade="D9"/>
            <w:hideMark/>
          </w:tcPr>
          <w:p w:rsidR="00A53D7D" w:rsidRPr="00403F6B" w:rsidRDefault="00A53D7D" w:rsidP="005140B4">
            <w:pPr>
              <w:pStyle w:val="OGTableofFigures"/>
              <w:rPr>
                <w:sz w:val="14"/>
                <w:szCs w:val="14"/>
                <w:lang w:eastAsia="en-AU"/>
              </w:rPr>
            </w:pPr>
            <w:r>
              <w:rPr>
                <w:lang w:eastAsia="en-AU"/>
              </w:rPr>
              <w:t>83</w:t>
            </w:r>
          </w:p>
        </w:tc>
        <w:tc>
          <w:tcPr>
            <w:tcW w:w="993" w:type="dxa"/>
            <w:tcBorders>
              <w:top w:val="nil"/>
              <w:left w:val="nil"/>
              <w:bottom w:val="nil"/>
              <w:right w:val="nil"/>
            </w:tcBorders>
            <w:shd w:val="clear" w:color="auto" w:fill="auto"/>
            <w:hideMark/>
          </w:tcPr>
          <w:p w:rsidR="00A53D7D" w:rsidRPr="00403F6B" w:rsidRDefault="00A53D7D" w:rsidP="005140B4">
            <w:pPr>
              <w:pStyle w:val="OGTableofFigures"/>
              <w:rPr>
                <w:lang w:eastAsia="en-AU"/>
              </w:rPr>
            </w:pPr>
            <w:r w:rsidRPr="005C542E">
              <w:rPr>
                <w:lang w:eastAsia="en-AU"/>
              </w:rPr>
              <w:t>8</w:t>
            </w:r>
            <w:r>
              <w:rPr>
                <w:lang w:eastAsia="en-AU"/>
              </w:rPr>
              <w:t>2</w:t>
            </w:r>
          </w:p>
        </w:tc>
        <w:tc>
          <w:tcPr>
            <w:tcW w:w="895" w:type="dxa"/>
            <w:tcBorders>
              <w:top w:val="nil"/>
              <w:left w:val="nil"/>
              <w:bottom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8</w:t>
            </w:r>
            <w:r>
              <w:rPr>
                <w:lang w:eastAsia="en-AU"/>
              </w:rPr>
              <w:t>1</w:t>
            </w:r>
          </w:p>
        </w:tc>
        <w:tc>
          <w:tcPr>
            <w:tcW w:w="925" w:type="dxa"/>
            <w:gridSpan w:val="2"/>
            <w:tcBorders>
              <w:top w:val="nil"/>
              <w:left w:val="nil"/>
              <w:bottom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8</w:t>
            </w:r>
            <w:r>
              <w:rPr>
                <w:lang w:eastAsia="en-AU"/>
              </w:rPr>
              <w:t>3</w:t>
            </w:r>
          </w:p>
        </w:tc>
      </w:tr>
      <w:tr w:rsidR="00A53D7D" w:rsidRPr="005C542E" w:rsidTr="005140B4">
        <w:trPr>
          <w:cantSplit/>
        </w:trPr>
        <w:tc>
          <w:tcPr>
            <w:tcW w:w="7782" w:type="dxa"/>
            <w:gridSpan w:val="8"/>
            <w:tcBorders>
              <w:top w:val="nil"/>
              <w:left w:val="nil"/>
              <w:bottom w:val="nil"/>
              <w:right w:val="nil"/>
            </w:tcBorders>
            <w:shd w:val="clear" w:color="000000" w:fill="FFFFFF"/>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0213A0">
              <w:t>This performance measure refers to government schools only.</w:t>
            </w:r>
          </w:p>
          <w:p w:rsidR="00A53D7D" w:rsidRPr="005C542E" w:rsidRDefault="00A53D7D" w:rsidP="005140B4">
            <w:pPr>
              <w:pStyle w:val="OGNotes"/>
              <w:spacing w:after="0"/>
            </w:pPr>
            <w:r w:rsidRPr="0031568B">
              <w:t xml:space="preserve">The 2014–15 </w:t>
            </w:r>
            <w:r>
              <w:t>Target</w:t>
            </w:r>
            <w:r w:rsidRPr="0031568B">
              <w:t xml:space="preserve"> has been raised to reflect the Department</w:t>
            </w:r>
            <w:r>
              <w:t>’</w:t>
            </w:r>
            <w:r w:rsidRPr="0031568B">
              <w:t>s expectations for the outcomes of Victorian students</w:t>
            </w:r>
            <w:r>
              <w:t xml:space="preserve">. </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rPr>
                <w:lang w:eastAsia="en-AU"/>
              </w:rPr>
            </w:pPr>
            <w:r>
              <w:rPr>
                <w:lang w:eastAsia="en-AU"/>
              </w:rPr>
              <w:t>Percentage</w:t>
            </w:r>
            <w:r w:rsidRPr="005C542E">
              <w:rPr>
                <w:lang w:eastAsia="en-AU"/>
              </w:rPr>
              <w:t xml:space="preserve"> of Indigenous students meeting the national minimum standard for numeracy in Year 3 (National Assessment Program Literacy and Numeracy – NAPLAN testing)</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bottom w:val="nil"/>
              <w:right w:val="nil"/>
            </w:tcBorders>
            <w:shd w:val="clear" w:color="auto" w:fill="D9D9D9"/>
            <w:hideMark/>
          </w:tcPr>
          <w:p w:rsidR="00A53D7D" w:rsidRPr="005C542E" w:rsidRDefault="00A53D7D" w:rsidP="005140B4">
            <w:pPr>
              <w:pStyle w:val="OGTableofFigures"/>
              <w:rPr>
                <w:lang w:eastAsia="en-AU"/>
              </w:rPr>
            </w:pPr>
            <w:r w:rsidRPr="006D15C3">
              <w:t>90.7</w:t>
            </w:r>
          </w:p>
        </w:tc>
        <w:tc>
          <w:tcPr>
            <w:tcW w:w="993" w:type="dxa"/>
            <w:tcBorders>
              <w:top w:val="single" w:sz="6" w:space="0" w:color="auto"/>
              <w:left w:val="nil"/>
              <w:bottom w:val="nil"/>
              <w:right w:val="nil"/>
            </w:tcBorders>
            <w:shd w:val="clear" w:color="000000" w:fill="FFFFFF"/>
            <w:hideMark/>
          </w:tcPr>
          <w:p w:rsidR="00A53D7D" w:rsidRPr="005C542E" w:rsidRDefault="00A53D7D" w:rsidP="005140B4">
            <w:pPr>
              <w:pStyle w:val="OGTableofFigures"/>
              <w:rPr>
                <w:lang w:eastAsia="en-AU"/>
              </w:rPr>
            </w:pPr>
            <w:r w:rsidRPr="006D15C3">
              <w:t>88.7</w:t>
            </w:r>
          </w:p>
        </w:tc>
        <w:tc>
          <w:tcPr>
            <w:tcW w:w="895" w:type="dxa"/>
            <w:tcBorders>
              <w:top w:val="single" w:sz="6" w:space="0" w:color="auto"/>
              <w:left w:val="nil"/>
              <w:bottom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89.4</w:t>
            </w:r>
          </w:p>
        </w:tc>
        <w:tc>
          <w:tcPr>
            <w:tcW w:w="925"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TableofFigures"/>
              <w:rPr>
                <w:lang w:eastAsia="en-AU"/>
              </w:rPr>
            </w:pPr>
            <w:r w:rsidRPr="00DB437C">
              <w:rPr>
                <w:lang w:eastAsia="en-AU"/>
              </w:rPr>
              <w:t>85.9</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BF65A0">
              <w:t>This performance measure includes government and non</w:t>
            </w:r>
            <w:r>
              <w:noBreakHyphen/>
            </w:r>
            <w:r w:rsidRPr="00BF65A0">
              <w:t>government schools.</w:t>
            </w:r>
          </w:p>
          <w:p w:rsidR="00A53D7D" w:rsidRDefault="00A53D7D" w:rsidP="005140B4">
            <w:pPr>
              <w:pStyle w:val="OGNotes"/>
              <w:spacing w:after="0"/>
            </w:pPr>
            <w:r>
              <w:t>The 2014</w:t>
            </w:r>
            <w:r>
              <w:noBreakHyphen/>
              <w:t xml:space="preserve">15 Target has been raised to reflect the Department’s trajectory to Close the Gap. </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4 percentage points needs to be considered.</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Pr>
                <w:lang w:eastAsia="en-AU"/>
              </w:rPr>
              <w:t>Percentage</w:t>
            </w:r>
            <w:r w:rsidRPr="005C542E">
              <w:rPr>
                <w:lang w:eastAsia="en-AU"/>
              </w:rPr>
              <w:t xml:space="preserve"> of Indigenous students meeting the national minimum standard for numeracy in Year 5 (NAPLAN testing)</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977846" w:rsidRDefault="00A53D7D" w:rsidP="005140B4">
            <w:pPr>
              <w:pStyle w:val="OGTableofFigures"/>
              <w:rPr>
                <w:lang w:eastAsia="en-AU"/>
              </w:rPr>
            </w:pPr>
            <w:r w:rsidRPr="00297056">
              <w:t>84.9</w:t>
            </w:r>
          </w:p>
        </w:tc>
        <w:tc>
          <w:tcPr>
            <w:tcW w:w="993" w:type="dxa"/>
            <w:tcBorders>
              <w:top w:val="single" w:sz="6" w:space="0" w:color="auto"/>
              <w:left w:val="nil"/>
              <w:right w:val="nil"/>
            </w:tcBorders>
            <w:shd w:val="clear" w:color="000000" w:fill="FFFFFF"/>
            <w:hideMark/>
          </w:tcPr>
          <w:p w:rsidR="00A53D7D" w:rsidRPr="00977846" w:rsidRDefault="00A53D7D" w:rsidP="005140B4">
            <w:pPr>
              <w:pStyle w:val="OGTableofFigures"/>
              <w:rPr>
                <w:lang w:eastAsia="en-AU"/>
              </w:rPr>
            </w:pPr>
            <w:r w:rsidRPr="00297056">
              <w:t>85.6</w:t>
            </w:r>
          </w:p>
        </w:tc>
        <w:tc>
          <w:tcPr>
            <w:tcW w:w="895" w:type="dxa"/>
            <w:tcBorders>
              <w:top w:val="single" w:sz="6" w:space="0" w:color="auto"/>
              <w:left w:val="nil"/>
              <w:right w:val="nil"/>
            </w:tcBorders>
            <w:shd w:val="clear" w:color="000000" w:fill="FFFFFF"/>
            <w:hideMark/>
          </w:tcPr>
          <w:p w:rsidR="00A53D7D" w:rsidRPr="00977846" w:rsidRDefault="00A53D7D" w:rsidP="005140B4">
            <w:pPr>
              <w:pStyle w:val="OGTableofFigures"/>
              <w:rPr>
                <w:lang w:eastAsia="en-AU"/>
              </w:rPr>
            </w:pPr>
            <w:r w:rsidRPr="00977846">
              <w:rPr>
                <w:lang w:eastAsia="en-AU"/>
              </w:rPr>
              <w:t>83.9</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977846">
              <w:rPr>
                <w:lang w:eastAsia="en-AU"/>
              </w:rPr>
              <w:t>83.2</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BF65A0">
              <w:t>This performance measure includes government and non</w:t>
            </w:r>
            <w:r>
              <w:noBreakHyphen/>
            </w:r>
            <w:r w:rsidRPr="00BF65A0">
              <w:t>government schools.</w:t>
            </w:r>
          </w:p>
          <w:p w:rsidR="00A53D7D" w:rsidRDefault="00A53D7D" w:rsidP="005140B4">
            <w:pPr>
              <w:pStyle w:val="OGNotes"/>
              <w:spacing w:after="0"/>
            </w:pPr>
            <w:r>
              <w:t>The 2014</w:t>
            </w:r>
            <w:r>
              <w:noBreakHyphen/>
              <w:t xml:space="preserve">15 Target has been raised to reflect the Department’s trajectory to Close the Gap. </w:t>
            </w:r>
          </w:p>
          <w:p w:rsidR="00A53D7D" w:rsidRPr="00F820F9" w:rsidRDefault="00A53D7D" w:rsidP="00F820F9">
            <w:pPr>
              <w:pStyle w:val="OGNotes"/>
            </w:pPr>
            <w:r w:rsidRPr="00F820F9">
              <w:t>NAPLAN results are subject to measurement error and when interpreting results, a 95 per cent confidence interval of approximately +/– 4 percentage points needs to be considered.</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pageBreakBefore/>
              <w:rPr>
                <w:lang w:eastAsia="en-AU"/>
              </w:rPr>
            </w:pPr>
            <w:r>
              <w:rPr>
                <w:lang w:eastAsia="en-AU"/>
              </w:rPr>
              <w:t>Percentage</w:t>
            </w:r>
            <w:r w:rsidRPr="005C542E">
              <w:rPr>
                <w:lang w:eastAsia="en-AU"/>
              </w:rPr>
              <w:t xml:space="preserve"> of Indigenous students meeting the national minimum standard for reading in Year 3 (NAPLAN testing)</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25596A" w:rsidRDefault="00A53D7D" w:rsidP="005140B4">
            <w:pPr>
              <w:pStyle w:val="OGTableofFigures"/>
              <w:rPr>
                <w:lang w:eastAsia="en-AU"/>
              </w:rPr>
            </w:pPr>
            <w:r w:rsidRPr="002D0C07">
              <w:t>89</w:t>
            </w:r>
            <w:r>
              <w:t>.0</w:t>
            </w:r>
          </w:p>
        </w:tc>
        <w:tc>
          <w:tcPr>
            <w:tcW w:w="993" w:type="dxa"/>
            <w:tcBorders>
              <w:top w:val="single" w:sz="6" w:space="0" w:color="auto"/>
              <w:left w:val="nil"/>
              <w:right w:val="nil"/>
            </w:tcBorders>
            <w:shd w:val="clear" w:color="000000" w:fill="FFFFFF"/>
            <w:hideMark/>
          </w:tcPr>
          <w:p w:rsidR="00A53D7D" w:rsidRPr="0025596A" w:rsidRDefault="00A53D7D" w:rsidP="005140B4">
            <w:pPr>
              <w:pStyle w:val="OGTableofFigures"/>
              <w:rPr>
                <w:lang w:eastAsia="en-AU"/>
              </w:rPr>
            </w:pPr>
            <w:r w:rsidRPr="002D0C07">
              <w:t>87.5</w:t>
            </w:r>
          </w:p>
        </w:tc>
        <w:tc>
          <w:tcPr>
            <w:tcW w:w="895" w:type="dxa"/>
            <w:tcBorders>
              <w:top w:val="single" w:sz="6" w:space="0" w:color="auto"/>
              <w:left w:val="nil"/>
              <w:right w:val="nil"/>
            </w:tcBorders>
            <w:shd w:val="clear" w:color="000000" w:fill="FFFFFF"/>
            <w:hideMark/>
          </w:tcPr>
          <w:p w:rsidR="00A53D7D" w:rsidRPr="0025596A" w:rsidRDefault="00A53D7D" w:rsidP="005140B4">
            <w:pPr>
              <w:pStyle w:val="OGTableofFigures"/>
              <w:rPr>
                <w:lang w:eastAsia="en-AU"/>
              </w:rPr>
            </w:pPr>
            <w:r w:rsidRPr="0025596A">
              <w:rPr>
                <w:lang w:eastAsia="en-AU"/>
              </w:rPr>
              <w:t>87.8</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25596A">
              <w:rPr>
                <w:lang w:eastAsia="en-AU"/>
              </w:rPr>
              <w:t>84.9</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BF65A0">
              <w:t>This performance measure includes govern</w:t>
            </w:r>
            <w:r>
              <w:t>ment and non</w:t>
            </w:r>
            <w:r>
              <w:noBreakHyphen/>
              <w:t>government schools.</w:t>
            </w:r>
          </w:p>
          <w:p w:rsidR="00A53D7D" w:rsidRDefault="00A53D7D" w:rsidP="005140B4">
            <w:pPr>
              <w:pStyle w:val="OGNotes"/>
              <w:spacing w:after="0"/>
            </w:pPr>
            <w:r>
              <w:t>The 2014</w:t>
            </w:r>
            <w:r>
              <w:noBreakHyphen/>
              <w:t xml:space="preserve">15 Target has been raised to reflect the Department’s trajectory to Close the Gap. </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4 percentage points needs to be considered.</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ind w:left="142"/>
              <w:rPr>
                <w:lang w:eastAsia="en-AU"/>
              </w:rPr>
            </w:pPr>
            <w:r>
              <w:rPr>
                <w:lang w:eastAsia="en-AU"/>
              </w:rPr>
              <w:t>Percentage</w:t>
            </w:r>
            <w:r w:rsidRPr="005C542E">
              <w:rPr>
                <w:lang w:eastAsia="en-AU"/>
              </w:rPr>
              <w:t xml:space="preserve"> of Indigenous students meeting the national minimum standard for reading in Year 5 (NAPLAN testing)</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bottom w:val="nil"/>
              <w:right w:val="nil"/>
            </w:tcBorders>
            <w:shd w:val="clear" w:color="auto" w:fill="D9D9D9"/>
            <w:hideMark/>
          </w:tcPr>
          <w:p w:rsidR="00A53D7D" w:rsidRPr="00D201B5" w:rsidRDefault="00A53D7D" w:rsidP="005140B4">
            <w:pPr>
              <w:pStyle w:val="OGTableofFigures"/>
              <w:rPr>
                <w:lang w:eastAsia="en-AU"/>
              </w:rPr>
            </w:pPr>
            <w:r w:rsidRPr="00164B0A">
              <w:t>88.7</w:t>
            </w:r>
          </w:p>
        </w:tc>
        <w:tc>
          <w:tcPr>
            <w:tcW w:w="993" w:type="dxa"/>
            <w:tcBorders>
              <w:top w:val="single" w:sz="6" w:space="0" w:color="auto"/>
              <w:left w:val="nil"/>
              <w:bottom w:val="nil"/>
              <w:right w:val="nil"/>
            </w:tcBorders>
            <w:shd w:val="clear" w:color="000000" w:fill="FFFFFF"/>
            <w:hideMark/>
          </w:tcPr>
          <w:p w:rsidR="00A53D7D" w:rsidRPr="00D201B5" w:rsidRDefault="00A53D7D" w:rsidP="005140B4">
            <w:pPr>
              <w:pStyle w:val="OGTableofFigures"/>
              <w:rPr>
                <w:lang w:eastAsia="en-AU"/>
              </w:rPr>
            </w:pPr>
            <w:r w:rsidRPr="00164B0A">
              <w:t>91.4</w:t>
            </w:r>
          </w:p>
        </w:tc>
        <w:tc>
          <w:tcPr>
            <w:tcW w:w="895" w:type="dxa"/>
            <w:tcBorders>
              <w:top w:val="single" w:sz="6" w:space="0" w:color="auto"/>
              <w:left w:val="nil"/>
              <w:bottom w:val="nil"/>
              <w:right w:val="nil"/>
            </w:tcBorders>
            <w:shd w:val="clear" w:color="000000" w:fill="FFFFFF"/>
            <w:hideMark/>
          </w:tcPr>
          <w:p w:rsidR="00A53D7D" w:rsidRPr="00D201B5" w:rsidRDefault="00A53D7D" w:rsidP="005140B4">
            <w:pPr>
              <w:pStyle w:val="OGTableofFigures"/>
              <w:rPr>
                <w:lang w:eastAsia="en-AU"/>
              </w:rPr>
            </w:pPr>
            <w:r w:rsidRPr="00D201B5">
              <w:rPr>
                <w:lang w:eastAsia="en-AU"/>
              </w:rPr>
              <w:t>83.9</w:t>
            </w:r>
          </w:p>
        </w:tc>
        <w:tc>
          <w:tcPr>
            <w:tcW w:w="925" w:type="dxa"/>
            <w:gridSpan w:val="2"/>
            <w:tcBorders>
              <w:top w:val="single" w:sz="6" w:space="0" w:color="auto"/>
              <w:left w:val="nil"/>
              <w:bottom w:val="nil"/>
              <w:right w:val="nil"/>
            </w:tcBorders>
            <w:shd w:val="clear" w:color="000000" w:fill="FFFFFF"/>
            <w:hideMark/>
          </w:tcPr>
          <w:p w:rsidR="00A53D7D" w:rsidRDefault="00A53D7D" w:rsidP="005140B4">
            <w:pPr>
              <w:pStyle w:val="OGTableofFigures"/>
              <w:rPr>
                <w:lang w:eastAsia="en-AU"/>
              </w:rPr>
            </w:pPr>
            <w:r w:rsidRPr="00D201B5">
              <w:rPr>
                <w:lang w:eastAsia="en-AU"/>
              </w:rPr>
              <w:t>81.4</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BF65A0">
              <w:t>This performance measure includes government and non</w:t>
            </w:r>
            <w:r>
              <w:noBreakHyphen/>
            </w:r>
            <w:r w:rsidRPr="00BF65A0">
              <w:t>government schools.</w:t>
            </w:r>
          </w:p>
          <w:p w:rsidR="00A53D7D" w:rsidRDefault="00A53D7D" w:rsidP="005140B4">
            <w:pPr>
              <w:pStyle w:val="OGNotes"/>
              <w:spacing w:after="0"/>
            </w:pPr>
            <w:r w:rsidRPr="001D0C97">
              <w:t>The 2013</w:t>
            </w:r>
            <w:r>
              <w:noBreakHyphen/>
            </w:r>
            <w:r w:rsidRPr="001D0C97">
              <w:t xml:space="preserve">14 </w:t>
            </w:r>
            <w:r>
              <w:t>Expected Outcome</w:t>
            </w:r>
            <w:r w:rsidRPr="001D0C97">
              <w:t xml:space="preserve"> is higher than the 2013</w:t>
            </w:r>
            <w:r>
              <w:noBreakHyphen/>
            </w:r>
            <w:r w:rsidRPr="001D0C97">
              <w:t xml:space="preserve">14 </w:t>
            </w:r>
            <w:r>
              <w:t>Target</w:t>
            </w:r>
            <w:r w:rsidRPr="001D0C97">
              <w:t>, which can be attributed to the focus on literacy state</w:t>
            </w:r>
            <w:r>
              <w:noBreakHyphen/>
            </w:r>
            <w:r w:rsidRPr="001D0C97">
              <w:t>wide and the availability of online resources and professional development.</w:t>
            </w:r>
          </w:p>
          <w:p w:rsidR="00A53D7D" w:rsidRDefault="00A53D7D" w:rsidP="005140B4">
            <w:pPr>
              <w:pStyle w:val="OGNotes"/>
              <w:spacing w:after="0"/>
            </w:pPr>
            <w:r>
              <w:t>The 2014</w:t>
            </w:r>
            <w:r>
              <w:noBreakHyphen/>
              <w:t xml:space="preserve">15 Target has been raised to reflect the Department’s trajectory to Close the Gap. </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4 percentage points needs to be considered.</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rPr>
                <w:lang w:eastAsia="en-AU"/>
              </w:rPr>
            </w:pPr>
            <w:r>
              <w:rPr>
                <w:lang w:eastAsia="en-AU"/>
              </w:rPr>
              <w:t>Percentage</w:t>
            </w:r>
            <w:r w:rsidRPr="005C542E">
              <w:rPr>
                <w:lang w:eastAsia="en-AU"/>
              </w:rPr>
              <w:t xml:space="preserve"> of students meeting the national minimum standard for numeracy in Year 3 (NAPLAN testing)</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bottom w:val="nil"/>
              <w:right w:val="nil"/>
            </w:tcBorders>
            <w:shd w:val="clear" w:color="auto" w:fill="D9D9D9"/>
            <w:hideMark/>
          </w:tcPr>
          <w:p w:rsidR="00A53D7D" w:rsidRPr="0009155F" w:rsidRDefault="00A53D7D" w:rsidP="005140B4">
            <w:pPr>
              <w:pStyle w:val="OGTableofFigures"/>
              <w:rPr>
                <w:lang w:eastAsia="en-AU"/>
              </w:rPr>
            </w:pPr>
            <w:r w:rsidRPr="0009155F">
              <w:rPr>
                <w:lang w:eastAsia="en-AU"/>
              </w:rPr>
              <w:t>95</w:t>
            </w:r>
          </w:p>
        </w:tc>
        <w:tc>
          <w:tcPr>
            <w:tcW w:w="993" w:type="dxa"/>
            <w:tcBorders>
              <w:top w:val="single" w:sz="6" w:space="0" w:color="auto"/>
              <w:left w:val="nil"/>
              <w:bottom w:val="nil"/>
              <w:right w:val="nil"/>
            </w:tcBorders>
            <w:shd w:val="clear" w:color="auto" w:fill="auto"/>
            <w:hideMark/>
          </w:tcPr>
          <w:p w:rsidR="00A53D7D" w:rsidRPr="00403F6B" w:rsidRDefault="00A53D7D" w:rsidP="005140B4">
            <w:pPr>
              <w:pStyle w:val="OGTableofFigures"/>
              <w:rPr>
                <w:lang w:eastAsia="en-AU"/>
              </w:rPr>
            </w:pPr>
            <w:r w:rsidRPr="0009155F">
              <w:rPr>
                <w:lang w:eastAsia="en-AU"/>
              </w:rPr>
              <w:t>96.2</w:t>
            </w:r>
          </w:p>
        </w:tc>
        <w:tc>
          <w:tcPr>
            <w:tcW w:w="895" w:type="dxa"/>
            <w:tcBorders>
              <w:top w:val="single" w:sz="6" w:space="0" w:color="auto"/>
              <w:left w:val="nil"/>
              <w:bottom w:val="nil"/>
              <w:right w:val="nil"/>
            </w:tcBorders>
            <w:shd w:val="clear" w:color="000000" w:fill="FFFFFF"/>
            <w:hideMark/>
          </w:tcPr>
          <w:p w:rsidR="00A53D7D" w:rsidRPr="0009155F" w:rsidRDefault="00A53D7D" w:rsidP="005140B4">
            <w:pPr>
              <w:pStyle w:val="OGTableofFigures"/>
              <w:rPr>
                <w:lang w:eastAsia="en-AU"/>
              </w:rPr>
            </w:pPr>
            <w:r w:rsidRPr="0009155F">
              <w:rPr>
                <w:lang w:eastAsia="en-AU"/>
              </w:rPr>
              <w:t>95</w:t>
            </w:r>
          </w:p>
        </w:tc>
        <w:tc>
          <w:tcPr>
            <w:tcW w:w="925" w:type="dxa"/>
            <w:gridSpan w:val="2"/>
            <w:tcBorders>
              <w:top w:val="single" w:sz="6" w:space="0" w:color="auto"/>
              <w:left w:val="nil"/>
              <w:bottom w:val="nil"/>
              <w:right w:val="nil"/>
            </w:tcBorders>
            <w:shd w:val="clear" w:color="000000" w:fill="FFFFFF"/>
            <w:hideMark/>
          </w:tcPr>
          <w:p w:rsidR="00A53D7D" w:rsidRPr="0009155F" w:rsidRDefault="00A53D7D" w:rsidP="005140B4">
            <w:pPr>
              <w:pStyle w:val="OGTableofFigures"/>
              <w:rPr>
                <w:lang w:eastAsia="en-AU"/>
              </w:rPr>
            </w:pPr>
            <w:r w:rsidRPr="0009155F">
              <w:rPr>
                <w:lang w:eastAsia="en-AU"/>
              </w:rPr>
              <w:t>95.6</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BF65A0">
              <w:t>This performance measure includes government and non</w:t>
            </w:r>
            <w:r>
              <w:noBreakHyphen/>
            </w:r>
            <w:r w:rsidRPr="00BF65A0">
              <w:t>government schools.</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1 percentage point needs to be considered.</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Pr>
                <w:lang w:eastAsia="en-AU"/>
              </w:rPr>
              <w:t>Percentage</w:t>
            </w:r>
            <w:r w:rsidRPr="005C542E">
              <w:rPr>
                <w:lang w:eastAsia="en-AU"/>
              </w:rPr>
              <w:t xml:space="preserve"> of students meeting the national minimum standard for numeracy in Year 5 (NAPLAN testing)</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9639E5" w:rsidRDefault="00A53D7D" w:rsidP="005140B4">
            <w:pPr>
              <w:pStyle w:val="OGTableofFigures"/>
              <w:rPr>
                <w:lang w:eastAsia="en-AU"/>
              </w:rPr>
            </w:pPr>
            <w:r w:rsidRPr="009639E5">
              <w:rPr>
                <w:lang w:eastAsia="en-AU"/>
              </w:rPr>
              <w:t>95</w:t>
            </w:r>
          </w:p>
        </w:tc>
        <w:tc>
          <w:tcPr>
            <w:tcW w:w="993" w:type="dxa"/>
            <w:tcBorders>
              <w:top w:val="single" w:sz="6" w:space="0" w:color="auto"/>
              <w:left w:val="nil"/>
              <w:right w:val="nil"/>
            </w:tcBorders>
            <w:shd w:val="clear" w:color="auto" w:fill="auto"/>
            <w:hideMark/>
          </w:tcPr>
          <w:p w:rsidR="00A53D7D" w:rsidRPr="00403F6B" w:rsidRDefault="00A53D7D" w:rsidP="005140B4">
            <w:pPr>
              <w:pStyle w:val="OGTableofFigures"/>
              <w:rPr>
                <w:lang w:eastAsia="en-AU"/>
              </w:rPr>
            </w:pPr>
            <w:r w:rsidRPr="009639E5">
              <w:rPr>
                <w:lang w:eastAsia="en-AU"/>
              </w:rPr>
              <w:t>94.4</w:t>
            </w:r>
          </w:p>
        </w:tc>
        <w:tc>
          <w:tcPr>
            <w:tcW w:w="895" w:type="dxa"/>
            <w:tcBorders>
              <w:top w:val="single" w:sz="6" w:space="0" w:color="auto"/>
              <w:left w:val="nil"/>
              <w:right w:val="nil"/>
            </w:tcBorders>
            <w:shd w:val="clear" w:color="000000" w:fill="FFFFFF"/>
            <w:hideMark/>
          </w:tcPr>
          <w:p w:rsidR="00A53D7D" w:rsidRPr="009639E5" w:rsidRDefault="00A53D7D" w:rsidP="005140B4">
            <w:pPr>
              <w:pStyle w:val="OGTableofFigures"/>
              <w:rPr>
                <w:lang w:eastAsia="en-AU"/>
              </w:rPr>
            </w:pPr>
            <w:r w:rsidRPr="009639E5">
              <w:rPr>
                <w:lang w:eastAsia="en-AU"/>
              </w:rPr>
              <w:t>95</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9639E5">
              <w:rPr>
                <w:lang w:eastAsia="en-AU"/>
              </w:rPr>
              <w:t>95</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6E1208">
              <w:t>This performance measure relates to the calendar year.</w:t>
            </w:r>
          </w:p>
          <w:p w:rsidR="00A53D7D" w:rsidRPr="006E1208" w:rsidRDefault="00A53D7D" w:rsidP="005140B4">
            <w:pPr>
              <w:pStyle w:val="OGNotes"/>
              <w:spacing w:after="0"/>
            </w:pPr>
            <w:r w:rsidRPr="00BF65A0">
              <w:t>This performance measure includes government and non</w:t>
            </w:r>
            <w:r>
              <w:noBreakHyphen/>
            </w:r>
            <w:r w:rsidRPr="00BF65A0">
              <w:t>government schools.</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1 percentage point needs to be considered.</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Pr>
                <w:lang w:eastAsia="en-AU"/>
              </w:rPr>
              <w:t>Percentage</w:t>
            </w:r>
            <w:r w:rsidRPr="005C542E">
              <w:rPr>
                <w:lang w:eastAsia="en-AU"/>
              </w:rPr>
              <w:t xml:space="preserve"> of students meeting the national minimum standard for reading in Year 3 (NAPLAN testing)</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9323D5" w:rsidRDefault="00A53D7D" w:rsidP="005140B4">
            <w:pPr>
              <w:pStyle w:val="OGTableofFigures"/>
              <w:rPr>
                <w:lang w:eastAsia="en-AU"/>
              </w:rPr>
            </w:pPr>
            <w:r w:rsidRPr="009323D5">
              <w:rPr>
                <w:lang w:eastAsia="en-AU"/>
              </w:rPr>
              <w:t>95</w:t>
            </w:r>
          </w:p>
        </w:tc>
        <w:tc>
          <w:tcPr>
            <w:tcW w:w="993" w:type="dxa"/>
            <w:tcBorders>
              <w:top w:val="single" w:sz="6" w:space="0" w:color="auto"/>
              <w:left w:val="nil"/>
              <w:right w:val="nil"/>
            </w:tcBorders>
            <w:shd w:val="clear" w:color="auto" w:fill="auto"/>
            <w:hideMark/>
          </w:tcPr>
          <w:p w:rsidR="00A53D7D" w:rsidRPr="00403F6B" w:rsidRDefault="00A53D7D" w:rsidP="005140B4">
            <w:pPr>
              <w:pStyle w:val="OGTableofFigures"/>
              <w:rPr>
                <w:lang w:eastAsia="en-AU"/>
              </w:rPr>
            </w:pPr>
            <w:r w:rsidRPr="009323D5">
              <w:rPr>
                <w:lang w:eastAsia="en-AU"/>
              </w:rPr>
              <w:t>96</w:t>
            </w:r>
          </w:p>
        </w:tc>
        <w:tc>
          <w:tcPr>
            <w:tcW w:w="895" w:type="dxa"/>
            <w:tcBorders>
              <w:top w:val="single" w:sz="6" w:space="0" w:color="auto"/>
              <w:left w:val="nil"/>
              <w:right w:val="nil"/>
            </w:tcBorders>
            <w:shd w:val="clear" w:color="000000" w:fill="FFFFFF"/>
            <w:hideMark/>
          </w:tcPr>
          <w:p w:rsidR="00A53D7D" w:rsidRPr="009323D5" w:rsidRDefault="00A53D7D" w:rsidP="005140B4">
            <w:pPr>
              <w:pStyle w:val="OGTableofFigures"/>
              <w:rPr>
                <w:lang w:eastAsia="en-AU"/>
              </w:rPr>
            </w:pPr>
            <w:r w:rsidRPr="009323D5">
              <w:rPr>
                <w:lang w:eastAsia="en-AU"/>
              </w:rPr>
              <w:t>95</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9323D5">
              <w:rPr>
                <w:lang w:eastAsia="en-AU"/>
              </w:rPr>
              <w:t>95.2</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BF65A0">
              <w:t>This performance measure includes government and non</w:t>
            </w:r>
            <w:r>
              <w:noBreakHyphen/>
            </w:r>
            <w:r w:rsidRPr="00BF65A0">
              <w:t>government schools.</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1 percentage point needs to be considered.</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keepNext/>
              <w:rPr>
                <w:lang w:eastAsia="en-AU"/>
              </w:rPr>
            </w:pPr>
            <w:r>
              <w:rPr>
                <w:lang w:eastAsia="en-AU"/>
              </w:rPr>
              <w:t>Percentage</w:t>
            </w:r>
            <w:r w:rsidRPr="005C542E">
              <w:rPr>
                <w:lang w:eastAsia="en-AU"/>
              </w:rPr>
              <w:t xml:space="preserve"> of students meeting the national minimum standard for reading in Year 5 (NAPLAN testing)</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keepNext/>
              <w:rPr>
                <w:lang w:eastAsia="en-AU"/>
              </w:rPr>
            </w:pPr>
            <w:r>
              <w:rPr>
                <w:lang w:eastAsia="en-AU"/>
              </w:rPr>
              <w:t>per cent</w:t>
            </w:r>
          </w:p>
        </w:tc>
        <w:tc>
          <w:tcPr>
            <w:tcW w:w="909" w:type="dxa"/>
            <w:tcBorders>
              <w:top w:val="single" w:sz="6" w:space="0" w:color="auto"/>
              <w:left w:val="nil"/>
              <w:right w:val="nil"/>
            </w:tcBorders>
            <w:shd w:val="clear" w:color="auto" w:fill="D9D9D9" w:themeFill="background1" w:themeFillShade="D9"/>
            <w:hideMark/>
          </w:tcPr>
          <w:p w:rsidR="00A53D7D" w:rsidRPr="00403F6B" w:rsidRDefault="00A53D7D" w:rsidP="005140B4">
            <w:pPr>
              <w:pStyle w:val="OGTableofFigures"/>
              <w:rPr>
                <w:sz w:val="14"/>
                <w:szCs w:val="14"/>
                <w:lang w:eastAsia="en-AU"/>
              </w:rPr>
            </w:pPr>
            <w:r>
              <w:rPr>
                <w:lang w:eastAsia="en-AU"/>
              </w:rPr>
              <w:t>95</w:t>
            </w:r>
          </w:p>
        </w:tc>
        <w:tc>
          <w:tcPr>
            <w:tcW w:w="993" w:type="dxa"/>
            <w:tcBorders>
              <w:top w:val="single" w:sz="6" w:space="0" w:color="auto"/>
              <w:left w:val="nil"/>
              <w:right w:val="nil"/>
            </w:tcBorders>
            <w:shd w:val="clear" w:color="auto" w:fill="auto"/>
            <w:hideMark/>
          </w:tcPr>
          <w:p w:rsidR="00A53D7D" w:rsidRPr="00403F6B" w:rsidRDefault="00A53D7D" w:rsidP="005140B4">
            <w:pPr>
              <w:pStyle w:val="OGTableofFigures"/>
              <w:rPr>
                <w:lang w:eastAsia="en-AU"/>
              </w:rPr>
            </w:pPr>
            <w:r w:rsidRPr="00A43157">
              <w:rPr>
                <w:lang w:eastAsia="en-AU"/>
              </w:rPr>
              <w:t>96.5</w:t>
            </w:r>
          </w:p>
        </w:tc>
        <w:tc>
          <w:tcPr>
            <w:tcW w:w="895" w:type="dxa"/>
            <w:tcBorders>
              <w:top w:val="single" w:sz="6" w:space="0" w:color="auto"/>
              <w:left w:val="nil"/>
              <w:right w:val="nil"/>
            </w:tcBorders>
            <w:shd w:val="clear" w:color="000000" w:fill="FFFFFF"/>
            <w:hideMark/>
          </w:tcPr>
          <w:p w:rsidR="00A53D7D" w:rsidRPr="00A43157" w:rsidRDefault="00A53D7D" w:rsidP="005140B4">
            <w:pPr>
              <w:pStyle w:val="OGTableofFigures"/>
              <w:rPr>
                <w:lang w:eastAsia="en-AU"/>
              </w:rPr>
            </w:pPr>
            <w:r w:rsidRPr="00A43157">
              <w:rPr>
                <w:lang w:eastAsia="en-AU"/>
              </w:rPr>
              <w:t>94</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A43157">
              <w:rPr>
                <w:lang w:eastAsia="en-AU"/>
              </w:rPr>
              <w:t>94.1</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BF65A0">
              <w:t>This performance measure includes government and non</w:t>
            </w:r>
            <w:r>
              <w:noBreakHyphen/>
            </w:r>
            <w:r w:rsidRPr="00BF65A0">
              <w:t>government schools.</w:t>
            </w:r>
          </w:p>
          <w:p w:rsidR="00A53D7D" w:rsidRDefault="00A53D7D" w:rsidP="005140B4">
            <w:pPr>
              <w:pStyle w:val="OGNotes"/>
              <w:spacing w:after="0"/>
            </w:pPr>
            <w:r w:rsidRPr="00082CD1">
              <w:t>The 2014</w:t>
            </w:r>
            <w:r>
              <w:noBreakHyphen/>
            </w:r>
            <w:r w:rsidRPr="00082CD1">
              <w:t xml:space="preserve">15 </w:t>
            </w:r>
            <w:r>
              <w:t>Target</w:t>
            </w:r>
            <w:r w:rsidRPr="00082CD1">
              <w:t xml:space="preserve"> has been </w:t>
            </w:r>
            <w:r>
              <w:t>raised</w:t>
            </w:r>
            <w:r w:rsidRPr="00082CD1">
              <w:t xml:space="preserve"> following analysis of previous years</w:t>
            </w:r>
            <w:r>
              <w:t>’</w:t>
            </w:r>
            <w:r w:rsidRPr="00082CD1">
              <w:t xml:space="preserve"> targets and outcomes which indicate that outcomes are improving.</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1 percentage point needs to be considered.</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Years 5</w:t>
            </w:r>
            <w:r>
              <w:rPr>
                <w:lang w:eastAsia="en-AU"/>
              </w:rPr>
              <w:t>–</w:t>
            </w:r>
            <w:r w:rsidRPr="005C542E">
              <w:rPr>
                <w:lang w:eastAsia="en-AU"/>
              </w:rPr>
              <w:t>6 students</w:t>
            </w:r>
            <w:r>
              <w:rPr>
                <w:lang w:eastAsia="en-AU"/>
              </w:rPr>
              <w:t>’</w:t>
            </w:r>
            <w:r w:rsidRPr="005C542E">
              <w:rPr>
                <w:lang w:eastAsia="en-AU"/>
              </w:rPr>
              <w:t xml:space="preserve"> opinion of their connectedness with the school</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sidRPr="005C542E">
              <w:rPr>
                <w:lang w:eastAsia="en-AU"/>
              </w:rPr>
              <w:t>number (1</w:t>
            </w:r>
            <w:r>
              <w:rPr>
                <w:lang w:eastAsia="en-AU"/>
              </w:rPr>
              <w:noBreakHyphen/>
            </w:r>
            <w:r w:rsidRPr="005C542E">
              <w:rPr>
                <w:lang w:eastAsia="en-AU"/>
              </w:rPr>
              <w:t>5)</w:t>
            </w:r>
          </w:p>
        </w:tc>
        <w:tc>
          <w:tcPr>
            <w:tcW w:w="909" w:type="dxa"/>
            <w:tcBorders>
              <w:top w:val="single" w:sz="6" w:space="0" w:color="auto"/>
              <w:left w:val="nil"/>
              <w:right w:val="nil"/>
            </w:tcBorders>
            <w:shd w:val="clear" w:color="auto" w:fill="D9D9D9" w:themeFill="background1" w:themeFillShade="D9"/>
            <w:hideMark/>
          </w:tcPr>
          <w:p w:rsidR="00A53D7D" w:rsidRPr="00403F6B" w:rsidRDefault="00A53D7D" w:rsidP="005140B4">
            <w:pPr>
              <w:pStyle w:val="OGTableofFigures"/>
              <w:rPr>
                <w:lang w:eastAsia="en-AU"/>
              </w:rPr>
            </w:pPr>
            <w:r w:rsidRPr="003B67FB">
              <w:rPr>
                <w:lang w:eastAsia="en-AU"/>
              </w:rPr>
              <w:t>4.4</w:t>
            </w:r>
          </w:p>
        </w:tc>
        <w:tc>
          <w:tcPr>
            <w:tcW w:w="993" w:type="dxa"/>
            <w:tcBorders>
              <w:top w:val="single" w:sz="6" w:space="0" w:color="auto"/>
              <w:left w:val="nil"/>
              <w:right w:val="nil"/>
            </w:tcBorders>
            <w:shd w:val="clear" w:color="auto" w:fill="auto"/>
            <w:hideMark/>
          </w:tcPr>
          <w:p w:rsidR="00A53D7D" w:rsidRPr="00403F6B" w:rsidRDefault="00A53D7D" w:rsidP="005140B4">
            <w:pPr>
              <w:pStyle w:val="OGTableofFigures"/>
              <w:rPr>
                <w:lang w:eastAsia="en-AU"/>
              </w:rPr>
            </w:pPr>
            <w:r w:rsidRPr="003B67FB">
              <w:rPr>
                <w:lang w:eastAsia="en-AU"/>
              </w:rPr>
              <w:t>4.4</w:t>
            </w:r>
          </w:p>
        </w:tc>
        <w:tc>
          <w:tcPr>
            <w:tcW w:w="895" w:type="dxa"/>
            <w:tcBorders>
              <w:top w:val="single" w:sz="6" w:space="0" w:color="auto"/>
              <w:left w:val="nil"/>
              <w:right w:val="nil"/>
            </w:tcBorders>
            <w:shd w:val="clear" w:color="000000" w:fill="FFFFFF"/>
            <w:hideMark/>
          </w:tcPr>
          <w:p w:rsidR="00A53D7D" w:rsidRPr="003B67FB" w:rsidRDefault="00A53D7D" w:rsidP="005140B4">
            <w:pPr>
              <w:pStyle w:val="OGTableofFigures"/>
              <w:rPr>
                <w:lang w:eastAsia="en-AU"/>
              </w:rPr>
            </w:pPr>
            <w:r w:rsidRPr="003B67FB">
              <w:rPr>
                <w:lang w:eastAsia="en-AU"/>
              </w:rPr>
              <w:t>4.3</w:t>
            </w:r>
          </w:p>
        </w:tc>
        <w:tc>
          <w:tcPr>
            <w:tcW w:w="925" w:type="dxa"/>
            <w:gridSpan w:val="2"/>
            <w:tcBorders>
              <w:top w:val="single" w:sz="6" w:space="0" w:color="auto"/>
              <w:left w:val="nil"/>
              <w:right w:val="nil"/>
            </w:tcBorders>
            <w:shd w:val="clear" w:color="000000" w:fill="FFFFFF"/>
            <w:hideMark/>
          </w:tcPr>
          <w:p w:rsidR="00A53D7D" w:rsidRPr="003B67FB" w:rsidRDefault="00A53D7D" w:rsidP="005140B4">
            <w:pPr>
              <w:pStyle w:val="OGTableofFigures"/>
              <w:rPr>
                <w:lang w:eastAsia="en-AU"/>
              </w:rPr>
            </w:pPr>
            <w:r w:rsidRPr="003B67FB">
              <w:rPr>
                <w:lang w:eastAsia="en-AU"/>
              </w:rPr>
              <w:t>4.4</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BF65A0">
              <w:t>This performance measure refers to government schools only.</w:t>
            </w:r>
          </w:p>
          <w:p w:rsidR="00A53D7D" w:rsidRDefault="00A53D7D" w:rsidP="005140B4">
            <w:pPr>
              <w:pStyle w:val="OGNotes"/>
              <w:spacing w:after="0"/>
            </w:pPr>
            <w:r w:rsidRPr="0031568B">
              <w:t>The</w:t>
            </w:r>
            <w:r>
              <w:t xml:space="preserve"> 2014–15 Target</w:t>
            </w:r>
            <w:r w:rsidRPr="0031568B">
              <w:t xml:space="preserve"> has been raised to reflect the Department</w:t>
            </w:r>
            <w:r>
              <w:t>’</w:t>
            </w:r>
            <w:r w:rsidRPr="0031568B">
              <w:t>s expectations for the outcomes of Victorian students</w:t>
            </w:r>
            <w:r>
              <w:t>.</w:t>
            </w:r>
          </w:p>
          <w:p w:rsidR="00A53D7D" w:rsidRPr="00F820F9" w:rsidRDefault="00A53D7D" w:rsidP="00F820F9">
            <w:pPr>
              <w:pStyle w:val="OGNotes"/>
            </w:pPr>
            <w:r w:rsidRPr="00F820F9">
              <w:t>Data is drawn from the Attitudes to School Survey, where a higher score represents a higher level of connectedness (that is, students feel they belong and enjoy attending school).</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Quantity</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bottom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Average Prep</w:t>
            </w:r>
            <w:r>
              <w:rPr>
                <w:rFonts w:cs="Calibri"/>
                <w:lang w:eastAsia="en-AU"/>
              </w:rPr>
              <w:t>–</w:t>
            </w:r>
            <w:r w:rsidRPr="005C542E">
              <w:rPr>
                <w:lang w:eastAsia="en-AU"/>
              </w:rPr>
              <w:t>Year 2 class size</w:t>
            </w:r>
          </w:p>
        </w:tc>
        <w:tc>
          <w:tcPr>
            <w:tcW w:w="952" w:type="dxa"/>
            <w:gridSpan w:val="2"/>
            <w:tcBorders>
              <w:top w:val="nil"/>
              <w:left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nil"/>
              <w:left w:val="nil"/>
              <w:right w:val="nil"/>
            </w:tcBorders>
            <w:shd w:val="clear" w:color="auto" w:fill="D9D9D9"/>
            <w:hideMark/>
          </w:tcPr>
          <w:p w:rsidR="00A53D7D" w:rsidRPr="00455FD1" w:rsidRDefault="00A53D7D" w:rsidP="005140B4">
            <w:pPr>
              <w:pStyle w:val="OGTableofFigures"/>
              <w:rPr>
                <w:lang w:eastAsia="en-AU"/>
              </w:rPr>
            </w:pPr>
            <w:r w:rsidRPr="00455FD1">
              <w:rPr>
                <w:lang w:eastAsia="en-AU"/>
              </w:rPr>
              <w:t>21</w:t>
            </w:r>
          </w:p>
        </w:tc>
        <w:tc>
          <w:tcPr>
            <w:tcW w:w="993" w:type="dxa"/>
            <w:tcBorders>
              <w:top w:val="nil"/>
              <w:left w:val="nil"/>
              <w:right w:val="nil"/>
            </w:tcBorders>
            <w:shd w:val="clear" w:color="auto" w:fill="auto"/>
            <w:hideMark/>
          </w:tcPr>
          <w:p w:rsidR="00A53D7D" w:rsidRPr="00403F6B" w:rsidRDefault="00A53D7D" w:rsidP="005140B4">
            <w:pPr>
              <w:pStyle w:val="OGTableofFigures"/>
              <w:rPr>
                <w:lang w:eastAsia="en-AU"/>
              </w:rPr>
            </w:pPr>
            <w:r w:rsidRPr="00455FD1">
              <w:rPr>
                <w:lang w:eastAsia="en-AU"/>
              </w:rPr>
              <w:t>20.8</w:t>
            </w:r>
          </w:p>
        </w:tc>
        <w:tc>
          <w:tcPr>
            <w:tcW w:w="895" w:type="dxa"/>
            <w:tcBorders>
              <w:top w:val="nil"/>
              <w:left w:val="nil"/>
              <w:right w:val="nil"/>
            </w:tcBorders>
            <w:shd w:val="clear" w:color="000000" w:fill="FFFFFF"/>
            <w:hideMark/>
          </w:tcPr>
          <w:p w:rsidR="00A53D7D" w:rsidRPr="00455FD1" w:rsidRDefault="00A53D7D" w:rsidP="005140B4">
            <w:pPr>
              <w:pStyle w:val="OGTableofFigures"/>
              <w:rPr>
                <w:lang w:eastAsia="en-AU"/>
              </w:rPr>
            </w:pPr>
            <w:r w:rsidRPr="00455FD1">
              <w:rPr>
                <w:lang w:eastAsia="en-AU"/>
              </w:rPr>
              <w:t>21</w:t>
            </w:r>
          </w:p>
        </w:tc>
        <w:tc>
          <w:tcPr>
            <w:tcW w:w="925" w:type="dxa"/>
            <w:gridSpan w:val="2"/>
            <w:tcBorders>
              <w:top w:val="nil"/>
              <w:left w:val="nil"/>
              <w:right w:val="nil"/>
            </w:tcBorders>
            <w:shd w:val="clear" w:color="000000" w:fill="FFFFFF"/>
            <w:hideMark/>
          </w:tcPr>
          <w:p w:rsidR="00A53D7D" w:rsidRDefault="00A53D7D" w:rsidP="005140B4">
            <w:pPr>
              <w:pStyle w:val="OGTableofFigures"/>
              <w:rPr>
                <w:lang w:eastAsia="en-AU"/>
              </w:rPr>
            </w:pPr>
            <w:r w:rsidRPr="00455FD1">
              <w:rPr>
                <w:lang w:eastAsia="en-AU"/>
              </w:rPr>
              <w:t>20.7</w:t>
            </w:r>
          </w:p>
        </w:tc>
      </w:tr>
      <w:tr w:rsidR="00A53D7D" w:rsidRPr="005C542E" w:rsidTr="005140B4">
        <w:trPr>
          <w:cantSplit/>
        </w:trPr>
        <w:tc>
          <w:tcPr>
            <w:tcW w:w="7782" w:type="dxa"/>
            <w:gridSpan w:val="8"/>
            <w:tcBorders>
              <w:top w:val="nil"/>
              <w:left w:val="nil"/>
              <w:bottom w:val="single" w:sz="6" w:space="0" w:color="auto"/>
              <w:right w:val="nil"/>
            </w:tcBorders>
            <w:shd w:val="clear" w:color="000000" w:fill="FFFFFF"/>
          </w:tcPr>
          <w:p w:rsidR="00A53D7D" w:rsidRDefault="00A53D7D" w:rsidP="005140B4">
            <w:pPr>
              <w:pStyle w:val="OGNotes"/>
              <w:spacing w:after="0"/>
            </w:pPr>
            <w:r w:rsidRPr="00BF40B1">
              <w:t>This performance measure relates to the calendar year.</w:t>
            </w:r>
          </w:p>
          <w:p w:rsidR="00A53D7D" w:rsidRPr="00F820F9" w:rsidRDefault="00A53D7D" w:rsidP="00F820F9">
            <w:pPr>
              <w:pStyle w:val="OGNotes"/>
            </w:pPr>
            <w:r w:rsidRPr="00F820F9">
              <w:t>This performance measure captures government schools only. Class size data based on the February school census.</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rPr>
                <w:lang w:eastAsia="en-AU"/>
              </w:rPr>
            </w:pPr>
            <w:r w:rsidRPr="005C542E">
              <w:rPr>
                <w:lang w:eastAsia="en-AU"/>
              </w:rPr>
              <w:t>Average rate of student attendance at Year</w:t>
            </w:r>
            <w:r>
              <w:rPr>
                <w:lang w:eastAsia="en-AU"/>
              </w:rPr>
              <w:t> </w:t>
            </w:r>
            <w:r w:rsidRPr="005C542E">
              <w:rPr>
                <w:lang w:eastAsia="en-AU"/>
              </w:rPr>
              <w:t>5</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bottom w:val="nil"/>
              <w:right w:val="nil"/>
            </w:tcBorders>
            <w:shd w:val="clear" w:color="auto" w:fill="D9D9D9" w:themeFill="background1" w:themeFillShade="D9"/>
            <w:hideMark/>
          </w:tcPr>
          <w:p w:rsidR="00A53D7D" w:rsidRPr="00CD5CF3" w:rsidRDefault="00A53D7D" w:rsidP="005140B4">
            <w:pPr>
              <w:pStyle w:val="OGTableofFigures"/>
              <w:rPr>
                <w:lang w:eastAsia="en-AU"/>
              </w:rPr>
            </w:pPr>
            <w:r>
              <w:rPr>
                <w:lang w:eastAsia="en-AU"/>
              </w:rPr>
              <w:t>94</w:t>
            </w:r>
          </w:p>
        </w:tc>
        <w:tc>
          <w:tcPr>
            <w:tcW w:w="993" w:type="dxa"/>
            <w:tcBorders>
              <w:top w:val="single" w:sz="6" w:space="0" w:color="auto"/>
              <w:left w:val="nil"/>
              <w:bottom w:val="nil"/>
              <w:right w:val="nil"/>
            </w:tcBorders>
            <w:shd w:val="clear" w:color="000000" w:fill="FFFFFF"/>
            <w:hideMark/>
          </w:tcPr>
          <w:p w:rsidR="00A53D7D" w:rsidRPr="00310B9F" w:rsidRDefault="00A53D7D" w:rsidP="005140B4">
            <w:pPr>
              <w:pStyle w:val="OGTableofFigures"/>
              <w:rPr>
                <w:lang w:eastAsia="en-AU"/>
              </w:rPr>
            </w:pPr>
            <w:r w:rsidRPr="00310B9F">
              <w:rPr>
                <w:lang w:eastAsia="en-AU"/>
              </w:rPr>
              <w:t>93</w:t>
            </w:r>
          </w:p>
        </w:tc>
        <w:tc>
          <w:tcPr>
            <w:tcW w:w="895" w:type="dxa"/>
            <w:tcBorders>
              <w:top w:val="single" w:sz="6" w:space="0" w:color="auto"/>
              <w:left w:val="nil"/>
              <w:bottom w:val="nil"/>
              <w:right w:val="nil"/>
            </w:tcBorders>
            <w:shd w:val="clear" w:color="000000" w:fill="FFFFFF"/>
            <w:hideMark/>
          </w:tcPr>
          <w:p w:rsidR="00A53D7D" w:rsidRPr="00310B9F" w:rsidRDefault="00A53D7D" w:rsidP="005140B4">
            <w:pPr>
              <w:pStyle w:val="OGTableofFigures"/>
              <w:rPr>
                <w:lang w:eastAsia="en-AU"/>
              </w:rPr>
            </w:pPr>
            <w:r w:rsidRPr="00310B9F">
              <w:rPr>
                <w:lang w:eastAsia="en-AU"/>
              </w:rPr>
              <w:t>94</w:t>
            </w:r>
          </w:p>
        </w:tc>
        <w:tc>
          <w:tcPr>
            <w:tcW w:w="925" w:type="dxa"/>
            <w:gridSpan w:val="2"/>
            <w:tcBorders>
              <w:top w:val="single" w:sz="6" w:space="0" w:color="auto"/>
              <w:left w:val="nil"/>
              <w:bottom w:val="nil"/>
              <w:right w:val="nil"/>
            </w:tcBorders>
            <w:shd w:val="clear" w:color="000000" w:fill="FFFFFF"/>
            <w:hideMark/>
          </w:tcPr>
          <w:p w:rsidR="00A53D7D" w:rsidRDefault="00A53D7D" w:rsidP="005140B4">
            <w:pPr>
              <w:pStyle w:val="OGTableofFigures"/>
              <w:rPr>
                <w:lang w:eastAsia="en-AU"/>
              </w:rPr>
            </w:pPr>
            <w:r w:rsidRPr="00310B9F">
              <w:rPr>
                <w:lang w:eastAsia="en-AU"/>
              </w:rPr>
              <w:t>93</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BF65A0">
              <w:t>This performance measure refers to government schools only.</w:t>
            </w:r>
          </w:p>
          <w:p w:rsidR="00A53D7D" w:rsidRPr="00F820F9" w:rsidRDefault="00A53D7D" w:rsidP="00F820F9">
            <w:pPr>
              <w:pStyle w:val="OGNotes"/>
            </w:pPr>
            <w:r w:rsidRPr="00F820F9">
              <w:t>The attendance rate covers all absences, including those due to illness and approved family holidays.</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rPr>
                <w:lang w:eastAsia="en-AU"/>
              </w:rPr>
            </w:pPr>
            <w:r w:rsidRPr="005C542E">
              <w:rPr>
                <w:lang w:eastAsia="en-AU"/>
              </w:rPr>
              <w:t>Average rate of student attendance at Year</w:t>
            </w:r>
            <w:r>
              <w:rPr>
                <w:lang w:eastAsia="en-AU"/>
              </w:rPr>
              <w:t> </w:t>
            </w:r>
            <w:r w:rsidRPr="005C542E">
              <w:rPr>
                <w:lang w:eastAsia="en-AU"/>
              </w:rPr>
              <w:t>6</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bottom w:val="nil"/>
              <w:right w:val="nil"/>
            </w:tcBorders>
            <w:shd w:val="clear" w:color="auto" w:fill="D9D9D9" w:themeFill="background1" w:themeFillShade="D9"/>
            <w:hideMark/>
          </w:tcPr>
          <w:p w:rsidR="00A53D7D" w:rsidRPr="001B3E9C" w:rsidRDefault="00A53D7D" w:rsidP="005140B4">
            <w:pPr>
              <w:pStyle w:val="OGTableofFigures"/>
              <w:rPr>
                <w:lang w:eastAsia="en-AU"/>
              </w:rPr>
            </w:pPr>
            <w:r>
              <w:rPr>
                <w:lang w:eastAsia="en-AU"/>
              </w:rPr>
              <w:t>94</w:t>
            </w:r>
          </w:p>
        </w:tc>
        <w:tc>
          <w:tcPr>
            <w:tcW w:w="993" w:type="dxa"/>
            <w:tcBorders>
              <w:top w:val="single" w:sz="6" w:space="0" w:color="auto"/>
              <w:left w:val="nil"/>
              <w:bottom w:val="nil"/>
              <w:right w:val="nil"/>
            </w:tcBorders>
            <w:shd w:val="clear" w:color="000000" w:fill="FFFFFF"/>
            <w:hideMark/>
          </w:tcPr>
          <w:p w:rsidR="00A53D7D" w:rsidRPr="00310B9F" w:rsidRDefault="00A53D7D" w:rsidP="005140B4">
            <w:pPr>
              <w:pStyle w:val="OGTableofFigures"/>
              <w:rPr>
                <w:lang w:eastAsia="en-AU"/>
              </w:rPr>
            </w:pPr>
            <w:r w:rsidRPr="00310B9F">
              <w:rPr>
                <w:lang w:eastAsia="en-AU"/>
              </w:rPr>
              <w:t>93</w:t>
            </w:r>
          </w:p>
        </w:tc>
        <w:tc>
          <w:tcPr>
            <w:tcW w:w="895" w:type="dxa"/>
            <w:tcBorders>
              <w:top w:val="single" w:sz="6" w:space="0" w:color="auto"/>
              <w:left w:val="nil"/>
              <w:bottom w:val="nil"/>
              <w:right w:val="nil"/>
            </w:tcBorders>
            <w:shd w:val="clear" w:color="000000" w:fill="FFFFFF"/>
            <w:hideMark/>
          </w:tcPr>
          <w:p w:rsidR="00A53D7D" w:rsidRPr="00D67513" w:rsidRDefault="00A53D7D" w:rsidP="005140B4">
            <w:pPr>
              <w:pStyle w:val="OGTableofFigures"/>
              <w:rPr>
                <w:lang w:eastAsia="en-AU"/>
              </w:rPr>
            </w:pPr>
            <w:r w:rsidRPr="00D67513">
              <w:rPr>
                <w:lang w:eastAsia="en-AU"/>
              </w:rPr>
              <w:t>94</w:t>
            </w:r>
          </w:p>
        </w:tc>
        <w:tc>
          <w:tcPr>
            <w:tcW w:w="925" w:type="dxa"/>
            <w:gridSpan w:val="2"/>
            <w:tcBorders>
              <w:top w:val="single" w:sz="6" w:space="0" w:color="auto"/>
              <w:left w:val="nil"/>
              <w:bottom w:val="nil"/>
              <w:right w:val="nil"/>
            </w:tcBorders>
            <w:shd w:val="clear" w:color="000000" w:fill="FFFFFF"/>
            <w:hideMark/>
          </w:tcPr>
          <w:p w:rsidR="00A53D7D" w:rsidRDefault="00A53D7D" w:rsidP="005140B4">
            <w:pPr>
              <w:pStyle w:val="OGTableofFigures"/>
              <w:rPr>
                <w:lang w:eastAsia="en-AU"/>
              </w:rPr>
            </w:pPr>
            <w:r w:rsidRPr="00D67513">
              <w:rPr>
                <w:lang w:eastAsia="en-AU"/>
              </w:rPr>
              <w:t>93</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BF65A0">
              <w:t>This performance measure refers to government schools only.</w:t>
            </w:r>
          </w:p>
          <w:p w:rsidR="00A53D7D" w:rsidRPr="00F820F9" w:rsidRDefault="00A53D7D" w:rsidP="00F820F9">
            <w:pPr>
              <w:pStyle w:val="OGNotes"/>
            </w:pPr>
            <w:r w:rsidRPr="00F820F9">
              <w:t>The attendance rate covers all absences, including those due to illness and approved family holidays.</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Investment in non</w:t>
            </w:r>
            <w:r>
              <w:rPr>
                <w:lang w:eastAsia="en-AU"/>
              </w:rPr>
              <w:noBreakHyphen/>
            </w:r>
            <w:r w:rsidRPr="005C542E">
              <w:rPr>
                <w:lang w:eastAsia="en-AU"/>
              </w:rPr>
              <w:t>government schools (</w:t>
            </w:r>
            <w:r>
              <w:rPr>
                <w:lang w:eastAsia="en-AU"/>
              </w:rPr>
              <w:t>p</w:t>
            </w:r>
            <w:r w:rsidRPr="005C542E">
              <w:rPr>
                <w:lang w:eastAsia="en-AU"/>
              </w:rPr>
              <w:t>rimary)</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t>$ million</w:t>
            </w:r>
          </w:p>
        </w:tc>
        <w:tc>
          <w:tcPr>
            <w:tcW w:w="909" w:type="dxa"/>
            <w:tcBorders>
              <w:top w:val="single" w:sz="6" w:space="0" w:color="auto"/>
              <w:left w:val="nil"/>
              <w:right w:val="nil"/>
            </w:tcBorders>
            <w:shd w:val="clear" w:color="auto" w:fill="D9D9D9"/>
            <w:hideMark/>
          </w:tcPr>
          <w:p w:rsidR="00A53D7D" w:rsidRPr="00D81044" w:rsidRDefault="00A53D7D" w:rsidP="005140B4">
            <w:pPr>
              <w:pStyle w:val="OGTableofFigures"/>
              <w:rPr>
                <w:lang w:eastAsia="en-AU"/>
              </w:rPr>
            </w:pPr>
            <w:r>
              <w:rPr>
                <w:lang w:eastAsia="en-AU"/>
              </w:rPr>
              <w:t>323.1</w:t>
            </w:r>
          </w:p>
        </w:tc>
        <w:tc>
          <w:tcPr>
            <w:tcW w:w="993" w:type="dxa"/>
            <w:tcBorders>
              <w:top w:val="single" w:sz="6" w:space="0" w:color="auto"/>
              <w:left w:val="nil"/>
              <w:right w:val="nil"/>
            </w:tcBorders>
            <w:shd w:val="clear" w:color="000000" w:fill="FFFFFF"/>
            <w:hideMark/>
          </w:tcPr>
          <w:p w:rsidR="00A53D7D" w:rsidRPr="00D81044" w:rsidRDefault="00A53D7D" w:rsidP="005140B4">
            <w:pPr>
              <w:pStyle w:val="OGTableofFigures"/>
              <w:rPr>
                <w:lang w:eastAsia="en-AU"/>
              </w:rPr>
            </w:pPr>
            <w:r>
              <w:rPr>
                <w:lang w:eastAsia="en-AU"/>
              </w:rPr>
              <w:t>322.5</w:t>
            </w:r>
          </w:p>
        </w:tc>
        <w:tc>
          <w:tcPr>
            <w:tcW w:w="895" w:type="dxa"/>
            <w:tcBorders>
              <w:top w:val="single" w:sz="6" w:space="0" w:color="auto"/>
              <w:left w:val="nil"/>
              <w:right w:val="nil"/>
            </w:tcBorders>
            <w:shd w:val="clear" w:color="000000" w:fill="FFFFFF"/>
            <w:hideMark/>
          </w:tcPr>
          <w:p w:rsidR="00A53D7D" w:rsidRPr="00D81044" w:rsidRDefault="00A53D7D" w:rsidP="005140B4">
            <w:pPr>
              <w:pStyle w:val="OGTableofFigures"/>
              <w:rPr>
                <w:lang w:eastAsia="en-AU"/>
              </w:rPr>
            </w:pPr>
            <w:r w:rsidRPr="00D81044">
              <w:rPr>
                <w:lang w:eastAsia="en-AU"/>
              </w:rPr>
              <w:t>320.5</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764C5C">
              <w:rPr>
                <w:lang w:eastAsia="en-AU"/>
              </w:rPr>
              <w:t>319.5</w:t>
            </w:r>
          </w:p>
        </w:tc>
      </w:tr>
      <w:tr w:rsidR="00A53D7D" w:rsidRPr="005C542E" w:rsidTr="005140B4">
        <w:trPr>
          <w:cantSplit/>
        </w:trPr>
        <w:tc>
          <w:tcPr>
            <w:tcW w:w="7782" w:type="dxa"/>
            <w:gridSpan w:val="8"/>
            <w:tcBorders>
              <w:left w:val="nil"/>
              <w:bottom w:val="single" w:sz="6" w:space="0" w:color="auto"/>
              <w:right w:val="nil"/>
            </w:tcBorders>
            <w:shd w:val="clear" w:color="000000" w:fill="FFFFFF"/>
          </w:tcPr>
          <w:p w:rsidR="00A53D7D" w:rsidRPr="004B2922" w:rsidRDefault="00A53D7D" w:rsidP="005140B4">
            <w:pPr>
              <w:pStyle w:val="OGTabText"/>
              <w:ind w:left="397"/>
              <w:rPr>
                <w:lang w:eastAsia="en-AU"/>
              </w:rPr>
            </w:pPr>
            <w:r w:rsidRPr="00FF03B7">
              <w:rPr>
                <w:i/>
                <w:sz w:val="15"/>
                <w:szCs w:val="20"/>
                <w:lang w:eastAsia="en-AU"/>
              </w:rPr>
              <w:t>The 2014</w:t>
            </w:r>
            <w:r>
              <w:rPr>
                <w:i/>
                <w:sz w:val="15"/>
                <w:szCs w:val="20"/>
                <w:lang w:eastAsia="en-AU"/>
              </w:rPr>
              <w:noBreakHyphen/>
            </w:r>
            <w:r w:rsidRPr="00FF03B7">
              <w:rPr>
                <w:i/>
                <w:sz w:val="15"/>
                <w:szCs w:val="20"/>
                <w:lang w:eastAsia="en-AU"/>
              </w:rPr>
              <w:t xml:space="preserve">15 </w:t>
            </w:r>
            <w:r>
              <w:rPr>
                <w:i/>
                <w:sz w:val="15"/>
                <w:szCs w:val="20"/>
                <w:lang w:eastAsia="en-AU"/>
              </w:rPr>
              <w:t>Target</w:t>
            </w:r>
            <w:r w:rsidRPr="00FF03B7">
              <w:rPr>
                <w:i/>
                <w:sz w:val="15"/>
                <w:szCs w:val="20"/>
                <w:lang w:eastAsia="en-AU"/>
              </w:rPr>
              <w:t xml:space="preserve"> </w:t>
            </w:r>
            <w:r>
              <w:rPr>
                <w:i/>
                <w:sz w:val="15"/>
                <w:szCs w:val="20"/>
                <w:lang w:eastAsia="en-AU"/>
              </w:rPr>
              <w:t>is higher than the</w:t>
            </w:r>
            <w:r w:rsidRPr="00FF03B7">
              <w:rPr>
                <w:i/>
                <w:sz w:val="15"/>
                <w:szCs w:val="20"/>
                <w:lang w:eastAsia="en-AU"/>
              </w:rPr>
              <w:t xml:space="preserve"> 2013</w:t>
            </w:r>
            <w:r>
              <w:rPr>
                <w:i/>
                <w:sz w:val="15"/>
                <w:szCs w:val="20"/>
                <w:lang w:eastAsia="en-AU"/>
              </w:rPr>
              <w:noBreakHyphen/>
            </w:r>
            <w:r w:rsidRPr="00FF03B7">
              <w:rPr>
                <w:i/>
                <w:sz w:val="15"/>
                <w:szCs w:val="20"/>
                <w:lang w:eastAsia="en-AU"/>
              </w:rPr>
              <w:t xml:space="preserve">14 </w:t>
            </w:r>
            <w:r>
              <w:rPr>
                <w:i/>
                <w:sz w:val="15"/>
                <w:szCs w:val="20"/>
                <w:lang w:eastAsia="en-AU"/>
              </w:rPr>
              <w:t>Target</w:t>
            </w:r>
            <w:r w:rsidRPr="00FF03B7">
              <w:rPr>
                <w:i/>
                <w:sz w:val="15"/>
                <w:szCs w:val="20"/>
                <w:lang w:eastAsia="en-AU"/>
              </w:rPr>
              <w:t xml:space="preserve"> primarily </w:t>
            </w:r>
            <w:r>
              <w:rPr>
                <w:i/>
                <w:sz w:val="15"/>
                <w:szCs w:val="20"/>
                <w:lang w:eastAsia="en-AU"/>
              </w:rPr>
              <w:t xml:space="preserve">due to </w:t>
            </w:r>
            <w:r w:rsidRPr="00FF03B7">
              <w:rPr>
                <w:i/>
                <w:sz w:val="15"/>
                <w:szCs w:val="20"/>
                <w:lang w:eastAsia="en-AU"/>
              </w:rPr>
              <w:t xml:space="preserve">indexation and is mitigated by the redirection of </w:t>
            </w:r>
            <w:r w:rsidRPr="00F820F9">
              <w:rPr>
                <w:rStyle w:val="OGNotesChar"/>
              </w:rPr>
              <w:t>Low Socio</w:t>
            </w:r>
            <w:r w:rsidRPr="00F820F9">
              <w:rPr>
                <w:rStyle w:val="OGNotesChar"/>
              </w:rPr>
              <w:noBreakHyphen/>
              <w:t>Economic Status National Partnership funding being directly provided to the non</w:t>
            </w:r>
            <w:r w:rsidRPr="00F820F9">
              <w:rPr>
                <w:rStyle w:val="OGNotesChar"/>
              </w:rPr>
              <w:noBreakHyphen/>
              <w:t>government school sector via the Victorian/Commonwealth school funding commitment.</w:t>
            </w:r>
          </w:p>
        </w:tc>
      </w:tr>
      <w:tr w:rsidR="00A53D7D" w:rsidRPr="005C542E" w:rsidTr="00F820F9">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keepNext/>
              <w:ind w:left="142"/>
              <w:rPr>
                <w:lang w:eastAsia="en-AU"/>
              </w:rPr>
            </w:pPr>
            <w:r w:rsidRPr="005C542E">
              <w:rPr>
                <w:lang w:eastAsia="en-AU"/>
              </w:rPr>
              <w:t>Number of Assistant Principals, aspiring leaders and leadership teams participating in leadership development programs</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single" w:sz="6" w:space="0" w:color="auto"/>
              <w:left w:val="nil"/>
              <w:right w:val="nil"/>
            </w:tcBorders>
            <w:shd w:val="clear" w:color="auto" w:fill="D9D9D9"/>
            <w:hideMark/>
          </w:tcPr>
          <w:p w:rsidR="00A53D7D" w:rsidRPr="00EA5F0D" w:rsidRDefault="00A53D7D" w:rsidP="005140B4">
            <w:pPr>
              <w:pStyle w:val="OGTableofFigures"/>
              <w:rPr>
                <w:lang w:eastAsia="en-AU"/>
              </w:rPr>
            </w:pPr>
            <w:r w:rsidRPr="00333AF8">
              <w:t>900</w:t>
            </w:r>
          </w:p>
        </w:tc>
        <w:tc>
          <w:tcPr>
            <w:tcW w:w="993" w:type="dxa"/>
            <w:tcBorders>
              <w:top w:val="single" w:sz="6" w:space="0" w:color="auto"/>
              <w:left w:val="nil"/>
              <w:right w:val="nil"/>
            </w:tcBorders>
            <w:shd w:val="clear" w:color="000000" w:fill="FFFFFF"/>
            <w:hideMark/>
          </w:tcPr>
          <w:p w:rsidR="00A53D7D" w:rsidRPr="00EA5F0D" w:rsidRDefault="00A53D7D" w:rsidP="005140B4">
            <w:pPr>
              <w:pStyle w:val="OGTableofFigures"/>
              <w:rPr>
                <w:lang w:eastAsia="en-AU"/>
              </w:rPr>
            </w:pPr>
            <w:r w:rsidRPr="00333AF8">
              <w:t>949</w:t>
            </w:r>
          </w:p>
        </w:tc>
        <w:tc>
          <w:tcPr>
            <w:tcW w:w="895" w:type="dxa"/>
            <w:tcBorders>
              <w:top w:val="single" w:sz="6" w:space="0" w:color="auto"/>
              <w:left w:val="nil"/>
              <w:right w:val="nil"/>
            </w:tcBorders>
            <w:shd w:val="clear" w:color="000000" w:fill="FFFFFF"/>
            <w:hideMark/>
          </w:tcPr>
          <w:p w:rsidR="00A53D7D" w:rsidRPr="00EA5F0D" w:rsidRDefault="00A53D7D" w:rsidP="005140B4">
            <w:pPr>
              <w:pStyle w:val="OGTableofFigures"/>
              <w:rPr>
                <w:lang w:eastAsia="en-AU"/>
              </w:rPr>
            </w:pPr>
            <w:r w:rsidRPr="00EA5F0D">
              <w:rPr>
                <w:lang w:eastAsia="en-AU"/>
              </w:rPr>
              <w:t>700</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EA5F0D">
              <w:rPr>
                <w:lang w:eastAsia="en-AU"/>
              </w:rPr>
              <w:t>826</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BF65A0">
              <w:t>This performance measure refers to government schools only.</w:t>
            </w:r>
          </w:p>
          <w:p w:rsidR="00A53D7D" w:rsidRDefault="00A53D7D" w:rsidP="005140B4">
            <w:pPr>
              <w:pStyle w:val="OGNotes"/>
              <w:spacing w:after="0"/>
            </w:pPr>
            <w:r>
              <w:t>The 2013</w:t>
            </w:r>
            <w:r>
              <w:noBreakHyphen/>
              <w:t>14 expected outcome is higher than the 2013</w:t>
            </w:r>
            <w:r>
              <w:noBreakHyphen/>
              <w:t>14 target due to an increase in the number of courses provided and delivery from a dedicated facility that has reduced the cost in venue hire.</w:t>
            </w:r>
          </w:p>
          <w:p w:rsidR="00A53D7D" w:rsidRPr="00F820F9" w:rsidRDefault="00A53D7D" w:rsidP="00F820F9">
            <w:pPr>
              <w:pStyle w:val="OGNotes"/>
            </w:pPr>
            <w:r w:rsidRPr="00F820F9">
              <w:t>The higher 2014</w:t>
            </w:r>
            <w:r w:rsidRPr="00F820F9">
              <w:noBreakHyphen/>
              <w:t>15 target reflects changes in program delivery design and implementation, including increases in regional course provision.</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rPr>
                <w:lang w:eastAsia="en-AU"/>
              </w:rPr>
            </w:pPr>
            <w:r w:rsidRPr="005C542E">
              <w:rPr>
                <w:lang w:eastAsia="en-AU"/>
              </w:rPr>
              <w:t xml:space="preserve">Number of Principals participating in </w:t>
            </w:r>
            <w:proofErr w:type="spellStart"/>
            <w:r w:rsidRPr="005C542E">
              <w:rPr>
                <w:lang w:eastAsia="en-AU"/>
              </w:rPr>
              <w:t>statewide</w:t>
            </w:r>
            <w:proofErr w:type="spellEnd"/>
            <w:r w:rsidRPr="005C542E">
              <w:rPr>
                <w:lang w:eastAsia="en-AU"/>
              </w:rPr>
              <w:t>, centrally funded leadership development programs</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keepNext/>
              <w:rPr>
                <w:lang w:eastAsia="en-AU"/>
              </w:rPr>
            </w:pPr>
            <w:r w:rsidRPr="005C542E">
              <w:rPr>
                <w:lang w:eastAsia="en-AU"/>
              </w:rPr>
              <w:t>number</w:t>
            </w:r>
          </w:p>
        </w:tc>
        <w:tc>
          <w:tcPr>
            <w:tcW w:w="909" w:type="dxa"/>
            <w:tcBorders>
              <w:top w:val="single" w:sz="6" w:space="0" w:color="auto"/>
              <w:left w:val="nil"/>
              <w:bottom w:val="nil"/>
              <w:right w:val="nil"/>
            </w:tcBorders>
            <w:shd w:val="clear" w:color="auto" w:fill="D9D9D9"/>
            <w:hideMark/>
          </w:tcPr>
          <w:p w:rsidR="00A53D7D" w:rsidRPr="00A00BD3" w:rsidRDefault="00A53D7D" w:rsidP="005140B4">
            <w:pPr>
              <w:pStyle w:val="OGTableofFigures"/>
              <w:rPr>
                <w:lang w:eastAsia="en-AU"/>
              </w:rPr>
            </w:pPr>
            <w:r w:rsidRPr="00871F55">
              <w:t>380</w:t>
            </w:r>
          </w:p>
        </w:tc>
        <w:tc>
          <w:tcPr>
            <w:tcW w:w="993" w:type="dxa"/>
            <w:tcBorders>
              <w:top w:val="single" w:sz="6" w:space="0" w:color="auto"/>
              <w:left w:val="nil"/>
              <w:bottom w:val="nil"/>
              <w:right w:val="nil"/>
            </w:tcBorders>
            <w:shd w:val="clear" w:color="000000" w:fill="FFFFFF"/>
            <w:hideMark/>
          </w:tcPr>
          <w:p w:rsidR="00A53D7D" w:rsidRPr="00A00BD3" w:rsidRDefault="00A53D7D" w:rsidP="005140B4">
            <w:pPr>
              <w:pStyle w:val="OGTableofFigures"/>
              <w:rPr>
                <w:lang w:eastAsia="en-AU"/>
              </w:rPr>
            </w:pPr>
            <w:r w:rsidRPr="00871F55">
              <w:t>380</w:t>
            </w:r>
          </w:p>
        </w:tc>
        <w:tc>
          <w:tcPr>
            <w:tcW w:w="895" w:type="dxa"/>
            <w:tcBorders>
              <w:top w:val="single" w:sz="6" w:space="0" w:color="auto"/>
              <w:left w:val="nil"/>
              <w:bottom w:val="nil"/>
              <w:right w:val="nil"/>
            </w:tcBorders>
            <w:shd w:val="clear" w:color="000000" w:fill="FFFFFF"/>
            <w:hideMark/>
          </w:tcPr>
          <w:p w:rsidR="00A53D7D" w:rsidRPr="00A00BD3" w:rsidRDefault="00A53D7D" w:rsidP="005140B4">
            <w:pPr>
              <w:pStyle w:val="OGTableofFigures"/>
              <w:rPr>
                <w:lang w:eastAsia="en-AU"/>
              </w:rPr>
            </w:pPr>
            <w:r w:rsidRPr="00A00BD3">
              <w:rPr>
                <w:lang w:eastAsia="en-AU"/>
              </w:rPr>
              <w:t>350</w:t>
            </w:r>
          </w:p>
        </w:tc>
        <w:tc>
          <w:tcPr>
            <w:tcW w:w="925" w:type="dxa"/>
            <w:gridSpan w:val="2"/>
            <w:tcBorders>
              <w:top w:val="single" w:sz="6" w:space="0" w:color="auto"/>
              <w:left w:val="nil"/>
              <w:bottom w:val="nil"/>
              <w:right w:val="nil"/>
            </w:tcBorders>
            <w:shd w:val="clear" w:color="000000" w:fill="FFFFFF"/>
            <w:hideMark/>
          </w:tcPr>
          <w:p w:rsidR="00A53D7D" w:rsidRDefault="00A53D7D" w:rsidP="005140B4">
            <w:pPr>
              <w:pStyle w:val="OGTableofFigures"/>
              <w:rPr>
                <w:lang w:eastAsia="en-AU"/>
              </w:rPr>
            </w:pPr>
            <w:r w:rsidRPr="00A00BD3">
              <w:rPr>
                <w:lang w:eastAsia="en-AU"/>
              </w:rPr>
              <w:t>346</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BF65A0">
              <w:t>This performance measure refers to government schools only.</w:t>
            </w:r>
          </w:p>
          <w:p w:rsidR="00A53D7D" w:rsidRPr="00E66FDF" w:rsidRDefault="00A53D7D" w:rsidP="005140B4">
            <w:pPr>
              <w:pStyle w:val="OGNotes"/>
              <w:spacing w:after="0"/>
            </w:pPr>
            <w:r w:rsidRPr="00E66FDF">
              <w:t>The 2013</w:t>
            </w:r>
            <w:r>
              <w:noBreakHyphen/>
            </w:r>
            <w:r w:rsidRPr="00E66FDF">
              <w:t xml:space="preserve">14 </w:t>
            </w:r>
            <w:r>
              <w:t>expected outcome</w:t>
            </w:r>
            <w:r w:rsidRPr="00E66FDF">
              <w:t xml:space="preserve"> is higher than the 2013</w:t>
            </w:r>
            <w:r>
              <w:noBreakHyphen/>
            </w:r>
            <w:r w:rsidRPr="00E66FDF">
              <w:t xml:space="preserve">14 </w:t>
            </w:r>
            <w:r>
              <w:t>target</w:t>
            </w:r>
            <w:r w:rsidRPr="00E66FDF">
              <w:t xml:space="preserve"> due to an increase in the number of courses provided and delivery from a dedicated facility that has reduced the cost in venue hire.</w:t>
            </w:r>
          </w:p>
          <w:p w:rsidR="00A53D7D" w:rsidRPr="00F820F9" w:rsidRDefault="00A53D7D" w:rsidP="00F820F9">
            <w:pPr>
              <w:pStyle w:val="OGNotes"/>
            </w:pPr>
            <w:r w:rsidRPr="00F820F9">
              <w:t>The higher 2014</w:t>
            </w:r>
            <w:r w:rsidRPr="00F820F9">
              <w:noBreakHyphen/>
              <w:t>15 target reflects changes in program delivery design and implementation, including increases in regional course provision.</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proofErr w:type="spellStart"/>
            <w:r w:rsidRPr="005C542E">
              <w:rPr>
                <w:lang w:eastAsia="en-AU"/>
              </w:rPr>
              <w:t>Statewide</w:t>
            </w:r>
            <w:proofErr w:type="spellEnd"/>
            <w:r w:rsidRPr="005C542E">
              <w:rPr>
                <w:lang w:eastAsia="en-AU"/>
              </w:rPr>
              <w:t xml:space="preserve"> computer to student ratio: primary</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sidRPr="005C542E">
              <w:rPr>
                <w:lang w:eastAsia="en-AU"/>
              </w:rPr>
              <w:t>ratio</w:t>
            </w:r>
          </w:p>
        </w:tc>
        <w:tc>
          <w:tcPr>
            <w:tcW w:w="909" w:type="dxa"/>
            <w:tcBorders>
              <w:top w:val="single" w:sz="6" w:space="0" w:color="auto"/>
              <w:left w:val="nil"/>
              <w:right w:val="nil"/>
            </w:tcBorders>
            <w:shd w:val="clear" w:color="auto" w:fill="D9D9D9"/>
            <w:hideMark/>
          </w:tcPr>
          <w:p w:rsidR="00A53D7D" w:rsidRPr="00C0605B" w:rsidRDefault="00A53D7D" w:rsidP="005140B4">
            <w:pPr>
              <w:pStyle w:val="OGTableofFigures"/>
              <w:rPr>
                <w:lang w:eastAsia="en-AU"/>
              </w:rPr>
            </w:pPr>
            <w:r w:rsidRPr="00C0605B">
              <w:rPr>
                <w:lang w:eastAsia="en-AU"/>
              </w:rPr>
              <w:t>1:2.5</w:t>
            </w:r>
          </w:p>
        </w:tc>
        <w:tc>
          <w:tcPr>
            <w:tcW w:w="993" w:type="dxa"/>
            <w:tcBorders>
              <w:top w:val="single" w:sz="6" w:space="0" w:color="auto"/>
              <w:left w:val="nil"/>
              <w:right w:val="nil"/>
            </w:tcBorders>
            <w:shd w:val="clear" w:color="000000" w:fill="FFFFFF"/>
            <w:hideMark/>
          </w:tcPr>
          <w:p w:rsidR="00A53D7D" w:rsidRPr="00C0605B" w:rsidRDefault="00A53D7D" w:rsidP="005140B4">
            <w:pPr>
              <w:pStyle w:val="OGTableofFigures"/>
              <w:rPr>
                <w:lang w:eastAsia="en-AU"/>
              </w:rPr>
            </w:pPr>
            <w:r w:rsidRPr="00C0605B">
              <w:rPr>
                <w:lang w:eastAsia="en-AU"/>
              </w:rPr>
              <w:t>1:2.5</w:t>
            </w:r>
          </w:p>
        </w:tc>
        <w:tc>
          <w:tcPr>
            <w:tcW w:w="895" w:type="dxa"/>
            <w:tcBorders>
              <w:top w:val="single" w:sz="6" w:space="0" w:color="auto"/>
              <w:left w:val="nil"/>
              <w:right w:val="nil"/>
            </w:tcBorders>
            <w:shd w:val="clear" w:color="000000" w:fill="FFFFFF"/>
            <w:hideMark/>
          </w:tcPr>
          <w:p w:rsidR="00A53D7D" w:rsidRPr="00C0605B" w:rsidRDefault="00A53D7D" w:rsidP="005140B4">
            <w:pPr>
              <w:pStyle w:val="OGTableofFigures"/>
              <w:rPr>
                <w:lang w:eastAsia="en-AU"/>
              </w:rPr>
            </w:pPr>
            <w:r w:rsidRPr="00C0605B">
              <w:rPr>
                <w:lang w:eastAsia="en-AU"/>
              </w:rPr>
              <w:t>1:2.5</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C0605B">
              <w:rPr>
                <w:lang w:eastAsia="en-AU"/>
              </w:rPr>
              <w:t>1:1.93</w:t>
            </w:r>
          </w:p>
        </w:tc>
      </w:tr>
      <w:tr w:rsidR="00A53D7D" w:rsidRPr="005C542E" w:rsidTr="005140B4">
        <w:trPr>
          <w:cantSplit/>
        </w:trPr>
        <w:tc>
          <w:tcPr>
            <w:tcW w:w="7782" w:type="dxa"/>
            <w:gridSpan w:val="8"/>
            <w:tcBorders>
              <w:left w:val="nil"/>
              <w:bottom w:val="single" w:sz="6" w:space="0" w:color="auto"/>
              <w:right w:val="nil"/>
            </w:tcBorders>
            <w:shd w:val="clear" w:color="000000" w:fill="FFFFFF"/>
            <w:vAlign w:val="bottom"/>
          </w:tcPr>
          <w:p w:rsidR="00A53D7D" w:rsidRDefault="00A53D7D" w:rsidP="005140B4">
            <w:pPr>
              <w:pStyle w:val="OGNotes"/>
              <w:spacing w:after="0"/>
            </w:pPr>
            <w:r w:rsidRPr="00652310">
              <w:t>This performance measure relates to the calendar year.</w:t>
            </w:r>
          </w:p>
          <w:p w:rsidR="00A53D7D" w:rsidRPr="00F820F9" w:rsidRDefault="00A53D7D" w:rsidP="00F820F9">
            <w:pPr>
              <w:pStyle w:val="OGNotes"/>
            </w:pPr>
            <w:r w:rsidRPr="00F820F9">
              <w:t>This performance measure refers to government schools only.</w:t>
            </w:r>
          </w:p>
        </w:tc>
      </w:tr>
      <w:tr w:rsidR="00A53D7D" w:rsidRPr="005C542E" w:rsidTr="005140B4">
        <w:trPr>
          <w:cantSplit/>
        </w:trPr>
        <w:tc>
          <w:tcPr>
            <w:tcW w:w="3108" w:type="dxa"/>
            <w:tcBorders>
              <w:top w:val="single" w:sz="6" w:space="0" w:color="auto"/>
              <w:left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Cost</w:t>
            </w:r>
          </w:p>
        </w:tc>
        <w:tc>
          <w:tcPr>
            <w:tcW w:w="952" w:type="dxa"/>
            <w:gridSpan w:val="2"/>
            <w:tcBorders>
              <w:top w:val="single" w:sz="6" w:space="0" w:color="auto"/>
              <w:left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Total output cost</w:t>
            </w:r>
          </w:p>
        </w:tc>
        <w:tc>
          <w:tcPr>
            <w:tcW w:w="952" w:type="dxa"/>
            <w:gridSpan w:val="2"/>
            <w:tcBorders>
              <w:top w:val="nil"/>
              <w:left w:val="nil"/>
              <w:right w:val="nil"/>
            </w:tcBorders>
            <w:shd w:val="clear" w:color="000000" w:fill="FFFFFF"/>
            <w:hideMark/>
          </w:tcPr>
          <w:p w:rsidR="00A53D7D" w:rsidRPr="005C542E" w:rsidRDefault="00A53D7D" w:rsidP="005140B4">
            <w:pPr>
              <w:pStyle w:val="OGUoM"/>
              <w:rPr>
                <w:lang w:eastAsia="en-AU"/>
              </w:rPr>
            </w:pPr>
            <w:r>
              <w:t>$ million</w:t>
            </w:r>
          </w:p>
        </w:tc>
        <w:tc>
          <w:tcPr>
            <w:tcW w:w="909" w:type="dxa"/>
            <w:tcBorders>
              <w:top w:val="nil"/>
              <w:left w:val="nil"/>
              <w:right w:val="nil"/>
            </w:tcBorders>
            <w:shd w:val="clear" w:color="auto" w:fill="D9D9D9"/>
            <w:hideMark/>
          </w:tcPr>
          <w:p w:rsidR="00A53D7D" w:rsidRPr="001C382F" w:rsidRDefault="00A53D7D" w:rsidP="005140B4">
            <w:pPr>
              <w:pStyle w:val="OGTableofFigures"/>
              <w:rPr>
                <w:lang w:eastAsia="en-AU"/>
              </w:rPr>
            </w:pPr>
            <w:r>
              <w:rPr>
                <w:lang w:eastAsia="en-AU"/>
              </w:rPr>
              <w:t>4 336.5</w:t>
            </w:r>
          </w:p>
        </w:tc>
        <w:tc>
          <w:tcPr>
            <w:tcW w:w="993" w:type="dxa"/>
            <w:tcBorders>
              <w:top w:val="nil"/>
              <w:left w:val="nil"/>
              <w:right w:val="nil"/>
            </w:tcBorders>
            <w:shd w:val="clear" w:color="000000" w:fill="FFFFFF"/>
            <w:hideMark/>
          </w:tcPr>
          <w:p w:rsidR="00A53D7D" w:rsidRPr="001C382F" w:rsidRDefault="00A53D7D" w:rsidP="005140B4">
            <w:pPr>
              <w:pStyle w:val="OGTableofFigures"/>
              <w:rPr>
                <w:lang w:eastAsia="en-AU"/>
              </w:rPr>
            </w:pPr>
            <w:r>
              <w:rPr>
                <w:lang w:eastAsia="en-AU"/>
              </w:rPr>
              <w:t>4 151.5</w:t>
            </w:r>
          </w:p>
        </w:tc>
        <w:tc>
          <w:tcPr>
            <w:tcW w:w="895" w:type="dxa"/>
            <w:tcBorders>
              <w:top w:val="nil"/>
              <w:left w:val="nil"/>
              <w:right w:val="nil"/>
            </w:tcBorders>
            <w:shd w:val="clear" w:color="000000" w:fill="FFFFFF"/>
            <w:hideMark/>
          </w:tcPr>
          <w:p w:rsidR="00A53D7D" w:rsidRPr="004F65F4" w:rsidRDefault="00A53D7D" w:rsidP="005140B4">
            <w:pPr>
              <w:pStyle w:val="OGTableofFigures"/>
              <w:rPr>
                <w:lang w:eastAsia="en-AU"/>
              </w:rPr>
            </w:pPr>
            <w:r w:rsidRPr="004F65F4">
              <w:rPr>
                <w:lang w:eastAsia="en-AU"/>
              </w:rPr>
              <w:t>4 072.7</w:t>
            </w:r>
          </w:p>
        </w:tc>
        <w:tc>
          <w:tcPr>
            <w:tcW w:w="925" w:type="dxa"/>
            <w:gridSpan w:val="2"/>
            <w:tcBorders>
              <w:top w:val="nil"/>
              <w:left w:val="nil"/>
              <w:right w:val="nil"/>
            </w:tcBorders>
            <w:shd w:val="clear" w:color="000000" w:fill="FFFFFF"/>
            <w:hideMark/>
          </w:tcPr>
          <w:p w:rsidR="00A53D7D" w:rsidRDefault="00A53D7D" w:rsidP="005140B4">
            <w:pPr>
              <w:pStyle w:val="OGTableofFigures"/>
              <w:rPr>
                <w:lang w:eastAsia="en-AU"/>
              </w:rPr>
            </w:pPr>
            <w:r w:rsidRPr="004F65F4">
              <w:rPr>
                <w:lang w:eastAsia="en-AU"/>
              </w:rPr>
              <w:t>4 003.7</w:t>
            </w:r>
          </w:p>
        </w:tc>
      </w:tr>
      <w:tr w:rsidR="00A53D7D" w:rsidRPr="005C542E" w:rsidTr="005140B4">
        <w:trPr>
          <w:cantSplit/>
        </w:trPr>
        <w:tc>
          <w:tcPr>
            <w:tcW w:w="7782" w:type="dxa"/>
            <w:gridSpan w:val="8"/>
            <w:tcBorders>
              <w:top w:val="nil"/>
              <w:left w:val="nil"/>
              <w:bottom w:val="single" w:sz="6" w:space="0" w:color="auto"/>
              <w:right w:val="nil"/>
            </w:tcBorders>
            <w:shd w:val="clear" w:color="000000" w:fill="FFFFFF"/>
          </w:tcPr>
          <w:p w:rsidR="00A53D7D" w:rsidRPr="00F820F9" w:rsidRDefault="00A53D7D" w:rsidP="00F820F9">
            <w:pPr>
              <w:pStyle w:val="OGNotes"/>
            </w:pPr>
            <w:r w:rsidRPr="00F820F9">
              <w:t>The higher 2014</w:t>
            </w:r>
            <w:r w:rsidRPr="00F820F9">
              <w:noBreakHyphen/>
              <w:t>15 target primarily reflects increased investment associated with the Victorian/Commonwealth school funding commitments.</w:t>
            </w:r>
          </w:p>
        </w:tc>
      </w:tr>
      <w:tr w:rsidR="00A53D7D" w:rsidRPr="005C542E" w:rsidTr="005140B4">
        <w:trPr>
          <w:cantSplit/>
        </w:trPr>
        <w:tc>
          <w:tcPr>
            <w:tcW w:w="7782" w:type="dxa"/>
            <w:gridSpan w:val="8"/>
            <w:tcBorders>
              <w:top w:val="single" w:sz="6" w:space="0" w:color="auto"/>
              <w:left w:val="nil"/>
              <w:bottom w:val="nil"/>
              <w:right w:val="nil"/>
            </w:tcBorders>
            <w:shd w:val="clear" w:color="auto" w:fill="auto"/>
            <w:vAlign w:val="bottom"/>
            <w:hideMark/>
          </w:tcPr>
          <w:p w:rsidR="00A53D7D" w:rsidRPr="005C542E" w:rsidRDefault="00A53D7D" w:rsidP="005140B4">
            <w:pPr>
              <w:pStyle w:val="OGHeading2"/>
              <w:rPr>
                <w:lang w:eastAsia="en-AU"/>
              </w:rPr>
            </w:pPr>
            <w:r w:rsidRPr="005C542E">
              <w:rPr>
                <w:lang w:eastAsia="en-AU"/>
              </w:rPr>
              <w:t>School Education</w:t>
            </w:r>
            <w:r>
              <w:rPr>
                <w:lang w:eastAsia="en-AU"/>
              </w:rPr>
              <w:t xml:space="preserve"> – </w:t>
            </w:r>
            <w:r w:rsidRPr="005C542E">
              <w:rPr>
                <w:lang w:eastAsia="en-AU"/>
              </w:rPr>
              <w:t>Secondary</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Pr="005C542E" w:rsidRDefault="00A53D7D" w:rsidP="005140B4">
            <w:pPr>
              <w:pStyle w:val="OGText"/>
              <w:rPr>
                <w:lang w:eastAsia="en-AU"/>
              </w:rPr>
            </w:pPr>
            <w:r w:rsidRPr="005C542E">
              <w:rPr>
                <w:lang w:eastAsia="en-AU"/>
              </w:rPr>
              <w:t>This output involves provision of education and other associated services designed to improve the quality of student learning and transition of students in Years 7 to 12 in government and non</w:t>
            </w:r>
            <w:r>
              <w:rPr>
                <w:lang w:eastAsia="en-AU"/>
              </w:rPr>
              <w:noBreakHyphen/>
            </w:r>
            <w:r w:rsidRPr="005C542E">
              <w:rPr>
                <w:lang w:eastAsia="en-AU"/>
              </w:rPr>
              <w:t>government schools. It also covers the provision of cross</w:t>
            </w:r>
            <w:r>
              <w:rPr>
                <w:lang w:eastAsia="en-AU"/>
              </w:rPr>
              <w:noBreakHyphen/>
            </w:r>
            <w:r w:rsidRPr="005C542E">
              <w:rPr>
                <w:lang w:eastAsia="en-AU"/>
              </w:rPr>
              <w:t xml:space="preserve">sectoral services to improve the transition to further education, </w:t>
            </w:r>
            <w:proofErr w:type="gramStart"/>
            <w:r w:rsidRPr="005C542E">
              <w:rPr>
                <w:lang w:eastAsia="en-AU"/>
              </w:rPr>
              <w:t>training</w:t>
            </w:r>
            <w:proofErr w:type="gramEnd"/>
            <w:r w:rsidRPr="005C542E">
              <w:rPr>
                <w:lang w:eastAsia="en-AU"/>
              </w:rPr>
              <w:t xml:space="preserve"> and employment.</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Quality</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Average rate of student attendance in Years 11 and 12</w:t>
            </w:r>
          </w:p>
        </w:tc>
        <w:tc>
          <w:tcPr>
            <w:tcW w:w="952" w:type="dxa"/>
            <w:gridSpan w:val="2"/>
            <w:tcBorders>
              <w:top w:val="nil"/>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nil"/>
              <w:left w:val="nil"/>
              <w:right w:val="nil"/>
            </w:tcBorders>
            <w:shd w:val="clear" w:color="auto" w:fill="D9D9D9" w:themeFill="background1" w:themeFillShade="D9"/>
            <w:hideMark/>
          </w:tcPr>
          <w:p w:rsidR="00A53D7D" w:rsidRPr="00403F6B" w:rsidRDefault="00A53D7D" w:rsidP="005140B4">
            <w:pPr>
              <w:pStyle w:val="OGTableofFigures"/>
              <w:rPr>
                <w:lang w:eastAsia="en-AU"/>
              </w:rPr>
            </w:pPr>
            <w:r w:rsidRPr="00153479">
              <w:rPr>
                <w:lang w:eastAsia="en-AU"/>
              </w:rPr>
              <w:t>92</w:t>
            </w:r>
          </w:p>
        </w:tc>
        <w:tc>
          <w:tcPr>
            <w:tcW w:w="993" w:type="dxa"/>
            <w:tcBorders>
              <w:top w:val="nil"/>
              <w:left w:val="nil"/>
              <w:right w:val="nil"/>
            </w:tcBorders>
            <w:shd w:val="clear" w:color="000000" w:fill="FFFFFF"/>
            <w:hideMark/>
          </w:tcPr>
          <w:p w:rsidR="00A53D7D" w:rsidRPr="00153479" w:rsidRDefault="00A53D7D" w:rsidP="005140B4">
            <w:pPr>
              <w:pStyle w:val="OGTableofFigures"/>
              <w:rPr>
                <w:lang w:eastAsia="en-AU"/>
              </w:rPr>
            </w:pPr>
            <w:r w:rsidRPr="00153479">
              <w:rPr>
                <w:lang w:eastAsia="en-AU"/>
              </w:rPr>
              <w:t>91</w:t>
            </w:r>
          </w:p>
        </w:tc>
        <w:tc>
          <w:tcPr>
            <w:tcW w:w="895" w:type="dxa"/>
            <w:tcBorders>
              <w:top w:val="nil"/>
              <w:left w:val="nil"/>
              <w:right w:val="nil"/>
            </w:tcBorders>
            <w:shd w:val="clear" w:color="000000" w:fill="FFFFFF"/>
            <w:hideMark/>
          </w:tcPr>
          <w:p w:rsidR="00A53D7D" w:rsidRPr="00153479" w:rsidRDefault="00A53D7D" w:rsidP="005140B4">
            <w:pPr>
              <w:pStyle w:val="OGTableofFigures"/>
              <w:rPr>
                <w:lang w:eastAsia="en-AU"/>
              </w:rPr>
            </w:pPr>
            <w:r w:rsidRPr="00153479">
              <w:rPr>
                <w:lang w:eastAsia="en-AU"/>
              </w:rPr>
              <w:t>91</w:t>
            </w:r>
          </w:p>
        </w:tc>
        <w:tc>
          <w:tcPr>
            <w:tcW w:w="925" w:type="dxa"/>
            <w:gridSpan w:val="2"/>
            <w:tcBorders>
              <w:top w:val="nil"/>
              <w:left w:val="nil"/>
              <w:right w:val="nil"/>
            </w:tcBorders>
            <w:shd w:val="clear" w:color="000000" w:fill="FFFFFF"/>
            <w:hideMark/>
          </w:tcPr>
          <w:p w:rsidR="00A53D7D" w:rsidRDefault="00A53D7D" w:rsidP="005140B4">
            <w:pPr>
              <w:pStyle w:val="OGTableofFigures"/>
              <w:rPr>
                <w:lang w:eastAsia="en-AU"/>
              </w:rPr>
            </w:pPr>
            <w:r w:rsidRPr="00153479">
              <w:rPr>
                <w:lang w:eastAsia="en-AU"/>
              </w:rPr>
              <w:t>92</w:t>
            </w:r>
          </w:p>
        </w:tc>
      </w:tr>
      <w:tr w:rsidR="00A53D7D" w:rsidRPr="005C542E" w:rsidTr="005140B4">
        <w:trPr>
          <w:cantSplit/>
        </w:trPr>
        <w:tc>
          <w:tcPr>
            <w:tcW w:w="7782" w:type="dxa"/>
            <w:gridSpan w:val="8"/>
            <w:tcBorders>
              <w:top w:val="nil"/>
              <w:left w:val="nil"/>
              <w:bottom w:val="single" w:sz="6" w:space="0" w:color="auto"/>
              <w:right w:val="nil"/>
            </w:tcBorders>
            <w:shd w:val="clear" w:color="000000" w:fill="FFFFFF"/>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246EBD">
              <w:t>This performance measure refers to government schools only.</w:t>
            </w:r>
          </w:p>
          <w:p w:rsidR="00A53D7D" w:rsidRPr="00F820F9" w:rsidRDefault="00A53D7D" w:rsidP="00F820F9">
            <w:pPr>
              <w:pStyle w:val="OGNotes"/>
            </w:pPr>
            <w:r w:rsidRPr="00F820F9">
              <w:t xml:space="preserve">The 2014–15 </w:t>
            </w:r>
            <w:proofErr w:type="gramStart"/>
            <w:r w:rsidRPr="00F820F9">
              <w:t>target</w:t>
            </w:r>
            <w:proofErr w:type="gramEnd"/>
            <w:r w:rsidRPr="00F820F9">
              <w:t xml:space="preserve"> has been raised to reflect the Department’s expectations for the outcomes of Victorian students.</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rPr>
                <w:lang w:eastAsia="en-AU"/>
              </w:rPr>
            </w:pPr>
            <w:r w:rsidRPr="005C542E">
              <w:rPr>
                <w:lang w:eastAsia="en-AU"/>
              </w:rPr>
              <w:t>Average rate of student attendance in Years 7</w:t>
            </w:r>
            <w:r>
              <w:t>–</w:t>
            </w:r>
            <w:r w:rsidRPr="005C542E">
              <w:rPr>
                <w:lang w:eastAsia="en-AU"/>
              </w:rPr>
              <w:t>10</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bottom w:val="nil"/>
              <w:right w:val="nil"/>
            </w:tcBorders>
            <w:shd w:val="clear" w:color="auto" w:fill="D9D9D9" w:themeFill="background1" w:themeFillShade="D9"/>
            <w:hideMark/>
          </w:tcPr>
          <w:p w:rsidR="00A53D7D" w:rsidRDefault="00A53D7D" w:rsidP="005140B4">
            <w:pPr>
              <w:pStyle w:val="OGTableofFigures"/>
              <w:rPr>
                <w:lang w:eastAsia="en-AU"/>
              </w:rPr>
            </w:pPr>
            <w:r w:rsidRPr="00350551">
              <w:rPr>
                <w:lang w:eastAsia="en-AU"/>
              </w:rPr>
              <w:t>9</w:t>
            </w:r>
            <w:r>
              <w:rPr>
                <w:lang w:eastAsia="en-AU"/>
              </w:rPr>
              <w:t>1</w:t>
            </w:r>
          </w:p>
          <w:p w:rsidR="00A53D7D" w:rsidRPr="00C86753" w:rsidRDefault="00A53D7D" w:rsidP="005140B4">
            <w:pPr>
              <w:pStyle w:val="OGTableofFigures"/>
              <w:rPr>
                <w:sz w:val="14"/>
                <w:szCs w:val="14"/>
                <w:lang w:eastAsia="en-AU"/>
              </w:rPr>
            </w:pPr>
          </w:p>
        </w:tc>
        <w:tc>
          <w:tcPr>
            <w:tcW w:w="993" w:type="dxa"/>
            <w:tcBorders>
              <w:top w:val="single" w:sz="6" w:space="0" w:color="auto"/>
              <w:left w:val="nil"/>
              <w:bottom w:val="nil"/>
              <w:right w:val="nil"/>
            </w:tcBorders>
            <w:shd w:val="clear" w:color="000000" w:fill="FFFFFF"/>
            <w:hideMark/>
          </w:tcPr>
          <w:p w:rsidR="00A53D7D" w:rsidRPr="00350551" w:rsidRDefault="00A53D7D" w:rsidP="005140B4">
            <w:pPr>
              <w:pStyle w:val="OGTableofFigures"/>
              <w:rPr>
                <w:lang w:eastAsia="en-AU"/>
              </w:rPr>
            </w:pPr>
            <w:r w:rsidRPr="00350551">
              <w:rPr>
                <w:lang w:eastAsia="en-AU"/>
              </w:rPr>
              <w:t>91</w:t>
            </w:r>
          </w:p>
        </w:tc>
        <w:tc>
          <w:tcPr>
            <w:tcW w:w="895" w:type="dxa"/>
            <w:tcBorders>
              <w:top w:val="single" w:sz="6" w:space="0" w:color="auto"/>
              <w:left w:val="nil"/>
              <w:bottom w:val="nil"/>
              <w:right w:val="nil"/>
            </w:tcBorders>
            <w:shd w:val="clear" w:color="000000" w:fill="FFFFFF"/>
            <w:hideMark/>
          </w:tcPr>
          <w:p w:rsidR="00A53D7D" w:rsidRPr="00350551" w:rsidRDefault="00A53D7D" w:rsidP="005140B4">
            <w:pPr>
              <w:pStyle w:val="OGTableofFigures"/>
              <w:rPr>
                <w:lang w:eastAsia="en-AU"/>
              </w:rPr>
            </w:pPr>
            <w:r w:rsidRPr="00350551">
              <w:rPr>
                <w:lang w:eastAsia="en-AU"/>
              </w:rPr>
              <w:t>91</w:t>
            </w:r>
          </w:p>
        </w:tc>
        <w:tc>
          <w:tcPr>
            <w:tcW w:w="925" w:type="dxa"/>
            <w:gridSpan w:val="2"/>
            <w:tcBorders>
              <w:top w:val="single" w:sz="6" w:space="0" w:color="auto"/>
              <w:left w:val="nil"/>
              <w:bottom w:val="nil"/>
              <w:right w:val="nil"/>
            </w:tcBorders>
            <w:shd w:val="clear" w:color="000000" w:fill="FFFFFF"/>
            <w:hideMark/>
          </w:tcPr>
          <w:p w:rsidR="00A53D7D" w:rsidRDefault="00A53D7D" w:rsidP="005140B4">
            <w:pPr>
              <w:pStyle w:val="OGTableofFigures"/>
              <w:rPr>
                <w:lang w:eastAsia="en-AU"/>
              </w:rPr>
            </w:pPr>
            <w:r w:rsidRPr="00350551">
              <w:rPr>
                <w:lang w:eastAsia="en-AU"/>
              </w:rPr>
              <w:t>90</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246EBD">
              <w:t>This performance measure refers to government schools only.</w:t>
            </w:r>
          </w:p>
          <w:p w:rsidR="00A53D7D" w:rsidRPr="00F820F9" w:rsidRDefault="00A53D7D" w:rsidP="00F820F9">
            <w:pPr>
              <w:pStyle w:val="OGNotes"/>
            </w:pPr>
            <w:r w:rsidRPr="00F820F9">
              <w:t>The attendance rate covers all absences, including those due to illness and approved family holidays.</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Enrolments in units of accredited vocational programs in schools as a proportion of total VCE unit enrolments in schools</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832A52" w:rsidRDefault="00A53D7D" w:rsidP="005140B4">
            <w:pPr>
              <w:pStyle w:val="OGTableofFigures"/>
              <w:rPr>
                <w:lang w:eastAsia="en-AU"/>
              </w:rPr>
            </w:pPr>
            <w:r w:rsidRPr="00D92B18">
              <w:t>8.6</w:t>
            </w:r>
          </w:p>
        </w:tc>
        <w:tc>
          <w:tcPr>
            <w:tcW w:w="993" w:type="dxa"/>
            <w:tcBorders>
              <w:top w:val="single" w:sz="6" w:space="0" w:color="auto"/>
              <w:left w:val="nil"/>
              <w:right w:val="nil"/>
            </w:tcBorders>
            <w:shd w:val="clear" w:color="000000" w:fill="FFFFFF"/>
            <w:hideMark/>
          </w:tcPr>
          <w:p w:rsidR="00A53D7D" w:rsidRPr="00832A52" w:rsidRDefault="00A53D7D" w:rsidP="005140B4">
            <w:pPr>
              <w:pStyle w:val="OGTableofFigures"/>
              <w:rPr>
                <w:lang w:eastAsia="en-AU"/>
              </w:rPr>
            </w:pPr>
            <w:r w:rsidRPr="00D92B18">
              <w:t>9</w:t>
            </w:r>
          </w:p>
        </w:tc>
        <w:tc>
          <w:tcPr>
            <w:tcW w:w="895" w:type="dxa"/>
            <w:tcBorders>
              <w:top w:val="single" w:sz="6" w:space="0" w:color="auto"/>
              <w:left w:val="nil"/>
              <w:right w:val="nil"/>
            </w:tcBorders>
            <w:shd w:val="clear" w:color="000000" w:fill="FFFFFF"/>
            <w:hideMark/>
          </w:tcPr>
          <w:p w:rsidR="00A53D7D" w:rsidRPr="00832A52" w:rsidRDefault="00A53D7D" w:rsidP="005140B4">
            <w:pPr>
              <w:pStyle w:val="OGTableofFigures"/>
              <w:rPr>
                <w:lang w:eastAsia="en-AU"/>
              </w:rPr>
            </w:pPr>
            <w:r w:rsidRPr="00832A52">
              <w:rPr>
                <w:lang w:eastAsia="en-AU"/>
              </w:rPr>
              <w:t>8.6</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832A52">
              <w:rPr>
                <w:lang w:eastAsia="en-AU"/>
              </w:rPr>
              <w:t>9.2</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Pr="00F820F9" w:rsidRDefault="00A53D7D" w:rsidP="00F820F9">
            <w:pPr>
              <w:pStyle w:val="OGNotes"/>
            </w:pPr>
            <w:r w:rsidRPr="00F820F9">
              <w:t>This performance measure includes government and non</w:t>
            </w:r>
            <w:r w:rsidR="00F820F9">
              <w:noBreakHyphen/>
            </w:r>
            <w:r w:rsidRPr="00F820F9">
              <w:t>government schools.</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keepNext/>
              <w:rPr>
                <w:lang w:eastAsia="en-AU"/>
              </w:rPr>
            </w:pPr>
            <w:r w:rsidRPr="005C542E">
              <w:rPr>
                <w:lang w:eastAsia="en-AU"/>
              </w:rPr>
              <w:t>Median VCE study score</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keepNext/>
              <w:rPr>
                <w:lang w:eastAsia="en-AU"/>
              </w:rPr>
            </w:pPr>
            <w:r w:rsidRPr="005C542E">
              <w:rPr>
                <w:lang w:eastAsia="en-AU"/>
              </w:rPr>
              <w:t>number</w:t>
            </w:r>
          </w:p>
        </w:tc>
        <w:tc>
          <w:tcPr>
            <w:tcW w:w="909" w:type="dxa"/>
            <w:tcBorders>
              <w:top w:val="single" w:sz="6" w:space="0" w:color="auto"/>
              <w:left w:val="nil"/>
              <w:right w:val="nil"/>
            </w:tcBorders>
            <w:shd w:val="clear" w:color="auto" w:fill="D9D9D9"/>
            <w:hideMark/>
          </w:tcPr>
          <w:p w:rsidR="00A53D7D" w:rsidRPr="005C542E" w:rsidRDefault="00A53D7D" w:rsidP="005140B4">
            <w:pPr>
              <w:pStyle w:val="OGTableofFigures"/>
              <w:rPr>
                <w:lang w:eastAsia="en-AU"/>
              </w:rPr>
            </w:pPr>
            <w:r w:rsidRPr="005C542E">
              <w:rPr>
                <w:lang w:eastAsia="en-AU"/>
              </w:rPr>
              <w:t>29</w:t>
            </w:r>
          </w:p>
        </w:tc>
        <w:tc>
          <w:tcPr>
            <w:tcW w:w="993" w:type="dxa"/>
            <w:tcBorders>
              <w:top w:val="single" w:sz="6" w:space="0" w:color="auto"/>
              <w:left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29</w:t>
            </w:r>
          </w:p>
        </w:tc>
        <w:tc>
          <w:tcPr>
            <w:tcW w:w="895" w:type="dxa"/>
            <w:tcBorders>
              <w:top w:val="single" w:sz="6" w:space="0" w:color="auto"/>
              <w:left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29</w:t>
            </w:r>
          </w:p>
        </w:tc>
        <w:tc>
          <w:tcPr>
            <w:tcW w:w="925" w:type="dxa"/>
            <w:gridSpan w:val="2"/>
            <w:tcBorders>
              <w:top w:val="single" w:sz="6" w:space="0" w:color="auto"/>
              <w:left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2</w:t>
            </w:r>
            <w:r>
              <w:rPr>
                <w:lang w:eastAsia="en-AU"/>
              </w:rPr>
              <w:t>9</w:t>
            </w:r>
          </w:p>
        </w:tc>
      </w:tr>
      <w:tr w:rsidR="00A53D7D" w:rsidRPr="005C542E" w:rsidTr="005140B4">
        <w:trPr>
          <w:cantSplit/>
        </w:trPr>
        <w:tc>
          <w:tcPr>
            <w:tcW w:w="7782" w:type="dxa"/>
            <w:gridSpan w:val="8"/>
            <w:tcBorders>
              <w:left w:val="nil"/>
              <w:bottom w:val="single" w:sz="6" w:space="0" w:color="auto"/>
              <w:right w:val="nil"/>
            </w:tcBorders>
            <w:shd w:val="clear" w:color="000000" w:fill="FFFFFF"/>
          </w:tcPr>
          <w:p w:rsidR="00A53D7D" w:rsidRDefault="00A53D7D" w:rsidP="005140B4">
            <w:pPr>
              <w:pStyle w:val="OGNotes"/>
              <w:spacing w:after="0"/>
            </w:pPr>
            <w:r w:rsidRPr="00317C24">
              <w:t>This performance measure relates to the calendar year.</w:t>
            </w:r>
          </w:p>
          <w:p w:rsidR="00A53D7D" w:rsidRPr="00F820F9" w:rsidRDefault="00A53D7D" w:rsidP="00F820F9">
            <w:pPr>
              <w:pStyle w:val="OGNotes"/>
            </w:pPr>
            <w:r w:rsidRPr="00F820F9">
              <w:t>This performance measure refers to government schools only.</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keepNext/>
              <w:rPr>
                <w:lang w:eastAsia="en-AU"/>
              </w:rPr>
            </w:pPr>
            <w:r w:rsidRPr="005C542E">
              <w:rPr>
                <w:lang w:eastAsia="en-AU"/>
              </w:rPr>
              <w:t>Parent satisfaction with secondary schooling on a 100</w:t>
            </w:r>
            <w:r>
              <w:rPr>
                <w:lang w:eastAsia="en-AU"/>
              </w:rPr>
              <w:noBreakHyphen/>
            </w:r>
            <w:r w:rsidRPr="005C542E">
              <w:rPr>
                <w:lang w:eastAsia="en-AU"/>
              </w:rPr>
              <w:t>point scale</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keepNext/>
              <w:rPr>
                <w:lang w:eastAsia="en-AU"/>
              </w:rPr>
            </w:pPr>
            <w:r w:rsidRPr="005C542E">
              <w:rPr>
                <w:lang w:eastAsia="en-AU"/>
              </w:rPr>
              <w:t>100</w:t>
            </w:r>
            <w:r>
              <w:rPr>
                <w:lang w:eastAsia="en-AU"/>
              </w:rPr>
              <w:noBreakHyphen/>
            </w:r>
            <w:r w:rsidRPr="005C542E">
              <w:rPr>
                <w:lang w:eastAsia="en-AU"/>
              </w:rPr>
              <w:t>point scale</w:t>
            </w:r>
          </w:p>
        </w:tc>
        <w:tc>
          <w:tcPr>
            <w:tcW w:w="909" w:type="dxa"/>
            <w:tcBorders>
              <w:top w:val="single" w:sz="6" w:space="0" w:color="auto"/>
              <w:left w:val="nil"/>
              <w:right w:val="nil"/>
            </w:tcBorders>
            <w:shd w:val="clear" w:color="auto" w:fill="D9D9D9" w:themeFill="background1" w:themeFillShade="D9"/>
            <w:hideMark/>
          </w:tcPr>
          <w:p w:rsidR="00A53D7D" w:rsidRPr="00403F6B" w:rsidRDefault="00A53D7D" w:rsidP="005140B4">
            <w:pPr>
              <w:pStyle w:val="OGTableofFigures"/>
              <w:keepNext/>
              <w:rPr>
                <w:lang w:eastAsia="en-AU"/>
              </w:rPr>
            </w:pPr>
            <w:r w:rsidRPr="00411D6B">
              <w:rPr>
                <w:lang w:eastAsia="en-AU"/>
              </w:rPr>
              <w:t>75</w:t>
            </w:r>
          </w:p>
        </w:tc>
        <w:tc>
          <w:tcPr>
            <w:tcW w:w="993" w:type="dxa"/>
            <w:tcBorders>
              <w:top w:val="single" w:sz="6" w:space="0" w:color="auto"/>
              <w:left w:val="nil"/>
              <w:right w:val="nil"/>
            </w:tcBorders>
            <w:shd w:val="clear" w:color="auto" w:fill="auto"/>
            <w:hideMark/>
          </w:tcPr>
          <w:p w:rsidR="00A53D7D" w:rsidRPr="00403F6B" w:rsidRDefault="00A53D7D" w:rsidP="005140B4">
            <w:pPr>
              <w:pStyle w:val="OGTableofFigures"/>
              <w:keepNext/>
              <w:rPr>
                <w:lang w:eastAsia="en-AU"/>
              </w:rPr>
            </w:pPr>
            <w:r w:rsidRPr="00411D6B">
              <w:rPr>
                <w:lang w:eastAsia="en-AU"/>
              </w:rPr>
              <w:t>75</w:t>
            </w:r>
          </w:p>
        </w:tc>
        <w:tc>
          <w:tcPr>
            <w:tcW w:w="895" w:type="dxa"/>
            <w:tcBorders>
              <w:top w:val="single" w:sz="6" w:space="0" w:color="auto"/>
              <w:left w:val="nil"/>
              <w:right w:val="nil"/>
            </w:tcBorders>
            <w:shd w:val="clear" w:color="000000" w:fill="FFFFFF"/>
            <w:hideMark/>
          </w:tcPr>
          <w:p w:rsidR="00A53D7D" w:rsidRPr="00411D6B" w:rsidRDefault="00A53D7D" w:rsidP="005140B4">
            <w:pPr>
              <w:pStyle w:val="OGTableofFigures"/>
              <w:keepNext/>
              <w:rPr>
                <w:lang w:eastAsia="en-AU"/>
              </w:rPr>
            </w:pPr>
            <w:r w:rsidRPr="00411D6B">
              <w:rPr>
                <w:lang w:eastAsia="en-AU"/>
              </w:rPr>
              <w:t>73</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keepNext/>
              <w:rPr>
                <w:lang w:eastAsia="en-AU"/>
              </w:rPr>
            </w:pPr>
            <w:r w:rsidRPr="00411D6B">
              <w:rPr>
                <w:lang w:eastAsia="en-AU"/>
              </w:rPr>
              <w:t>75</w:t>
            </w:r>
          </w:p>
        </w:tc>
      </w:tr>
      <w:tr w:rsidR="00A53D7D" w:rsidRPr="00F90034" w:rsidTr="005140B4">
        <w:trPr>
          <w:cantSplit/>
        </w:trPr>
        <w:tc>
          <w:tcPr>
            <w:tcW w:w="7782" w:type="dxa"/>
            <w:gridSpan w:val="8"/>
            <w:tcBorders>
              <w:left w:val="nil"/>
              <w:bottom w:val="single" w:sz="6" w:space="0" w:color="auto"/>
              <w:right w:val="nil"/>
            </w:tcBorders>
            <w:shd w:val="clear" w:color="000000" w:fill="FFFFFF"/>
          </w:tcPr>
          <w:p w:rsidR="00A53D7D" w:rsidRDefault="00A53D7D" w:rsidP="005140B4">
            <w:pPr>
              <w:pStyle w:val="OGNotes"/>
              <w:spacing w:after="0"/>
            </w:pPr>
            <w:r w:rsidRPr="00F90034">
              <w:t>This performance measure relates to the calendar year.</w:t>
            </w:r>
          </w:p>
          <w:p w:rsidR="00A53D7D" w:rsidRDefault="00A53D7D" w:rsidP="005140B4">
            <w:pPr>
              <w:pStyle w:val="OGNotes"/>
              <w:spacing w:after="0"/>
            </w:pPr>
            <w:r w:rsidRPr="006B5394">
              <w:t>This performance measure refers to government schools only.</w:t>
            </w:r>
          </w:p>
          <w:p w:rsidR="00A53D7D" w:rsidRPr="00F820F9" w:rsidRDefault="00A53D7D" w:rsidP="00F820F9">
            <w:pPr>
              <w:pStyle w:val="OGNotes"/>
            </w:pPr>
            <w:r w:rsidRPr="00F820F9">
              <w:t xml:space="preserve">The 2014–15 </w:t>
            </w:r>
            <w:proofErr w:type="gramStart"/>
            <w:r w:rsidRPr="00F820F9">
              <w:t>target</w:t>
            </w:r>
            <w:proofErr w:type="gramEnd"/>
            <w:r w:rsidRPr="00F820F9">
              <w:t xml:space="preserve"> has been raised to reflect the Department’s expectations for the outcomes of Victorian students.</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Pr>
                <w:lang w:eastAsia="en-AU"/>
              </w:rPr>
              <w:t>Percentage</w:t>
            </w:r>
            <w:r w:rsidRPr="005C542E">
              <w:rPr>
                <w:lang w:eastAsia="en-AU"/>
              </w:rPr>
              <w:t xml:space="preserve"> of Indigenous students meeting the national minimum standard for numeracy in Year 7 (NAPLAN testing)</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1111FA" w:rsidRDefault="00A53D7D" w:rsidP="005140B4">
            <w:pPr>
              <w:pStyle w:val="OGTableofFigures"/>
              <w:rPr>
                <w:lang w:eastAsia="en-AU"/>
              </w:rPr>
            </w:pPr>
            <w:r w:rsidRPr="00763DF3">
              <w:t>87.5</w:t>
            </w:r>
          </w:p>
        </w:tc>
        <w:tc>
          <w:tcPr>
            <w:tcW w:w="993" w:type="dxa"/>
            <w:tcBorders>
              <w:top w:val="single" w:sz="6" w:space="0" w:color="auto"/>
              <w:left w:val="nil"/>
              <w:right w:val="nil"/>
            </w:tcBorders>
            <w:shd w:val="clear" w:color="000000" w:fill="FFFFFF"/>
            <w:hideMark/>
          </w:tcPr>
          <w:p w:rsidR="00A53D7D" w:rsidRPr="001111FA" w:rsidRDefault="00A53D7D" w:rsidP="005140B4">
            <w:pPr>
              <w:pStyle w:val="OGTableofFigures"/>
              <w:rPr>
                <w:lang w:eastAsia="en-AU"/>
              </w:rPr>
            </w:pPr>
            <w:r w:rsidRPr="00763DF3">
              <w:t>86.1</w:t>
            </w:r>
          </w:p>
        </w:tc>
        <w:tc>
          <w:tcPr>
            <w:tcW w:w="895" w:type="dxa"/>
            <w:tcBorders>
              <w:top w:val="single" w:sz="6" w:space="0" w:color="auto"/>
              <w:left w:val="nil"/>
              <w:right w:val="nil"/>
            </w:tcBorders>
            <w:shd w:val="clear" w:color="000000" w:fill="FFFFFF"/>
            <w:hideMark/>
          </w:tcPr>
          <w:p w:rsidR="00A53D7D" w:rsidRPr="001111FA" w:rsidRDefault="00A53D7D" w:rsidP="005140B4">
            <w:pPr>
              <w:pStyle w:val="OGTableofFigures"/>
              <w:rPr>
                <w:lang w:eastAsia="en-AU"/>
              </w:rPr>
            </w:pPr>
            <w:r w:rsidRPr="001111FA">
              <w:rPr>
                <w:lang w:eastAsia="en-AU"/>
              </w:rPr>
              <w:t>85.5</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1111FA">
              <w:rPr>
                <w:lang w:eastAsia="en-AU"/>
              </w:rPr>
              <w:t>85.7</w:t>
            </w:r>
          </w:p>
        </w:tc>
      </w:tr>
      <w:tr w:rsidR="00A53D7D" w:rsidRPr="005C542E" w:rsidTr="005140B4">
        <w:trPr>
          <w:cantSplit/>
        </w:trPr>
        <w:tc>
          <w:tcPr>
            <w:tcW w:w="7782" w:type="dxa"/>
            <w:gridSpan w:val="8"/>
            <w:tcBorders>
              <w:left w:val="nil"/>
              <w:bottom w:val="single" w:sz="6" w:space="0" w:color="auto"/>
              <w:right w:val="nil"/>
            </w:tcBorders>
            <w:shd w:val="clear" w:color="000000" w:fill="FFFFFF"/>
            <w:vAlign w:val="bottom"/>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6B5394">
              <w:t>This performance measure includes government and non</w:t>
            </w:r>
            <w:r>
              <w:noBreakHyphen/>
            </w:r>
            <w:r w:rsidRPr="006B5394">
              <w:t>government schools.</w:t>
            </w:r>
          </w:p>
          <w:p w:rsidR="00A53D7D" w:rsidRDefault="00A53D7D" w:rsidP="005140B4">
            <w:pPr>
              <w:pStyle w:val="OGNotes"/>
              <w:spacing w:after="0"/>
            </w:pPr>
            <w:r>
              <w:t>The 2014</w:t>
            </w:r>
            <w:r>
              <w:noBreakHyphen/>
              <w:t xml:space="preserve">15 target has been raised to reflect the Department’s trajectory to Close the Gap. </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4 percentage points needs to be considered.</w:t>
            </w:r>
          </w:p>
        </w:tc>
      </w:tr>
      <w:tr w:rsidR="00A53D7D" w:rsidRPr="005C542E" w:rsidTr="005140B4">
        <w:trPr>
          <w:cantSplit/>
        </w:trPr>
        <w:tc>
          <w:tcPr>
            <w:tcW w:w="3108" w:type="dxa"/>
            <w:tcBorders>
              <w:top w:val="single" w:sz="6" w:space="0" w:color="auto"/>
              <w:left w:val="nil"/>
              <w:right w:val="nil"/>
            </w:tcBorders>
            <w:shd w:val="clear" w:color="000000" w:fill="FFFFFF"/>
          </w:tcPr>
          <w:p w:rsidR="00A53D7D" w:rsidRDefault="00A53D7D" w:rsidP="005140B4">
            <w:pPr>
              <w:pStyle w:val="OGTabText"/>
              <w:keepNext/>
              <w:rPr>
                <w:lang w:eastAsia="en-AU"/>
              </w:rPr>
            </w:pPr>
            <w:r w:rsidRPr="0074005B">
              <w:rPr>
                <w:lang w:eastAsia="en-AU"/>
              </w:rPr>
              <w:t>Percentage of Indigenous students meeting the national minimum standard for numeracy in Year 9 (NAPLAN testing)</w:t>
            </w:r>
          </w:p>
        </w:tc>
        <w:tc>
          <w:tcPr>
            <w:tcW w:w="952" w:type="dxa"/>
            <w:gridSpan w:val="2"/>
            <w:tcBorders>
              <w:top w:val="single" w:sz="6" w:space="0" w:color="auto"/>
              <w:left w:val="nil"/>
              <w:right w:val="nil"/>
            </w:tcBorders>
            <w:shd w:val="clear" w:color="000000" w:fill="FFFFFF"/>
          </w:tcPr>
          <w:p w:rsidR="00A53D7D" w:rsidRPr="005C542E" w:rsidRDefault="00A53D7D" w:rsidP="005140B4">
            <w:pPr>
              <w:pStyle w:val="OGUoM"/>
              <w:keepNext/>
              <w:rPr>
                <w:lang w:eastAsia="en-AU"/>
              </w:rPr>
            </w:pPr>
            <w:r>
              <w:rPr>
                <w:lang w:eastAsia="en-AU"/>
              </w:rPr>
              <w:t>per cent</w:t>
            </w:r>
          </w:p>
        </w:tc>
        <w:tc>
          <w:tcPr>
            <w:tcW w:w="909" w:type="dxa"/>
            <w:tcBorders>
              <w:top w:val="single" w:sz="6" w:space="0" w:color="auto"/>
              <w:left w:val="nil"/>
              <w:right w:val="nil"/>
            </w:tcBorders>
            <w:shd w:val="clear" w:color="auto" w:fill="D9D9D9"/>
          </w:tcPr>
          <w:p w:rsidR="00A53D7D" w:rsidRPr="00631A24" w:rsidRDefault="00A53D7D" w:rsidP="005140B4">
            <w:pPr>
              <w:pStyle w:val="OGTableofFigures"/>
              <w:keepNext/>
              <w:rPr>
                <w:lang w:eastAsia="en-AU"/>
              </w:rPr>
            </w:pPr>
            <w:r w:rsidRPr="00BC12A4">
              <w:t>81</w:t>
            </w:r>
            <w:r>
              <w:t>.0</w:t>
            </w:r>
          </w:p>
        </w:tc>
        <w:tc>
          <w:tcPr>
            <w:tcW w:w="993" w:type="dxa"/>
            <w:tcBorders>
              <w:top w:val="single" w:sz="6" w:space="0" w:color="auto"/>
              <w:left w:val="nil"/>
              <w:right w:val="nil"/>
            </w:tcBorders>
            <w:shd w:val="clear" w:color="000000" w:fill="FFFFFF"/>
          </w:tcPr>
          <w:p w:rsidR="00A53D7D" w:rsidRPr="00631A24" w:rsidRDefault="00A53D7D" w:rsidP="005140B4">
            <w:pPr>
              <w:pStyle w:val="OGTableofFigures"/>
              <w:keepNext/>
              <w:rPr>
                <w:lang w:eastAsia="en-AU"/>
              </w:rPr>
            </w:pPr>
            <w:r w:rsidRPr="00BC12A4">
              <w:t>75.8</w:t>
            </w:r>
          </w:p>
        </w:tc>
        <w:tc>
          <w:tcPr>
            <w:tcW w:w="895" w:type="dxa"/>
            <w:tcBorders>
              <w:top w:val="single" w:sz="6" w:space="0" w:color="auto"/>
              <w:left w:val="nil"/>
              <w:right w:val="nil"/>
            </w:tcBorders>
            <w:shd w:val="clear" w:color="000000" w:fill="FFFFFF"/>
          </w:tcPr>
          <w:p w:rsidR="00A53D7D" w:rsidRPr="00631A24" w:rsidRDefault="00A53D7D" w:rsidP="005140B4">
            <w:pPr>
              <w:pStyle w:val="OGTableofFigures"/>
              <w:keepNext/>
              <w:rPr>
                <w:lang w:eastAsia="en-AU"/>
              </w:rPr>
            </w:pPr>
            <w:r w:rsidRPr="00631A24">
              <w:rPr>
                <w:lang w:eastAsia="en-AU"/>
              </w:rPr>
              <w:t>80.6</w:t>
            </w:r>
          </w:p>
        </w:tc>
        <w:tc>
          <w:tcPr>
            <w:tcW w:w="925" w:type="dxa"/>
            <w:gridSpan w:val="2"/>
            <w:tcBorders>
              <w:top w:val="single" w:sz="6" w:space="0" w:color="auto"/>
              <w:left w:val="nil"/>
              <w:right w:val="nil"/>
            </w:tcBorders>
            <w:shd w:val="clear" w:color="000000" w:fill="FFFFFF"/>
          </w:tcPr>
          <w:p w:rsidR="00A53D7D" w:rsidRDefault="00A53D7D" w:rsidP="005140B4">
            <w:pPr>
              <w:pStyle w:val="OGTableofFigures"/>
              <w:keepNext/>
              <w:rPr>
                <w:lang w:eastAsia="en-AU"/>
              </w:rPr>
            </w:pPr>
            <w:r w:rsidRPr="00631A24">
              <w:rPr>
                <w:lang w:eastAsia="en-AU"/>
              </w:rPr>
              <w:t>83.1</w:t>
            </w:r>
          </w:p>
        </w:tc>
      </w:tr>
      <w:tr w:rsidR="00A53D7D" w:rsidRPr="005C542E" w:rsidTr="005140B4">
        <w:trPr>
          <w:cantSplit/>
          <w:trHeight w:val="915"/>
        </w:trPr>
        <w:tc>
          <w:tcPr>
            <w:tcW w:w="7782" w:type="dxa"/>
            <w:gridSpan w:val="8"/>
            <w:tcBorders>
              <w:top w:val="nil"/>
              <w:left w:val="nil"/>
              <w:bottom w:val="single" w:sz="4"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6B5394">
              <w:t>This performance measure includes government and non</w:t>
            </w:r>
            <w:r>
              <w:noBreakHyphen/>
            </w:r>
            <w:r w:rsidRPr="006B5394">
              <w:t>government schools.</w:t>
            </w:r>
          </w:p>
          <w:p w:rsidR="00A53D7D" w:rsidRDefault="00A53D7D" w:rsidP="005140B4">
            <w:pPr>
              <w:pStyle w:val="OGNotes"/>
              <w:spacing w:after="0"/>
            </w:pPr>
            <w:r>
              <w:t>The 2014</w:t>
            </w:r>
            <w:r>
              <w:noBreakHyphen/>
              <w:t xml:space="preserve">15 target has been raised to reflect the Department’s trajectory to Close the Gap. </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4 percentage points needs to be considered.</w:t>
            </w:r>
          </w:p>
        </w:tc>
      </w:tr>
      <w:tr w:rsidR="00A53D7D" w:rsidRPr="005C542E" w:rsidTr="005140B4">
        <w:trPr>
          <w:cantSplit/>
        </w:trPr>
        <w:tc>
          <w:tcPr>
            <w:tcW w:w="3108" w:type="dxa"/>
            <w:tcBorders>
              <w:left w:val="nil"/>
              <w:right w:val="nil"/>
            </w:tcBorders>
            <w:shd w:val="clear" w:color="000000" w:fill="FFFFFF"/>
            <w:hideMark/>
          </w:tcPr>
          <w:p w:rsidR="00A53D7D" w:rsidRPr="005C542E" w:rsidRDefault="00A53D7D" w:rsidP="005140B4">
            <w:pPr>
              <w:pStyle w:val="OGTabText"/>
              <w:rPr>
                <w:lang w:eastAsia="en-AU"/>
              </w:rPr>
            </w:pPr>
            <w:r>
              <w:rPr>
                <w:lang w:eastAsia="en-AU"/>
              </w:rPr>
              <w:t>Percent</w:t>
            </w:r>
            <w:r w:rsidRPr="005C542E">
              <w:rPr>
                <w:lang w:eastAsia="en-AU"/>
              </w:rPr>
              <w:t>age of Indigenous students meeting the national minimum standard for reading in Year 7 (NAPLAN testing)</w:t>
            </w:r>
          </w:p>
        </w:tc>
        <w:tc>
          <w:tcPr>
            <w:tcW w:w="952" w:type="dxa"/>
            <w:gridSpan w:val="2"/>
            <w:tcBorders>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left w:val="nil"/>
              <w:right w:val="nil"/>
            </w:tcBorders>
            <w:shd w:val="clear" w:color="auto" w:fill="D9D9D9"/>
            <w:hideMark/>
          </w:tcPr>
          <w:p w:rsidR="00A53D7D" w:rsidRPr="00704C97" w:rsidRDefault="00A53D7D" w:rsidP="005140B4">
            <w:pPr>
              <w:pStyle w:val="OGTableofFigures"/>
              <w:rPr>
                <w:lang w:eastAsia="en-AU"/>
              </w:rPr>
            </w:pPr>
            <w:r w:rsidRPr="001168F0">
              <w:t>87.5</w:t>
            </w:r>
          </w:p>
        </w:tc>
        <w:tc>
          <w:tcPr>
            <w:tcW w:w="993" w:type="dxa"/>
            <w:tcBorders>
              <w:left w:val="nil"/>
              <w:right w:val="nil"/>
            </w:tcBorders>
            <w:shd w:val="clear" w:color="000000" w:fill="FFFFFF"/>
            <w:hideMark/>
          </w:tcPr>
          <w:p w:rsidR="00A53D7D" w:rsidRPr="00704C97" w:rsidRDefault="00A53D7D" w:rsidP="005140B4">
            <w:pPr>
              <w:pStyle w:val="OGTableofFigures"/>
              <w:rPr>
                <w:lang w:eastAsia="en-AU"/>
              </w:rPr>
            </w:pPr>
            <w:r w:rsidRPr="001168F0">
              <w:t>86.2</w:t>
            </w:r>
          </w:p>
        </w:tc>
        <w:tc>
          <w:tcPr>
            <w:tcW w:w="895" w:type="dxa"/>
            <w:tcBorders>
              <w:left w:val="nil"/>
              <w:right w:val="nil"/>
            </w:tcBorders>
            <w:shd w:val="clear" w:color="000000" w:fill="FFFFFF"/>
            <w:hideMark/>
          </w:tcPr>
          <w:p w:rsidR="00A53D7D" w:rsidRPr="00704C97" w:rsidRDefault="00A53D7D" w:rsidP="005140B4">
            <w:pPr>
              <w:pStyle w:val="OGTableofFigures"/>
              <w:rPr>
                <w:lang w:eastAsia="en-AU"/>
              </w:rPr>
            </w:pPr>
            <w:r w:rsidRPr="00704C97">
              <w:rPr>
                <w:lang w:eastAsia="en-AU"/>
              </w:rPr>
              <w:t>86.9</w:t>
            </w:r>
          </w:p>
        </w:tc>
        <w:tc>
          <w:tcPr>
            <w:tcW w:w="925" w:type="dxa"/>
            <w:gridSpan w:val="2"/>
            <w:tcBorders>
              <w:left w:val="nil"/>
              <w:right w:val="nil"/>
            </w:tcBorders>
            <w:shd w:val="clear" w:color="000000" w:fill="FFFFFF"/>
            <w:hideMark/>
          </w:tcPr>
          <w:p w:rsidR="00A53D7D" w:rsidRDefault="00A53D7D" w:rsidP="005140B4">
            <w:pPr>
              <w:pStyle w:val="OGTableofFigures"/>
              <w:rPr>
                <w:lang w:eastAsia="en-AU"/>
              </w:rPr>
            </w:pPr>
            <w:r w:rsidRPr="00704C97">
              <w:rPr>
                <w:lang w:eastAsia="en-AU"/>
              </w:rPr>
              <w:t>87.8</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6B5394">
              <w:t>This performance measure includes government and non</w:t>
            </w:r>
            <w:r>
              <w:noBreakHyphen/>
            </w:r>
            <w:r w:rsidRPr="006B5394">
              <w:t>government schools.</w:t>
            </w:r>
          </w:p>
          <w:p w:rsidR="00A53D7D" w:rsidRDefault="00A53D7D" w:rsidP="005140B4">
            <w:pPr>
              <w:pStyle w:val="OGNotes"/>
              <w:spacing w:after="0"/>
            </w:pPr>
            <w:r>
              <w:t>The 2014</w:t>
            </w:r>
            <w:r>
              <w:noBreakHyphen/>
              <w:t>15 target has been raised to reflect the Department’s trajectory to Close the Gap.</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4 percentage points needs to be considered.</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keepNext/>
              <w:rPr>
                <w:lang w:eastAsia="en-AU"/>
              </w:rPr>
            </w:pPr>
            <w:r>
              <w:rPr>
                <w:lang w:eastAsia="en-AU"/>
              </w:rPr>
              <w:t>Percent</w:t>
            </w:r>
            <w:r w:rsidRPr="005C542E">
              <w:rPr>
                <w:lang w:eastAsia="en-AU"/>
              </w:rPr>
              <w:t>age of Indigenous students meeting the national minimum standard for reading in Year 9 (NAPLAN testing)</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5F6688" w:rsidRDefault="00A53D7D" w:rsidP="005140B4">
            <w:pPr>
              <w:pStyle w:val="OGTableofFigures"/>
              <w:rPr>
                <w:lang w:eastAsia="en-AU"/>
              </w:rPr>
            </w:pPr>
            <w:r w:rsidRPr="00724765">
              <w:t>82.7</w:t>
            </w:r>
          </w:p>
        </w:tc>
        <w:tc>
          <w:tcPr>
            <w:tcW w:w="993" w:type="dxa"/>
            <w:tcBorders>
              <w:top w:val="single" w:sz="6" w:space="0" w:color="auto"/>
              <w:left w:val="nil"/>
              <w:right w:val="nil"/>
            </w:tcBorders>
            <w:shd w:val="clear" w:color="000000" w:fill="FFFFFF"/>
            <w:hideMark/>
          </w:tcPr>
          <w:p w:rsidR="00A53D7D" w:rsidRPr="005F6688" w:rsidRDefault="00A53D7D" w:rsidP="005140B4">
            <w:pPr>
              <w:pStyle w:val="OGTableofFigures"/>
              <w:rPr>
                <w:lang w:eastAsia="en-AU"/>
              </w:rPr>
            </w:pPr>
            <w:r w:rsidRPr="00724765">
              <w:t>84</w:t>
            </w:r>
            <w:r>
              <w:t>.0</w:t>
            </w:r>
          </w:p>
        </w:tc>
        <w:tc>
          <w:tcPr>
            <w:tcW w:w="895" w:type="dxa"/>
            <w:tcBorders>
              <w:top w:val="single" w:sz="6" w:space="0" w:color="auto"/>
              <w:left w:val="nil"/>
              <w:right w:val="nil"/>
            </w:tcBorders>
            <w:shd w:val="clear" w:color="000000" w:fill="FFFFFF"/>
            <w:hideMark/>
          </w:tcPr>
          <w:p w:rsidR="00A53D7D" w:rsidRPr="005F6688" w:rsidRDefault="00A53D7D" w:rsidP="005140B4">
            <w:pPr>
              <w:pStyle w:val="OGTableofFigures"/>
              <w:rPr>
                <w:lang w:eastAsia="en-AU"/>
              </w:rPr>
            </w:pPr>
            <w:r w:rsidRPr="005F6688">
              <w:rPr>
                <w:lang w:eastAsia="en-AU"/>
              </w:rPr>
              <w:t>81.9</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5F6688">
              <w:rPr>
                <w:lang w:eastAsia="en-AU"/>
              </w:rPr>
              <w:t>80.7</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6B5394">
              <w:t>This performance measure includes government and non</w:t>
            </w:r>
            <w:r>
              <w:noBreakHyphen/>
            </w:r>
            <w:r w:rsidRPr="006B5394">
              <w:t>government schools.</w:t>
            </w:r>
          </w:p>
          <w:p w:rsidR="00A53D7D" w:rsidRDefault="00A53D7D" w:rsidP="005140B4">
            <w:pPr>
              <w:pStyle w:val="OGNotes"/>
              <w:spacing w:after="0"/>
            </w:pPr>
            <w:r>
              <w:t>The 2014</w:t>
            </w:r>
            <w:r>
              <w:noBreakHyphen/>
              <w:t>15 target has been raised to reflect the Department’s trajectory to Close the Gap.</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4 percentage points needs to be considered.</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keepNext/>
              <w:ind w:left="142"/>
              <w:rPr>
                <w:lang w:eastAsia="en-AU"/>
              </w:rPr>
            </w:pPr>
            <w:r>
              <w:rPr>
                <w:lang w:eastAsia="en-AU"/>
              </w:rPr>
              <w:t>Percentage</w:t>
            </w:r>
            <w:r w:rsidRPr="005C542E">
              <w:rPr>
                <w:lang w:eastAsia="en-AU"/>
              </w:rPr>
              <w:t xml:space="preserve"> of Victorian Certificate of Applied Learning Certificates satisfactorily completed by school students</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2678E3" w:rsidRDefault="00A53D7D" w:rsidP="005140B4">
            <w:pPr>
              <w:pStyle w:val="OGTableofFigures"/>
              <w:rPr>
                <w:lang w:eastAsia="en-AU"/>
              </w:rPr>
            </w:pPr>
            <w:r w:rsidRPr="0017767C">
              <w:t>75</w:t>
            </w:r>
          </w:p>
        </w:tc>
        <w:tc>
          <w:tcPr>
            <w:tcW w:w="993" w:type="dxa"/>
            <w:tcBorders>
              <w:top w:val="single" w:sz="6" w:space="0" w:color="auto"/>
              <w:left w:val="nil"/>
              <w:right w:val="nil"/>
            </w:tcBorders>
            <w:shd w:val="clear" w:color="000000" w:fill="FFFFFF"/>
            <w:hideMark/>
          </w:tcPr>
          <w:p w:rsidR="00A53D7D" w:rsidRPr="002678E3" w:rsidRDefault="00A53D7D" w:rsidP="005140B4">
            <w:pPr>
              <w:pStyle w:val="OGTableofFigures"/>
              <w:rPr>
                <w:lang w:eastAsia="en-AU"/>
              </w:rPr>
            </w:pPr>
            <w:r w:rsidRPr="0017767C">
              <w:t>78.9</w:t>
            </w:r>
          </w:p>
        </w:tc>
        <w:tc>
          <w:tcPr>
            <w:tcW w:w="895" w:type="dxa"/>
            <w:tcBorders>
              <w:top w:val="single" w:sz="6" w:space="0" w:color="auto"/>
              <w:left w:val="nil"/>
              <w:right w:val="nil"/>
            </w:tcBorders>
            <w:shd w:val="clear" w:color="000000" w:fill="FFFFFF"/>
            <w:hideMark/>
          </w:tcPr>
          <w:p w:rsidR="00A53D7D" w:rsidRPr="002678E3" w:rsidRDefault="00A53D7D" w:rsidP="005140B4">
            <w:pPr>
              <w:pStyle w:val="OGTableofFigures"/>
              <w:rPr>
                <w:lang w:eastAsia="en-AU"/>
              </w:rPr>
            </w:pPr>
            <w:r w:rsidRPr="002678E3">
              <w:rPr>
                <w:lang w:eastAsia="en-AU"/>
              </w:rPr>
              <w:t>75</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2678E3">
              <w:rPr>
                <w:lang w:eastAsia="en-AU"/>
              </w:rPr>
              <w:t>77.6</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5C542E">
              <w:t>This performance measure includes</w:t>
            </w:r>
            <w:r>
              <w:t xml:space="preserve"> government and</w:t>
            </w:r>
            <w:r w:rsidRPr="005C542E">
              <w:t xml:space="preserve"> non</w:t>
            </w:r>
            <w:r>
              <w:noBreakHyphen/>
            </w:r>
            <w:r w:rsidRPr="005C542E">
              <w:t>government schools.</w:t>
            </w:r>
          </w:p>
          <w:p w:rsidR="00A53D7D" w:rsidRPr="00F820F9" w:rsidRDefault="00A53D7D" w:rsidP="00F820F9">
            <w:pPr>
              <w:pStyle w:val="OGNotes"/>
            </w:pPr>
            <w:r w:rsidRPr="00F820F9">
              <w:t>The 2013</w:t>
            </w:r>
            <w:r w:rsidRPr="00F820F9">
              <w:noBreakHyphen/>
              <w:t>14 expected outcome is higher than the 2013</w:t>
            </w:r>
            <w:r w:rsidRPr="00F820F9">
              <w:noBreakHyphen/>
              <w:t>14 target due to improvements in the quality of provision in Victorian Certificate of Applied Learning for a senior secondary certificate.</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Pr>
                <w:lang w:eastAsia="en-AU"/>
              </w:rPr>
              <w:t>Percentage</w:t>
            </w:r>
            <w:r w:rsidRPr="005C542E">
              <w:rPr>
                <w:lang w:eastAsia="en-AU"/>
              </w:rPr>
              <w:t xml:space="preserve"> of Year 9 students reach</w:t>
            </w:r>
            <w:r>
              <w:rPr>
                <w:lang w:eastAsia="en-AU"/>
              </w:rPr>
              <w:t>ing the top two Bands (Bands 9 a</w:t>
            </w:r>
            <w:r w:rsidRPr="005C542E">
              <w:rPr>
                <w:lang w:eastAsia="en-AU"/>
              </w:rPr>
              <w:t>nd 10) in NAPLAN Numeracy</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EC6239" w:rsidRDefault="00A53D7D" w:rsidP="005140B4">
            <w:pPr>
              <w:pStyle w:val="OGTableofFigures"/>
              <w:rPr>
                <w:lang w:eastAsia="en-AU"/>
              </w:rPr>
            </w:pPr>
            <w:r w:rsidRPr="00EC6239">
              <w:rPr>
                <w:lang w:eastAsia="en-AU"/>
              </w:rPr>
              <w:t>24</w:t>
            </w:r>
          </w:p>
        </w:tc>
        <w:tc>
          <w:tcPr>
            <w:tcW w:w="993" w:type="dxa"/>
            <w:tcBorders>
              <w:top w:val="single" w:sz="6" w:space="0" w:color="auto"/>
              <w:left w:val="nil"/>
              <w:right w:val="nil"/>
            </w:tcBorders>
            <w:shd w:val="clear" w:color="auto" w:fill="auto"/>
            <w:hideMark/>
          </w:tcPr>
          <w:p w:rsidR="00A53D7D" w:rsidRPr="00403F6B" w:rsidRDefault="00A53D7D" w:rsidP="005140B4">
            <w:pPr>
              <w:pStyle w:val="OGTableofFigures"/>
              <w:rPr>
                <w:lang w:eastAsia="en-AU"/>
              </w:rPr>
            </w:pPr>
            <w:r w:rsidRPr="00EC6239">
              <w:rPr>
                <w:lang w:eastAsia="en-AU"/>
              </w:rPr>
              <w:t>25.2</w:t>
            </w:r>
          </w:p>
        </w:tc>
        <w:tc>
          <w:tcPr>
            <w:tcW w:w="895" w:type="dxa"/>
            <w:tcBorders>
              <w:top w:val="single" w:sz="6" w:space="0" w:color="auto"/>
              <w:left w:val="nil"/>
              <w:right w:val="nil"/>
            </w:tcBorders>
            <w:shd w:val="clear" w:color="000000" w:fill="FFFFFF"/>
            <w:hideMark/>
          </w:tcPr>
          <w:p w:rsidR="00A53D7D" w:rsidRPr="00EC6239" w:rsidRDefault="00A53D7D" w:rsidP="005140B4">
            <w:pPr>
              <w:pStyle w:val="OGTableofFigures"/>
              <w:rPr>
                <w:lang w:eastAsia="en-AU"/>
              </w:rPr>
            </w:pPr>
            <w:r w:rsidRPr="00EC6239">
              <w:rPr>
                <w:lang w:eastAsia="en-AU"/>
              </w:rPr>
              <w:t>24</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EC6239">
              <w:rPr>
                <w:lang w:eastAsia="en-AU"/>
              </w:rPr>
              <w:t>24.7</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6B5394">
              <w:t>This performance measure includes government and non</w:t>
            </w:r>
            <w:r>
              <w:noBreakHyphen/>
            </w:r>
            <w:r w:rsidRPr="006B5394">
              <w:t>government schools.</w:t>
            </w:r>
          </w:p>
          <w:p w:rsidR="00A53D7D" w:rsidRDefault="00A53D7D" w:rsidP="005140B4">
            <w:pPr>
              <w:pStyle w:val="OGNotes"/>
              <w:spacing w:after="0"/>
            </w:pPr>
            <w:r w:rsidRPr="00147A71">
              <w:t>NAPLAN results are subject to measurement error and when interpreting results, a 95 per cent confidence interval of approximately +/</w:t>
            </w:r>
            <w:r>
              <w:noBreakHyphen/>
            </w:r>
            <w:r w:rsidRPr="00147A71">
              <w:t xml:space="preserve"> 1 </w:t>
            </w:r>
            <w:r>
              <w:t>percentage</w:t>
            </w:r>
            <w:r w:rsidRPr="00E93C81">
              <w:t xml:space="preserve"> </w:t>
            </w:r>
            <w:r>
              <w:t xml:space="preserve">point </w:t>
            </w:r>
            <w:r w:rsidRPr="00147A71">
              <w:t>needs to be considered.</w:t>
            </w:r>
          </w:p>
          <w:p w:rsidR="00A53D7D" w:rsidRPr="00F820F9" w:rsidRDefault="00A53D7D" w:rsidP="00F820F9">
            <w:pPr>
              <w:pStyle w:val="OGNotes"/>
            </w:pPr>
            <w:r w:rsidRPr="00F820F9">
              <w:t>The scale for each domain is divided into ten bands to cover the full range of student achievement in the tests. The students in Year 9 are assessed between Bands 5 and 10. The bands map the increasing complexity of the skills assessed by NAPLAN.</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ind w:left="142"/>
              <w:rPr>
                <w:lang w:eastAsia="en-AU"/>
              </w:rPr>
            </w:pPr>
            <w:r>
              <w:rPr>
                <w:lang w:eastAsia="en-AU"/>
              </w:rPr>
              <w:t>Percentage</w:t>
            </w:r>
            <w:r w:rsidRPr="005C542E">
              <w:rPr>
                <w:lang w:eastAsia="en-AU"/>
              </w:rPr>
              <w:t xml:space="preserve"> of Year 9 students reaching the top two bands (Bands 9 and 10) in NAPLAN Reading</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bottom w:val="nil"/>
              <w:right w:val="nil"/>
            </w:tcBorders>
            <w:shd w:val="clear" w:color="auto" w:fill="D9D9D9"/>
            <w:hideMark/>
          </w:tcPr>
          <w:p w:rsidR="00A53D7D" w:rsidRPr="0076682A" w:rsidRDefault="00A53D7D" w:rsidP="005140B4">
            <w:pPr>
              <w:pStyle w:val="OGTableofFigures"/>
              <w:rPr>
                <w:lang w:eastAsia="en-AU"/>
              </w:rPr>
            </w:pPr>
            <w:r w:rsidRPr="0076682A">
              <w:rPr>
                <w:lang w:eastAsia="en-AU"/>
              </w:rPr>
              <w:t>20.4</w:t>
            </w:r>
          </w:p>
        </w:tc>
        <w:tc>
          <w:tcPr>
            <w:tcW w:w="993" w:type="dxa"/>
            <w:tcBorders>
              <w:top w:val="single" w:sz="6" w:space="0" w:color="auto"/>
              <w:left w:val="nil"/>
              <w:bottom w:val="nil"/>
              <w:right w:val="nil"/>
            </w:tcBorders>
            <w:shd w:val="clear" w:color="auto" w:fill="auto"/>
            <w:hideMark/>
          </w:tcPr>
          <w:p w:rsidR="00A53D7D" w:rsidRPr="00403F6B" w:rsidRDefault="00A53D7D" w:rsidP="005140B4">
            <w:pPr>
              <w:pStyle w:val="OGTableofFigures"/>
              <w:rPr>
                <w:lang w:eastAsia="en-AU"/>
              </w:rPr>
            </w:pPr>
            <w:r w:rsidRPr="0076682A">
              <w:rPr>
                <w:lang w:eastAsia="en-AU"/>
              </w:rPr>
              <w:t>20.7</w:t>
            </w:r>
          </w:p>
        </w:tc>
        <w:tc>
          <w:tcPr>
            <w:tcW w:w="895" w:type="dxa"/>
            <w:tcBorders>
              <w:top w:val="single" w:sz="6" w:space="0" w:color="auto"/>
              <w:left w:val="nil"/>
              <w:bottom w:val="nil"/>
              <w:right w:val="nil"/>
            </w:tcBorders>
            <w:shd w:val="clear" w:color="000000" w:fill="FFFFFF"/>
            <w:hideMark/>
          </w:tcPr>
          <w:p w:rsidR="00A53D7D" w:rsidRPr="0076682A" w:rsidRDefault="00A53D7D" w:rsidP="005140B4">
            <w:pPr>
              <w:pStyle w:val="OGTableofFigures"/>
              <w:rPr>
                <w:lang w:eastAsia="en-AU"/>
              </w:rPr>
            </w:pPr>
            <w:r w:rsidRPr="0076682A">
              <w:rPr>
                <w:lang w:eastAsia="en-AU"/>
              </w:rPr>
              <w:t>20.4</w:t>
            </w:r>
          </w:p>
        </w:tc>
        <w:tc>
          <w:tcPr>
            <w:tcW w:w="925" w:type="dxa"/>
            <w:gridSpan w:val="2"/>
            <w:tcBorders>
              <w:top w:val="single" w:sz="6" w:space="0" w:color="auto"/>
              <w:left w:val="nil"/>
              <w:bottom w:val="nil"/>
              <w:right w:val="nil"/>
            </w:tcBorders>
            <w:shd w:val="clear" w:color="000000" w:fill="FFFFFF"/>
            <w:hideMark/>
          </w:tcPr>
          <w:p w:rsidR="00A53D7D" w:rsidRDefault="00A53D7D" w:rsidP="005140B4">
            <w:pPr>
              <w:pStyle w:val="OGTableofFigures"/>
              <w:rPr>
                <w:lang w:eastAsia="en-AU"/>
              </w:rPr>
            </w:pPr>
            <w:r w:rsidRPr="0076682A">
              <w:rPr>
                <w:lang w:eastAsia="en-AU"/>
              </w:rPr>
              <w:t>20.4</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6B5394">
              <w:t>This performance measure includes government and non</w:t>
            </w:r>
            <w:r>
              <w:noBreakHyphen/>
            </w:r>
            <w:r w:rsidRPr="006B5394">
              <w:t>government schools.</w:t>
            </w:r>
          </w:p>
          <w:p w:rsidR="00A53D7D" w:rsidRDefault="00A53D7D" w:rsidP="005140B4">
            <w:pPr>
              <w:pStyle w:val="OGNotes"/>
              <w:spacing w:after="0"/>
            </w:pPr>
            <w:r w:rsidRPr="00147A71">
              <w:t>NAPLAN results are subject to measurement error and when interpreting results, a 95 per cent confidence interval of approximately +/</w:t>
            </w:r>
            <w:r>
              <w:noBreakHyphen/>
            </w:r>
            <w:r w:rsidRPr="00147A71">
              <w:t xml:space="preserve"> 1 </w:t>
            </w:r>
            <w:r>
              <w:t>percentage</w:t>
            </w:r>
            <w:r w:rsidRPr="00147A71">
              <w:t xml:space="preserve"> </w:t>
            </w:r>
            <w:r>
              <w:t xml:space="preserve">point </w:t>
            </w:r>
            <w:r w:rsidRPr="00147A71">
              <w:t>needs to be considered.</w:t>
            </w:r>
          </w:p>
          <w:p w:rsidR="00A53D7D" w:rsidRPr="00F820F9" w:rsidRDefault="00A53D7D" w:rsidP="00F820F9">
            <w:pPr>
              <w:pStyle w:val="OGNotes"/>
            </w:pPr>
            <w:r w:rsidRPr="00F820F9">
              <w:t>The scale for each domain is divided into ten bands to cover the full range of student achievement in the tests. The students in Year 9 are assessed between Bands 5 and 10. The bands map the increasing complexity of the skills assessed by NAPLAN.</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Pr>
                <w:lang w:eastAsia="en-AU"/>
              </w:rPr>
              <w:t>Percentage</w:t>
            </w:r>
            <w:r w:rsidRPr="005C542E">
              <w:rPr>
                <w:lang w:eastAsia="en-AU"/>
              </w:rPr>
              <w:t xml:space="preserve"> of school leavers completing a VCE VET certificate program in a school progressing to further education, training or work</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046004" w:rsidRDefault="00A53D7D" w:rsidP="005140B4">
            <w:pPr>
              <w:pStyle w:val="OGTableofFigures"/>
              <w:rPr>
                <w:lang w:eastAsia="en-AU"/>
              </w:rPr>
            </w:pPr>
            <w:r w:rsidRPr="00364D2C">
              <w:t>92</w:t>
            </w:r>
            <w:r>
              <w:t>.0</w:t>
            </w:r>
          </w:p>
        </w:tc>
        <w:tc>
          <w:tcPr>
            <w:tcW w:w="993" w:type="dxa"/>
            <w:tcBorders>
              <w:top w:val="single" w:sz="6" w:space="0" w:color="auto"/>
              <w:left w:val="nil"/>
              <w:right w:val="nil"/>
            </w:tcBorders>
            <w:shd w:val="clear" w:color="000000" w:fill="FFFFFF"/>
            <w:hideMark/>
          </w:tcPr>
          <w:p w:rsidR="00A53D7D" w:rsidRPr="00046004" w:rsidRDefault="00A53D7D" w:rsidP="005140B4">
            <w:pPr>
              <w:pStyle w:val="OGTableofFigures"/>
              <w:rPr>
                <w:lang w:eastAsia="en-AU"/>
              </w:rPr>
            </w:pPr>
            <w:r w:rsidRPr="00364D2C">
              <w:t>95.3</w:t>
            </w:r>
          </w:p>
        </w:tc>
        <w:tc>
          <w:tcPr>
            <w:tcW w:w="895" w:type="dxa"/>
            <w:tcBorders>
              <w:top w:val="single" w:sz="6" w:space="0" w:color="auto"/>
              <w:left w:val="nil"/>
              <w:right w:val="nil"/>
            </w:tcBorders>
            <w:shd w:val="clear" w:color="000000" w:fill="FFFFFF"/>
            <w:hideMark/>
          </w:tcPr>
          <w:p w:rsidR="00A53D7D" w:rsidRPr="00046004" w:rsidRDefault="00A53D7D" w:rsidP="005140B4">
            <w:pPr>
              <w:pStyle w:val="OGTableofFigures"/>
              <w:rPr>
                <w:lang w:eastAsia="en-AU"/>
              </w:rPr>
            </w:pPr>
            <w:r w:rsidRPr="00046004">
              <w:rPr>
                <w:lang w:eastAsia="en-AU"/>
              </w:rPr>
              <w:t>91.6</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046004">
              <w:rPr>
                <w:lang w:eastAsia="en-AU"/>
              </w:rPr>
              <w:t>95.9</w:t>
            </w:r>
          </w:p>
        </w:tc>
      </w:tr>
      <w:tr w:rsidR="00A53D7D" w:rsidRPr="005C542E" w:rsidTr="005140B4">
        <w:trPr>
          <w:cantSplit/>
        </w:trPr>
        <w:tc>
          <w:tcPr>
            <w:tcW w:w="7782" w:type="dxa"/>
            <w:gridSpan w:val="8"/>
            <w:tcBorders>
              <w:left w:val="nil"/>
              <w:bottom w:val="single" w:sz="6" w:space="0" w:color="auto"/>
              <w:right w:val="nil"/>
            </w:tcBorders>
            <w:shd w:val="clear" w:color="000000" w:fill="FFFFFF"/>
          </w:tcPr>
          <w:p w:rsidR="00A53D7D" w:rsidRPr="00046004" w:rsidRDefault="00A53D7D" w:rsidP="005140B4">
            <w:pPr>
              <w:pStyle w:val="OGNotes"/>
            </w:pPr>
            <w:r w:rsidRPr="006A33FA">
              <w:t xml:space="preserve">This performance measure relates to the calendar year. </w:t>
            </w:r>
            <w:r w:rsidRPr="006A33FA">
              <w:br/>
              <w:t>This performance measure includes government and non</w:t>
            </w:r>
            <w:r>
              <w:noBreakHyphen/>
            </w:r>
            <w:r w:rsidRPr="006A33FA">
              <w:t>government schools.</w:t>
            </w:r>
            <w:r w:rsidRPr="006A33FA">
              <w:br/>
              <w:t>The 2014</w:t>
            </w:r>
            <w:r>
              <w:noBreakHyphen/>
            </w:r>
            <w:r w:rsidRPr="006A33FA">
              <w:t xml:space="preserve">15 </w:t>
            </w:r>
            <w:r>
              <w:t>target</w:t>
            </w:r>
            <w:r w:rsidRPr="006A33FA">
              <w:t xml:space="preserve"> is consistent with the 2013</w:t>
            </w:r>
            <w:r>
              <w:noBreakHyphen/>
            </w:r>
            <w:r w:rsidRPr="006A33FA">
              <w:t xml:space="preserve">14 </w:t>
            </w:r>
            <w:r>
              <w:t>target</w:t>
            </w:r>
            <w:r w:rsidRPr="006A33FA">
              <w:t xml:space="preserve"> taking into account rounding and sampling variability of the survey data used for this measure.</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Pr>
                <w:lang w:eastAsia="en-AU"/>
              </w:rPr>
              <w:t>Percentage</w:t>
            </w:r>
            <w:r w:rsidRPr="005C542E">
              <w:rPr>
                <w:lang w:eastAsia="en-AU"/>
              </w:rPr>
              <w:t xml:space="preserve"> of school leavers completing an Intermediate or Senior Victorian C</w:t>
            </w:r>
            <w:r>
              <w:rPr>
                <w:lang w:eastAsia="en-AU"/>
              </w:rPr>
              <w:t>ertificate of Applied Learning c</w:t>
            </w:r>
            <w:r w:rsidRPr="005C542E">
              <w:rPr>
                <w:lang w:eastAsia="en-AU"/>
              </w:rPr>
              <w:t>ertificate in a school progressing to further education, training or work</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C87BFE" w:rsidRDefault="00A53D7D" w:rsidP="005140B4">
            <w:pPr>
              <w:pStyle w:val="OGTableofFigures"/>
            </w:pPr>
            <w:r w:rsidRPr="00D372E4">
              <w:t>80.</w:t>
            </w:r>
            <w:r>
              <w:t>0</w:t>
            </w:r>
          </w:p>
        </w:tc>
        <w:tc>
          <w:tcPr>
            <w:tcW w:w="993" w:type="dxa"/>
            <w:tcBorders>
              <w:top w:val="single" w:sz="6" w:space="0" w:color="auto"/>
              <w:left w:val="nil"/>
              <w:right w:val="nil"/>
            </w:tcBorders>
            <w:shd w:val="clear" w:color="000000" w:fill="FFFFFF"/>
            <w:hideMark/>
          </w:tcPr>
          <w:p w:rsidR="00A53D7D" w:rsidRPr="00C87BFE" w:rsidRDefault="00A53D7D" w:rsidP="005140B4">
            <w:pPr>
              <w:pStyle w:val="OGTableofFigures"/>
              <w:rPr>
                <w:lang w:eastAsia="en-AU"/>
              </w:rPr>
            </w:pPr>
            <w:r>
              <w:t>82.9</w:t>
            </w:r>
          </w:p>
        </w:tc>
        <w:tc>
          <w:tcPr>
            <w:tcW w:w="895" w:type="dxa"/>
            <w:tcBorders>
              <w:top w:val="single" w:sz="6" w:space="0" w:color="auto"/>
              <w:left w:val="nil"/>
              <w:right w:val="nil"/>
            </w:tcBorders>
            <w:shd w:val="clear" w:color="000000" w:fill="FFFFFF"/>
            <w:hideMark/>
          </w:tcPr>
          <w:p w:rsidR="00A53D7D" w:rsidRPr="00C87BFE" w:rsidRDefault="00A53D7D" w:rsidP="005140B4">
            <w:pPr>
              <w:pStyle w:val="OGTableofFigures"/>
              <w:rPr>
                <w:lang w:eastAsia="en-AU"/>
              </w:rPr>
            </w:pPr>
            <w:r w:rsidRPr="00C87BFE">
              <w:rPr>
                <w:lang w:eastAsia="en-AU"/>
              </w:rPr>
              <w:t>82.9</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C87BFE">
              <w:rPr>
                <w:lang w:eastAsia="en-AU"/>
              </w:rPr>
              <w:t>85</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5C542E">
              <w:t>This performance measure includes</w:t>
            </w:r>
            <w:r>
              <w:t xml:space="preserve"> government and</w:t>
            </w:r>
            <w:r w:rsidRPr="005C542E">
              <w:t xml:space="preserve"> non</w:t>
            </w:r>
            <w:r>
              <w:noBreakHyphen/>
            </w:r>
            <w:r w:rsidRPr="005C542E">
              <w:t>government schools.</w:t>
            </w:r>
          </w:p>
          <w:p w:rsidR="00A53D7D" w:rsidRPr="00F820F9" w:rsidRDefault="00A53D7D" w:rsidP="00F820F9">
            <w:pPr>
              <w:pStyle w:val="OGNotes"/>
            </w:pPr>
            <w:r w:rsidRPr="00F820F9">
              <w:t>The 2014</w:t>
            </w:r>
            <w:r w:rsidRPr="00F820F9">
              <w:noBreakHyphen/>
              <w:t xml:space="preserve">15 target has been adjusted to realign with the Department’s long term benchmark target. The revised target also takes into account sampling variability of the survey data used for this measure. </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Pr>
                <w:lang w:eastAsia="en-AU"/>
              </w:rPr>
              <w:t>Percentage</w:t>
            </w:r>
            <w:r w:rsidRPr="005C542E">
              <w:rPr>
                <w:lang w:eastAsia="en-AU"/>
              </w:rPr>
              <w:t xml:space="preserve"> of students meeting the national minimum standard for numeracy in Year 7 (NAPLAN testing)</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567700" w:rsidRDefault="00A53D7D" w:rsidP="005140B4">
            <w:pPr>
              <w:pStyle w:val="OGTableofFigures"/>
              <w:rPr>
                <w:lang w:eastAsia="en-AU"/>
              </w:rPr>
            </w:pPr>
            <w:r w:rsidRPr="00567700">
              <w:rPr>
                <w:lang w:eastAsia="en-AU"/>
              </w:rPr>
              <w:t>95</w:t>
            </w:r>
          </w:p>
        </w:tc>
        <w:tc>
          <w:tcPr>
            <w:tcW w:w="993" w:type="dxa"/>
            <w:tcBorders>
              <w:top w:val="single" w:sz="6" w:space="0" w:color="auto"/>
              <w:left w:val="nil"/>
              <w:right w:val="nil"/>
            </w:tcBorders>
            <w:shd w:val="clear" w:color="auto" w:fill="auto"/>
            <w:hideMark/>
          </w:tcPr>
          <w:p w:rsidR="00A53D7D" w:rsidRPr="00403F6B" w:rsidRDefault="00A53D7D" w:rsidP="005140B4">
            <w:pPr>
              <w:pStyle w:val="OGTableofFigures"/>
              <w:rPr>
                <w:lang w:eastAsia="en-AU"/>
              </w:rPr>
            </w:pPr>
            <w:r w:rsidRPr="00567700">
              <w:rPr>
                <w:lang w:eastAsia="en-AU"/>
              </w:rPr>
              <w:t>95.</w:t>
            </w:r>
            <w:r>
              <w:rPr>
                <w:lang w:eastAsia="en-AU"/>
              </w:rPr>
              <w:t>7</w:t>
            </w:r>
          </w:p>
        </w:tc>
        <w:tc>
          <w:tcPr>
            <w:tcW w:w="895" w:type="dxa"/>
            <w:tcBorders>
              <w:top w:val="single" w:sz="6" w:space="0" w:color="auto"/>
              <w:left w:val="nil"/>
              <w:right w:val="nil"/>
            </w:tcBorders>
            <w:shd w:val="clear" w:color="000000" w:fill="FFFFFF"/>
            <w:hideMark/>
          </w:tcPr>
          <w:p w:rsidR="00A53D7D" w:rsidRPr="00567700" w:rsidRDefault="00A53D7D" w:rsidP="005140B4">
            <w:pPr>
              <w:pStyle w:val="OGTableofFigures"/>
              <w:rPr>
                <w:lang w:eastAsia="en-AU"/>
              </w:rPr>
            </w:pPr>
            <w:r w:rsidRPr="00567700">
              <w:rPr>
                <w:lang w:eastAsia="en-AU"/>
              </w:rPr>
              <w:t>95</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567700">
              <w:rPr>
                <w:lang w:eastAsia="en-AU"/>
              </w:rPr>
              <w:t>95</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5C542E">
              <w:t>This performance measure includes</w:t>
            </w:r>
            <w:r>
              <w:t xml:space="preserve"> government and</w:t>
            </w:r>
            <w:r w:rsidRPr="005C542E">
              <w:t xml:space="preserve"> non</w:t>
            </w:r>
            <w:r>
              <w:noBreakHyphen/>
            </w:r>
            <w:r w:rsidRPr="005C542E">
              <w:t>government schools.</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1 percentage point needs to be considered.</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rPr>
                <w:lang w:eastAsia="en-AU"/>
              </w:rPr>
            </w:pPr>
            <w:r>
              <w:rPr>
                <w:lang w:eastAsia="en-AU"/>
              </w:rPr>
              <w:t>Percentage</w:t>
            </w:r>
            <w:r w:rsidRPr="005C542E">
              <w:rPr>
                <w:lang w:eastAsia="en-AU"/>
              </w:rPr>
              <w:t xml:space="preserve"> of students meeting the national minimum standard for numeracy in Year 9 (NAPLAN testing)</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keepNext/>
              <w:rPr>
                <w:lang w:eastAsia="en-AU"/>
              </w:rPr>
            </w:pPr>
            <w:r>
              <w:rPr>
                <w:lang w:eastAsia="en-AU"/>
              </w:rPr>
              <w:t>per cent</w:t>
            </w:r>
          </w:p>
        </w:tc>
        <w:tc>
          <w:tcPr>
            <w:tcW w:w="909" w:type="dxa"/>
            <w:tcBorders>
              <w:top w:val="single" w:sz="6" w:space="0" w:color="auto"/>
              <w:left w:val="nil"/>
              <w:bottom w:val="nil"/>
              <w:right w:val="nil"/>
            </w:tcBorders>
            <w:shd w:val="clear" w:color="auto" w:fill="D9D9D9"/>
            <w:hideMark/>
          </w:tcPr>
          <w:p w:rsidR="00A53D7D" w:rsidRPr="0058767A" w:rsidRDefault="00A53D7D" w:rsidP="005140B4">
            <w:pPr>
              <w:pStyle w:val="OGTableofFigures"/>
              <w:keepNext/>
              <w:rPr>
                <w:lang w:eastAsia="en-AU"/>
              </w:rPr>
            </w:pPr>
            <w:r w:rsidRPr="0058767A">
              <w:rPr>
                <w:lang w:eastAsia="en-AU"/>
              </w:rPr>
              <w:t>94</w:t>
            </w:r>
          </w:p>
        </w:tc>
        <w:tc>
          <w:tcPr>
            <w:tcW w:w="993" w:type="dxa"/>
            <w:tcBorders>
              <w:top w:val="single" w:sz="6" w:space="0" w:color="auto"/>
              <w:left w:val="nil"/>
              <w:bottom w:val="nil"/>
              <w:right w:val="nil"/>
            </w:tcBorders>
            <w:shd w:val="clear" w:color="auto" w:fill="auto"/>
            <w:hideMark/>
          </w:tcPr>
          <w:p w:rsidR="00A53D7D" w:rsidRPr="00A20803" w:rsidRDefault="00A53D7D" w:rsidP="005140B4">
            <w:pPr>
              <w:pStyle w:val="OGTableofFigures"/>
              <w:keepNext/>
              <w:rPr>
                <w:lang w:eastAsia="en-AU"/>
              </w:rPr>
            </w:pPr>
            <w:r w:rsidRPr="0058767A">
              <w:rPr>
                <w:lang w:eastAsia="en-AU"/>
              </w:rPr>
              <w:t>92.2</w:t>
            </w:r>
          </w:p>
        </w:tc>
        <w:tc>
          <w:tcPr>
            <w:tcW w:w="895" w:type="dxa"/>
            <w:tcBorders>
              <w:top w:val="single" w:sz="6" w:space="0" w:color="auto"/>
              <w:left w:val="nil"/>
              <w:bottom w:val="nil"/>
              <w:right w:val="nil"/>
            </w:tcBorders>
            <w:shd w:val="clear" w:color="000000" w:fill="FFFFFF"/>
            <w:hideMark/>
          </w:tcPr>
          <w:p w:rsidR="00A53D7D" w:rsidRPr="0058767A" w:rsidRDefault="00A53D7D" w:rsidP="005140B4">
            <w:pPr>
              <w:pStyle w:val="OGTableofFigures"/>
              <w:keepNext/>
              <w:rPr>
                <w:lang w:eastAsia="en-AU"/>
              </w:rPr>
            </w:pPr>
            <w:r w:rsidRPr="0058767A">
              <w:rPr>
                <w:lang w:eastAsia="en-AU"/>
              </w:rPr>
              <w:t>94</w:t>
            </w:r>
          </w:p>
        </w:tc>
        <w:tc>
          <w:tcPr>
            <w:tcW w:w="925" w:type="dxa"/>
            <w:gridSpan w:val="2"/>
            <w:tcBorders>
              <w:top w:val="single" w:sz="6" w:space="0" w:color="auto"/>
              <w:left w:val="nil"/>
              <w:bottom w:val="nil"/>
              <w:right w:val="nil"/>
            </w:tcBorders>
            <w:shd w:val="clear" w:color="000000" w:fill="FFFFFF"/>
            <w:hideMark/>
          </w:tcPr>
          <w:p w:rsidR="00A53D7D" w:rsidRDefault="00A53D7D" w:rsidP="005140B4">
            <w:pPr>
              <w:pStyle w:val="OGTableofFigures"/>
              <w:keepNext/>
              <w:rPr>
                <w:lang w:eastAsia="en-AU"/>
              </w:rPr>
            </w:pPr>
            <w:r w:rsidRPr="0058767A">
              <w:rPr>
                <w:lang w:eastAsia="en-AU"/>
              </w:rPr>
              <w:t>95</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Default="00A53D7D" w:rsidP="005140B4">
            <w:pPr>
              <w:pStyle w:val="OGNotes"/>
              <w:spacing w:after="0"/>
            </w:pPr>
            <w:r w:rsidRPr="006E1208">
              <w:t>This performance measure relates to the calendar year.</w:t>
            </w:r>
          </w:p>
          <w:p w:rsidR="00A53D7D" w:rsidRPr="006E1208" w:rsidRDefault="00A53D7D" w:rsidP="005140B4">
            <w:pPr>
              <w:pStyle w:val="OGNotes"/>
              <w:spacing w:after="0"/>
            </w:pPr>
            <w:r w:rsidRPr="005C542E">
              <w:t>This performance measure includes</w:t>
            </w:r>
            <w:r>
              <w:t xml:space="preserve"> government and</w:t>
            </w:r>
            <w:r w:rsidRPr="005C542E">
              <w:t xml:space="preserve"> non</w:t>
            </w:r>
            <w:r>
              <w:noBreakHyphen/>
            </w:r>
            <w:r w:rsidRPr="005C542E">
              <w:t>government schools.</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1 percentage point needs to be considered.</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Pr>
                <w:lang w:eastAsia="en-AU"/>
              </w:rPr>
              <w:t>Percentage</w:t>
            </w:r>
            <w:r w:rsidRPr="005C542E">
              <w:rPr>
                <w:lang w:eastAsia="en-AU"/>
              </w:rPr>
              <w:t xml:space="preserve"> of students meeting the national minimum standard for reading in Year 7 (NAPLAN testing)</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E87A55" w:rsidRDefault="00A53D7D" w:rsidP="005140B4">
            <w:pPr>
              <w:pStyle w:val="OGTableofFigures"/>
              <w:rPr>
                <w:lang w:eastAsia="en-AU"/>
              </w:rPr>
            </w:pPr>
            <w:r w:rsidRPr="00E87A55">
              <w:rPr>
                <w:lang w:eastAsia="en-AU"/>
              </w:rPr>
              <w:t>95</w:t>
            </w:r>
          </w:p>
        </w:tc>
        <w:tc>
          <w:tcPr>
            <w:tcW w:w="993" w:type="dxa"/>
            <w:tcBorders>
              <w:top w:val="single" w:sz="6" w:space="0" w:color="auto"/>
              <w:left w:val="nil"/>
              <w:right w:val="nil"/>
            </w:tcBorders>
            <w:shd w:val="clear" w:color="auto" w:fill="auto"/>
            <w:hideMark/>
          </w:tcPr>
          <w:p w:rsidR="00A53D7D" w:rsidRPr="00A20803" w:rsidRDefault="00A53D7D" w:rsidP="005140B4">
            <w:pPr>
              <w:pStyle w:val="OGTableofFigures"/>
              <w:rPr>
                <w:lang w:eastAsia="en-AU"/>
              </w:rPr>
            </w:pPr>
            <w:r w:rsidRPr="00E87A55">
              <w:rPr>
                <w:lang w:eastAsia="en-AU"/>
              </w:rPr>
              <w:t>95.6</w:t>
            </w:r>
          </w:p>
        </w:tc>
        <w:tc>
          <w:tcPr>
            <w:tcW w:w="895" w:type="dxa"/>
            <w:tcBorders>
              <w:top w:val="single" w:sz="6" w:space="0" w:color="auto"/>
              <w:left w:val="nil"/>
              <w:right w:val="nil"/>
            </w:tcBorders>
            <w:shd w:val="clear" w:color="000000" w:fill="FFFFFF"/>
            <w:hideMark/>
          </w:tcPr>
          <w:p w:rsidR="00A53D7D" w:rsidRPr="00E87A55" w:rsidRDefault="00A53D7D" w:rsidP="005140B4">
            <w:pPr>
              <w:pStyle w:val="OGTableofFigures"/>
              <w:rPr>
                <w:lang w:eastAsia="en-AU"/>
              </w:rPr>
            </w:pPr>
            <w:r w:rsidRPr="00E87A55">
              <w:rPr>
                <w:lang w:eastAsia="en-AU"/>
              </w:rPr>
              <w:t>95</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E87A55">
              <w:rPr>
                <w:lang w:eastAsia="en-AU"/>
              </w:rPr>
              <w:t>95.5</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5C542E">
              <w:t>This performance measure includes</w:t>
            </w:r>
            <w:r>
              <w:t xml:space="preserve"> government and</w:t>
            </w:r>
            <w:r w:rsidRPr="005C542E">
              <w:t xml:space="preserve"> non</w:t>
            </w:r>
            <w:r>
              <w:noBreakHyphen/>
            </w:r>
            <w:r w:rsidRPr="005C542E">
              <w:t>government schools.</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1 percentage point needs to be considered.</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keepNext/>
              <w:ind w:left="142"/>
              <w:rPr>
                <w:lang w:eastAsia="en-AU"/>
              </w:rPr>
            </w:pPr>
            <w:r>
              <w:rPr>
                <w:lang w:eastAsia="en-AU"/>
              </w:rPr>
              <w:t>Percentage</w:t>
            </w:r>
            <w:r w:rsidRPr="005C542E">
              <w:rPr>
                <w:lang w:eastAsia="en-AU"/>
              </w:rPr>
              <w:t xml:space="preserve"> of students meeting the national minimum standard for reading in Year 9 (NAPLAN testing)</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F83697" w:rsidRDefault="00A53D7D" w:rsidP="005140B4">
            <w:pPr>
              <w:pStyle w:val="OGTableofFigures"/>
              <w:rPr>
                <w:lang w:eastAsia="en-AU"/>
              </w:rPr>
            </w:pPr>
            <w:r w:rsidRPr="00F83697">
              <w:rPr>
                <w:lang w:eastAsia="en-AU"/>
              </w:rPr>
              <w:t>93</w:t>
            </w:r>
          </w:p>
        </w:tc>
        <w:tc>
          <w:tcPr>
            <w:tcW w:w="993" w:type="dxa"/>
            <w:tcBorders>
              <w:top w:val="single" w:sz="6" w:space="0" w:color="auto"/>
              <w:left w:val="nil"/>
              <w:right w:val="nil"/>
            </w:tcBorders>
            <w:shd w:val="clear" w:color="auto" w:fill="auto"/>
            <w:hideMark/>
          </w:tcPr>
          <w:p w:rsidR="00A53D7D" w:rsidRPr="00F83697" w:rsidRDefault="00A53D7D" w:rsidP="005140B4">
            <w:pPr>
              <w:pStyle w:val="OGTableofFigures"/>
              <w:rPr>
                <w:lang w:eastAsia="en-AU"/>
              </w:rPr>
            </w:pPr>
            <w:r w:rsidRPr="00F83697">
              <w:rPr>
                <w:lang w:eastAsia="en-AU"/>
              </w:rPr>
              <w:t>94.3</w:t>
            </w:r>
          </w:p>
        </w:tc>
        <w:tc>
          <w:tcPr>
            <w:tcW w:w="895" w:type="dxa"/>
            <w:tcBorders>
              <w:top w:val="single" w:sz="6" w:space="0" w:color="auto"/>
              <w:left w:val="nil"/>
              <w:right w:val="nil"/>
            </w:tcBorders>
            <w:shd w:val="clear" w:color="000000" w:fill="FFFFFF"/>
            <w:hideMark/>
          </w:tcPr>
          <w:p w:rsidR="00A53D7D" w:rsidRPr="00F83697" w:rsidRDefault="00A53D7D" w:rsidP="005140B4">
            <w:pPr>
              <w:pStyle w:val="OGTableofFigures"/>
              <w:rPr>
                <w:lang w:eastAsia="en-AU"/>
              </w:rPr>
            </w:pPr>
            <w:r w:rsidRPr="00F83697">
              <w:rPr>
                <w:lang w:eastAsia="en-AU"/>
              </w:rPr>
              <w:t>93</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F83697">
              <w:rPr>
                <w:lang w:eastAsia="en-AU"/>
              </w:rPr>
              <w:t>93</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5C542E">
              <w:t>This performance measure includes</w:t>
            </w:r>
            <w:r>
              <w:t xml:space="preserve"> government and</w:t>
            </w:r>
            <w:r w:rsidRPr="005C542E">
              <w:t xml:space="preserve"> non</w:t>
            </w:r>
            <w:r>
              <w:noBreakHyphen/>
            </w:r>
            <w:r w:rsidRPr="005C542E">
              <w:t>government schools.</w:t>
            </w:r>
          </w:p>
          <w:p w:rsidR="00A53D7D" w:rsidRPr="00F820F9" w:rsidRDefault="00A53D7D" w:rsidP="00F820F9">
            <w:pPr>
              <w:pStyle w:val="OGNotes"/>
            </w:pPr>
            <w:r w:rsidRPr="00F820F9">
              <w:t>NAPLAN results are subject to measurement error and when interpreting results, a 95 per cent confidence interval of approximately +/</w:t>
            </w:r>
            <w:r w:rsidRPr="00F820F9">
              <w:noBreakHyphen/>
              <w:t xml:space="preserve"> 1 percentage point needs to be considered.</w:t>
            </w:r>
          </w:p>
        </w:tc>
      </w:tr>
      <w:tr w:rsidR="00A53D7D" w:rsidRPr="005C542E" w:rsidTr="005140B4">
        <w:trPr>
          <w:cantSplit/>
        </w:trPr>
        <w:tc>
          <w:tcPr>
            <w:tcW w:w="3108" w:type="dxa"/>
            <w:tcBorders>
              <w:top w:val="single" w:sz="6" w:space="0" w:color="auto"/>
              <w:left w:val="nil"/>
              <w:right w:val="nil"/>
            </w:tcBorders>
            <w:shd w:val="clear" w:color="000000" w:fill="FFFFFF"/>
          </w:tcPr>
          <w:p w:rsidR="00A53D7D" w:rsidRPr="005C542E" w:rsidRDefault="00A53D7D" w:rsidP="005140B4">
            <w:pPr>
              <w:pStyle w:val="OGTabText"/>
              <w:keepNext/>
              <w:ind w:left="142"/>
              <w:rPr>
                <w:lang w:eastAsia="en-AU"/>
              </w:rPr>
            </w:pPr>
            <w:r w:rsidRPr="006515DD">
              <w:rPr>
                <w:lang w:eastAsia="en-AU"/>
              </w:rPr>
              <w:t>Percentage of students who remain at school from Year 7 to Year 12</w:t>
            </w:r>
          </w:p>
        </w:tc>
        <w:tc>
          <w:tcPr>
            <w:tcW w:w="952" w:type="dxa"/>
            <w:gridSpan w:val="2"/>
            <w:tcBorders>
              <w:top w:val="single" w:sz="6" w:space="0" w:color="auto"/>
              <w:left w:val="nil"/>
              <w:right w:val="nil"/>
            </w:tcBorders>
            <w:shd w:val="clear" w:color="000000" w:fill="FFFFFF"/>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themeFill="background1" w:themeFillShade="D9"/>
          </w:tcPr>
          <w:p w:rsidR="00A53D7D" w:rsidRPr="004665C8" w:rsidRDefault="00A53D7D" w:rsidP="005140B4">
            <w:pPr>
              <w:pStyle w:val="OGTableofFigures"/>
              <w:rPr>
                <w:lang w:eastAsia="en-AU"/>
              </w:rPr>
            </w:pPr>
            <w:r w:rsidRPr="006515DD">
              <w:rPr>
                <w:lang w:eastAsia="en-AU"/>
              </w:rPr>
              <w:t>86.2</w:t>
            </w:r>
          </w:p>
        </w:tc>
        <w:tc>
          <w:tcPr>
            <w:tcW w:w="993" w:type="dxa"/>
            <w:tcBorders>
              <w:top w:val="single" w:sz="6" w:space="0" w:color="auto"/>
              <w:left w:val="nil"/>
              <w:right w:val="nil"/>
            </w:tcBorders>
            <w:shd w:val="clear" w:color="auto" w:fill="auto"/>
          </w:tcPr>
          <w:p w:rsidR="00A53D7D" w:rsidRPr="004665C8" w:rsidRDefault="00A53D7D" w:rsidP="005140B4">
            <w:pPr>
              <w:pStyle w:val="OGTableofFigures"/>
              <w:rPr>
                <w:lang w:eastAsia="en-AU"/>
              </w:rPr>
            </w:pPr>
            <w:r w:rsidRPr="006515DD">
              <w:rPr>
                <w:lang w:eastAsia="en-AU"/>
              </w:rPr>
              <w:t>nm</w:t>
            </w:r>
          </w:p>
        </w:tc>
        <w:tc>
          <w:tcPr>
            <w:tcW w:w="895" w:type="dxa"/>
            <w:tcBorders>
              <w:top w:val="single" w:sz="6" w:space="0" w:color="auto"/>
              <w:left w:val="nil"/>
              <w:right w:val="nil"/>
            </w:tcBorders>
            <w:shd w:val="clear" w:color="000000" w:fill="FFFFFF"/>
          </w:tcPr>
          <w:p w:rsidR="00A53D7D" w:rsidRPr="004665C8" w:rsidRDefault="00A53D7D" w:rsidP="005140B4">
            <w:pPr>
              <w:pStyle w:val="OGTableofFigures"/>
              <w:rPr>
                <w:lang w:eastAsia="en-AU"/>
              </w:rPr>
            </w:pPr>
            <w:r w:rsidRPr="006515DD">
              <w:rPr>
                <w:lang w:eastAsia="en-AU"/>
              </w:rPr>
              <w:t>nm</w:t>
            </w:r>
          </w:p>
        </w:tc>
        <w:tc>
          <w:tcPr>
            <w:tcW w:w="925" w:type="dxa"/>
            <w:gridSpan w:val="2"/>
            <w:tcBorders>
              <w:top w:val="single" w:sz="6" w:space="0" w:color="auto"/>
              <w:left w:val="nil"/>
              <w:right w:val="nil"/>
            </w:tcBorders>
            <w:shd w:val="clear" w:color="000000" w:fill="FFFFFF"/>
          </w:tcPr>
          <w:p w:rsidR="00A53D7D" w:rsidRPr="004665C8" w:rsidRDefault="00A53D7D" w:rsidP="005140B4">
            <w:pPr>
              <w:pStyle w:val="OGTableofFigures"/>
              <w:rPr>
                <w:lang w:eastAsia="en-AU"/>
              </w:rPr>
            </w:pPr>
            <w:r w:rsidRPr="006515DD">
              <w:rPr>
                <w:lang w:eastAsia="en-AU"/>
              </w:rPr>
              <w:t>nm</w:t>
            </w:r>
          </w:p>
        </w:tc>
      </w:tr>
      <w:tr w:rsidR="00A53D7D" w:rsidRPr="005C542E" w:rsidTr="005140B4">
        <w:trPr>
          <w:cantSplit/>
        </w:trPr>
        <w:tc>
          <w:tcPr>
            <w:tcW w:w="7782" w:type="dxa"/>
            <w:gridSpan w:val="8"/>
            <w:tcBorders>
              <w:left w:val="nil"/>
              <w:bottom w:val="nil"/>
              <w:right w:val="nil"/>
            </w:tcBorders>
            <w:shd w:val="clear" w:color="000000" w:fill="FFFFFF"/>
            <w:vAlign w:val="bottom"/>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t>This performance measure includes government and non</w:t>
            </w:r>
            <w:r>
              <w:noBreakHyphen/>
              <w:t>government schools.</w:t>
            </w:r>
          </w:p>
          <w:p w:rsidR="00A53D7D" w:rsidRPr="00F820F9" w:rsidRDefault="00A53D7D" w:rsidP="00F820F9">
            <w:pPr>
              <w:pStyle w:val="OGNotes"/>
            </w:pPr>
            <w:r w:rsidRPr="00F820F9">
              <w:t>This performance measure is proposed to replace the 2013</w:t>
            </w:r>
            <w:r w:rsidRPr="00F820F9">
              <w:noBreakHyphen/>
              <w:t>14 performance measure ‘</w:t>
            </w:r>
            <w:proofErr w:type="spellStart"/>
            <w:r w:rsidRPr="00F820F9">
              <w:t>Statewide</w:t>
            </w:r>
            <w:proofErr w:type="spellEnd"/>
            <w:r w:rsidRPr="00F820F9">
              <w:t xml:space="preserve"> rate of transition from Year 10 to Year 11’. It has been replaced to more accurately measure the engagement and retention rate of all students.</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Years 7</w:t>
            </w:r>
            <w:r>
              <w:t>–</w:t>
            </w:r>
            <w:r w:rsidRPr="005C542E">
              <w:rPr>
                <w:lang w:eastAsia="en-AU"/>
              </w:rPr>
              <w:t>9 students</w:t>
            </w:r>
            <w:r>
              <w:rPr>
                <w:lang w:eastAsia="en-AU"/>
              </w:rPr>
              <w:t>’</w:t>
            </w:r>
            <w:r w:rsidRPr="005C542E">
              <w:rPr>
                <w:lang w:eastAsia="en-AU"/>
              </w:rPr>
              <w:t xml:space="preserve"> opinion of their connectedness with the school</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sidRPr="005C542E">
              <w:rPr>
                <w:lang w:eastAsia="en-AU"/>
              </w:rPr>
              <w:t>number (1</w:t>
            </w:r>
            <w:r>
              <w:rPr>
                <w:lang w:eastAsia="en-AU"/>
              </w:rPr>
              <w:t>–</w:t>
            </w:r>
            <w:r w:rsidRPr="005C542E">
              <w:rPr>
                <w:lang w:eastAsia="en-AU"/>
              </w:rPr>
              <w:t>5)</w:t>
            </w:r>
          </w:p>
        </w:tc>
        <w:tc>
          <w:tcPr>
            <w:tcW w:w="909" w:type="dxa"/>
            <w:tcBorders>
              <w:top w:val="single" w:sz="6" w:space="0" w:color="auto"/>
              <w:left w:val="nil"/>
              <w:right w:val="nil"/>
            </w:tcBorders>
            <w:shd w:val="clear" w:color="auto" w:fill="D9D9D9" w:themeFill="background1" w:themeFillShade="D9"/>
            <w:hideMark/>
          </w:tcPr>
          <w:p w:rsidR="00A53D7D" w:rsidRPr="00A20803" w:rsidRDefault="00A53D7D" w:rsidP="005140B4">
            <w:pPr>
              <w:pStyle w:val="OGTableofFigures"/>
              <w:rPr>
                <w:lang w:eastAsia="en-AU"/>
              </w:rPr>
            </w:pPr>
            <w:r w:rsidRPr="004665C8">
              <w:rPr>
                <w:lang w:eastAsia="en-AU"/>
              </w:rPr>
              <w:t>3.7</w:t>
            </w:r>
          </w:p>
        </w:tc>
        <w:tc>
          <w:tcPr>
            <w:tcW w:w="993" w:type="dxa"/>
            <w:tcBorders>
              <w:top w:val="single" w:sz="6" w:space="0" w:color="auto"/>
              <w:left w:val="nil"/>
              <w:right w:val="nil"/>
            </w:tcBorders>
            <w:shd w:val="clear" w:color="auto" w:fill="auto"/>
            <w:hideMark/>
          </w:tcPr>
          <w:p w:rsidR="00A53D7D" w:rsidRPr="004665C8" w:rsidRDefault="00A53D7D" w:rsidP="005140B4">
            <w:pPr>
              <w:pStyle w:val="OGTableofFigures"/>
              <w:rPr>
                <w:lang w:eastAsia="en-AU"/>
              </w:rPr>
            </w:pPr>
            <w:r w:rsidRPr="004665C8">
              <w:rPr>
                <w:lang w:eastAsia="en-AU"/>
              </w:rPr>
              <w:t>3.7</w:t>
            </w:r>
          </w:p>
        </w:tc>
        <w:tc>
          <w:tcPr>
            <w:tcW w:w="895" w:type="dxa"/>
            <w:tcBorders>
              <w:top w:val="single" w:sz="6" w:space="0" w:color="auto"/>
              <w:left w:val="nil"/>
              <w:right w:val="nil"/>
            </w:tcBorders>
            <w:shd w:val="clear" w:color="000000" w:fill="FFFFFF"/>
            <w:hideMark/>
          </w:tcPr>
          <w:p w:rsidR="00A53D7D" w:rsidRPr="004665C8" w:rsidRDefault="00A53D7D" w:rsidP="005140B4">
            <w:pPr>
              <w:pStyle w:val="OGTableofFigures"/>
              <w:rPr>
                <w:lang w:eastAsia="en-AU"/>
              </w:rPr>
            </w:pPr>
            <w:r w:rsidRPr="004665C8">
              <w:rPr>
                <w:lang w:eastAsia="en-AU"/>
              </w:rPr>
              <w:t>3.6</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4665C8">
              <w:rPr>
                <w:lang w:eastAsia="en-AU"/>
              </w:rPr>
              <w:t>3.7</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6B5394">
              <w:t>This performance measure refers to government schools only.</w:t>
            </w:r>
          </w:p>
          <w:p w:rsidR="00A53D7D" w:rsidRDefault="00A53D7D" w:rsidP="005140B4">
            <w:pPr>
              <w:pStyle w:val="OGNotes"/>
              <w:spacing w:after="0"/>
            </w:pPr>
            <w:r>
              <w:t xml:space="preserve">The 2014–15 </w:t>
            </w:r>
            <w:proofErr w:type="gramStart"/>
            <w:r>
              <w:t>target</w:t>
            </w:r>
            <w:proofErr w:type="gramEnd"/>
            <w:r w:rsidRPr="0031568B">
              <w:t xml:space="preserve"> has been raised to reflect the Department</w:t>
            </w:r>
            <w:r>
              <w:t>’</w:t>
            </w:r>
            <w:r w:rsidRPr="0031568B">
              <w:t>s expectations for the outcomes of Victorian students</w:t>
            </w:r>
            <w:r>
              <w:t>.</w:t>
            </w:r>
          </w:p>
          <w:p w:rsidR="00A53D7D" w:rsidRPr="00F820F9" w:rsidRDefault="00A53D7D" w:rsidP="00F820F9">
            <w:pPr>
              <w:pStyle w:val="OGNotes"/>
            </w:pPr>
            <w:r w:rsidRPr="00F820F9">
              <w:t>Data is drawn from the Attitudes to School Survey, where a higher score represents a higher level of connectedness (that is, students feel they belong and enjoy attending school).</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Quantity</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keepNext/>
              <w:jc w:val="center"/>
              <w:rPr>
                <w:lang w:eastAsia="en-AU"/>
              </w:rPr>
            </w:pPr>
          </w:p>
        </w:tc>
        <w:tc>
          <w:tcPr>
            <w:tcW w:w="909" w:type="dxa"/>
            <w:tcBorders>
              <w:top w:val="single" w:sz="6" w:space="0" w:color="auto"/>
              <w:left w:val="nil"/>
              <w:bottom w:val="nil"/>
              <w:right w:val="nil"/>
            </w:tcBorders>
            <w:shd w:val="clear" w:color="auto" w:fill="D9D9D9"/>
            <w:noWrap/>
            <w:hideMark/>
          </w:tcPr>
          <w:p w:rsidR="00A53D7D" w:rsidRPr="005C542E" w:rsidRDefault="00A53D7D" w:rsidP="005140B4">
            <w:pPr>
              <w:pStyle w:val="OGTabText"/>
              <w:keepNext/>
              <w:jc w:val="right"/>
              <w:rPr>
                <w:lang w:eastAsia="en-AU"/>
              </w:rPr>
            </w:pPr>
          </w:p>
        </w:tc>
        <w:tc>
          <w:tcPr>
            <w:tcW w:w="993" w:type="dxa"/>
            <w:tcBorders>
              <w:top w:val="single" w:sz="6" w:space="0" w:color="auto"/>
              <w:left w:val="nil"/>
              <w:bottom w:val="nil"/>
              <w:right w:val="nil"/>
            </w:tcBorders>
            <w:shd w:val="clear" w:color="auto" w:fill="auto"/>
            <w:noWrap/>
            <w:hideMark/>
          </w:tcPr>
          <w:p w:rsidR="00A53D7D" w:rsidRPr="005C542E" w:rsidRDefault="00A53D7D" w:rsidP="005140B4">
            <w:pPr>
              <w:pStyle w:val="OGTabText"/>
              <w:keepN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keepN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keepNext/>
              <w:jc w:val="right"/>
              <w:rPr>
                <w:lang w:eastAsia="en-AU"/>
              </w:rPr>
            </w:pPr>
          </w:p>
        </w:tc>
      </w:tr>
      <w:tr w:rsidR="00A53D7D" w:rsidRPr="005C542E" w:rsidTr="005140B4">
        <w:trPr>
          <w:cantSplit/>
        </w:trPr>
        <w:tc>
          <w:tcPr>
            <w:tcW w:w="3108" w:type="dxa"/>
            <w:tcBorders>
              <w:top w:val="nil"/>
              <w:left w:val="nil"/>
              <w:right w:val="nil"/>
            </w:tcBorders>
            <w:shd w:val="clear" w:color="000000" w:fill="FFFFFF"/>
            <w:hideMark/>
          </w:tcPr>
          <w:p w:rsidR="00A53D7D" w:rsidRPr="005C542E" w:rsidRDefault="00A53D7D" w:rsidP="005140B4">
            <w:pPr>
              <w:pStyle w:val="OGTabText"/>
              <w:keepNext/>
              <w:rPr>
                <w:lang w:eastAsia="en-AU"/>
              </w:rPr>
            </w:pPr>
            <w:r w:rsidRPr="005C542E">
              <w:rPr>
                <w:lang w:eastAsia="en-AU"/>
              </w:rPr>
              <w:t>Investment in non</w:t>
            </w:r>
            <w:r>
              <w:rPr>
                <w:lang w:eastAsia="en-AU"/>
              </w:rPr>
              <w:noBreakHyphen/>
            </w:r>
            <w:r w:rsidRPr="005C542E">
              <w:rPr>
                <w:lang w:eastAsia="en-AU"/>
              </w:rPr>
              <w:t>government schools (secondary)</w:t>
            </w:r>
          </w:p>
        </w:tc>
        <w:tc>
          <w:tcPr>
            <w:tcW w:w="952" w:type="dxa"/>
            <w:gridSpan w:val="2"/>
            <w:tcBorders>
              <w:top w:val="nil"/>
              <w:left w:val="nil"/>
              <w:right w:val="nil"/>
            </w:tcBorders>
            <w:shd w:val="clear" w:color="000000" w:fill="FFFFFF"/>
            <w:hideMark/>
          </w:tcPr>
          <w:p w:rsidR="00A53D7D" w:rsidRPr="005C542E" w:rsidRDefault="00A53D7D" w:rsidP="005140B4">
            <w:pPr>
              <w:pStyle w:val="OGUoM"/>
              <w:keepNext/>
              <w:rPr>
                <w:lang w:eastAsia="en-AU"/>
              </w:rPr>
            </w:pPr>
            <w:r>
              <w:t>$ million</w:t>
            </w:r>
          </w:p>
        </w:tc>
        <w:tc>
          <w:tcPr>
            <w:tcW w:w="909" w:type="dxa"/>
            <w:tcBorders>
              <w:top w:val="nil"/>
              <w:left w:val="nil"/>
              <w:right w:val="nil"/>
            </w:tcBorders>
            <w:shd w:val="clear" w:color="auto" w:fill="D9D9D9"/>
            <w:hideMark/>
          </w:tcPr>
          <w:p w:rsidR="00A53D7D" w:rsidRPr="00DD6898" w:rsidRDefault="00A53D7D" w:rsidP="005140B4">
            <w:pPr>
              <w:pStyle w:val="OGTableofFigures"/>
              <w:rPr>
                <w:lang w:eastAsia="en-AU"/>
              </w:rPr>
            </w:pPr>
            <w:r>
              <w:rPr>
                <w:lang w:eastAsia="en-AU"/>
              </w:rPr>
              <w:t>338.2</w:t>
            </w:r>
          </w:p>
        </w:tc>
        <w:tc>
          <w:tcPr>
            <w:tcW w:w="993" w:type="dxa"/>
            <w:tcBorders>
              <w:top w:val="nil"/>
              <w:left w:val="nil"/>
              <w:right w:val="nil"/>
            </w:tcBorders>
            <w:shd w:val="clear" w:color="000000" w:fill="FFFFFF"/>
            <w:hideMark/>
          </w:tcPr>
          <w:p w:rsidR="00A53D7D" w:rsidRPr="00DD6898" w:rsidRDefault="00A53D7D" w:rsidP="005140B4">
            <w:pPr>
              <w:pStyle w:val="OGTableofFigures"/>
              <w:rPr>
                <w:lang w:eastAsia="en-AU"/>
              </w:rPr>
            </w:pPr>
            <w:r>
              <w:rPr>
                <w:lang w:eastAsia="en-AU"/>
              </w:rPr>
              <w:t>337.7</w:t>
            </w:r>
          </w:p>
        </w:tc>
        <w:tc>
          <w:tcPr>
            <w:tcW w:w="895" w:type="dxa"/>
            <w:tcBorders>
              <w:top w:val="nil"/>
              <w:left w:val="nil"/>
              <w:right w:val="nil"/>
            </w:tcBorders>
            <w:shd w:val="clear" w:color="000000" w:fill="FFFFFF"/>
            <w:hideMark/>
          </w:tcPr>
          <w:p w:rsidR="00A53D7D" w:rsidRPr="004A37EB" w:rsidRDefault="00A53D7D" w:rsidP="005140B4">
            <w:pPr>
              <w:pStyle w:val="OGTableofFigures"/>
              <w:rPr>
                <w:lang w:eastAsia="en-AU"/>
              </w:rPr>
            </w:pPr>
            <w:r w:rsidRPr="004A37EB">
              <w:rPr>
                <w:lang w:eastAsia="en-AU"/>
              </w:rPr>
              <w:t>337.2</w:t>
            </w:r>
          </w:p>
        </w:tc>
        <w:tc>
          <w:tcPr>
            <w:tcW w:w="925" w:type="dxa"/>
            <w:gridSpan w:val="2"/>
            <w:tcBorders>
              <w:top w:val="nil"/>
              <w:left w:val="nil"/>
              <w:right w:val="nil"/>
            </w:tcBorders>
            <w:shd w:val="clear" w:color="000000" w:fill="FFFFFF"/>
            <w:hideMark/>
          </w:tcPr>
          <w:p w:rsidR="00A53D7D" w:rsidRDefault="00A53D7D" w:rsidP="005140B4">
            <w:pPr>
              <w:pStyle w:val="OGTableofFigures"/>
              <w:rPr>
                <w:lang w:eastAsia="en-AU"/>
              </w:rPr>
            </w:pPr>
            <w:r w:rsidRPr="004A37EB">
              <w:rPr>
                <w:lang w:eastAsia="en-AU"/>
              </w:rPr>
              <w:t>336.2</w:t>
            </w:r>
          </w:p>
        </w:tc>
      </w:tr>
      <w:tr w:rsidR="00A53D7D" w:rsidRPr="005C542E" w:rsidTr="005140B4">
        <w:trPr>
          <w:cantSplit/>
        </w:trPr>
        <w:tc>
          <w:tcPr>
            <w:tcW w:w="7782" w:type="dxa"/>
            <w:gridSpan w:val="8"/>
            <w:tcBorders>
              <w:top w:val="nil"/>
              <w:left w:val="nil"/>
              <w:bottom w:val="single" w:sz="6" w:space="0" w:color="auto"/>
              <w:right w:val="nil"/>
            </w:tcBorders>
            <w:shd w:val="clear" w:color="000000" w:fill="FFFFFF"/>
          </w:tcPr>
          <w:p w:rsidR="00A53D7D" w:rsidRPr="00F820F9" w:rsidRDefault="00A53D7D" w:rsidP="00F820F9">
            <w:pPr>
              <w:pStyle w:val="OGNotes"/>
            </w:pPr>
            <w:r w:rsidRPr="00F820F9">
              <w:t>The 2014</w:t>
            </w:r>
            <w:r w:rsidRPr="00F820F9">
              <w:noBreakHyphen/>
              <w:t>15 target is higher than the 2013</w:t>
            </w:r>
            <w:r w:rsidRPr="00F820F9">
              <w:noBreakHyphen/>
              <w:t xml:space="preserve">14 target primarily due to indexation and is mitigated by the redirection of </w:t>
            </w:r>
            <w:r w:rsidRPr="00F820F9">
              <w:rPr>
                <w:rStyle w:val="OGNotesChar"/>
                <w:i/>
              </w:rPr>
              <w:t>Low Socio</w:t>
            </w:r>
            <w:r w:rsidRPr="00F820F9">
              <w:rPr>
                <w:rStyle w:val="OGNotesChar"/>
                <w:i/>
              </w:rPr>
              <w:noBreakHyphen/>
              <w:t>Economic Status National Partnership funding being directly provided to the non</w:t>
            </w:r>
            <w:r w:rsidRPr="00F820F9">
              <w:rPr>
                <w:rStyle w:val="OGNotesChar"/>
                <w:i/>
              </w:rPr>
              <w:noBreakHyphen/>
              <w:t>government school sector via the Victorian/Commonwealth school funding commitment.</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keepNext/>
              <w:rPr>
                <w:lang w:eastAsia="en-AU"/>
              </w:rPr>
            </w:pPr>
            <w:r w:rsidRPr="005C542E">
              <w:rPr>
                <w:lang w:eastAsia="en-AU"/>
              </w:rPr>
              <w:t>Number of certificate enrolments in accredited vocational programs in schools</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keepNext/>
              <w:rPr>
                <w:lang w:eastAsia="en-AU"/>
              </w:rPr>
            </w:pPr>
            <w:r w:rsidRPr="005C542E">
              <w:rPr>
                <w:lang w:eastAsia="en-AU"/>
              </w:rPr>
              <w:t>number</w:t>
            </w:r>
          </w:p>
        </w:tc>
        <w:tc>
          <w:tcPr>
            <w:tcW w:w="909" w:type="dxa"/>
            <w:tcBorders>
              <w:top w:val="single" w:sz="6" w:space="0" w:color="auto"/>
              <w:left w:val="nil"/>
              <w:right w:val="nil"/>
            </w:tcBorders>
            <w:shd w:val="clear" w:color="auto" w:fill="D9D9D9"/>
            <w:hideMark/>
          </w:tcPr>
          <w:p w:rsidR="00A53D7D" w:rsidRPr="00D31F96" w:rsidRDefault="00A53D7D" w:rsidP="005140B4">
            <w:pPr>
              <w:pStyle w:val="OGTableofFigures"/>
              <w:keepNext/>
              <w:rPr>
                <w:lang w:eastAsia="en-AU"/>
              </w:rPr>
            </w:pPr>
            <w:r w:rsidRPr="00CC4626">
              <w:t>55 000</w:t>
            </w:r>
          </w:p>
        </w:tc>
        <w:tc>
          <w:tcPr>
            <w:tcW w:w="993" w:type="dxa"/>
            <w:tcBorders>
              <w:top w:val="single" w:sz="6" w:space="0" w:color="auto"/>
              <w:left w:val="nil"/>
              <w:right w:val="nil"/>
            </w:tcBorders>
            <w:shd w:val="clear" w:color="000000" w:fill="FFFFFF"/>
            <w:hideMark/>
          </w:tcPr>
          <w:p w:rsidR="00A53D7D" w:rsidRPr="00D31F96" w:rsidRDefault="00A53D7D" w:rsidP="005140B4">
            <w:pPr>
              <w:pStyle w:val="OGTableofFigures"/>
              <w:keepNext/>
              <w:rPr>
                <w:lang w:eastAsia="en-AU"/>
              </w:rPr>
            </w:pPr>
            <w:r w:rsidRPr="00CC4626">
              <w:t>57 028</w:t>
            </w:r>
          </w:p>
        </w:tc>
        <w:tc>
          <w:tcPr>
            <w:tcW w:w="895" w:type="dxa"/>
            <w:tcBorders>
              <w:top w:val="single" w:sz="6" w:space="0" w:color="auto"/>
              <w:left w:val="nil"/>
              <w:right w:val="nil"/>
            </w:tcBorders>
            <w:shd w:val="clear" w:color="000000" w:fill="FFFFFF"/>
            <w:hideMark/>
          </w:tcPr>
          <w:p w:rsidR="00A53D7D" w:rsidRPr="00D31F96" w:rsidRDefault="00A53D7D" w:rsidP="005140B4">
            <w:pPr>
              <w:pStyle w:val="OGTableofFigures"/>
              <w:keepNext/>
              <w:rPr>
                <w:lang w:eastAsia="en-AU"/>
              </w:rPr>
            </w:pPr>
            <w:r w:rsidRPr="00D31F96">
              <w:rPr>
                <w:lang w:eastAsia="en-AU"/>
              </w:rPr>
              <w:t>50 000</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keepNext/>
              <w:rPr>
                <w:lang w:eastAsia="en-AU"/>
              </w:rPr>
            </w:pPr>
            <w:r w:rsidRPr="00D31F96">
              <w:rPr>
                <w:lang w:eastAsia="en-AU"/>
              </w:rPr>
              <w:t>58 045</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5C542E">
              <w:t>Th</w:t>
            </w:r>
            <w:r>
              <w:t xml:space="preserve">is performance measure includes government and </w:t>
            </w:r>
            <w:r w:rsidRPr="005C542E">
              <w:t>non</w:t>
            </w:r>
            <w:r>
              <w:noBreakHyphen/>
            </w:r>
            <w:r w:rsidRPr="005C542E">
              <w:t>government schools.</w:t>
            </w:r>
          </w:p>
          <w:p w:rsidR="00A53D7D" w:rsidRDefault="00A53D7D" w:rsidP="005140B4">
            <w:pPr>
              <w:pStyle w:val="OGNotes"/>
              <w:spacing w:after="0"/>
            </w:pPr>
            <w:r>
              <w:t>The 2013</w:t>
            </w:r>
            <w:r>
              <w:noBreakHyphen/>
              <w:t>14 expected outcome is higher than the 2013</w:t>
            </w:r>
            <w:r>
              <w:noBreakHyphen/>
              <w:t xml:space="preserve">14 target due to higher than expected demand. </w:t>
            </w:r>
          </w:p>
          <w:p w:rsidR="00A53D7D" w:rsidRPr="00F820F9" w:rsidRDefault="00A53D7D" w:rsidP="00F820F9">
            <w:pPr>
              <w:pStyle w:val="OGNotes"/>
              <w:spacing w:after="30"/>
            </w:pPr>
            <w:r w:rsidRPr="00F820F9">
              <w:t>The higher 2014</w:t>
            </w:r>
            <w:r w:rsidRPr="00F820F9">
              <w:noBreakHyphen/>
              <w:t>15 target reflects a levelling of demand following sustained growth in Vocational Education and Training in Schools (</w:t>
            </w:r>
            <w:proofErr w:type="spellStart"/>
            <w:r w:rsidRPr="00F820F9">
              <w:t>VETiS</w:t>
            </w:r>
            <w:proofErr w:type="spellEnd"/>
            <w:r w:rsidRPr="00F820F9">
              <w:t>) and the subject choices made by students.</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Number of school students enrolled in Victorian Certificate of Applied Learning</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single" w:sz="6" w:space="0" w:color="auto"/>
              <w:left w:val="nil"/>
              <w:right w:val="nil"/>
            </w:tcBorders>
            <w:shd w:val="clear" w:color="auto" w:fill="D9D9D9"/>
            <w:hideMark/>
          </w:tcPr>
          <w:p w:rsidR="00A53D7D" w:rsidRPr="00B71FA4" w:rsidRDefault="00A53D7D" w:rsidP="005140B4">
            <w:pPr>
              <w:pStyle w:val="OGTableofFigures"/>
              <w:rPr>
                <w:lang w:eastAsia="en-AU"/>
              </w:rPr>
            </w:pPr>
            <w:r w:rsidRPr="003012AB">
              <w:t>16 500</w:t>
            </w:r>
          </w:p>
        </w:tc>
        <w:tc>
          <w:tcPr>
            <w:tcW w:w="993" w:type="dxa"/>
            <w:tcBorders>
              <w:top w:val="single" w:sz="6" w:space="0" w:color="auto"/>
              <w:left w:val="nil"/>
              <w:right w:val="nil"/>
            </w:tcBorders>
            <w:shd w:val="clear" w:color="000000" w:fill="FFFFFF"/>
            <w:hideMark/>
          </w:tcPr>
          <w:p w:rsidR="00A53D7D" w:rsidRPr="00B71FA4" w:rsidRDefault="00A53D7D" w:rsidP="005140B4">
            <w:pPr>
              <w:pStyle w:val="OGTableofFigures"/>
              <w:rPr>
                <w:lang w:eastAsia="en-AU"/>
              </w:rPr>
            </w:pPr>
            <w:r w:rsidRPr="003012AB">
              <w:t>17 373</w:t>
            </w:r>
          </w:p>
        </w:tc>
        <w:tc>
          <w:tcPr>
            <w:tcW w:w="895" w:type="dxa"/>
            <w:tcBorders>
              <w:top w:val="single" w:sz="6" w:space="0" w:color="auto"/>
              <w:left w:val="nil"/>
              <w:right w:val="nil"/>
            </w:tcBorders>
            <w:shd w:val="clear" w:color="000000" w:fill="FFFFFF"/>
            <w:hideMark/>
          </w:tcPr>
          <w:p w:rsidR="00A53D7D" w:rsidRPr="00B71FA4" w:rsidRDefault="00A53D7D" w:rsidP="005140B4">
            <w:pPr>
              <w:pStyle w:val="OGTableofFigures"/>
              <w:rPr>
                <w:lang w:eastAsia="en-AU"/>
              </w:rPr>
            </w:pPr>
            <w:r w:rsidRPr="00B71FA4">
              <w:rPr>
                <w:lang w:eastAsia="en-AU"/>
              </w:rPr>
              <w:t>15 900</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B71FA4">
              <w:rPr>
                <w:lang w:eastAsia="en-AU"/>
              </w:rPr>
              <w:t>17 026</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5C542E">
              <w:t>Th</w:t>
            </w:r>
            <w:r>
              <w:t xml:space="preserve">is performance measure includes government and </w:t>
            </w:r>
            <w:r w:rsidRPr="005C542E">
              <w:t>non</w:t>
            </w:r>
            <w:r>
              <w:noBreakHyphen/>
            </w:r>
            <w:r w:rsidRPr="005C542E">
              <w:t>government schools.</w:t>
            </w:r>
          </w:p>
          <w:p w:rsidR="00A53D7D" w:rsidRDefault="00A53D7D" w:rsidP="005140B4">
            <w:pPr>
              <w:pStyle w:val="OGNotes"/>
              <w:spacing w:after="0"/>
            </w:pPr>
            <w:r>
              <w:t>The 2013</w:t>
            </w:r>
            <w:r>
              <w:noBreakHyphen/>
              <w:t>14 expected outcome is higher than the 2013</w:t>
            </w:r>
            <w:r>
              <w:noBreakHyphen/>
              <w:t xml:space="preserve">14 target due to higher than expected demand. </w:t>
            </w:r>
          </w:p>
          <w:p w:rsidR="00A53D7D" w:rsidRPr="00F820F9" w:rsidRDefault="00A53D7D" w:rsidP="00F820F9">
            <w:pPr>
              <w:pStyle w:val="OGNotes"/>
              <w:spacing w:after="30"/>
            </w:pPr>
            <w:r w:rsidRPr="00F820F9">
              <w:t>The 2014</w:t>
            </w:r>
            <w:r w:rsidRPr="00F820F9">
              <w:noBreakHyphen/>
              <w:t xml:space="preserve">15 target reflects a levelling of demand following sustained growth in </w:t>
            </w:r>
            <w:proofErr w:type="spellStart"/>
            <w:r w:rsidRPr="00F820F9">
              <w:t>VETiS</w:t>
            </w:r>
            <w:proofErr w:type="spellEnd"/>
            <w:r w:rsidRPr="00F820F9">
              <w:t xml:space="preserve"> and the subject choices made by students.</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keepNext/>
              <w:rPr>
                <w:lang w:eastAsia="en-AU"/>
              </w:rPr>
            </w:pPr>
            <w:r w:rsidRPr="005C542E">
              <w:rPr>
                <w:lang w:eastAsia="en-AU"/>
              </w:rPr>
              <w:t>Number of school students participating in accredited vocational programs</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keepNext/>
              <w:rPr>
                <w:lang w:eastAsia="en-AU"/>
              </w:rPr>
            </w:pPr>
            <w:r w:rsidRPr="005C542E">
              <w:rPr>
                <w:lang w:eastAsia="en-AU"/>
              </w:rPr>
              <w:t>number</w:t>
            </w:r>
          </w:p>
        </w:tc>
        <w:tc>
          <w:tcPr>
            <w:tcW w:w="909" w:type="dxa"/>
            <w:tcBorders>
              <w:top w:val="single" w:sz="6" w:space="0" w:color="auto"/>
              <w:left w:val="nil"/>
              <w:right w:val="nil"/>
            </w:tcBorders>
            <w:shd w:val="clear" w:color="auto" w:fill="D9D9D9"/>
            <w:hideMark/>
          </w:tcPr>
          <w:p w:rsidR="00A53D7D" w:rsidRPr="00B74ABE" w:rsidRDefault="00A53D7D" w:rsidP="005140B4">
            <w:pPr>
              <w:pStyle w:val="OGTableofFigures"/>
              <w:keepNext/>
              <w:rPr>
                <w:lang w:eastAsia="en-AU"/>
              </w:rPr>
            </w:pPr>
            <w:r w:rsidRPr="00D46BE4">
              <w:t>43 000</w:t>
            </w:r>
          </w:p>
        </w:tc>
        <w:tc>
          <w:tcPr>
            <w:tcW w:w="993" w:type="dxa"/>
            <w:tcBorders>
              <w:top w:val="single" w:sz="6" w:space="0" w:color="auto"/>
              <w:left w:val="nil"/>
              <w:right w:val="nil"/>
            </w:tcBorders>
            <w:shd w:val="clear" w:color="000000" w:fill="FFFFFF"/>
            <w:hideMark/>
          </w:tcPr>
          <w:p w:rsidR="00A53D7D" w:rsidRPr="00B74ABE" w:rsidRDefault="00A53D7D" w:rsidP="005140B4">
            <w:pPr>
              <w:pStyle w:val="OGTableofFigures"/>
              <w:keepNext/>
              <w:rPr>
                <w:lang w:eastAsia="en-AU"/>
              </w:rPr>
            </w:pPr>
            <w:r w:rsidRPr="00D46BE4">
              <w:t>44 859</w:t>
            </w:r>
          </w:p>
        </w:tc>
        <w:tc>
          <w:tcPr>
            <w:tcW w:w="895" w:type="dxa"/>
            <w:tcBorders>
              <w:top w:val="single" w:sz="6" w:space="0" w:color="auto"/>
              <w:left w:val="nil"/>
              <w:right w:val="nil"/>
            </w:tcBorders>
            <w:shd w:val="clear" w:color="000000" w:fill="FFFFFF"/>
            <w:hideMark/>
          </w:tcPr>
          <w:p w:rsidR="00A53D7D" w:rsidRPr="00B74ABE" w:rsidRDefault="00A53D7D" w:rsidP="005140B4">
            <w:pPr>
              <w:pStyle w:val="OGTableofFigures"/>
              <w:keepNext/>
              <w:rPr>
                <w:lang w:eastAsia="en-AU"/>
              </w:rPr>
            </w:pPr>
            <w:r w:rsidRPr="00B74ABE">
              <w:rPr>
                <w:lang w:eastAsia="en-AU"/>
              </w:rPr>
              <w:t>39 000</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keepNext/>
              <w:rPr>
                <w:lang w:eastAsia="en-AU"/>
              </w:rPr>
            </w:pPr>
            <w:r w:rsidRPr="00B74ABE">
              <w:rPr>
                <w:lang w:eastAsia="en-AU"/>
              </w:rPr>
              <w:t>45 907</w:t>
            </w:r>
          </w:p>
        </w:tc>
      </w:tr>
      <w:tr w:rsidR="00A53D7D" w:rsidRPr="005C542E" w:rsidTr="005140B4">
        <w:trPr>
          <w:cantSplit/>
        </w:trPr>
        <w:tc>
          <w:tcPr>
            <w:tcW w:w="7782" w:type="dxa"/>
            <w:gridSpan w:val="8"/>
            <w:tcBorders>
              <w:left w:val="nil"/>
              <w:right w:val="nil"/>
            </w:tcBorders>
            <w:shd w:val="clear" w:color="000000" w:fill="FFFFFF"/>
          </w:tcPr>
          <w:p w:rsidR="00A53D7D" w:rsidRDefault="00A53D7D" w:rsidP="005140B4">
            <w:pPr>
              <w:pStyle w:val="OGNotes"/>
              <w:spacing w:after="0"/>
            </w:pPr>
            <w:r>
              <w:t>This performance measure relates to the calendar year.</w:t>
            </w:r>
          </w:p>
          <w:p w:rsidR="00A53D7D" w:rsidRDefault="00A53D7D" w:rsidP="005140B4">
            <w:pPr>
              <w:pStyle w:val="OGNotes"/>
              <w:spacing w:after="0"/>
            </w:pPr>
            <w:r>
              <w:t>This performance measure includes government and non</w:t>
            </w:r>
            <w:r>
              <w:noBreakHyphen/>
              <w:t>government schools.</w:t>
            </w:r>
          </w:p>
          <w:p w:rsidR="00A53D7D" w:rsidRDefault="00A53D7D" w:rsidP="005140B4">
            <w:pPr>
              <w:pStyle w:val="OGNotes"/>
              <w:spacing w:after="0"/>
            </w:pPr>
            <w:r>
              <w:t>The 2013</w:t>
            </w:r>
            <w:r>
              <w:noBreakHyphen/>
              <w:t>14 expected outcome is higher than the 2013</w:t>
            </w:r>
            <w:r>
              <w:noBreakHyphen/>
              <w:t xml:space="preserve">14 target due to higher than expected demand. </w:t>
            </w:r>
          </w:p>
          <w:p w:rsidR="00A53D7D" w:rsidRPr="00F820F9" w:rsidRDefault="00A53D7D" w:rsidP="00F820F9">
            <w:pPr>
              <w:pStyle w:val="OGNotes"/>
              <w:spacing w:after="30"/>
            </w:pPr>
            <w:r w:rsidRPr="00F820F9">
              <w:t>The 2014</w:t>
            </w:r>
            <w:r w:rsidRPr="00F820F9">
              <w:noBreakHyphen/>
              <w:t xml:space="preserve">15 target reflects a levelling of demand following sustained growth in </w:t>
            </w:r>
            <w:proofErr w:type="spellStart"/>
            <w:r w:rsidRPr="00F820F9">
              <w:t>VETiS</w:t>
            </w:r>
            <w:proofErr w:type="spellEnd"/>
            <w:r w:rsidRPr="00F820F9">
              <w:t xml:space="preserve"> and the subject choices made by students.</w:t>
            </w:r>
          </w:p>
        </w:tc>
      </w:tr>
      <w:tr w:rsidR="00A53D7D" w:rsidRPr="005C542E" w:rsidTr="005140B4">
        <w:trPr>
          <w:cantSplit/>
        </w:trPr>
        <w:tc>
          <w:tcPr>
            <w:tcW w:w="3108" w:type="dxa"/>
            <w:tcBorders>
              <w:top w:val="single" w:sz="6" w:space="0" w:color="auto"/>
              <w:left w:val="nil"/>
              <w:right w:val="nil"/>
            </w:tcBorders>
            <w:shd w:val="clear" w:color="000000" w:fill="FFFFFF"/>
          </w:tcPr>
          <w:p w:rsidR="00A53D7D" w:rsidRPr="00CE0FC3" w:rsidRDefault="00A53D7D" w:rsidP="005140B4">
            <w:pPr>
              <w:pStyle w:val="OGTabText"/>
              <w:rPr>
                <w:lang w:eastAsia="en-AU"/>
              </w:rPr>
            </w:pPr>
            <w:r w:rsidRPr="00CE0FC3">
              <w:rPr>
                <w:lang w:eastAsia="en-AU"/>
              </w:rPr>
              <w:t>Number of school students satisfactorily completing at least one Victorian Certificate of Applied Learning certificate</w:t>
            </w:r>
          </w:p>
        </w:tc>
        <w:tc>
          <w:tcPr>
            <w:tcW w:w="952" w:type="dxa"/>
            <w:gridSpan w:val="2"/>
            <w:tcBorders>
              <w:top w:val="single" w:sz="6" w:space="0" w:color="auto"/>
              <w:left w:val="nil"/>
              <w:right w:val="nil"/>
            </w:tcBorders>
            <w:shd w:val="clear" w:color="000000" w:fill="FFFFFF"/>
          </w:tcPr>
          <w:p w:rsidR="00A53D7D" w:rsidRPr="00CE0FC3" w:rsidRDefault="00A53D7D" w:rsidP="005140B4">
            <w:pPr>
              <w:pStyle w:val="OGTabText"/>
              <w:rPr>
                <w:lang w:eastAsia="en-AU"/>
              </w:rPr>
            </w:pPr>
            <w:r w:rsidRPr="00CE0FC3">
              <w:rPr>
                <w:lang w:eastAsia="en-AU"/>
              </w:rPr>
              <w:t>number</w:t>
            </w:r>
          </w:p>
        </w:tc>
        <w:tc>
          <w:tcPr>
            <w:tcW w:w="909" w:type="dxa"/>
            <w:tcBorders>
              <w:top w:val="single" w:sz="6" w:space="0" w:color="auto"/>
              <w:left w:val="nil"/>
              <w:right w:val="nil"/>
            </w:tcBorders>
            <w:shd w:val="clear" w:color="auto" w:fill="D9D9D9"/>
          </w:tcPr>
          <w:p w:rsidR="00A53D7D" w:rsidRPr="00CE0FC3" w:rsidRDefault="00A53D7D" w:rsidP="005140B4">
            <w:pPr>
              <w:pStyle w:val="OGTableofFigures"/>
              <w:rPr>
                <w:lang w:eastAsia="en-AU"/>
              </w:rPr>
            </w:pPr>
            <w:r w:rsidRPr="00F560B0">
              <w:t>9 750</w:t>
            </w:r>
          </w:p>
        </w:tc>
        <w:tc>
          <w:tcPr>
            <w:tcW w:w="993" w:type="dxa"/>
            <w:tcBorders>
              <w:top w:val="single" w:sz="6" w:space="0" w:color="auto"/>
              <w:left w:val="nil"/>
              <w:right w:val="nil"/>
            </w:tcBorders>
            <w:shd w:val="clear" w:color="000000" w:fill="FFFFFF"/>
          </w:tcPr>
          <w:p w:rsidR="00A53D7D" w:rsidRPr="00CE0FC3" w:rsidRDefault="00A53D7D" w:rsidP="005140B4">
            <w:pPr>
              <w:pStyle w:val="OGTableofFigures"/>
              <w:rPr>
                <w:lang w:eastAsia="en-AU"/>
              </w:rPr>
            </w:pPr>
            <w:r w:rsidRPr="00F560B0">
              <w:t>10 157</w:t>
            </w:r>
          </w:p>
        </w:tc>
        <w:tc>
          <w:tcPr>
            <w:tcW w:w="895" w:type="dxa"/>
            <w:tcBorders>
              <w:top w:val="single" w:sz="6" w:space="0" w:color="auto"/>
              <w:left w:val="nil"/>
              <w:right w:val="nil"/>
            </w:tcBorders>
            <w:shd w:val="clear" w:color="000000" w:fill="FFFFFF"/>
          </w:tcPr>
          <w:p w:rsidR="00A53D7D" w:rsidRPr="00CE0FC3" w:rsidRDefault="00A53D7D" w:rsidP="005140B4">
            <w:pPr>
              <w:pStyle w:val="OGTableofFigures"/>
              <w:rPr>
                <w:lang w:eastAsia="en-AU"/>
              </w:rPr>
            </w:pPr>
            <w:r w:rsidRPr="00CE0FC3">
              <w:rPr>
                <w:lang w:eastAsia="en-AU"/>
              </w:rPr>
              <w:t>9 200</w:t>
            </w:r>
          </w:p>
        </w:tc>
        <w:tc>
          <w:tcPr>
            <w:tcW w:w="925" w:type="dxa"/>
            <w:gridSpan w:val="2"/>
            <w:tcBorders>
              <w:top w:val="single" w:sz="6" w:space="0" w:color="auto"/>
              <w:left w:val="nil"/>
              <w:right w:val="nil"/>
            </w:tcBorders>
            <w:shd w:val="clear" w:color="000000" w:fill="FFFFFF"/>
          </w:tcPr>
          <w:p w:rsidR="00A53D7D" w:rsidRDefault="00A53D7D" w:rsidP="005140B4">
            <w:pPr>
              <w:pStyle w:val="OGTableofFigures"/>
              <w:rPr>
                <w:lang w:eastAsia="en-AU"/>
              </w:rPr>
            </w:pPr>
            <w:r w:rsidRPr="00CE0FC3">
              <w:rPr>
                <w:lang w:eastAsia="en-AU"/>
              </w:rPr>
              <w:t>9 765</w:t>
            </w:r>
          </w:p>
        </w:tc>
      </w:tr>
      <w:tr w:rsidR="00A53D7D" w:rsidRPr="005C542E" w:rsidTr="005140B4">
        <w:trPr>
          <w:cantSplit/>
        </w:trPr>
        <w:tc>
          <w:tcPr>
            <w:tcW w:w="7782" w:type="dxa"/>
            <w:gridSpan w:val="8"/>
            <w:tcBorders>
              <w:left w:val="nil"/>
              <w:right w:val="nil"/>
            </w:tcBorders>
            <w:shd w:val="clear" w:color="000000" w:fill="FFFFFF"/>
          </w:tcPr>
          <w:p w:rsidR="00A53D7D" w:rsidRDefault="00A53D7D" w:rsidP="005140B4">
            <w:pPr>
              <w:pStyle w:val="OGNotes"/>
              <w:spacing w:after="0"/>
            </w:pPr>
            <w:r>
              <w:t>This performance measure relates to the calendar year.</w:t>
            </w:r>
          </w:p>
          <w:p w:rsidR="00A53D7D" w:rsidRDefault="00A53D7D" w:rsidP="005140B4">
            <w:pPr>
              <w:pStyle w:val="OGNotes"/>
              <w:spacing w:after="0"/>
            </w:pPr>
            <w:r>
              <w:t>This performance measure includes government and non</w:t>
            </w:r>
            <w:r>
              <w:noBreakHyphen/>
              <w:t>government schools.</w:t>
            </w:r>
          </w:p>
          <w:p w:rsidR="00A53D7D" w:rsidRPr="00F820F9" w:rsidRDefault="00A53D7D" w:rsidP="00F820F9">
            <w:pPr>
              <w:pStyle w:val="OGNotes"/>
              <w:spacing w:after="30"/>
            </w:pPr>
            <w:r w:rsidRPr="00F820F9">
              <w:t>The 2013</w:t>
            </w:r>
            <w:r w:rsidRPr="00F820F9">
              <w:noBreakHyphen/>
              <w:t>14 expected outcome is higher than the 2013</w:t>
            </w:r>
            <w:r w:rsidRPr="00F820F9">
              <w:noBreakHyphen/>
              <w:t>14 target due to an increasing number of students undertaking and completing a Victorian Certificate of Applied Learning certificate at Intermediate and Senior levels as it becomes more established as an alternative qualification to the VCE. The 2014</w:t>
            </w:r>
            <w:r w:rsidRPr="00F820F9">
              <w:noBreakHyphen/>
              <w:t xml:space="preserve">15 target reflects a levelling of demand following sustained growth in </w:t>
            </w:r>
            <w:proofErr w:type="spellStart"/>
            <w:r w:rsidRPr="00F820F9">
              <w:t>VETiS</w:t>
            </w:r>
            <w:proofErr w:type="spellEnd"/>
            <w:r w:rsidRPr="00F820F9">
              <w:t xml:space="preserve"> and the subject choices made by students.</w:t>
            </w:r>
          </w:p>
        </w:tc>
      </w:tr>
      <w:tr w:rsidR="00A53D7D" w:rsidRPr="00ED4205" w:rsidTr="005140B4">
        <w:trPr>
          <w:cantSplit/>
        </w:trPr>
        <w:tc>
          <w:tcPr>
            <w:tcW w:w="3108" w:type="dxa"/>
            <w:tcBorders>
              <w:top w:val="single" w:sz="6" w:space="0" w:color="auto"/>
              <w:left w:val="nil"/>
              <w:right w:val="nil"/>
            </w:tcBorders>
            <w:shd w:val="clear" w:color="000000" w:fill="FFFFFF"/>
          </w:tcPr>
          <w:p w:rsidR="00A53D7D" w:rsidRPr="00F40B10" w:rsidRDefault="00A53D7D" w:rsidP="005140B4">
            <w:pPr>
              <w:pStyle w:val="OGTabText"/>
              <w:rPr>
                <w:lang w:eastAsia="en-AU"/>
              </w:rPr>
            </w:pPr>
            <w:r>
              <w:rPr>
                <w:lang w:eastAsia="en-AU"/>
              </w:rPr>
              <w:t>Number of school</w:t>
            </w:r>
            <w:r>
              <w:rPr>
                <w:lang w:eastAsia="en-AU"/>
              </w:rPr>
              <w:noBreakHyphen/>
            </w:r>
            <w:r w:rsidRPr="00F40B10">
              <w:rPr>
                <w:lang w:eastAsia="en-AU"/>
              </w:rPr>
              <w:t>based apprentices/trainees</w:t>
            </w:r>
          </w:p>
        </w:tc>
        <w:tc>
          <w:tcPr>
            <w:tcW w:w="952" w:type="dxa"/>
            <w:gridSpan w:val="2"/>
            <w:tcBorders>
              <w:top w:val="single" w:sz="6" w:space="0" w:color="auto"/>
              <w:left w:val="nil"/>
              <w:right w:val="nil"/>
            </w:tcBorders>
            <w:shd w:val="clear" w:color="000000" w:fill="FFFFFF"/>
          </w:tcPr>
          <w:p w:rsidR="00A53D7D" w:rsidRPr="00ED4205" w:rsidRDefault="00A53D7D" w:rsidP="005140B4">
            <w:pPr>
              <w:rPr>
                <w:rFonts w:ascii="Calibri" w:hAnsi="Calibri"/>
                <w:sz w:val="20"/>
                <w:szCs w:val="18"/>
                <w:lang w:eastAsia="en-AU"/>
              </w:rPr>
            </w:pPr>
            <w:r w:rsidRPr="00ED4205">
              <w:rPr>
                <w:rFonts w:ascii="Calibri" w:hAnsi="Calibri"/>
                <w:sz w:val="20"/>
                <w:szCs w:val="18"/>
                <w:lang w:eastAsia="en-AU"/>
              </w:rPr>
              <w:t>number</w:t>
            </w:r>
          </w:p>
        </w:tc>
        <w:tc>
          <w:tcPr>
            <w:tcW w:w="909" w:type="dxa"/>
            <w:tcBorders>
              <w:top w:val="single" w:sz="6" w:space="0" w:color="auto"/>
              <w:left w:val="nil"/>
              <w:right w:val="nil"/>
            </w:tcBorders>
            <w:shd w:val="clear" w:color="auto" w:fill="D9D9D9"/>
          </w:tcPr>
          <w:p w:rsidR="00A53D7D" w:rsidRPr="00ED4205" w:rsidRDefault="00A53D7D" w:rsidP="005140B4">
            <w:pPr>
              <w:pStyle w:val="OGTableofFigures"/>
              <w:rPr>
                <w:lang w:eastAsia="en-AU"/>
              </w:rPr>
            </w:pPr>
            <w:r w:rsidRPr="00C37B0A">
              <w:t>3 200</w:t>
            </w:r>
          </w:p>
        </w:tc>
        <w:tc>
          <w:tcPr>
            <w:tcW w:w="993" w:type="dxa"/>
            <w:tcBorders>
              <w:top w:val="single" w:sz="6" w:space="0" w:color="auto"/>
              <w:left w:val="nil"/>
              <w:right w:val="nil"/>
            </w:tcBorders>
            <w:shd w:val="clear" w:color="000000" w:fill="FFFFFF"/>
          </w:tcPr>
          <w:p w:rsidR="00A53D7D" w:rsidRPr="00ED4205" w:rsidRDefault="00A53D7D" w:rsidP="005140B4">
            <w:pPr>
              <w:pStyle w:val="OGTableofFigures"/>
              <w:rPr>
                <w:lang w:eastAsia="en-AU"/>
              </w:rPr>
            </w:pPr>
            <w:r w:rsidRPr="00C37B0A">
              <w:t>3 566</w:t>
            </w:r>
          </w:p>
        </w:tc>
        <w:tc>
          <w:tcPr>
            <w:tcW w:w="895" w:type="dxa"/>
            <w:tcBorders>
              <w:top w:val="single" w:sz="6" w:space="0" w:color="auto"/>
              <w:left w:val="nil"/>
              <w:right w:val="nil"/>
            </w:tcBorders>
            <w:shd w:val="clear" w:color="000000" w:fill="FFFFFF"/>
          </w:tcPr>
          <w:p w:rsidR="00A53D7D" w:rsidRPr="00ED4205" w:rsidRDefault="00A53D7D" w:rsidP="005140B4">
            <w:pPr>
              <w:pStyle w:val="OGTableofFigures"/>
              <w:rPr>
                <w:lang w:eastAsia="en-AU"/>
              </w:rPr>
            </w:pPr>
            <w:r w:rsidRPr="00ED4205">
              <w:rPr>
                <w:lang w:eastAsia="en-AU"/>
              </w:rPr>
              <w:t>4 500</w:t>
            </w:r>
          </w:p>
        </w:tc>
        <w:tc>
          <w:tcPr>
            <w:tcW w:w="925" w:type="dxa"/>
            <w:gridSpan w:val="2"/>
            <w:tcBorders>
              <w:top w:val="single" w:sz="6" w:space="0" w:color="auto"/>
              <w:left w:val="nil"/>
              <w:right w:val="nil"/>
            </w:tcBorders>
            <w:shd w:val="clear" w:color="000000" w:fill="FFFFFF"/>
          </w:tcPr>
          <w:p w:rsidR="00A53D7D" w:rsidRPr="00ED4205" w:rsidRDefault="00A53D7D" w:rsidP="005140B4">
            <w:pPr>
              <w:pStyle w:val="OGTableofFigures"/>
              <w:rPr>
                <w:lang w:eastAsia="en-AU"/>
              </w:rPr>
            </w:pPr>
            <w:r w:rsidRPr="00ED4205">
              <w:rPr>
                <w:lang w:eastAsia="en-AU"/>
              </w:rPr>
              <w:t>4 169</w:t>
            </w:r>
          </w:p>
        </w:tc>
      </w:tr>
      <w:tr w:rsidR="00A53D7D" w:rsidRPr="005C542E" w:rsidTr="005140B4">
        <w:trPr>
          <w:cantSplit/>
        </w:trPr>
        <w:tc>
          <w:tcPr>
            <w:tcW w:w="7782" w:type="dxa"/>
            <w:gridSpan w:val="8"/>
            <w:tcBorders>
              <w:left w:val="nil"/>
              <w:bottom w:val="single" w:sz="6" w:space="0" w:color="auto"/>
              <w:right w:val="nil"/>
            </w:tcBorders>
            <w:shd w:val="clear" w:color="000000" w:fill="FFFFFF"/>
          </w:tcPr>
          <w:p w:rsidR="00A53D7D" w:rsidRDefault="00A53D7D" w:rsidP="005140B4">
            <w:pPr>
              <w:pStyle w:val="OGNotes"/>
              <w:spacing w:after="0"/>
            </w:pPr>
            <w:r>
              <w:t>This performance measure relates to the calendar year.</w:t>
            </w:r>
          </w:p>
          <w:p w:rsidR="00A53D7D" w:rsidRDefault="00A53D7D" w:rsidP="005140B4">
            <w:pPr>
              <w:pStyle w:val="OGNotes"/>
              <w:spacing w:after="0"/>
            </w:pPr>
            <w:r>
              <w:t xml:space="preserve">This </w:t>
            </w:r>
            <w:r w:rsidRPr="006B5394">
              <w:t>performance measure includes government and non</w:t>
            </w:r>
            <w:r>
              <w:noBreakHyphen/>
            </w:r>
            <w:r w:rsidRPr="006B5394">
              <w:t>government schools.</w:t>
            </w:r>
          </w:p>
          <w:p w:rsidR="00A53D7D" w:rsidRDefault="00A53D7D" w:rsidP="005140B4">
            <w:pPr>
              <w:pStyle w:val="OGNotes"/>
              <w:spacing w:after="0"/>
            </w:pPr>
            <w:r>
              <w:t>The 2013</w:t>
            </w:r>
            <w:r>
              <w:noBreakHyphen/>
              <w:t>14 expected outcome is lower than the 2013</w:t>
            </w:r>
            <w:r>
              <w:noBreakHyphen/>
              <w:t xml:space="preserve">14 target due to lower demand for some traineeships which reflects funding prioritisation into apprenticeships and traineeships of a higher public value. </w:t>
            </w:r>
          </w:p>
          <w:p w:rsidR="00A53D7D" w:rsidRPr="00F820F9" w:rsidRDefault="00A53D7D" w:rsidP="00F820F9">
            <w:pPr>
              <w:pStyle w:val="OGNotes"/>
              <w:spacing w:after="30"/>
            </w:pPr>
            <w:r w:rsidRPr="00F820F9">
              <w:t>The 2014</w:t>
            </w:r>
            <w:r w:rsidRPr="00F820F9">
              <w:noBreakHyphen/>
              <w:t>15 target has been lowered to reflect this transition in demand.</w:t>
            </w:r>
          </w:p>
        </w:tc>
      </w:tr>
      <w:tr w:rsidR="00A53D7D" w:rsidRPr="00ED4205" w:rsidTr="005140B4">
        <w:trPr>
          <w:cantSplit/>
        </w:trPr>
        <w:tc>
          <w:tcPr>
            <w:tcW w:w="3108" w:type="dxa"/>
            <w:tcBorders>
              <w:top w:val="single" w:sz="6" w:space="0" w:color="auto"/>
              <w:left w:val="nil"/>
              <w:right w:val="nil"/>
            </w:tcBorders>
            <w:shd w:val="clear" w:color="000000" w:fill="FFFFFF"/>
          </w:tcPr>
          <w:p w:rsidR="00A53D7D" w:rsidRPr="00FB5200" w:rsidRDefault="00A53D7D" w:rsidP="005140B4">
            <w:pPr>
              <w:pStyle w:val="OGTabText"/>
              <w:rPr>
                <w:lang w:eastAsia="en-AU"/>
              </w:rPr>
            </w:pPr>
            <w:proofErr w:type="spellStart"/>
            <w:r w:rsidRPr="00FB5200">
              <w:rPr>
                <w:lang w:eastAsia="en-AU"/>
              </w:rPr>
              <w:t>Statewide</w:t>
            </w:r>
            <w:proofErr w:type="spellEnd"/>
            <w:r w:rsidRPr="00FB5200">
              <w:rPr>
                <w:lang w:eastAsia="en-AU"/>
              </w:rPr>
              <w:t xml:space="preserve"> computer to student ratio: secondary</w:t>
            </w:r>
          </w:p>
        </w:tc>
        <w:tc>
          <w:tcPr>
            <w:tcW w:w="952" w:type="dxa"/>
            <w:gridSpan w:val="2"/>
            <w:tcBorders>
              <w:top w:val="single" w:sz="6" w:space="0" w:color="auto"/>
              <w:left w:val="nil"/>
              <w:right w:val="nil"/>
            </w:tcBorders>
            <w:shd w:val="clear" w:color="000000" w:fill="FFFFFF"/>
          </w:tcPr>
          <w:p w:rsidR="00A53D7D" w:rsidRPr="00FB5200" w:rsidRDefault="00A53D7D" w:rsidP="005140B4">
            <w:pPr>
              <w:pStyle w:val="OGTabText"/>
              <w:rPr>
                <w:lang w:eastAsia="en-AU"/>
              </w:rPr>
            </w:pPr>
            <w:r w:rsidRPr="00FB5200">
              <w:rPr>
                <w:lang w:eastAsia="en-AU"/>
              </w:rPr>
              <w:t>ratio</w:t>
            </w:r>
          </w:p>
        </w:tc>
        <w:tc>
          <w:tcPr>
            <w:tcW w:w="909" w:type="dxa"/>
            <w:tcBorders>
              <w:top w:val="single" w:sz="6" w:space="0" w:color="auto"/>
              <w:left w:val="nil"/>
              <w:right w:val="nil"/>
            </w:tcBorders>
            <w:shd w:val="clear" w:color="auto" w:fill="D9D9D9"/>
          </w:tcPr>
          <w:p w:rsidR="00A53D7D" w:rsidRPr="00FB5200" w:rsidRDefault="00A53D7D" w:rsidP="005140B4">
            <w:pPr>
              <w:pStyle w:val="OGTableofFigures"/>
              <w:rPr>
                <w:lang w:eastAsia="en-AU"/>
              </w:rPr>
            </w:pPr>
            <w:r w:rsidRPr="00FB5200">
              <w:rPr>
                <w:lang w:eastAsia="en-AU"/>
              </w:rPr>
              <w:t>1:1.5</w:t>
            </w:r>
          </w:p>
        </w:tc>
        <w:tc>
          <w:tcPr>
            <w:tcW w:w="993" w:type="dxa"/>
            <w:tcBorders>
              <w:top w:val="single" w:sz="6" w:space="0" w:color="auto"/>
              <w:left w:val="nil"/>
              <w:right w:val="nil"/>
            </w:tcBorders>
            <w:shd w:val="clear" w:color="000000" w:fill="FFFFFF"/>
          </w:tcPr>
          <w:p w:rsidR="00A53D7D" w:rsidRPr="00FB5200" w:rsidRDefault="00A53D7D" w:rsidP="005140B4">
            <w:pPr>
              <w:pStyle w:val="OGTableofFigures"/>
              <w:rPr>
                <w:lang w:eastAsia="en-AU"/>
              </w:rPr>
            </w:pPr>
            <w:r w:rsidRPr="00FB5200">
              <w:rPr>
                <w:lang w:eastAsia="en-AU"/>
              </w:rPr>
              <w:t>1:1.5</w:t>
            </w:r>
          </w:p>
        </w:tc>
        <w:tc>
          <w:tcPr>
            <w:tcW w:w="895" w:type="dxa"/>
            <w:tcBorders>
              <w:top w:val="single" w:sz="6" w:space="0" w:color="auto"/>
              <w:left w:val="nil"/>
              <w:right w:val="nil"/>
            </w:tcBorders>
            <w:shd w:val="clear" w:color="000000" w:fill="FFFFFF"/>
          </w:tcPr>
          <w:p w:rsidR="00A53D7D" w:rsidRPr="00FB5200" w:rsidRDefault="00A53D7D" w:rsidP="005140B4">
            <w:pPr>
              <w:pStyle w:val="OGTableofFigures"/>
              <w:rPr>
                <w:lang w:eastAsia="en-AU"/>
              </w:rPr>
            </w:pPr>
            <w:r w:rsidRPr="00FB5200">
              <w:rPr>
                <w:lang w:eastAsia="en-AU"/>
              </w:rPr>
              <w:t>1:1.5</w:t>
            </w:r>
          </w:p>
        </w:tc>
        <w:tc>
          <w:tcPr>
            <w:tcW w:w="925" w:type="dxa"/>
            <w:gridSpan w:val="2"/>
            <w:tcBorders>
              <w:top w:val="single" w:sz="6" w:space="0" w:color="auto"/>
              <w:left w:val="nil"/>
              <w:right w:val="nil"/>
            </w:tcBorders>
            <w:shd w:val="clear" w:color="000000" w:fill="FFFFFF"/>
          </w:tcPr>
          <w:p w:rsidR="00A53D7D" w:rsidRDefault="00A53D7D" w:rsidP="005140B4">
            <w:pPr>
              <w:pStyle w:val="OGTableofFigures"/>
              <w:rPr>
                <w:lang w:eastAsia="en-AU"/>
              </w:rPr>
            </w:pPr>
            <w:r w:rsidRPr="00FB5200">
              <w:rPr>
                <w:lang w:eastAsia="en-AU"/>
              </w:rPr>
              <w:t>1:1.03</w:t>
            </w:r>
          </w:p>
        </w:tc>
      </w:tr>
      <w:tr w:rsidR="00A53D7D" w:rsidRPr="005C542E" w:rsidTr="005140B4">
        <w:trPr>
          <w:cantSplit/>
        </w:trPr>
        <w:tc>
          <w:tcPr>
            <w:tcW w:w="7782" w:type="dxa"/>
            <w:gridSpan w:val="8"/>
            <w:tcBorders>
              <w:left w:val="nil"/>
              <w:right w:val="nil"/>
            </w:tcBorders>
            <w:shd w:val="clear" w:color="000000" w:fill="FFFFFF"/>
          </w:tcPr>
          <w:p w:rsidR="00A53D7D" w:rsidRDefault="00A53D7D" w:rsidP="005140B4">
            <w:pPr>
              <w:pStyle w:val="OGNotes"/>
              <w:spacing w:after="0"/>
            </w:pPr>
            <w:r w:rsidRPr="006B1664">
              <w:t>This performance measure relates to the calendar year.</w:t>
            </w:r>
          </w:p>
          <w:p w:rsidR="00A53D7D" w:rsidRPr="00F820F9" w:rsidRDefault="00A53D7D" w:rsidP="00F820F9">
            <w:pPr>
              <w:pStyle w:val="OGNotes"/>
              <w:spacing w:after="30"/>
            </w:pPr>
            <w:r w:rsidRPr="00F820F9">
              <w:t>This performance measure refers to government schools only.</w:t>
            </w:r>
          </w:p>
        </w:tc>
      </w:tr>
      <w:tr w:rsidR="00A53D7D" w:rsidRPr="005C542E" w:rsidTr="005140B4">
        <w:trPr>
          <w:cantSplit/>
        </w:trPr>
        <w:tc>
          <w:tcPr>
            <w:tcW w:w="3108" w:type="dxa"/>
            <w:tcBorders>
              <w:top w:val="single" w:sz="6" w:space="0" w:color="auto"/>
              <w:left w:val="nil"/>
              <w:right w:val="nil"/>
            </w:tcBorders>
            <w:shd w:val="clear" w:color="000000" w:fill="FFFFFF"/>
          </w:tcPr>
          <w:p w:rsidR="00A53D7D" w:rsidRPr="00E64D81" w:rsidRDefault="00A53D7D" w:rsidP="005140B4">
            <w:pPr>
              <w:pStyle w:val="OGTabText"/>
              <w:ind w:left="0"/>
              <w:rPr>
                <w:i/>
                <w:lang w:eastAsia="en-AU"/>
              </w:rPr>
            </w:pPr>
            <w:r w:rsidRPr="00E64D81">
              <w:rPr>
                <w:i/>
                <w:lang w:eastAsia="en-AU"/>
              </w:rPr>
              <w:t>Cost</w:t>
            </w:r>
          </w:p>
        </w:tc>
        <w:tc>
          <w:tcPr>
            <w:tcW w:w="952" w:type="dxa"/>
            <w:gridSpan w:val="2"/>
            <w:tcBorders>
              <w:top w:val="single" w:sz="6" w:space="0" w:color="auto"/>
              <w:left w:val="nil"/>
              <w:right w:val="nil"/>
            </w:tcBorders>
            <w:shd w:val="clear" w:color="000000" w:fill="FFFFFF"/>
          </w:tcPr>
          <w:p w:rsidR="00A53D7D" w:rsidRPr="005C542E" w:rsidRDefault="00A53D7D" w:rsidP="005140B4">
            <w:pPr>
              <w:pStyle w:val="OGUoM"/>
              <w:rPr>
                <w:lang w:eastAsia="en-AU"/>
              </w:rPr>
            </w:pPr>
          </w:p>
        </w:tc>
        <w:tc>
          <w:tcPr>
            <w:tcW w:w="909" w:type="dxa"/>
            <w:tcBorders>
              <w:top w:val="single" w:sz="6" w:space="0" w:color="auto"/>
              <w:left w:val="nil"/>
              <w:right w:val="nil"/>
            </w:tcBorders>
            <w:shd w:val="clear" w:color="auto" w:fill="D9D9D9"/>
          </w:tcPr>
          <w:p w:rsidR="00A53D7D" w:rsidRPr="00B74ABE" w:rsidRDefault="00A53D7D" w:rsidP="005140B4">
            <w:pPr>
              <w:pStyle w:val="OGTabText"/>
              <w:jc w:val="right"/>
              <w:rPr>
                <w:lang w:eastAsia="en-AU"/>
              </w:rPr>
            </w:pPr>
          </w:p>
        </w:tc>
        <w:tc>
          <w:tcPr>
            <w:tcW w:w="993" w:type="dxa"/>
            <w:tcBorders>
              <w:top w:val="single" w:sz="6" w:space="0" w:color="auto"/>
              <w:left w:val="nil"/>
              <w:right w:val="nil"/>
            </w:tcBorders>
            <w:shd w:val="clear" w:color="000000" w:fill="FFFFFF"/>
          </w:tcPr>
          <w:p w:rsidR="00A53D7D" w:rsidRPr="00B74ABE" w:rsidRDefault="00A53D7D" w:rsidP="005140B4">
            <w:pPr>
              <w:pStyle w:val="OGTabText"/>
              <w:jc w:val="right"/>
              <w:rPr>
                <w:lang w:eastAsia="en-AU"/>
              </w:rPr>
            </w:pPr>
          </w:p>
        </w:tc>
        <w:tc>
          <w:tcPr>
            <w:tcW w:w="895" w:type="dxa"/>
            <w:tcBorders>
              <w:top w:val="single" w:sz="6" w:space="0" w:color="auto"/>
              <w:left w:val="nil"/>
              <w:right w:val="nil"/>
            </w:tcBorders>
            <w:shd w:val="clear" w:color="000000" w:fill="FFFFFF"/>
          </w:tcPr>
          <w:p w:rsidR="00A53D7D" w:rsidRPr="00B74ABE" w:rsidRDefault="00A53D7D" w:rsidP="005140B4">
            <w:pPr>
              <w:pStyle w:val="OGTabText"/>
              <w:jc w:val="right"/>
              <w:rPr>
                <w:lang w:eastAsia="en-AU"/>
              </w:rPr>
            </w:pPr>
          </w:p>
        </w:tc>
        <w:tc>
          <w:tcPr>
            <w:tcW w:w="925" w:type="dxa"/>
            <w:gridSpan w:val="2"/>
            <w:tcBorders>
              <w:top w:val="single" w:sz="6" w:space="0" w:color="auto"/>
              <w:left w:val="nil"/>
              <w:right w:val="nil"/>
            </w:tcBorders>
            <w:shd w:val="clear" w:color="000000" w:fill="FFFFFF"/>
          </w:tcPr>
          <w:p w:rsidR="00A53D7D" w:rsidRPr="00B74ABE" w:rsidRDefault="00A53D7D" w:rsidP="005140B4">
            <w:pPr>
              <w:pStyle w:val="OGTabText"/>
              <w:jc w:val="right"/>
              <w:rPr>
                <w:lang w:eastAsia="en-AU"/>
              </w:rPr>
            </w:pPr>
          </w:p>
        </w:tc>
      </w:tr>
      <w:tr w:rsidR="00A53D7D" w:rsidRPr="005C542E" w:rsidTr="005140B4">
        <w:trPr>
          <w:cantSplit/>
        </w:trPr>
        <w:tc>
          <w:tcPr>
            <w:tcW w:w="3108" w:type="dxa"/>
            <w:tcBorders>
              <w:left w:val="nil"/>
              <w:right w:val="nil"/>
            </w:tcBorders>
            <w:shd w:val="clear" w:color="000000" w:fill="FFFFFF"/>
          </w:tcPr>
          <w:p w:rsidR="00A53D7D" w:rsidRPr="00243066" w:rsidRDefault="00A53D7D" w:rsidP="005140B4">
            <w:pPr>
              <w:pStyle w:val="OGTabText"/>
              <w:rPr>
                <w:lang w:eastAsia="en-AU"/>
              </w:rPr>
            </w:pPr>
            <w:r w:rsidRPr="00243066">
              <w:rPr>
                <w:lang w:eastAsia="en-AU"/>
              </w:rPr>
              <w:t>Total output cost</w:t>
            </w:r>
          </w:p>
        </w:tc>
        <w:tc>
          <w:tcPr>
            <w:tcW w:w="952" w:type="dxa"/>
            <w:gridSpan w:val="2"/>
            <w:tcBorders>
              <w:left w:val="nil"/>
              <w:right w:val="nil"/>
            </w:tcBorders>
            <w:shd w:val="clear" w:color="000000" w:fill="FFFFFF"/>
          </w:tcPr>
          <w:p w:rsidR="00A53D7D" w:rsidRPr="00243066" w:rsidRDefault="00A53D7D" w:rsidP="005140B4">
            <w:pPr>
              <w:pStyle w:val="OGTabText"/>
              <w:rPr>
                <w:lang w:eastAsia="en-AU"/>
              </w:rPr>
            </w:pPr>
            <w:r>
              <w:t>$ million</w:t>
            </w:r>
          </w:p>
        </w:tc>
        <w:tc>
          <w:tcPr>
            <w:tcW w:w="909" w:type="dxa"/>
            <w:tcBorders>
              <w:left w:val="nil"/>
              <w:right w:val="nil"/>
            </w:tcBorders>
            <w:shd w:val="clear" w:color="auto" w:fill="D9D9D9"/>
          </w:tcPr>
          <w:p w:rsidR="00A53D7D" w:rsidRPr="00243066" w:rsidRDefault="00A53D7D" w:rsidP="005140B4">
            <w:pPr>
              <w:pStyle w:val="OGTableofFigures"/>
              <w:rPr>
                <w:lang w:eastAsia="en-AU"/>
              </w:rPr>
            </w:pPr>
            <w:r>
              <w:rPr>
                <w:lang w:eastAsia="en-AU"/>
              </w:rPr>
              <w:t>3 672.6</w:t>
            </w:r>
          </w:p>
        </w:tc>
        <w:tc>
          <w:tcPr>
            <w:tcW w:w="993" w:type="dxa"/>
            <w:tcBorders>
              <w:left w:val="nil"/>
              <w:right w:val="nil"/>
            </w:tcBorders>
            <w:shd w:val="clear" w:color="000000" w:fill="FFFFFF"/>
          </w:tcPr>
          <w:p w:rsidR="00A53D7D" w:rsidRPr="00243066" w:rsidRDefault="00A53D7D" w:rsidP="005140B4">
            <w:pPr>
              <w:pStyle w:val="OGTableofFigures"/>
              <w:rPr>
                <w:lang w:eastAsia="en-AU"/>
              </w:rPr>
            </w:pPr>
            <w:r>
              <w:rPr>
                <w:lang w:eastAsia="en-AU"/>
              </w:rPr>
              <w:t>3 528.5</w:t>
            </w:r>
          </w:p>
        </w:tc>
        <w:tc>
          <w:tcPr>
            <w:tcW w:w="895" w:type="dxa"/>
            <w:tcBorders>
              <w:left w:val="nil"/>
              <w:right w:val="nil"/>
            </w:tcBorders>
            <w:shd w:val="clear" w:color="000000" w:fill="FFFFFF"/>
          </w:tcPr>
          <w:p w:rsidR="00A53D7D" w:rsidRPr="00243066" w:rsidRDefault="00A53D7D" w:rsidP="005140B4">
            <w:pPr>
              <w:pStyle w:val="OGTableofFigures"/>
              <w:rPr>
                <w:lang w:eastAsia="en-AU"/>
              </w:rPr>
            </w:pPr>
            <w:r w:rsidRPr="00243066">
              <w:rPr>
                <w:lang w:eastAsia="en-AU"/>
              </w:rPr>
              <w:t>3 507.7</w:t>
            </w:r>
          </w:p>
        </w:tc>
        <w:tc>
          <w:tcPr>
            <w:tcW w:w="925" w:type="dxa"/>
            <w:gridSpan w:val="2"/>
            <w:tcBorders>
              <w:left w:val="nil"/>
              <w:right w:val="nil"/>
            </w:tcBorders>
            <w:shd w:val="clear" w:color="000000" w:fill="FFFFFF"/>
          </w:tcPr>
          <w:p w:rsidR="00A53D7D" w:rsidRDefault="00A53D7D" w:rsidP="005140B4">
            <w:pPr>
              <w:pStyle w:val="OGTableofFigures"/>
              <w:rPr>
                <w:lang w:eastAsia="en-AU"/>
              </w:rPr>
            </w:pPr>
            <w:r w:rsidRPr="00243066">
              <w:rPr>
                <w:lang w:eastAsia="en-AU"/>
              </w:rPr>
              <w:t>3 447.4</w:t>
            </w:r>
          </w:p>
        </w:tc>
      </w:tr>
      <w:tr w:rsidR="00A53D7D" w:rsidRPr="0060479C" w:rsidTr="005140B4">
        <w:trPr>
          <w:cantSplit/>
        </w:trPr>
        <w:tc>
          <w:tcPr>
            <w:tcW w:w="7782" w:type="dxa"/>
            <w:gridSpan w:val="8"/>
            <w:tcBorders>
              <w:top w:val="nil"/>
              <w:left w:val="nil"/>
              <w:bottom w:val="single" w:sz="12" w:space="0" w:color="auto"/>
              <w:right w:val="nil"/>
            </w:tcBorders>
            <w:shd w:val="clear" w:color="000000" w:fill="FFFFFF"/>
          </w:tcPr>
          <w:p w:rsidR="00A53D7D" w:rsidRPr="00F820F9" w:rsidRDefault="00A53D7D" w:rsidP="00F820F9">
            <w:pPr>
              <w:pStyle w:val="OGNotes"/>
              <w:spacing w:after="30"/>
            </w:pPr>
            <w:r w:rsidRPr="00F820F9">
              <w:t>The higher 2014</w:t>
            </w:r>
            <w:r w:rsidRPr="00F820F9">
              <w:noBreakHyphen/>
              <w:t>15 target primarily reflects increased investment associated with the Victorian/Commonwealth school funding commitments.</w:t>
            </w:r>
          </w:p>
        </w:tc>
      </w:tr>
    </w:tbl>
    <w:p w:rsidR="00A53D7D" w:rsidRPr="00DC7DEC" w:rsidRDefault="00A53D7D" w:rsidP="00560216">
      <w:pPr>
        <w:pStyle w:val="Source"/>
      </w:pPr>
      <w:r w:rsidRPr="006A33FA">
        <w:t>Source: Department of Education and Early Childhood Development</w:t>
      </w:r>
      <w:r>
        <w:t xml:space="preserve"> </w:t>
      </w:r>
      <w:r>
        <w:fldChar w:fldCharType="begin"/>
      </w:r>
      <w:r>
        <w:instrText xml:space="preserve"> XE "</w:instrText>
      </w:r>
      <w:r w:rsidRPr="00B02C87">
        <w:instrText>Department of Education and Early Childhood Development:School Education</w:instrText>
      </w:r>
      <w:r>
        <w:instrText xml:space="preserve">" \r "DEECDschool" </w:instrText>
      </w:r>
      <w:r>
        <w:fldChar w:fldCharType="end"/>
      </w:r>
      <w:bookmarkEnd w:id="73"/>
      <w:r>
        <w:fldChar w:fldCharType="begin"/>
      </w:r>
      <w:r>
        <w:instrText xml:space="preserve"> XE "</w:instrText>
      </w:r>
      <w:r w:rsidRPr="00FF3EC3">
        <w:instrText>School Education</w:instrText>
      </w:r>
      <w:r>
        <w:instrText xml:space="preserve">" \r "DEECDschool" </w:instrText>
      </w:r>
      <w:r>
        <w:fldChar w:fldCharType="end"/>
      </w:r>
    </w:p>
    <w:p w:rsidR="00A53D7D" w:rsidRDefault="00A53D7D" w:rsidP="005140B4">
      <w:pPr>
        <w:pStyle w:val="OGHeading1"/>
      </w:pPr>
      <w:bookmarkStart w:id="74" w:name="DEECDhighered"/>
      <w:r>
        <w:t>Higher Education and Skills</w:t>
      </w:r>
    </w:p>
    <w:p w:rsidR="00A53D7D" w:rsidRDefault="00A53D7D" w:rsidP="005140B4">
      <w:pPr>
        <w:pStyle w:val="OGText"/>
      </w:pPr>
      <w:r>
        <w:t xml:space="preserve">The Higher Education and Skills output supports Victorians to gain the skills and capabilities essential for a rewarding life and helps create a globally competitive workforce. This output includes the functions of system design, market facilitation, </w:t>
      </w:r>
      <w:proofErr w:type="gramStart"/>
      <w:r>
        <w:t>consumer</w:t>
      </w:r>
      <w:proofErr w:type="gramEnd"/>
      <w:r>
        <w:t xml:space="preserve"> information, contracting and monitoring of vocational education and training services. It also involves the development and implementation of effective strategies for accredited and pre</w:t>
      </w:r>
      <w:r>
        <w:noBreakHyphen/>
        <w:t xml:space="preserve">accredited vocational education and training through adult community education. This output group contributes towards providing and improving services to support all the Department’s objectives of achievement, engagement, </w:t>
      </w:r>
      <w:proofErr w:type="gramStart"/>
      <w:r>
        <w:t>wellbeing</w:t>
      </w:r>
      <w:proofErr w:type="gramEnd"/>
      <w:r>
        <w:t xml:space="preserve"> and productivity.</w:t>
      </w:r>
    </w:p>
    <w:tbl>
      <w:tblPr>
        <w:tblW w:w="7782" w:type="dxa"/>
        <w:tblInd w:w="29" w:type="dxa"/>
        <w:tblLayout w:type="fixed"/>
        <w:tblCellMar>
          <w:left w:w="43" w:type="dxa"/>
          <w:right w:w="43" w:type="dxa"/>
        </w:tblCellMar>
        <w:tblLook w:val="04A0" w:firstRow="1" w:lastRow="0" w:firstColumn="1" w:lastColumn="0" w:noHBand="0" w:noVBand="1"/>
      </w:tblPr>
      <w:tblGrid>
        <w:gridCol w:w="3108"/>
        <w:gridCol w:w="42"/>
        <w:gridCol w:w="910"/>
        <w:gridCol w:w="909"/>
        <w:gridCol w:w="993"/>
        <w:gridCol w:w="895"/>
        <w:gridCol w:w="12"/>
        <w:gridCol w:w="913"/>
      </w:tblGrid>
      <w:tr w:rsidR="00A53D7D" w:rsidRPr="00204234" w:rsidTr="005140B4">
        <w:trPr>
          <w:cantSplit/>
          <w:tblHeader/>
        </w:trPr>
        <w:tc>
          <w:tcPr>
            <w:tcW w:w="3150" w:type="dxa"/>
            <w:gridSpan w:val="2"/>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10"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9"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gridSpan w:val="2"/>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13"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0" w:type="dxa"/>
            <w:gridSpan w:val="2"/>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10"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9"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gridSpan w:val="2"/>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1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Pr="005C542E" w:rsidRDefault="00A53D7D" w:rsidP="005140B4">
            <w:pPr>
              <w:pStyle w:val="OGHeading2"/>
              <w:rPr>
                <w:lang w:eastAsia="en-AU"/>
              </w:rPr>
            </w:pPr>
            <w:r w:rsidRPr="005C542E">
              <w:rPr>
                <w:lang w:eastAsia="en-AU"/>
              </w:rPr>
              <w:t>Higher Education and Skills</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Default="00A53D7D" w:rsidP="00A42C8E">
            <w:pPr>
              <w:pStyle w:val="OGText"/>
              <w:spacing w:after="100"/>
              <w:rPr>
                <w:lang w:eastAsia="en-AU"/>
              </w:rPr>
            </w:pPr>
            <w:r w:rsidRPr="005C542E">
              <w:rPr>
                <w:lang w:eastAsia="en-AU"/>
              </w:rPr>
              <w:t>This output ensures quality of service and supports increased participation in training in Victoria by:</w:t>
            </w:r>
          </w:p>
          <w:p w:rsidR="00A53D7D" w:rsidRPr="00A67FD5" w:rsidRDefault="00A53D7D" w:rsidP="00A42C8E">
            <w:pPr>
              <w:pStyle w:val="OGBullet"/>
              <w:spacing w:after="100"/>
            </w:pPr>
            <w:r w:rsidRPr="00A67FD5">
              <w:t>developing strategic advice on Victoria</w:t>
            </w:r>
            <w:r>
              <w:t>’</w:t>
            </w:r>
            <w:r w:rsidRPr="00A67FD5">
              <w:t>s skill requirements;</w:t>
            </w:r>
          </w:p>
          <w:p w:rsidR="00A53D7D" w:rsidRPr="00A67FD5" w:rsidRDefault="00A53D7D" w:rsidP="00A42C8E">
            <w:pPr>
              <w:pStyle w:val="OGBullet"/>
              <w:spacing w:after="100"/>
            </w:pPr>
            <w:r w:rsidRPr="00A67FD5">
              <w:t>contracting training services provided by TAFE institutes and private registered training organisations;</w:t>
            </w:r>
          </w:p>
          <w:p w:rsidR="00A53D7D" w:rsidRPr="00A67FD5" w:rsidRDefault="00A53D7D" w:rsidP="00A42C8E">
            <w:pPr>
              <w:pStyle w:val="OGBullet"/>
              <w:spacing w:after="100"/>
            </w:pPr>
            <w:r w:rsidRPr="00A67FD5">
              <w:t>building the capability and competitiveness of the vocational education and training system; and</w:t>
            </w:r>
          </w:p>
          <w:p w:rsidR="00A53D7D" w:rsidRPr="005C542E" w:rsidRDefault="00A53D7D" w:rsidP="005140B4">
            <w:pPr>
              <w:pStyle w:val="OGBullet"/>
            </w:pPr>
            <w:proofErr w:type="gramStart"/>
            <w:r w:rsidRPr="00A67FD5">
              <w:t>developing</w:t>
            </w:r>
            <w:proofErr w:type="gramEnd"/>
            <w:r w:rsidRPr="00A67FD5">
              <w:t xml:space="preserve"> and implementing effective strategies for accredited and pre</w:t>
            </w:r>
            <w:r>
              <w:noBreakHyphen/>
            </w:r>
            <w:r w:rsidRPr="00A67FD5">
              <w:t>accredited vocational education and training through adult community education and youth transition pathways to ensure access to and increased participation in life</w:t>
            </w:r>
            <w:r>
              <w:noBreakHyphen/>
            </w:r>
            <w:r w:rsidRPr="00A67FD5">
              <w:t>long skills development</w:t>
            </w:r>
            <w:r w:rsidRPr="005C542E">
              <w:t>.</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Quality</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bottom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left w:val="nil"/>
              <w:right w:val="nil"/>
            </w:tcBorders>
            <w:shd w:val="clear" w:color="000000" w:fill="FFFFFF"/>
            <w:hideMark/>
          </w:tcPr>
          <w:p w:rsidR="00A53D7D" w:rsidRPr="005C542E" w:rsidRDefault="00A53D7D" w:rsidP="005140B4">
            <w:pPr>
              <w:pStyle w:val="OGTabText"/>
              <w:keepNext/>
              <w:rPr>
                <w:lang w:eastAsia="en-AU"/>
              </w:rPr>
            </w:pPr>
            <w:r>
              <w:rPr>
                <w:lang w:eastAsia="en-AU"/>
              </w:rPr>
              <w:t>Percentage</w:t>
            </w:r>
            <w:r w:rsidRPr="005C542E">
              <w:rPr>
                <w:lang w:eastAsia="en-AU"/>
              </w:rPr>
              <w:t xml:space="preserve"> of VET graduates who rate quality of training as four or more out of five</w:t>
            </w:r>
          </w:p>
        </w:tc>
        <w:tc>
          <w:tcPr>
            <w:tcW w:w="952" w:type="dxa"/>
            <w:gridSpan w:val="2"/>
            <w:tcBorders>
              <w:left w:val="nil"/>
              <w:right w:val="nil"/>
            </w:tcBorders>
            <w:shd w:val="clear" w:color="000000" w:fill="FFFFFF"/>
            <w:hideMark/>
          </w:tcPr>
          <w:p w:rsidR="00A53D7D" w:rsidRPr="005C542E" w:rsidRDefault="00A53D7D" w:rsidP="005140B4">
            <w:pPr>
              <w:pStyle w:val="OGUoM"/>
              <w:keepNext/>
              <w:rPr>
                <w:lang w:eastAsia="en-AU"/>
              </w:rPr>
            </w:pPr>
            <w:r>
              <w:rPr>
                <w:lang w:eastAsia="en-AU"/>
              </w:rPr>
              <w:t>per cent</w:t>
            </w:r>
          </w:p>
        </w:tc>
        <w:tc>
          <w:tcPr>
            <w:tcW w:w="909" w:type="dxa"/>
            <w:tcBorders>
              <w:left w:val="nil"/>
              <w:right w:val="nil"/>
            </w:tcBorders>
            <w:shd w:val="clear" w:color="auto" w:fill="D9D9D9"/>
            <w:hideMark/>
          </w:tcPr>
          <w:p w:rsidR="00A53D7D" w:rsidRPr="00BB2B68" w:rsidRDefault="00A53D7D" w:rsidP="005140B4">
            <w:pPr>
              <w:pStyle w:val="OGTableofFigures"/>
              <w:keepNext/>
              <w:rPr>
                <w:lang w:eastAsia="en-AU"/>
              </w:rPr>
            </w:pPr>
            <w:r w:rsidRPr="00220450">
              <w:t>8</w:t>
            </w:r>
            <w:r>
              <w:t>8</w:t>
            </w:r>
            <w:r w:rsidRPr="00220450">
              <w:t>.5</w:t>
            </w:r>
          </w:p>
        </w:tc>
        <w:tc>
          <w:tcPr>
            <w:tcW w:w="993" w:type="dxa"/>
            <w:tcBorders>
              <w:left w:val="nil"/>
              <w:right w:val="nil"/>
            </w:tcBorders>
            <w:shd w:val="clear" w:color="000000" w:fill="FFFFFF"/>
            <w:hideMark/>
          </w:tcPr>
          <w:p w:rsidR="00A53D7D" w:rsidRPr="00BB2B68" w:rsidRDefault="00A53D7D" w:rsidP="005140B4">
            <w:pPr>
              <w:pStyle w:val="OGTableofFigures"/>
              <w:keepNext/>
              <w:rPr>
                <w:lang w:eastAsia="en-AU"/>
              </w:rPr>
            </w:pPr>
            <w:r w:rsidRPr="00613E5E">
              <w:t>85.4</w:t>
            </w:r>
          </w:p>
        </w:tc>
        <w:tc>
          <w:tcPr>
            <w:tcW w:w="895" w:type="dxa"/>
            <w:tcBorders>
              <w:left w:val="nil"/>
              <w:right w:val="nil"/>
            </w:tcBorders>
            <w:shd w:val="clear" w:color="000000" w:fill="FFFFFF"/>
            <w:hideMark/>
          </w:tcPr>
          <w:p w:rsidR="00A53D7D" w:rsidRPr="00BB2B68" w:rsidRDefault="00A53D7D" w:rsidP="005140B4">
            <w:pPr>
              <w:pStyle w:val="OGTableofFigures"/>
              <w:keepNext/>
              <w:rPr>
                <w:lang w:eastAsia="en-AU"/>
              </w:rPr>
            </w:pPr>
            <w:r w:rsidRPr="00BB2B68">
              <w:rPr>
                <w:lang w:eastAsia="en-AU"/>
              </w:rPr>
              <w:t>88.5</w:t>
            </w:r>
          </w:p>
        </w:tc>
        <w:tc>
          <w:tcPr>
            <w:tcW w:w="925" w:type="dxa"/>
            <w:gridSpan w:val="2"/>
            <w:tcBorders>
              <w:left w:val="nil"/>
              <w:right w:val="nil"/>
            </w:tcBorders>
            <w:shd w:val="clear" w:color="000000" w:fill="FFFFFF"/>
            <w:hideMark/>
          </w:tcPr>
          <w:p w:rsidR="00A53D7D" w:rsidRDefault="00A53D7D" w:rsidP="005140B4">
            <w:pPr>
              <w:pStyle w:val="OGTableofFigures"/>
              <w:keepNext/>
              <w:rPr>
                <w:lang w:eastAsia="en-AU"/>
              </w:rPr>
            </w:pPr>
            <w:r w:rsidRPr="00BB2B68">
              <w:rPr>
                <w:lang w:eastAsia="en-AU"/>
              </w:rPr>
              <w:t>87.6</w:t>
            </w:r>
          </w:p>
        </w:tc>
      </w:tr>
      <w:tr w:rsidR="00A53D7D" w:rsidRPr="005C542E" w:rsidTr="005140B4">
        <w:trPr>
          <w:cantSplit/>
        </w:trPr>
        <w:tc>
          <w:tcPr>
            <w:tcW w:w="7782" w:type="dxa"/>
            <w:gridSpan w:val="8"/>
            <w:tcBorders>
              <w:left w:val="nil"/>
              <w:bottom w:val="single" w:sz="6" w:space="0" w:color="auto"/>
              <w:right w:val="nil"/>
            </w:tcBorders>
            <w:shd w:val="clear" w:color="000000" w:fill="FFFFFF"/>
          </w:tcPr>
          <w:p w:rsidR="00A53D7D" w:rsidRPr="00A42C8E" w:rsidRDefault="00A53D7D" w:rsidP="00A42C8E">
            <w:pPr>
              <w:pStyle w:val="OGNotes"/>
              <w:spacing w:after="40"/>
            </w:pPr>
            <w:r w:rsidRPr="00A42C8E">
              <w:t>This performance measure relates to the calendar year.</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Successful training completions as measured by module load completion rate</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27354E" w:rsidRDefault="00A53D7D" w:rsidP="005140B4">
            <w:pPr>
              <w:pStyle w:val="OGTableofFigures"/>
              <w:rPr>
                <w:lang w:eastAsia="en-AU"/>
              </w:rPr>
            </w:pPr>
            <w:r>
              <w:t>83.5</w:t>
            </w:r>
          </w:p>
        </w:tc>
        <w:tc>
          <w:tcPr>
            <w:tcW w:w="993" w:type="dxa"/>
            <w:tcBorders>
              <w:top w:val="single" w:sz="6" w:space="0" w:color="auto"/>
              <w:left w:val="nil"/>
              <w:right w:val="nil"/>
            </w:tcBorders>
            <w:shd w:val="clear" w:color="000000" w:fill="FFFFFF"/>
            <w:hideMark/>
          </w:tcPr>
          <w:p w:rsidR="00A53D7D" w:rsidRPr="0027354E" w:rsidRDefault="00A53D7D" w:rsidP="005140B4">
            <w:pPr>
              <w:pStyle w:val="OGTableofFigures"/>
              <w:rPr>
                <w:lang w:eastAsia="en-AU"/>
              </w:rPr>
            </w:pPr>
            <w:r w:rsidRPr="002163B6">
              <w:t>82.4</w:t>
            </w:r>
          </w:p>
        </w:tc>
        <w:tc>
          <w:tcPr>
            <w:tcW w:w="895" w:type="dxa"/>
            <w:tcBorders>
              <w:top w:val="single" w:sz="6" w:space="0" w:color="auto"/>
              <w:left w:val="nil"/>
              <w:right w:val="nil"/>
            </w:tcBorders>
            <w:shd w:val="clear" w:color="000000" w:fill="FFFFFF"/>
            <w:hideMark/>
          </w:tcPr>
          <w:p w:rsidR="00A53D7D" w:rsidRPr="0027354E" w:rsidRDefault="00A53D7D" w:rsidP="005140B4">
            <w:pPr>
              <w:pStyle w:val="OGTableofFigures"/>
              <w:rPr>
                <w:lang w:eastAsia="en-AU"/>
              </w:rPr>
            </w:pPr>
            <w:r w:rsidRPr="0027354E">
              <w:rPr>
                <w:lang w:eastAsia="en-AU"/>
              </w:rPr>
              <w:t>83.5</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27354E">
              <w:rPr>
                <w:lang w:eastAsia="en-AU"/>
              </w:rPr>
              <w:t>83.5</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Pr="00A42C8E" w:rsidRDefault="00A53D7D" w:rsidP="00A42C8E">
            <w:pPr>
              <w:pStyle w:val="OGNotes"/>
              <w:spacing w:after="40"/>
            </w:pPr>
            <w:r w:rsidRPr="00A42C8E">
              <w:t>This performance measure relates to the calendar year.</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VET graduates in employment six months following graduation</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3A51A0" w:rsidRDefault="00A53D7D" w:rsidP="005140B4">
            <w:pPr>
              <w:pStyle w:val="OGTableofFigures"/>
              <w:rPr>
                <w:lang w:eastAsia="en-AU"/>
              </w:rPr>
            </w:pPr>
            <w:r>
              <w:t>78.5</w:t>
            </w:r>
          </w:p>
        </w:tc>
        <w:tc>
          <w:tcPr>
            <w:tcW w:w="993" w:type="dxa"/>
            <w:tcBorders>
              <w:top w:val="single" w:sz="6" w:space="0" w:color="auto"/>
              <w:left w:val="nil"/>
              <w:right w:val="nil"/>
            </w:tcBorders>
            <w:shd w:val="clear" w:color="000000" w:fill="FFFFFF"/>
            <w:hideMark/>
          </w:tcPr>
          <w:p w:rsidR="00A53D7D" w:rsidRPr="003A51A0" w:rsidRDefault="00A53D7D" w:rsidP="005140B4">
            <w:pPr>
              <w:pStyle w:val="OGTableofFigures"/>
              <w:rPr>
                <w:lang w:eastAsia="en-AU"/>
              </w:rPr>
            </w:pPr>
            <w:r w:rsidRPr="00C131AE">
              <w:t>77.6</w:t>
            </w:r>
          </w:p>
        </w:tc>
        <w:tc>
          <w:tcPr>
            <w:tcW w:w="895" w:type="dxa"/>
            <w:tcBorders>
              <w:top w:val="single" w:sz="6" w:space="0" w:color="auto"/>
              <w:left w:val="nil"/>
              <w:right w:val="nil"/>
            </w:tcBorders>
            <w:shd w:val="clear" w:color="000000" w:fill="FFFFFF"/>
            <w:hideMark/>
          </w:tcPr>
          <w:p w:rsidR="00A53D7D" w:rsidRPr="003A51A0" w:rsidRDefault="00A53D7D" w:rsidP="005140B4">
            <w:pPr>
              <w:pStyle w:val="OGTableofFigures"/>
              <w:rPr>
                <w:lang w:eastAsia="en-AU"/>
              </w:rPr>
            </w:pPr>
            <w:r w:rsidRPr="003A51A0">
              <w:rPr>
                <w:lang w:eastAsia="en-AU"/>
              </w:rPr>
              <w:t>78.5</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3A51A0">
              <w:rPr>
                <w:lang w:eastAsia="en-AU"/>
              </w:rPr>
              <w:t>75.3</w:t>
            </w:r>
          </w:p>
        </w:tc>
      </w:tr>
      <w:tr w:rsidR="00A53D7D" w:rsidRPr="005C542E" w:rsidTr="005140B4">
        <w:trPr>
          <w:cantSplit/>
        </w:trPr>
        <w:tc>
          <w:tcPr>
            <w:tcW w:w="7782" w:type="dxa"/>
            <w:gridSpan w:val="8"/>
            <w:tcBorders>
              <w:left w:val="nil"/>
              <w:bottom w:val="single" w:sz="6" w:space="0" w:color="auto"/>
              <w:right w:val="nil"/>
            </w:tcBorders>
            <w:shd w:val="clear" w:color="000000" w:fill="FFFFFF"/>
          </w:tcPr>
          <w:p w:rsidR="00A53D7D" w:rsidRPr="00A42C8E" w:rsidRDefault="00A53D7D" w:rsidP="00A42C8E">
            <w:pPr>
              <w:pStyle w:val="OGNotes"/>
              <w:spacing w:after="40"/>
            </w:pPr>
            <w:r w:rsidRPr="00A42C8E">
              <w:t>This performance measure relates to the calendar year.</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Quantity</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bottom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Annual government</w:t>
            </w:r>
            <w:r>
              <w:rPr>
                <w:lang w:eastAsia="en-AU"/>
              </w:rPr>
              <w:noBreakHyphen/>
            </w:r>
            <w:r w:rsidRPr="005C542E">
              <w:rPr>
                <w:lang w:eastAsia="en-AU"/>
              </w:rPr>
              <w:t>funded module enrolments</w:t>
            </w:r>
          </w:p>
        </w:tc>
        <w:tc>
          <w:tcPr>
            <w:tcW w:w="952" w:type="dxa"/>
            <w:gridSpan w:val="2"/>
            <w:tcBorders>
              <w:top w:val="nil"/>
              <w:left w:val="nil"/>
              <w:right w:val="nil"/>
            </w:tcBorders>
            <w:shd w:val="clear" w:color="000000" w:fill="FFFFFF"/>
            <w:hideMark/>
          </w:tcPr>
          <w:p w:rsidR="00A53D7D" w:rsidRPr="005C542E" w:rsidRDefault="00A53D7D" w:rsidP="005140B4">
            <w:pPr>
              <w:pStyle w:val="OGUoM"/>
              <w:rPr>
                <w:lang w:eastAsia="en-AU"/>
              </w:rPr>
            </w:pPr>
            <w:r w:rsidRPr="005C542E">
              <w:rPr>
                <w:lang w:eastAsia="en-AU"/>
              </w:rPr>
              <w:t>number (million)</w:t>
            </w:r>
          </w:p>
        </w:tc>
        <w:tc>
          <w:tcPr>
            <w:tcW w:w="909" w:type="dxa"/>
            <w:tcBorders>
              <w:top w:val="nil"/>
              <w:left w:val="nil"/>
              <w:right w:val="nil"/>
            </w:tcBorders>
            <w:shd w:val="clear" w:color="auto" w:fill="D9D9D9"/>
            <w:hideMark/>
          </w:tcPr>
          <w:p w:rsidR="00A53D7D" w:rsidRPr="00A50320" w:rsidRDefault="00A53D7D" w:rsidP="005140B4">
            <w:pPr>
              <w:pStyle w:val="OGTableofFigures"/>
              <w:rPr>
                <w:lang w:eastAsia="en-AU"/>
              </w:rPr>
            </w:pPr>
            <w:r w:rsidRPr="004431A1">
              <w:t>5.</w:t>
            </w:r>
            <w:r>
              <w:t>6</w:t>
            </w:r>
          </w:p>
        </w:tc>
        <w:tc>
          <w:tcPr>
            <w:tcW w:w="993" w:type="dxa"/>
            <w:tcBorders>
              <w:top w:val="nil"/>
              <w:left w:val="nil"/>
              <w:right w:val="nil"/>
            </w:tcBorders>
            <w:shd w:val="clear" w:color="000000" w:fill="FFFFFF"/>
            <w:hideMark/>
          </w:tcPr>
          <w:p w:rsidR="00A53D7D" w:rsidRPr="00A50320" w:rsidRDefault="00A53D7D" w:rsidP="005140B4">
            <w:pPr>
              <w:pStyle w:val="OGTableofFigures"/>
              <w:rPr>
                <w:lang w:eastAsia="en-AU"/>
              </w:rPr>
            </w:pPr>
            <w:r w:rsidRPr="00491285">
              <w:t>5.6</w:t>
            </w:r>
          </w:p>
        </w:tc>
        <w:tc>
          <w:tcPr>
            <w:tcW w:w="895" w:type="dxa"/>
            <w:tcBorders>
              <w:top w:val="nil"/>
              <w:left w:val="nil"/>
              <w:right w:val="nil"/>
            </w:tcBorders>
            <w:shd w:val="clear" w:color="000000" w:fill="FFFFFF"/>
            <w:hideMark/>
          </w:tcPr>
          <w:p w:rsidR="00A53D7D" w:rsidRPr="00A50320" w:rsidRDefault="00A53D7D" w:rsidP="005140B4">
            <w:pPr>
              <w:pStyle w:val="OGTableofFigures"/>
              <w:rPr>
                <w:lang w:eastAsia="en-AU"/>
              </w:rPr>
            </w:pPr>
            <w:r w:rsidRPr="00A50320">
              <w:rPr>
                <w:lang w:eastAsia="en-AU"/>
              </w:rPr>
              <w:t>5.8</w:t>
            </w:r>
          </w:p>
        </w:tc>
        <w:tc>
          <w:tcPr>
            <w:tcW w:w="925" w:type="dxa"/>
            <w:gridSpan w:val="2"/>
            <w:tcBorders>
              <w:top w:val="nil"/>
              <w:left w:val="nil"/>
              <w:right w:val="nil"/>
            </w:tcBorders>
            <w:shd w:val="clear" w:color="000000" w:fill="FFFFFF"/>
            <w:hideMark/>
          </w:tcPr>
          <w:p w:rsidR="00A53D7D" w:rsidRDefault="00A53D7D" w:rsidP="005140B4">
            <w:pPr>
              <w:pStyle w:val="OGTableofFigures"/>
              <w:rPr>
                <w:lang w:eastAsia="en-AU"/>
              </w:rPr>
            </w:pPr>
            <w:r w:rsidRPr="00A50320">
              <w:rPr>
                <w:lang w:eastAsia="en-AU"/>
              </w:rPr>
              <w:t>5.8</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Pr="00A42C8E" w:rsidRDefault="00A53D7D" w:rsidP="00A42C8E">
            <w:pPr>
              <w:pStyle w:val="OGNotes"/>
              <w:spacing w:after="40"/>
            </w:pPr>
            <w:r w:rsidRPr="00A42C8E">
              <w:t>The 2014</w:t>
            </w:r>
            <w:r w:rsidRPr="00A42C8E">
              <w:noBreakHyphen/>
              <w:t>15 target has been lowered to the same level as the 2013</w:t>
            </w:r>
            <w:r w:rsidRPr="00A42C8E">
              <w:noBreakHyphen/>
              <w:t>14 expected outcome to reflect improved targeting of public investment to support students to choose training of higher public value.</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ind w:left="142"/>
              <w:rPr>
                <w:lang w:eastAsia="en-AU"/>
              </w:rPr>
            </w:pPr>
            <w:r w:rsidRPr="005C542E">
              <w:rPr>
                <w:lang w:eastAsia="en-AU"/>
              </w:rPr>
              <w:t>Government</w:t>
            </w:r>
            <w:r>
              <w:rPr>
                <w:lang w:eastAsia="en-AU"/>
              </w:rPr>
              <w:noBreakHyphen/>
            </w:r>
            <w:r w:rsidRPr="005C542E">
              <w:rPr>
                <w:lang w:eastAsia="en-AU"/>
              </w:rPr>
              <w:t>funded student contact hours of training and further education provided</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sidRPr="005C542E">
              <w:rPr>
                <w:lang w:eastAsia="en-AU"/>
              </w:rPr>
              <w:t>number (million)</w:t>
            </w:r>
          </w:p>
        </w:tc>
        <w:tc>
          <w:tcPr>
            <w:tcW w:w="909" w:type="dxa"/>
            <w:tcBorders>
              <w:top w:val="single" w:sz="6" w:space="0" w:color="auto"/>
              <w:left w:val="nil"/>
              <w:bottom w:val="nil"/>
              <w:right w:val="nil"/>
            </w:tcBorders>
            <w:shd w:val="clear" w:color="auto" w:fill="D9D9D9"/>
            <w:hideMark/>
          </w:tcPr>
          <w:p w:rsidR="00A53D7D" w:rsidRPr="00E075D1" w:rsidRDefault="00A53D7D" w:rsidP="005140B4">
            <w:pPr>
              <w:pStyle w:val="OGTableofFigures"/>
              <w:rPr>
                <w:lang w:eastAsia="en-AU"/>
              </w:rPr>
            </w:pPr>
            <w:r w:rsidRPr="004431A1">
              <w:t>1</w:t>
            </w:r>
            <w:r>
              <w:t>83</w:t>
            </w:r>
          </w:p>
        </w:tc>
        <w:tc>
          <w:tcPr>
            <w:tcW w:w="993" w:type="dxa"/>
            <w:tcBorders>
              <w:top w:val="single" w:sz="6" w:space="0" w:color="auto"/>
              <w:left w:val="nil"/>
              <w:bottom w:val="nil"/>
              <w:right w:val="nil"/>
            </w:tcBorders>
            <w:shd w:val="clear" w:color="000000" w:fill="FFFFFF"/>
            <w:hideMark/>
          </w:tcPr>
          <w:p w:rsidR="00A53D7D" w:rsidRPr="00E075D1" w:rsidRDefault="00A53D7D" w:rsidP="005140B4">
            <w:pPr>
              <w:pStyle w:val="OGTableofFigures"/>
              <w:rPr>
                <w:lang w:eastAsia="en-AU"/>
              </w:rPr>
            </w:pPr>
            <w:r w:rsidRPr="00AC486F">
              <w:t>183</w:t>
            </w:r>
          </w:p>
        </w:tc>
        <w:tc>
          <w:tcPr>
            <w:tcW w:w="895" w:type="dxa"/>
            <w:tcBorders>
              <w:top w:val="single" w:sz="6" w:space="0" w:color="auto"/>
              <w:left w:val="nil"/>
              <w:bottom w:val="nil"/>
              <w:right w:val="nil"/>
            </w:tcBorders>
            <w:shd w:val="clear" w:color="000000" w:fill="FFFFFF"/>
            <w:hideMark/>
          </w:tcPr>
          <w:p w:rsidR="00A53D7D" w:rsidRPr="00E075D1" w:rsidRDefault="00A53D7D" w:rsidP="005140B4">
            <w:pPr>
              <w:pStyle w:val="OGTableofFigures"/>
              <w:rPr>
                <w:lang w:eastAsia="en-AU"/>
              </w:rPr>
            </w:pPr>
            <w:r w:rsidRPr="00E075D1">
              <w:rPr>
                <w:lang w:eastAsia="en-AU"/>
              </w:rPr>
              <w:t>189</w:t>
            </w:r>
          </w:p>
        </w:tc>
        <w:tc>
          <w:tcPr>
            <w:tcW w:w="925" w:type="dxa"/>
            <w:gridSpan w:val="2"/>
            <w:tcBorders>
              <w:top w:val="single" w:sz="6" w:space="0" w:color="auto"/>
              <w:left w:val="nil"/>
              <w:bottom w:val="nil"/>
              <w:right w:val="nil"/>
            </w:tcBorders>
            <w:shd w:val="clear" w:color="000000" w:fill="FFFFFF"/>
            <w:hideMark/>
          </w:tcPr>
          <w:p w:rsidR="00A53D7D" w:rsidRDefault="00A53D7D" w:rsidP="005140B4">
            <w:pPr>
              <w:pStyle w:val="OGTableofFigures"/>
              <w:rPr>
                <w:lang w:eastAsia="en-AU"/>
              </w:rPr>
            </w:pPr>
            <w:r w:rsidRPr="00E075D1">
              <w:rPr>
                <w:lang w:eastAsia="en-AU"/>
              </w:rPr>
              <w:t>189</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Pr="00A42C8E" w:rsidRDefault="00A53D7D" w:rsidP="00A42C8E">
            <w:pPr>
              <w:pStyle w:val="OGNotes"/>
              <w:spacing w:after="40"/>
            </w:pPr>
            <w:r w:rsidRPr="00A42C8E">
              <w:t>The 2014</w:t>
            </w:r>
            <w:r w:rsidRPr="00A42C8E">
              <w:noBreakHyphen/>
              <w:t>15 Target has been lowered to the same level as the 2013</w:t>
            </w:r>
            <w:r w:rsidRPr="00A42C8E">
              <w:noBreakHyphen/>
              <w:t>14 Expected Outcome to reflect improved targeting of public investment to support students to choose training of higher public value.</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Number of apprenticeship/ traineeship commencements by new employees</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single" w:sz="6" w:space="0" w:color="auto"/>
              <w:left w:val="nil"/>
              <w:right w:val="nil"/>
            </w:tcBorders>
            <w:shd w:val="clear" w:color="auto" w:fill="D9D9D9"/>
            <w:hideMark/>
          </w:tcPr>
          <w:p w:rsidR="00A53D7D" w:rsidRPr="00101CF2" w:rsidRDefault="00A53D7D" w:rsidP="005140B4">
            <w:pPr>
              <w:pStyle w:val="OGTableofFigures"/>
              <w:rPr>
                <w:lang w:eastAsia="en-AU"/>
              </w:rPr>
            </w:pPr>
            <w:r w:rsidRPr="00546D17">
              <w:t>40</w:t>
            </w:r>
            <w:r>
              <w:t> </w:t>
            </w:r>
            <w:r w:rsidRPr="00546D17">
              <w:t>000</w:t>
            </w:r>
          </w:p>
        </w:tc>
        <w:tc>
          <w:tcPr>
            <w:tcW w:w="993" w:type="dxa"/>
            <w:tcBorders>
              <w:top w:val="single" w:sz="6" w:space="0" w:color="auto"/>
              <w:left w:val="nil"/>
              <w:right w:val="nil"/>
            </w:tcBorders>
            <w:shd w:val="clear" w:color="000000" w:fill="FFFFFF"/>
            <w:hideMark/>
          </w:tcPr>
          <w:p w:rsidR="00A53D7D" w:rsidRPr="00101CF2" w:rsidRDefault="00A53D7D" w:rsidP="005140B4">
            <w:pPr>
              <w:pStyle w:val="OGTableofFigures"/>
              <w:rPr>
                <w:lang w:eastAsia="en-AU"/>
              </w:rPr>
            </w:pPr>
            <w:r w:rsidRPr="00546D17">
              <w:t>40</w:t>
            </w:r>
            <w:r>
              <w:t> </w:t>
            </w:r>
            <w:r w:rsidRPr="00546D17">
              <w:t>000</w:t>
            </w:r>
          </w:p>
        </w:tc>
        <w:tc>
          <w:tcPr>
            <w:tcW w:w="895" w:type="dxa"/>
            <w:tcBorders>
              <w:top w:val="single" w:sz="6" w:space="0" w:color="auto"/>
              <w:left w:val="nil"/>
              <w:right w:val="nil"/>
            </w:tcBorders>
            <w:shd w:val="clear" w:color="000000" w:fill="FFFFFF"/>
            <w:hideMark/>
          </w:tcPr>
          <w:p w:rsidR="00A53D7D" w:rsidRPr="00101CF2" w:rsidRDefault="00A53D7D" w:rsidP="005140B4">
            <w:pPr>
              <w:pStyle w:val="OGTableofFigures"/>
              <w:rPr>
                <w:lang w:eastAsia="en-AU"/>
              </w:rPr>
            </w:pPr>
            <w:r w:rsidRPr="00101CF2">
              <w:rPr>
                <w:lang w:eastAsia="en-AU"/>
              </w:rPr>
              <w:t>51</w:t>
            </w:r>
            <w:r>
              <w:rPr>
                <w:lang w:eastAsia="en-AU"/>
              </w:rPr>
              <w:t> </w:t>
            </w:r>
            <w:r w:rsidRPr="00101CF2">
              <w:rPr>
                <w:lang w:eastAsia="en-AU"/>
              </w:rPr>
              <w:t>000</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101CF2">
              <w:rPr>
                <w:lang w:eastAsia="en-AU"/>
              </w:rPr>
              <w:t>44</w:t>
            </w:r>
            <w:r>
              <w:rPr>
                <w:lang w:eastAsia="en-AU"/>
              </w:rPr>
              <w:t> </w:t>
            </w:r>
            <w:r w:rsidRPr="00101CF2">
              <w:rPr>
                <w:lang w:eastAsia="en-AU"/>
              </w:rPr>
              <w:t>043</w:t>
            </w:r>
          </w:p>
        </w:tc>
      </w:tr>
      <w:tr w:rsidR="00A53D7D" w:rsidRPr="005C542E" w:rsidTr="005140B4">
        <w:trPr>
          <w:cantSplit/>
        </w:trPr>
        <w:tc>
          <w:tcPr>
            <w:tcW w:w="7782" w:type="dxa"/>
            <w:gridSpan w:val="8"/>
            <w:tcBorders>
              <w:left w:val="nil"/>
              <w:bottom w:val="single" w:sz="6" w:space="0" w:color="auto"/>
              <w:right w:val="nil"/>
            </w:tcBorders>
            <w:shd w:val="clear" w:color="000000" w:fill="FFFFFF"/>
          </w:tcPr>
          <w:p w:rsidR="00A53D7D" w:rsidRDefault="00A53D7D" w:rsidP="005140B4">
            <w:pPr>
              <w:pStyle w:val="OGNotes"/>
              <w:spacing w:after="0"/>
            </w:pPr>
            <w:r w:rsidRPr="00C3038F">
              <w:t>The lower 2013</w:t>
            </w:r>
            <w:r>
              <w:noBreakHyphen/>
            </w:r>
            <w:r w:rsidRPr="00C3038F">
              <w:t xml:space="preserve">14 </w:t>
            </w:r>
            <w:r>
              <w:t>Expected Outcome</w:t>
            </w:r>
            <w:r w:rsidRPr="00C3038F">
              <w:t xml:space="preserve"> reflects lower than anticipated commencements due to subdued business conditions in the construction sector, changes to Commonwealth subsidy arrangements and changes to Victorian subsidy arrangements for traineeship courses that were of lower public value. </w:t>
            </w:r>
          </w:p>
          <w:p w:rsidR="00A53D7D" w:rsidRPr="00A42C8E" w:rsidRDefault="00A53D7D" w:rsidP="00A42C8E">
            <w:pPr>
              <w:pStyle w:val="OGNotes"/>
              <w:spacing w:after="40"/>
            </w:pPr>
            <w:r w:rsidRPr="00A42C8E">
              <w:t>The 2014</w:t>
            </w:r>
            <w:r w:rsidRPr="00A42C8E">
              <w:noBreakHyphen/>
              <w:t>15 target has been lowered to reflect these factors.</w:t>
            </w:r>
          </w:p>
        </w:tc>
      </w:tr>
      <w:tr w:rsidR="00A53D7D" w:rsidRPr="005C542E" w:rsidTr="005140B4">
        <w:trPr>
          <w:cantSplit/>
        </w:trPr>
        <w:tc>
          <w:tcPr>
            <w:tcW w:w="3108" w:type="dxa"/>
            <w:tcBorders>
              <w:top w:val="single" w:sz="6" w:space="0" w:color="auto"/>
              <w:left w:val="nil"/>
              <w:bottom w:val="single" w:sz="6" w:space="0" w:color="auto"/>
              <w:right w:val="nil"/>
            </w:tcBorders>
            <w:shd w:val="clear" w:color="000000" w:fill="FFFFFF"/>
            <w:hideMark/>
          </w:tcPr>
          <w:p w:rsidR="00A53D7D" w:rsidRPr="005C542E" w:rsidRDefault="00A53D7D" w:rsidP="005140B4">
            <w:pPr>
              <w:pStyle w:val="OGTabText"/>
              <w:rPr>
                <w:lang w:eastAsia="en-AU"/>
              </w:rPr>
            </w:pPr>
            <w:r w:rsidRPr="005C542E">
              <w:rPr>
                <w:lang w:eastAsia="en-AU"/>
              </w:rPr>
              <w:t xml:space="preserve">Number of apprenticeships/ trainees who </w:t>
            </w:r>
            <w:r>
              <w:rPr>
                <w:lang w:eastAsia="en-AU"/>
              </w:rPr>
              <w:t>qualify for the completion bonus</w:t>
            </w:r>
          </w:p>
        </w:tc>
        <w:tc>
          <w:tcPr>
            <w:tcW w:w="952" w:type="dxa"/>
            <w:gridSpan w:val="2"/>
            <w:tcBorders>
              <w:top w:val="single" w:sz="6" w:space="0" w:color="auto"/>
              <w:left w:val="nil"/>
              <w:bottom w:val="single" w:sz="6" w:space="0" w:color="auto"/>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single" w:sz="6" w:space="0" w:color="auto"/>
              <w:left w:val="nil"/>
              <w:bottom w:val="single" w:sz="6" w:space="0" w:color="auto"/>
              <w:right w:val="nil"/>
            </w:tcBorders>
            <w:shd w:val="clear" w:color="auto" w:fill="D9D9D9"/>
            <w:hideMark/>
          </w:tcPr>
          <w:p w:rsidR="00A53D7D" w:rsidRPr="00EF02BD" w:rsidRDefault="00A53D7D" w:rsidP="005140B4">
            <w:pPr>
              <w:pStyle w:val="OGTableofFigures"/>
              <w:rPr>
                <w:lang w:eastAsia="en-AU"/>
              </w:rPr>
            </w:pPr>
            <w:r w:rsidRPr="00EF02BD">
              <w:rPr>
                <w:lang w:eastAsia="en-AU"/>
              </w:rPr>
              <w:t>7</w:t>
            </w:r>
            <w:r>
              <w:rPr>
                <w:lang w:eastAsia="en-AU"/>
              </w:rPr>
              <w:t> </w:t>
            </w:r>
            <w:r w:rsidRPr="00EF02BD">
              <w:rPr>
                <w:lang w:eastAsia="en-AU"/>
              </w:rPr>
              <w:t>000</w:t>
            </w:r>
          </w:p>
        </w:tc>
        <w:tc>
          <w:tcPr>
            <w:tcW w:w="993" w:type="dxa"/>
            <w:tcBorders>
              <w:top w:val="single" w:sz="6" w:space="0" w:color="auto"/>
              <w:left w:val="nil"/>
              <w:bottom w:val="single" w:sz="6" w:space="0" w:color="auto"/>
              <w:right w:val="nil"/>
            </w:tcBorders>
            <w:shd w:val="clear" w:color="000000" w:fill="FFFFFF"/>
            <w:hideMark/>
          </w:tcPr>
          <w:p w:rsidR="00A53D7D" w:rsidRPr="00EF02BD" w:rsidRDefault="00A53D7D" w:rsidP="005140B4">
            <w:pPr>
              <w:pStyle w:val="OGTableofFigures"/>
              <w:rPr>
                <w:lang w:eastAsia="en-AU"/>
              </w:rPr>
            </w:pPr>
            <w:r w:rsidRPr="00EF02BD">
              <w:rPr>
                <w:lang w:eastAsia="en-AU"/>
              </w:rPr>
              <w:t>7</w:t>
            </w:r>
            <w:r>
              <w:rPr>
                <w:lang w:eastAsia="en-AU"/>
              </w:rPr>
              <w:t> </w:t>
            </w:r>
            <w:r w:rsidRPr="00EF02BD">
              <w:rPr>
                <w:lang w:eastAsia="en-AU"/>
              </w:rPr>
              <w:t>000</w:t>
            </w:r>
          </w:p>
        </w:tc>
        <w:tc>
          <w:tcPr>
            <w:tcW w:w="895" w:type="dxa"/>
            <w:tcBorders>
              <w:top w:val="single" w:sz="6" w:space="0" w:color="auto"/>
              <w:left w:val="nil"/>
              <w:bottom w:val="single" w:sz="6" w:space="0" w:color="auto"/>
              <w:right w:val="nil"/>
            </w:tcBorders>
            <w:shd w:val="clear" w:color="000000" w:fill="FFFFFF"/>
            <w:hideMark/>
          </w:tcPr>
          <w:p w:rsidR="00A53D7D" w:rsidRPr="00EF02BD" w:rsidRDefault="00A53D7D" w:rsidP="005140B4">
            <w:pPr>
              <w:pStyle w:val="OGTableofFigures"/>
              <w:rPr>
                <w:lang w:eastAsia="en-AU"/>
              </w:rPr>
            </w:pPr>
            <w:r w:rsidRPr="00EF02BD">
              <w:rPr>
                <w:lang w:eastAsia="en-AU"/>
              </w:rPr>
              <w:t>7</w:t>
            </w:r>
            <w:r>
              <w:rPr>
                <w:lang w:eastAsia="en-AU"/>
              </w:rPr>
              <w:t> </w:t>
            </w:r>
            <w:r w:rsidRPr="00EF02BD">
              <w:rPr>
                <w:lang w:eastAsia="en-AU"/>
              </w:rPr>
              <w:t>000</w:t>
            </w:r>
          </w:p>
        </w:tc>
        <w:tc>
          <w:tcPr>
            <w:tcW w:w="925" w:type="dxa"/>
            <w:gridSpan w:val="2"/>
            <w:tcBorders>
              <w:top w:val="single" w:sz="6" w:space="0" w:color="auto"/>
              <w:left w:val="nil"/>
              <w:bottom w:val="single" w:sz="6" w:space="0" w:color="auto"/>
              <w:right w:val="nil"/>
            </w:tcBorders>
            <w:shd w:val="clear" w:color="000000" w:fill="FFFFFF"/>
            <w:hideMark/>
          </w:tcPr>
          <w:p w:rsidR="00A53D7D" w:rsidRDefault="00A53D7D" w:rsidP="005140B4">
            <w:pPr>
              <w:pStyle w:val="OGTableofFigures"/>
              <w:rPr>
                <w:lang w:eastAsia="en-AU"/>
              </w:rPr>
            </w:pPr>
            <w:r w:rsidRPr="00EF02BD">
              <w:rPr>
                <w:lang w:eastAsia="en-AU"/>
              </w:rPr>
              <w:t>9</w:t>
            </w:r>
            <w:r>
              <w:rPr>
                <w:lang w:eastAsia="en-AU"/>
              </w:rPr>
              <w:t> </w:t>
            </w:r>
            <w:r w:rsidRPr="00EF02BD">
              <w:rPr>
                <w:lang w:eastAsia="en-AU"/>
              </w:rPr>
              <w:t>055</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keepNext/>
              <w:rPr>
                <w:lang w:eastAsia="en-AU"/>
              </w:rPr>
            </w:pPr>
            <w:r w:rsidRPr="005C542E">
              <w:rPr>
                <w:lang w:eastAsia="en-AU"/>
              </w:rPr>
              <w:t>Number of government</w:t>
            </w:r>
            <w:r>
              <w:rPr>
                <w:lang w:eastAsia="en-AU"/>
              </w:rPr>
              <w:noBreakHyphen/>
            </w:r>
            <w:r w:rsidRPr="005C542E">
              <w:rPr>
                <w:lang w:eastAsia="en-AU"/>
              </w:rPr>
              <w:t xml:space="preserve">funded course enrolments in qualifications at </w:t>
            </w:r>
            <w:r>
              <w:rPr>
                <w:lang w:eastAsia="en-AU"/>
              </w:rPr>
              <w:t>D</w:t>
            </w:r>
            <w:r w:rsidRPr="005C542E">
              <w:rPr>
                <w:lang w:eastAsia="en-AU"/>
              </w:rPr>
              <w:t>iploma level or above</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keepNext/>
              <w:rPr>
                <w:lang w:eastAsia="en-AU"/>
              </w:rPr>
            </w:pPr>
            <w:r w:rsidRPr="005C542E">
              <w:rPr>
                <w:lang w:eastAsia="en-AU"/>
              </w:rPr>
              <w:t>number</w:t>
            </w:r>
          </w:p>
        </w:tc>
        <w:tc>
          <w:tcPr>
            <w:tcW w:w="909" w:type="dxa"/>
            <w:tcBorders>
              <w:top w:val="single" w:sz="6" w:space="0" w:color="auto"/>
              <w:left w:val="nil"/>
              <w:right w:val="nil"/>
            </w:tcBorders>
            <w:shd w:val="clear" w:color="auto" w:fill="D9D9D9"/>
            <w:hideMark/>
          </w:tcPr>
          <w:p w:rsidR="00A53D7D" w:rsidRPr="00E57769" w:rsidRDefault="00A53D7D" w:rsidP="005140B4">
            <w:pPr>
              <w:pStyle w:val="OGTableofFigures"/>
              <w:keepNext/>
              <w:rPr>
                <w:lang w:eastAsia="en-AU"/>
              </w:rPr>
            </w:pPr>
            <w:r w:rsidRPr="00C3038F">
              <w:t>63</w:t>
            </w:r>
            <w:r>
              <w:t> </w:t>
            </w:r>
            <w:r w:rsidRPr="00C3038F">
              <w:t>400</w:t>
            </w:r>
          </w:p>
        </w:tc>
        <w:tc>
          <w:tcPr>
            <w:tcW w:w="993" w:type="dxa"/>
            <w:tcBorders>
              <w:top w:val="single" w:sz="6" w:space="0" w:color="auto"/>
              <w:left w:val="nil"/>
              <w:right w:val="nil"/>
            </w:tcBorders>
            <w:shd w:val="clear" w:color="000000" w:fill="FFFFFF"/>
            <w:hideMark/>
          </w:tcPr>
          <w:p w:rsidR="00A53D7D" w:rsidRPr="00E57769" w:rsidRDefault="00A53D7D" w:rsidP="005140B4">
            <w:pPr>
              <w:pStyle w:val="OGTableofFigures"/>
              <w:keepNext/>
              <w:rPr>
                <w:lang w:eastAsia="en-AU"/>
              </w:rPr>
            </w:pPr>
            <w:r w:rsidRPr="00A91689">
              <w:t>68</w:t>
            </w:r>
            <w:r>
              <w:t> </w:t>
            </w:r>
            <w:r w:rsidRPr="00A91689">
              <w:t>000</w:t>
            </w:r>
          </w:p>
        </w:tc>
        <w:tc>
          <w:tcPr>
            <w:tcW w:w="895" w:type="dxa"/>
            <w:tcBorders>
              <w:top w:val="single" w:sz="6" w:space="0" w:color="auto"/>
              <w:left w:val="nil"/>
              <w:right w:val="nil"/>
            </w:tcBorders>
            <w:shd w:val="clear" w:color="000000" w:fill="FFFFFF"/>
            <w:hideMark/>
          </w:tcPr>
          <w:p w:rsidR="00A53D7D" w:rsidRPr="00E57769" w:rsidRDefault="00A53D7D" w:rsidP="005140B4">
            <w:pPr>
              <w:pStyle w:val="OGTableofFigures"/>
              <w:keepNext/>
              <w:rPr>
                <w:lang w:eastAsia="en-AU"/>
              </w:rPr>
            </w:pPr>
            <w:r w:rsidRPr="00E57769">
              <w:rPr>
                <w:lang w:eastAsia="en-AU"/>
              </w:rPr>
              <w:t>94</w:t>
            </w:r>
            <w:r>
              <w:rPr>
                <w:lang w:eastAsia="en-AU"/>
              </w:rPr>
              <w:t> </w:t>
            </w:r>
            <w:r w:rsidRPr="00E57769">
              <w:rPr>
                <w:lang w:eastAsia="en-AU"/>
              </w:rPr>
              <w:t>000</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keepNext/>
              <w:rPr>
                <w:lang w:eastAsia="en-AU"/>
              </w:rPr>
            </w:pPr>
            <w:r w:rsidRPr="00E57769">
              <w:rPr>
                <w:lang w:eastAsia="en-AU"/>
              </w:rPr>
              <w:t>94</w:t>
            </w:r>
            <w:r>
              <w:rPr>
                <w:lang w:eastAsia="en-AU"/>
              </w:rPr>
              <w:t> </w:t>
            </w:r>
            <w:r w:rsidRPr="00E57769">
              <w:rPr>
                <w:lang w:eastAsia="en-AU"/>
              </w:rPr>
              <w:t>428</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t>The 2013</w:t>
            </w:r>
            <w:r>
              <w:noBreakHyphen/>
              <w:t>14 Expected Outcome is lower than the 2013</w:t>
            </w:r>
            <w:r>
              <w:noBreakHyphen/>
              <w:t>14 target because the target was based on 2012</w:t>
            </w:r>
            <w:r>
              <w:noBreakHyphen/>
              <w:t>13 performance data which did not include variations in demand following the implementation of the demand</w:t>
            </w:r>
            <w:r>
              <w:noBreakHyphen/>
              <w:t>driven system. The Federal Government introduced a demand driven system for public universities in 2012. This policy change uncapped the number of undergraduate Commonwealth</w:t>
            </w:r>
            <w:r>
              <w:noBreakHyphen/>
              <w:t>supported places able to be offered by public universities. As a result students have been provided with greater choice between a vocational education and training course (VET</w:t>
            </w:r>
            <w:proofErr w:type="gramStart"/>
            <w:r>
              <w:t>)  or</w:t>
            </w:r>
            <w:proofErr w:type="gramEnd"/>
            <w:r>
              <w:t xml:space="preserve"> a higher education course. As students have exercised their choice there has been an increase in enrolments in Bachelor courses and a decrease in enrolments in VET Diploma courses. </w:t>
            </w:r>
          </w:p>
          <w:p w:rsidR="00A53D7D" w:rsidRPr="00A42C8E" w:rsidRDefault="00A53D7D" w:rsidP="00A42C8E">
            <w:pPr>
              <w:pStyle w:val="OGNotes"/>
              <w:spacing w:after="40"/>
            </w:pPr>
            <w:r w:rsidRPr="00A42C8E">
              <w:t>Accordingly, the 2014</w:t>
            </w:r>
            <w:r w:rsidRPr="00A42C8E">
              <w:noBreakHyphen/>
              <w:t>15 Target has been lowered.</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4B2922" w:rsidRDefault="00A53D7D" w:rsidP="005140B4">
            <w:pPr>
              <w:pStyle w:val="OGTabText"/>
              <w:rPr>
                <w:lang w:eastAsia="en-AU"/>
              </w:rPr>
            </w:pPr>
            <w:r w:rsidRPr="004B2922">
              <w:rPr>
                <w:lang w:eastAsia="en-AU"/>
              </w:rPr>
              <w:t>Number of pre</w:t>
            </w:r>
            <w:r>
              <w:rPr>
                <w:lang w:eastAsia="en-AU"/>
              </w:rPr>
              <w:noBreakHyphen/>
            </w:r>
            <w:r w:rsidRPr="004B2922">
              <w:rPr>
                <w:lang w:eastAsia="en-AU"/>
              </w:rPr>
              <w:t>accredited module enrolments government</w:t>
            </w:r>
            <w:r>
              <w:rPr>
                <w:lang w:eastAsia="en-AU"/>
              </w:rPr>
              <w:noBreakHyphen/>
            </w:r>
            <w:r w:rsidRPr="004B2922">
              <w:rPr>
                <w:lang w:eastAsia="en-AU"/>
              </w:rPr>
              <w:t xml:space="preserve">funded through the Adult Community and Further Education (ACFE) Board – Adult Community Education organisations and </w:t>
            </w:r>
            <w:r>
              <w:rPr>
                <w:lang w:eastAsia="en-AU"/>
              </w:rPr>
              <w:t>Adult Education Institutes</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single" w:sz="6" w:space="0" w:color="auto"/>
              <w:left w:val="nil"/>
              <w:bottom w:val="nil"/>
              <w:right w:val="nil"/>
            </w:tcBorders>
            <w:shd w:val="clear" w:color="auto" w:fill="D9D9D9"/>
            <w:hideMark/>
          </w:tcPr>
          <w:p w:rsidR="00A53D7D" w:rsidRPr="005C2379" w:rsidRDefault="00A53D7D" w:rsidP="005140B4">
            <w:pPr>
              <w:pStyle w:val="OGTableofFigures"/>
              <w:rPr>
                <w:lang w:eastAsia="en-AU"/>
              </w:rPr>
            </w:pPr>
            <w:r w:rsidRPr="00217E80">
              <w:t>42</w:t>
            </w:r>
            <w:r>
              <w:rPr>
                <w:lang w:eastAsia="en-AU"/>
              </w:rPr>
              <w:t> </w:t>
            </w:r>
            <w:r w:rsidRPr="00217E80">
              <w:t>000</w:t>
            </w:r>
          </w:p>
        </w:tc>
        <w:tc>
          <w:tcPr>
            <w:tcW w:w="993" w:type="dxa"/>
            <w:tcBorders>
              <w:top w:val="single" w:sz="6" w:space="0" w:color="auto"/>
              <w:left w:val="nil"/>
              <w:bottom w:val="nil"/>
              <w:right w:val="nil"/>
            </w:tcBorders>
            <w:shd w:val="clear" w:color="000000" w:fill="FFFFFF"/>
            <w:hideMark/>
          </w:tcPr>
          <w:p w:rsidR="00A53D7D" w:rsidRPr="005C2379" w:rsidRDefault="00A53D7D" w:rsidP="005140B4">
            <w:pPr>
              <w:pStyle w:val="OGTableofFigures"/>
              <w:rPr>
                <w:lang w:eastAsia="en-AU"/>
              </w:rPr>
            </w:pPr>
            <w:r w:rsidRPr="00217E80">
              <w:t>45</w:t>
            </w:r>
            <w:r>
              <w:rPr>
                <w:lang w:eastAsia="en-AU"/>
              </w:rPr>
              <w:t> </w:t>
            </w:r>
            <w:r w:rsidRPr="00217E80">
              <w:t>256</w:t>
            </w:r>
          </w:p>
        </w:tc>
        <w:tc>
          <w:tcPr>
            <w:tcW w:w="895" w:type="dxa"/>
            <w:tcBorders>
              <w:top w:val="single" w:sz="6" w:space="0" w:color="auto"/>
              <w:left w:val="nil"/>
              <w:bottom w:val="nil"/>
              <w:right w:val="nil"/>
            </w:tcBorders>
            <w:shd w:val="clear" w:color="000000" w:fill="FFFFFF"/>
            <w:hideMark/>
          </w:tcPr>
          <w:p w:rsidR="00A53D7D" w:rsidRPr="005C2379" w:rsidRDefault="00A53D7D" w:rsidP="005140B4">
            <w:pPr>
              <w:pStyle w:val="OGTableofFigures"/>
              <w:rPr>
                <w:lang w:eastAsia="en-AU"/>
              </w:rPr>
            </w:pPr>
            <w:r w:rsidRPr="005C2379">
              <w:rPr>
                <w:lang w:eastAsia="en-AU"/>
              </w:rPr>
              <w:t>33</w:t>
            </w:r>
            <w:r>
              <w:rPr>
                <w:lang w:eastAsia="en-AU"/>
              </w:rPr>
              <w:t> </w:t>
            </w:r>
            <w:r w:rsidRPr="005C2379">
              <w:rPr>
                <w:lang w:eastAsia="en-AU"/>
              </w:rPr>
              <w:t>000</w:t>
            </w:r>
          </w:p>
        </w:tc>
        <w:tc>
          <w:tcPr>
            <w:tcW w:w="925" w:type="dxa"/>
            <w:gridSpan w:val="2"/>
            <w:tcBorders>
              <w:top w:val="single" w:sz="6" w:space="0" w:color="auto"/>
              <w:left w:val="nil"/>
              <w:bottom w:val="nil"/>
              <w:right w:val="nil"/>
            </w:tcBorders>
            <w:shd w:val="clear" w:color="000000" w:fill="FFFFFF"/>
            <w:hideMark/>
          </w:tcPr>
          <w:p w:rsidR="00A53D7D" w:rsidRDefault="00A53D7D" w:rsidP="005140B4">
            <w:pPr>
              <w:pStyle w:val="OGTableofFigures"/>
              <w:rPr>
                <w:lang w:eastAsia="en-AU"/>
              </w:rPr>
            </w:pPr>
            <w:r w:rsidRPr="005C2379">
              <w:rPr>
                <w:lang w:eastAsia="en-AU"/>
              </w:rPr>
              <w:t>36</w:t>
            </w:r>
            <w:r>
              <w:rPr>
                <w:lang w:eastAsia="en-AU"/>
              </w:rPr>
              <w:t> </w:t>
            </w:r>
            <w:r w:rsidRPr="005C2379">
              <w:rPr>
                <w:lang w:eastAsia="en-AU"/>
              </w:rPr>
              <w:t>618</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Default="00A53D7D" w:rsidP="005140B4">
            <w:pPr>
              <w:pStyle w:val="OGNotes"/>
              <w:spacing w:after="0"/>
            </w:pPr>
            <w:r>
              <w:t>This performance measure relates to the calendar year.</w:t>
            </w:r>
          </w:p>
          <w:p w:rsidR="00A53D7D" w:rsidRDefault="00A53D7D" w:rsidP="005140B4">
            <w:pPr>
              <w:pStyle w:val="OGNotes"/>
              <w:spacing w:after="0"/>
            </w:pPr>
            <w:r w:rsidRPr="00C3038F">
              <w:t>The 2013</w:t>
            </w:r>
            <w:r>
              <w:noBreakHyphen/>
            </w:r>
            <w:r w:rsidRPr="00C3038F">
              <w:t xml:space="preserve">14 </w:t>
            </w:r>
            <w:r>
              <w:t>Expected Outcome</w:t>
            </w:r>
            <w:r w:rsidRPr="00C3038F">
              <w:t xml:space="preserve"> is higher than the 2013</w:t>
            </w:r>
            <w:r>
              <w:noBreakHyphen/>
            </w:r>
            <w:r w:rsidRPr="00C3038F">
              <w:t xml:space="preserve">14 </w:t>
            </w:r>
            <w:r>
              <w:t>Target</w:t>
            </w:r>
            <w:r w:rsidRPr="00C3038F">
              <w:t xml:space="preserve"> due to additional funds allocated to pre</w:t>
            </w:r>
            <w:r>
              <w:noBreakHyphen/>
            </w:r>
            <w:r w:rsidRPr="00C3038F">
              <w:t>accredited training in the period and delivery of shorter courses to better reflect the intent of pre</w:t>
            </w:r>
            <w:r>
              <w:noBreakHyphen/>
            </w:r>
            <w:r w:rsidRPr="00C3038F">
              <w:t>accredited delivery</w:t>
            </w:r>
            <w:r>
              <w:t>.</w:t>
            </w:r>
          </w:p>
          <w:p w:rsidR="00A53D7D" w:rsidRPr="004B2922" w:rsidRDefault="00A53D7D" w:rsidP="005140B4">
            <w:pPr>
              <w:pStyle w:val="OGNotes"/>
            </w:pPr>
            <w:r w:rsidRPr="00C90A05">
              <w:t>The 2014</w:t>
            </w:r>
            <w:r>
              <w:noBreakHyphen/>
            </w:r>
            <w:r w:rsidRPr="00C90A05">
              <w:t xml:space="preserve">15 </w:t>
            </w:r>
            <w:r>
              <w:t>Target</w:t>
            </w:r>
            <w:r w:rsidRPr="00C90A05">
              <w:t xml:space="preserve"> has been raised to reflect current investment supporting delivery of pre</w:t>
            </w:r>
            <w:r>
              <w:noBreakHyphen/>
            </w:r>
            <w:r w:rsidRPr="00C90A05">
              <w:t>accredited training.</w:t>
            </w:r>
          </w:p>
        </w:tc>
      </w:tr>
      <w:tr w:rsidR="00A53D7D" w:rsidRPr="005C542E" w:rsidTr="005140B4">
        <w:trPr>
          <w:cantSplit/>
        </w:trPr>
        <w:tc>
          <w:tcPr>
            <w:tcW w:w="3108" w:type="dxa"/>
            <w:tcBorders>
              <w:top w:val="single" w:sz="6" w:space="0" w:color="auto"/>
              <w:left w:val="nil"/>
              <w:right w:val="nil"/>
            </w:tcBorders>
            <w:shd w:val="clear" w:color="auto" w:fill="auto"/>
          </w:tcPr>
          <w:p w:rsidR="00A53D7D" w:rsidRPr="005C542E" w:rsidRDefault="00A53D7D" w:rsidP="005140B4">
            <w:pPr>
              <w:pStyle w:val="OGTabText"/>
              <w:rPr>
                <w:lang w:eastAsia="en-AU"/>
              </w:rPr>
            </w:pPr>
            <w:r w:rsidRPr="005C542E">
              <w:rPr>
                <w:lang w:eastAsia="en-AU"/>
              </w:rPr>
              <w:t>Participation rate of 15</w:t>
            </w:r>
            <w:r>
              <w:rPr>
                <w:lang w:eastAsia="en-AU"/>
              </w:rPr>
              <w:t>–</w:t>
            </w:r>
            <w:r w:rsidRPr="005C542E">
              <w:rPr>
                <w:lang w:eastAsia="en-AU"/>
              </w:rPr>
              <w:t>24 year olds in training and further education in Victoria</w:t>
            </w:r>
          </w:p>
        </w:tc>
        <w:tc>
          <w:tcPr>
            <w:tcW w:w="952" w:type="dxa"/>
            <w:gridSpan w:val="2"/>
            <w:tcBorders>
              <w:top w:val="single" w:sz="6" w:space="0" w:color="auto"/>
              <w:left w:val="nil"/>
              <w:right w:val="nil"/>
            </w:tcBorders>
            <w:shd w:val="clear" w:color="auto" w:fill="auto"/>
            <w:noWrap/>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noWrap/>
          </w:tcPr>
          <w:p w:rsidR="00A53D7D" w:rsidRPr="003B0258" w:rsidRDefault="00A53D7D" w:rsidP="005140B4">
            <w:pPr>
              <w:pStyle w:val="OGTableofFigures"/>
              <w:rPr>
                <w:lang w:eastAsia="en-AU"/>
              </w:rPr>
            </w:pPr>
            <w:r>
              <w:t>33.2</w:t>
            </w:r>
          </w:p>
        </w:tc>
        <w:tc>
          <w:tcPr>
            <w:tcW w:w="993" w:type="dxa"/>
            <w:tcBorders>
              <w:top w:val="single" w:sz="6" w:space="0" w:color="auto"/>
              <w:left w:val="nil"/>
              <w:right w:val="nil"/>
            </w:tcBorders>
            <w:shd w:val="clear" w:color="auto" w:fill="auto"/>
            <w:noWrap/>
          </w:tcPr>
          <w:p w:rsidR="00A53D7D" w:rsidRPr="003B0258" w:rsidRDefault="00A53D7D" w:rsidP="005140B4">
            <w:pPr>
              <w:pStyle w:val="OGTableofFigures"/>
              <w:rPr>
                <w:lang w:eastAsia="en-AU"/>
              </w:rPr>
            </w:pPr>
            <w:r w:rsidRPr="00DA31F1">
              <w:t>33.2</w:t>
            </w:r>
          </w:p>
        </w:tc>
        <w:tc>
          <w:tcPr>
            <w:tcW w:w="895" w:type="dxa"/>
            <w:tcBorders>
              <w:top w:val="single" w:sz="6" w:space="0" w:color="auto"/>
              <w:left w:val="nil"/>
              <w:right w:val="nil"/>
            </w:tcBorders>
            <w:shd w:val="clear" w:color="auto" w:fill="auto"/>
            <w:noWrap/>
          </w:tcPr>
          <w:p w:rsidR="00A53D7D" w:rsidRPr="003B0258" w:rsidRDefault="00A53D7D" w:rsidP="005140B4">
            <w:pPr>
              <w:pStyle w:val="OGTableofFigures"/>
              <w:rPr>
                <w:lang w:eastAsia="en-AU"/>
              </w:rPr>
            </w:pPr>
            <w:r w:rsidRPr="003B0258">
              <w:rPr>
                <w:lang w:eastAsia="en-AU"/>
              </w:rPr>
              <w:t>36.6</w:t>
            </w:r>
          </w:p>
        </w:tc>
        <w:tc>
          <w:tcPr>
            <w:tcW w:w="925" w:type="dxa"/>
            <w:gridSpan w:val="2"/>
            <w:tcBorders>
              <w:top w:val="single" w:sz="6" w:space="0" w:color="auto"/>
              <w:left w:val="nil"/>
              <w:right w:val="nil"/>
            </w:tcBorders>
            <w:shd w:val="clear" w:color="auto" w:fill="auto"/>
            <w:noWrap/>
          </w:tcPr>
          <w:p w:rsidR="00A53D7D" w:rsidRDefault="00A53D7D" w:rsidP="005140B4">
            <w:pPr>
              <w:pStyle w:val="OGTableofFigures"/>
              <w:rPr>
                <w:lang w:eastAsia="en-AU"/>
              </w:rPr>
            </w:pPr>
            <w:r w:rsidRPr="003B0258">
              <w:rPr>
                <w:lang w:eastAsia="en-AU"/>
              </w:rPr>
              <w:t>36.6</w:t>
            </w:r>
          </w:p>
        </w:tc>
      </w:tr>
      <w:tr w:rsidR="00A53D7D" w:rsidRPr="005C542E" w:rsidTr="005140B4">
        <w:trPr>
          <w:cantSplit/>
        </w:trPr>
        <w:tc>
          <w:tcPr>
            <w:tcW w:w="7782" w:type="dxa"/>
            <w:gridSpan w:val="8"/>
            <w:tcBorders>
              <w:left w:val="nil"/>
              <w:bottom w:val="single" w:sz="6" w:space="0" w:color="auto"/>
              <w:right w:val="nil"/>
            </w:tcBorders>
            <w:shd w:val="clear" w:color="auto" w:fill="auto"/>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3776EF">
              <w:t>The 2013</w:t>
            </w:r>
            <w:r>
              <w:noBreakHyphen/>
            </w:r>
            <w:r w:rsidRPr="003776EF">
              <w:t xml:space="preserve">14 </w:t>
            </w:r>
            <w:r>
              <w:t>Expected Outcome</w:t>
            </w:r>
            <w:r w:rsidRPr="003776EF">
              <w:t xml:space="preserve"> is lower than the 2013</w:t>
            </w:r>
            <w:r>
              <w:noBreakHyphen/>
            </w:r>
            <w:r w:rsidRPr="003776EF">
              <w:t xml:space="preserve">14 </w:t>
            </w:r>
            <w:r>
              <w:t>Target</w:t>
            </w:r>
            <w:r w:rsidRPr="003776EF">
              <w:t xml:space="preserve"> because the </w:t>
            </w:r>
            <w:r>
              <w:t>target</w:t>
            </w:r>
            <w:r w:rsidRPr="003776EF">
              <w:t xml:space="preserve"> was based on 2012</w:t>
            </w:r>
            <w:r>
              <w:noBreakHyphen/>
            </w:r>
            <w:r w:rsidRPr="003776EF">
              <w:t>13 delivery. The significant growth in government subsidised training activity up to 2012</w:t>
            </w:r>
            <w:r>
              <w:noBreakHyphen/>
            </w:r>
            <w:r w:rsidRPr="003776EF">
              <w:t xml:space="preserve">13 was not always in areas of industry and economic need. In response, Refocusing Vocational Training in Victoria reform package was introduced to rebalance public investment to better target areas of greatest public benefit and future jobs growth. </w:t>
            </w:r>
          </w:p>
          <w:p w:rsidR="00A53D7D" w:rsidRDefault="00A53D7D" w:rsidP="00A42C8E">
            <w:pPr>
              <w:pStyle w:val="OGNotes"/>
              <w:spacing w:after="20"/>
            </w:pPr>
            <w:r w:rsidRPr="003776EF">
              <w:t>The 2014</w:t>
            </w:r>
            <w:r>
              <w:noBreakHyphen/>
            </w:r>
            <w:r w:rsidRPr="003776EF">
              <w:t xml:space="preserve">15 </w:t>
            </w:r>
            <w:r>
              <w:t>Target</w:t>
            </w:r>
            <w:r w:rsidRPr="003776EF">
              <w:t xml:space="preserve"> has been lowered to the same level as</w:t>
            </w:r>
            <w:r>
              <w:t xml:space="preserve"> the</w:t>
            </w:r>
            <w:r w:rsidRPr="003776EF">
              <w:t xml:space="preserve"> 2013</w:t>
            </w:r>
            <w:r>
              <w:noBreakHyphen/>
            </w:r>
            <w:r w:rsidRPr="003776EF">
              <w:t xml:space="preserve">14 </w:t>
            </w:r>
            <w:r>
              <w:t>Expected Outcome</w:t>
            </w:r>
            <w:r w:rsidRPr="003776EF">
              <w:t xml:space="preserve"> to reflect this realignment.</w:t>
            </w:r>
          </w:p>
          <w:p w:rsidR="00A53D7D" w:rsidRPr="003B0258" w:rsidRDefault="00A53D7D" w:rsidP="00A42C8E">
            <w:pPr>
              <w:pStyle w:val="OGNotes"/>
              <w:spacing w:after="40"/>
            </w:pPr>
            <w:r>
              <w:t>This performance measure has been moved from quality to quantity to better reflect the nature of the measure.</w:t>
            </w:r>
          </w:p>
        </w:tc>
      </w:tr>
      <w:tr w:rsidR="00A53D7D" w:rsidRPr="005C542E" w:rsidTr="005140B4">
        <w:trPr>
          <w:cantSplit/>
        </w:trPr>
        <w:tc>
          <w:tcPr>
            <w:tcW w:w="3108" w:type="dxa"/>
            <w:tcBorders>
              <w:top w:val="single" w:sz="6" w:space="0" w:color="auto"/>
              <w:left w:val="nil"/>
              <w:right w:val="nil"/>
            </w:tcBorders>
            <w:shd w:val="clear" w:color="auto" w:fill="auto"/>
          </w:tcPr>
          <w:p w:rsidR="00A53D7D" w:rsidRPr="00D9545C" w:rsidRDefault="00A53D7D" w:rsidP="005140B4">
            <w:pPr>
              <w:pStyle w:val="OGTabText"/>
              <w:rPr>
                <w:lang w:eastAsia="en-AU"/>
              </w:rPr>
            </w:pPr>
            <w:r w:rsidRPr="00D9545C">
              <w:rPr>
                <w:lang w:eastAsia="en-AU"/>
              </w:rPr>
              <w:t>Participation rate of 25–64 year olds in training and further education in Victoria</w:t>
            </w:r>
          </w:p>
        </w:tc>
        <w:tc>
          <w:tcPr>
            <w:tcW w:w="952" w:type="dxa"/>
            <w:gridSpan w:val="2"/>
            <w:tcBorders>
              <w:top w:val="single" w:sz="6" w:space="0" w:color="auto"/>
              <w:left w:val="nil"/>
              <w:right w:val="nil"/>
            </w:tcBorders>
            <w:shd w:val="clear" w:color="auto" w:fill="auto"/>
            <w:noWrap/>
          </w:tcPr>
          <w:p w:rsidR="00A53D7D" w:rsidRPr="00D9545C" w:rsidRDefault="00A53D7D" w:rsidP="005140B4">
            <w:pPr>
              <w:pStyle w:val="OGUoM"/>
              <w:rPr>
                <w:lang w:eastAsia="en-AU"/>
              </w:rPr>
            </w:pPr>
            <w:r w:rsidRPr="00D9545C">
              <w:rPr>
                <w:lang w:eastAsia="en-AU"/>
              </w:rPr>
              <w:t>per cent</w:t>
            </w:r>
          </w:p>
        </w:tc>
        <w:tc>
          <w:tcPr>
            <w:tcW w:w="909" w:type="dxa"/>
            <w:tcBorders>
              <w:top w:val="single" w:sz="6" w:space="0" w:color="auto"/>
              <w:left w:val="nil"/>
              <w:right w:val="nil"/>
            </w:tcBorders>
            <w:shd w:val="clear" w:color="auto" w:fill="D9D9D9"/>
            <w:noWrap/>
          </w:tcPr>
          <w:p w:rsidR="00A53D7D" w:rsidRPr="00C926A4" w:rsidRDefault="00A53D7D" w:rsidP="005140B4">
            <w:pPr>
              <w:pStyle w:val="OGTableofFigures"/>
              <w:rPr>
                <w:lang w:eastAsia="en-AU"/>
              </w:rPr>
            </w:pPr>
            <w:r>
              <w:t>12.3</w:t>
            </w:r>
          </w:p>
        </w:tc>
        <w:tc>
          <w:tcPr>
            <w:tcW w:w="993" w:type="dxa"/>
            <w:tcBorders>
              <w:top w:val="single" w:sz="6" w:space="0" w:color="auto"/>
              <w:left w:val="nil"/>
              <w:right w:val="nil"/>
            </w:tcBorders>
            <w:shd w:val="clear" w:color="auto" w:fill="auto"/>
            <w:noWrap/>
          </w:tcPr>
          <w:p w:rsidR="00A53D7D" w:rsidRPr="00C926A4" w:rsidRDefault="00A53D7D" w:rsidP="005140B4">
            <w:pPr>
              <w:pStyle w:val="OGTableofFigures"/>
              <w:rPr>
                <w:lang w:eastAsia="en-AU"/>
              </w:rPr>
            </w:pPr>
            <w:r w:rsidRPr="0006551C">
              <w:t>12.3</w:t>
            </w:r>
          </w:p>
        </w:tc>
        <w:tc>
          <w:tcPr>
            <w:tcW w:w="895" w:type="dxa"/>
            <w:tcBorders>
              <w:top w:val="single" w:sz="6" w:space="0" w:color="auto"/>
              <w:left w:val="nil"/>
              <w:right w:val="nil"/>
            </w:tcBorders>
            <w:shd w:val="clear" w:color="auto" w:fill="auto"/>
            <w:noWrap/>
          </w:tcPr>
          <w:p w:rsidR="00A53D7D" w:rsidRPr="00C926A4" w:rsidRDefault="00A53D7D" w:rsidP="005140B4">
            <w:pPr>
              <w:pStyle w:val="OGTableofFigures"/>
              <w:rPr>
                <w:lang w:eastAsia="en-AU"/>
              </w:rPr>
            </w:pPr>
            <w:r w:rsidRPr="00C926A4">
              <w:rPr>
                <w:lang w:eastAsia="en-AU"/>
              </w:rPr>
              <w:t>12.8</w:t>
            </w:r>
          </w:p>
        </w:tc>
        <w:tc>
          <w:tcPr>
            <w:tcW w:w="925" w:type="dxa"/>
            <w:gridSpan w:val="2"/>
            <w:tcBorders>
              <w:top w:val="single" w:sz="6" w:space="0" w:color="auto"/>
              <w:left w:val="nil"/>
              <w:right w:val="nil"/>
            </w:tcBorders>
            <w:shd w:val="clear" w:color="auto" w:fill="auto"/>
            <w:noWrap/>
          </w:tcPr>
          <w:p w:rsidR="00A53D7D" w:rsidRDefault="00A53D7D" w:rsidP="005140B4">
            <w:pPr>
              <w:pStyle w:val="OGTableofFigures"/>
              <w:rPr>
                <w:lang w:eastAsia="en-AU"/>
              </w:rPr>
            </w:pPr>
            <w:r w:rsidRPr="00C926A4">
              <w:rPr>
                <w:lang w:eastAsia="en-AU"/>
              </w:rPr>
              <w:t>12.8</w:t>
            </w:r>
          </w:p>
        </w:tc>
      </w:tr>
      <w:tr w:rsidR="00A53D7D" w:rsidRPr="005C542E" w:rsidTr="005140B4">
        <w:trPr>
          <w:cantSplit/>
        </w:trPr>
        <w:tc>
          <w:tcPr>
            <w:tcW w:w="7782" w:type="dxa"/>
            <w:gridSpan w:val="8"/>
            <w:tcBorders>
              <w:left w:val="nil"/>
              <w:bottom w:val="nil"/>
              <w:right w:val="nil"/>
            </w:tcBorders>
            <w:shd w:val="clear" w:color="auto" w:fill="auto"/>
          </w:tcPr>
          <w:p w:rsidR="00A53D7D" w:rsidRPr="00D9545C" w:rsidRDefault="00A53D7D" w:rsidP="00A42C8E">
            <w:pPr>
              <w:pStyle w:val="OGNotes"/>
              <w:spacing w:after="20"/>
            </w:pPr>
            <w:r w:rsidRPr="00D9545C">
              <w:t>This performance measure relates to the calendar year.</w:t>
            </w:r>
          </w:p>
          <w:p w:rsidR="00A53D7D" w:rsidRDefault="00A53D7D" w:rsidP="00A42C8E">
            <w:pPr>
              <w:pStyle w:val="OGNotes"/>
              <w:spacing w:after="20"/>
            </w:pPr>
            <w:r w:rsidRPr="003776EF">
              <w:t>The 2014</w:t>
            </w:r>
            <w:r>
              <w:noBreakHyphen/>
            </w:r>
            <w:r w:rsidRPr="003776EF">
              <w:t xml:space="preserve">15 </w:t>
            </w:r>
            <w:r>
              <w:t>target</w:t>
            </w:r>
            <w:r w:rsidRPr="003776EF">
              <w:t xml:space="preserve"> has b</w:t>
            </w:r>
            <w:r>
              <w:t>een lowered to the same level as the</w:t>
            </w:r>
            <w:r w:rsidRPr="003776EF">
              <w:t xml:space="preserve"> 2013</w:t>
            </w:r>
            <w:r>
              <w:noBreakHyphen/>
            </w:r>
            <w:r w:rsidRPr="003776EF">
              <w:t xml:space="preserve">14 </w:t>
            </w:r>
            <w:r>
              <w:t>expected outcome</w:t>
            </w:r>
            <w:r w:rsidRPr="003776EF">
              <w:t xml:space="preserve"> to reflect </w:t>
            </w:r>
            <w:proofErr w:type="gramStart"/>
            <w:r w:rsidRPr="003776EF">
              <w:t>a realignment</w:t>
            </w:r>
            <w:proofErr w:type="gramEnd"/>
            <w:r w:rsidRPr="003776EF">
              <w:t xml:space="preserve"> in demand due to rebalancing of public investment to better target areas of greatest public benefit and future jobs growth.</w:t>
            </w:r>
          </w:p>
          <w:p w:rsidR="00A53D7D" w:rsidRPr="00C926A4" w:rsidRDefault="00A53D7D" w:rsidP="005140B4">
            <w:pPr>
              <w:pStyle w:val="OGNotes"/>
            </w:pPr>
            <w:r>
              <w:t>This performance measure has been moved from quality to quantity to better reflect the nature of the measure.</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Cost</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bottom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Total output cost</w:t>
            </w:r>
          </w:p>
        </w:tc>
        <w:tc>
          <w:tcPr>
            <w:tcW w:w="952" w:type="dxa"/>
            <w:gridSpan w:val="2"/>
            <w:tcBorders>
              <w:top w:val="nil"/>
              <w:left w:val="nil"/>
              <w:right w:val="nil"/>
            </w:tcBorders>
            <w:shd w:val="clear" w:color="000000" w:fill="FFFFFF"/>
            <w:hideMark/>
          </w:tcPr>
          <w:p w:rsidR="00A53D7D" w:rsidRPr="005C542E" w:rsidRDefault="00A53D7D" w:rsidP="005140B4">
            <w:pPr>
              <w:pStyle w:val="OGUoM"/>
              <w:rPr>
                <w:lang w:eastAsia="en-AU"/>
              </w:rPr>
            </w:pPr>
            <w:r>
              <w:t>$ million</w:t>
            </w:r>
          </w:p>
        </w:tc>
        <w:tc>
          <w:tcPr>
            <w:tcW w:w="909" w:type="dxa"/>
            <w:tcBorders>
              <w:top w:val="nil"/>
              <w:left w:val="nil"/>
              <w:right w:val="nil"/>
            </w:tcBorders>
            <w:shd w:val="clear" w:color="auto" w:fill="D9D9D9"/>
            <w:hideMark/>
          </w:tcPr>
          <w:p w:rsidR="00A53D7D" w:rsidRPr="00B64F0B" w:rsidRDefault="00A53D7D" w:rsidP="005140B4">
            <w:pPr>
              <w:pStyle w:val="OGTableofFigures"/>
              <w:rPr>
                <w:lang w:eastAsia="en-AU"/>
              </w:rPr>
            </w:pPr>
            <w:r>
              <w:rPr>
                <w:lang w:eastAsia="en-AU"/>
              </w:rPr>
              <w:t>2 323.3</w:t>
            </w:r>
          </w:p>
        </w:tc>
        <w:tc>
          <w:tcPr>
            <w:tcW w:w="993" w:type="dxa"/>
            <w:tcBorders>
              <w:top w:val="nil"/>
              <w:left w:val="nil"/>
              <w:right w:val="nil"/>
            </w:tcBorders>
            <w:shd w:val="clear" w:color="000000" w:fill="FFFFFF"/>
            <w:hideMark/>
          </w:tcPr>
          <w:p w:rsidR="00A53D7D" w:rsidRPr="00B64F0B" w:rsidRDefault="00A53D7D" w:rsidP="005140B4">
            <w:pPr>
              <w:pStyle w:val="OGTableofFigures"/>
              <w:rPr>
                <w:lang w:eastAsia="en-AU"/>
              </w:rPr>
            </w:pPr>
            <w:r>
              <w:rPr>
                <w:lang w:eastAsia="en-AU"/>
              </w:rPr>
              <w:t>2</w:t>
            </w:r>
            <w:r>
              <w:t> </w:t>
            </w:r>
            <w:r>
              <w:rPr>
                <w:lang w:eastAsia="en-AU"/>
              </w:rPr>
              <w:t>447.0</w:t>
            </w:r>
          </w:p>
        </w:tc>
        <w:tc>
          <w:tcPr>
            <w:tcW w:w="895" w:type="dxa"/>
            <w:tcBorders>
              <w:top w:val="nil"/>
              <w:left w:val="nil"/>
              <w:right w:val="nil"/>
            </w:tcBorders>
            <w:shd w:val="clear" w:color="000000" w:fill="FFFFFF"/>
            <w:hideMark/>
          </w:tcPr>
          <w:p w:rsidR="00A53D7D" w:rsidRPr="007C486B" w:rsidRDefault="00A53D7D" w:rsidP="005140B4">
            <w:pPr>
              <w:pStyle w:val="OGTableofFigures"/>
              <w:rPr>
                <w:lang w:eastAsia="en-AU"/>
              </w:rPr>
            </w:pPr>
            <w:r w:rsidRPr="007C486B">
              <w:rPr>
                <w:lang w:eastAsia="en-AU"/>
              </w:rPr>
              <w:t>2</w:t>
            </w:r>
            <w:r>
              <w:t> </w:t>
            </w:r>
            <w:r w:rsidRPr="007C486B">
              <w:rPr>
                <w:lang w:eastAsia="en-AU"/>
              </w:rPr>
              <w:t>268.2</w:t>
            </w:r>
          </w:p>
        </w:tc>
        <w:tc>
          <w:tcPr>
            <w:tcW w:w="925" w:type="dxa"/>
            <w:gridSpan w:val="2"/>
            <w:tcBorders>
              <w:top w:val="nil"/>
              <w:left w:val="nil"/>
              <w:right w:val="nil"/>
            </w:tcBorders>
            <w:shd w:val="clear" w:color="000000" w:fill="FFFFFF"/>
            <w:hideMark/>
          </w:tcPr>
          <w:p w:rsidR="00A53D7D" w:rsidRDefault="00A53D7D" w:rsidP="005140B4">
            <w:pPr>
              <w:pStyle w:val="OGTableofFigures"/>
              <w:rPr>
                <w:lang w:eastAsia="en-AU"/>
              </w:rPr>
            </w:pPr>
            <w:r w:rsidRPr="007C486B">
              <w:rPr>
                <w:lang w:eastAsia="en-AU"/>
              </w:rPr>
              <w:t>2</w:t>
            </w:r>
            <w:r>
              <w:t> </w:t>
            </w:r>
            <w:r w:rsidRPr="007C486B">
              <w:rPr>
                <w:lang w:eastAsia="en-AU"/>
              </w:rPr>
              <w:t>690.4</w:t>
            </w:r>
          </w:p>
        </w:tc>
      </w:tr>
      <w:tr w:rsidR="00A53D7D" w:rsidRPr="005C542E" w:rsidTr="005140B4">
        <w:trPr>
          <w:cantSplit/>
        </w:trPr>
        <w:tc>
          <w:tcPr>
            <w:tcW w:w="7782" w:type="dxa"/>
            <w:gridSpan w:val="8"/>
            <w:tcBorders>
              <w:top w:val="nil"/>
              <w:left w:val="nil"/>
              <w:bottom w:val="single" w:sz="12" w:space="0" w:color="auto"/>
              <w:right w:val="nil"/>
            </w:tcBorders>
            <w:shd w:val="clear" w:color="auto" w:fill="auto"/>
            <w:vAlign w:val="bottom"/>
            <w:hideMark/>
          </w:tcPr>
          <w:p w:rsidR="00A53D7D" w:rsidRDefault="00A53D7D" w:rsidP="005140B4">
            <w:pPr>
              <w:pStyle w:val="OGNotes"/>
              <w:spacing w:after="0"/>
            </w:pPr>
            <w:r>
              <w:t>The higher 2013</w:t>
            </w:r>
            <w:r>
              <w:noBreakHyphen/>
              <w:t>14 expected outcome compared with the 2013</w:t>
            </w:r>
            <w:r>
              <w:noBreakHyphen/>
              <w:t>14 target is primarily driven by additional funding associated with Victorian Training Guarantee (VTG). This has partially been offset by the deconsolidation of the dual</w:t>
            </w:r>
            <w:r>
              <w:noBreakHyphen/>
              <w:t xml:space="preserve">sector TAFEs from the general government sector as a result of the passing of the </w:t>
            </w:r>
            <w:r w:rsidRPr="00DC7DEC">
              <w:rPr>
                <w:i w:val="0"/>
              </w:rPr>
              <w:t>Education and Training Reform Amendment (Dual Sector Universities) Act 2013</w:t>
            </w:r>
            <w:r>
              <w:t>.</w:t>
            </w:r>
          </w:p>
          <w:p w:rsidR="00A53D7D" w:rsidRPr="004B2922" w:rsidRDefault="00A53D7D" w:rsidP="00B5132D">
            <w:pPr>
              <w:pStyle w:val="OGNotes"/>
              <w:spacing w:after="40"/>
            </w:pPr>
            <w:r w:rsidRPr="00744FEC">
              <w:t>The higher 2014</w:t>
            </w:r>
            <w:r>
              <w:noBreakHyphen/>
            </w:r>
            <w:r w:rsidRPr="00744FEC">
              <w:t xml:space="preserve">15 </w:t>
            </w:r>
            <w:r>
              <w:t>target</w:t>
            </w:r>
            <w:r w:rsidRPr="00744FEC">
              <w:t xml:space="preserve"> compared with the 2013</w:t>
            </w:r>
            <w:r>
              <w:noBreakHyphen/>
            </w:r>
            <w:r w:rsidRPr="00744FEC">
              <w:t xml:space="preserve">14 </w:t>
            </w:r>
            <w:r>
              <w:t>target</w:t>
            </w:r>
            <w:r w:rsidRPr="00744FEC">
              <w:t xml:space="preserve"> is primarily driven by additional funding associated with VTG. This has partially been offset by the deconsolidation of the dual sector TAFEs from the general government sector as a result of the passing of the </w:t>
            </w:r>
            <w:r w:rsidRPr="00DC7DEC">
              <w:rPr>
                <w:i w:val="0"/>
              </w:rPr>
              <w:t>Education and Training Reform Amendment (Dual Sector Universities) Act 2013</w:t>
            </w:r>
            <w:r w:rsidRPr="00744FEC">
              <w:t>.</w:t>
            </w:r>
          </w:p>
        </w:tc>
      </w:tr>
    </w:tbl>
    <w:p w:rsidR="00A53D7D" w:rsidRDefault="00A53D7D" w:rsidP="005140B4">
      <w:pPr>
        <w:pStyle w:val="Source"/>
      </w:pPr>
      <w:r w:rsidRPr="006A33FA">
        <w:t>Source: Department of Education and Early Childhood Development</w:t>
      </w:r>
      <w:r>
        <w:fldChar w:fldCharType="begin"/>
      </w:r>
      <w:r>
        <w:instrText xml:space="preserve"> XE "</w:instrText>
      </w:r>
      <w:r w:rsidRPr="004D07E8">
        <w:instrText>Department of Education and Early Childhood Development:Higher Education and Skills</w:instrText>
      </w:r>
      <w:r>
        <w:instrText xml:space="preserve">" \r "DEECDhighered" </w:instrText>
      </w:r>
      <w:r>
        <w:fldChar w:fldCharType="end"/>
      </w:r>
      <w:r>
        <w:fldChar w:fldCharType="begin"/>
      </w:r>
      <w:r>
        <w:instrText xml:space="preserve"> XE "</w:instrText>
      </w:r>
      <w:r w:rsidRPr="00B5115E">
        <w:instrText>Higher Education and Skills</w:instrText>
      </w:r>
      <w:r>
        <w:instrText xml:space="preserve">" \r "DEECDhighered" </w:instrText>
      </w:r>
      <w:r>
        <w:fldChar w:fldCharType="end"/>
      </w:r>
    </w:p>
    <w:bookmarkEnd w:id="74"/>
    <w:p w:rsidR="00A53D7D" w:rsidRDefault="00A53D7D">
      <w:pPr>
        <w:spacing w:after="0"/>
      </w:pPr>
      <w:r>
        <w:br w:type="page"/>
      </w:r>
    </w:p>
    <w:p w:rsidR="00A53D7D" w:rsidRDefault="00A53D7D" w:rsidP="005140B4">
      <w:pPr>
        <w:pStyle w:val="OGHeading1"/>
      </w:pPr>
      <w:bookmarkStart w:id="75" w:name="DEECDsupport"/>
      <w:r>
        <w:t>Support Services Delivery</w:t>
      </w:r>
    </w:p>
    <w:p w:rsidR="00A53D7D" w:rsidRDefault="00A53D7D" w:rsidP="005140B4">
      <w:pPr>
        <w:pStyle w:val="OGText"/>
      </w:pPr>
      <w:r>
        <w:t xml:space="preserve">The Support Services Delivery output group covers the Regional Support Group and provides student welfare and support, education maintenance allowance, student transport (excluding transport for special needs students) and health services. This output group contributes towards providing and improving services to support all the Department’s objectives of achievement, engagement, </w:t>
      </w:r>
      <w:proofErr w:type="gramStart"/>
      <w:r>
        <w:t>wellbeing</w:t>
      </w:r>
      <w:proofErr w:type="gramEnd"/>
      <w:r>
        <w:t xml:space="preserve"> and productivity.</w:t>
      </w:r>
    </w:p>
    <w:tbl>
      <w:tblPr>
        <w:tblW w:w="7782" w:type="dxa"/>
        <w:tblInd w:w="29" w:type="dxa"/>
        <w:tblLayout w:type="fixed"/>
        <w:tblCellMar>
          <w:left w:w="43" w:type="dxa"/>
          <w:right w:w="43" w:type="dxa"/>
        </w:tblCellMar>
        <w:tblLook w:val="04A0" w:firstRow="1" w:lastRow="0" w:firstColumn="1" w:lastColumn="0" w:noHBand="0" w:noVBand="1"/>
      </w:tblPr>
      <w:tblGrid>
        <w:gridCol w:w="3108"/>
        <w:gridCol w:w="42"/>
        <w:gridCol w:w="910"/>
        <w:gridCol w:w="909"/>
        <w:gridCol w:w="993"/>
        <w:gridCol w:w="895"/>
        <w:gridCol w:w="12"/>
        <w:gridCol w:w="913"/>
      </w:tblGrid>
      <w:tr w:rsidR="00A53D7D" w:rsidRPr="00204234" w:rsidTr="005140B4">
        <w:trPr>
          <w:cantSplit/>
          <w:tblHeader/>
        </w:trPr>
        <w:tc>
          <w:tcPr>
            <w:tcW w:w="3150" w:type="dxa"/>
            <w:gridSpan w:val="2"/>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10"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9"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gridSpan w:val="2"/>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13"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0" w:type="dxa"/>
            <w:gridSpan w:val="2"/>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10"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9"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gridSpan w:val="2"/>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Pr>
                <w:color w:val="FFFFFF"/>
                <w:lang w:eastAsia="en-AU"/>
              </w:rPr>
              <w:t>Target</w:t>
            </w:r>
          </w:p>
        </w:tc>
        <w:tc>
          <w:tcPr>
            <w:tcW w:w="91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Pr="005C542E" w:rsidRDefault="00A53D7D" w:rsidP="005140B4">
            <w:pPr>
              <w:pStyle w:val="OGHeading2"/>
              <w:rPr>
                <w:lang w:eastAsia="en-AU"/>
              </w:rPr>
            </w:pPr>
            <w:r w:rsidRPr="005C542E">
              <w:rPr>
                <w:lang w:eastAsia="en-AU"/>
              </w:rPr>
              <w:t>Support Services Delivery</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Pr="005C542E" w:rsidRDefault="00A53D7D" w:rsidP="005140B4">
            <w:pPr>
              <w:pStyle w:val="OGText"/>
              <w:rPr>
                <w:lang w:eastAsia="en-AU"/>
              </w:rPr>
            </w:pPr>
            <w:r w:rsidRPr="005C542E">
              <w:rPr>
                <w:lang w:eastAsia="en-AU"/>
              </w:rPr>
              <w:t>This output includes the Regional Support Group and delivers services for student welfare and support, education maintenance allowance and student transport (excluding transport for special need students). It also covers school nursing services.</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Quality</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bottom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bottom w:val="nil"/>
              <w:right w:val="nil"/>
            </w:tcBorders>
            <w:shd w:val="clear" w:color="000000" w:fill="FFFFFF"/>
            <w:hideMark/>
          </w:tcPr>
          <w:p w:rsidR="00A53D7D" w:rsidRPr="005C542E" w:rsidRDefault="00A53D7D" w:rsidP="005140B4">
            <w:pPr>
              <w:pStyle w:val="OGTabText"/>
              <w:rPr>
                <w:lang w:eastAsia="en-AU"/>
              </w:rPr>
            </w:pPr>
            <w:r w:rsidRPr="005C542E">
              <w:rPr>
                <w:lang w:eastAsia="en-AU"/>
              </w:rPr>
              <w:t>School satisfaction with student support services</w:t>
            </w:r>
          </w:p>
        </w:tc>
        <w:tc>
          <w:tcPr>
            <w:tcW w:w="952" w:type="dxa"/>
            <w:gridSpan w:val="2"/>
            <w:tcBorders>
              <w:top w:val="nil"/>
              <w:left w:val="nil"/>
              <w:bottom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nil"/>
              <w:left w:val="nil"/>
              <w:bottom w:val="nil"/>
              <w:right w:val="nil"/>
            </w:tcBorders>
            <w:shd w:val="clear" w:color="auto" w:fill="D9D9D9"/>
            <w:hideMark/>
          </w:tcPr>
          <w:p w:rsidR="00A53D7D" w:rsidRPr="00C01D25" w:rsidRDefault="00A53D7D" w:rsidP="005140B4">
            <w:pPr>
              <w:pStyle w:val="OGTableofFigures"/>
              <w:rPr>
                <w:lang w:eastAsia="en-AU"/>
              </w:rPr>
            </w:pPr>
            <w:r w:rsidRPr="003A5A8F">
              <w:t>85</w:t>
            </w:r>
          </w:p>
        </w:tc>
        <w:tc>
          <w:tcPr>
            <w:tcW w:w="993" w:type="dxa"/>
            <w:tcBorders>
              <w:top w:val="nil"/>
              <w:left w:val="nil"/>
              <w:bottom w:val="nil"/>
              <w:right w:val="nil"/>
            </w:tcBorders>
            <w:shd w:val="clear" w:color="000000" w:fill="FFFFFF"/>
            <w:hideMark/>
          </w:tcPr>
          <w:p w:rsidR="00A53D7D" w:rsidRPr="00C01D25" w:rsidRDefault="00A53D7D" w:rsidP="005140B4">
            <w:pPr>
              <w:pStyle w:val="OGTableofFigures"/>
              <w:rPr>
                <w:lang w:eastAsia="en-AU"/>
              </w:rPr>
            </w:pPr>
            <w:r w:rsidRPr="003A5A8F">
              <w:t>90.5</w:t>
            </w:r>
          </w:p>
        </w:tc>
        <w:tc>
          <w:tcPr>
            <w:tcW w:w="895" w:type="dxa"/>
            <w:tcBorders>
              <w:top w:val="nil"/>
              <w:left w:val="nil"/>
              <w:bottom w:val="nil"/>
              <w:right w:val="nil"/>
            </w:tcBorders>
            <w:shd w:val="clear" w:color="000000" w:fill="FFFFFF"/>
            <w:hideMark/>
          </w:tcPr>
          <w:p w:rsidR="00A53D7D" w:rsidRPr="00C01D25" w:rsidRDefault="00A53D7D" w:rsidP="005140B4">
            <w:pPr>
              <w:pStyle w:val="OGTableofFigures"/>
              <w:rPr>
                <w:lang w:eastAsia="en-AU"/>
              </w:rPr>
            </w:pPr>
            <w:r w:rsidRPr="00C01D25">
              <w:rPr>
                <w:lang w:eastAsia="en-AU"/>
              </w:rPr>
              <w:t>80</w:t>
            </w:r>
          </w:p>
        </w:tc>
        <w:tc>
          <w:tcPr>
            <w:tcW w:w="925" w:type="dxa"/>
            <w:gridSpan w:val="2"/>
            <w:tcBorders>
              <w:top w:val="nil"/>
              <w:left w:val="nil"/>
              <w:bottom w:val="nil"/>
              <w:right w:val="nil"/>
            </w:tcBorders>
            <w:shd w:val="clear" w:color="000000" w:fill="FFFFFF"/>
            <w:hideMark/>
          </w:tcPr>
          <w:p w:rsidR="00A53D7D" w:rsidRDefault="00A53D7D" w:rsidP="005140B4">
            <w:pPr>
              <w:pStyle w:val="OGTableofFigures"/>
              <w:rPr>
                <w:lang w:eastAsia="en-AU"/>
              </w:rPr>
            </w:pPr>
            <w:r w:rsidRPr="00C01D25">
              <w:rPr>
                <w:lang w:eastAsia="en-AU"/>
              </w:rPr>
              <w:t>85.1</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372B5F">
              <w:t>The 2013</w:t>
            </w:r>
            <w:r>
              <w:noBreakHyphen/>
            </w:r>
            <w:r w:rsidRPr="00372B5F">
              <w:t xml:space="preserve">14 </w:t>
            </w:r>
            <w:r>
              <w:t>expected outcome</w:t>
            </w:r>
            <w:r w:rsidRPr="00372B5F">
              <w:t xml:space="preserve"> is higher than the 2013</w:t>
            </w:r>
            <w:r>
              <w:noBreakHyphen/>
            </w:r>
            <w:r w:rsidRPr="00372B5F">
              <w:t xml:space="preserve">14 </w:t>
            </w:r>
            <w:r>
              <w:t>target</w:t>
            </w:r>
            <w:r w:rsidRPr="00372B5F">
              <w:t xml:space="preserve"> due to the impact of the Safe and Caring Schools policy on the Student Support Services program during the period of the school surveys. </w:t>
            </w:r>
          </w:p>
          <w:p w:rsidR="00A53D7D" w:rsidRPr="00A42C8E" w:rsidRDefault="00A53D7D" w:rsidP="00A42C8E">
            <w:pPr>
              <w:pStyle w:val="OGNotes"/>
              <w:spacing w:after="40"/>
            </w:pPr>
            <w:r w:rsidRPr="00A42C8E">
              <w:t xml:space="preserve">The 2014–15 </w:t>
            </w:r>
            <w:proofErr w:type="gramStart"/>
            <w:r w:rsidRPr="00A42C8E">
              <w:t>target</w:t>
            </w:r>
            <w:proofErr w:type="gramEnd"/>
            <w:r w:rsidRPr="00A42C8E">
              <w:t xml:space="preserve"> has been raised to reflect the improving trend in school satisfaction with student support services.</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Quantity</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bottom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bottom w:val="nil"/>
              <w:right w:val="nil"/>
            </w:tcBorders>
            <w:shd w:val="clear" w:color="000000" w:fill="FFFFFF"/>
            <w:hideMark/>
          </w:tcPr>
          <w:p w:rsidR="00A53D7D" w:rsidRPr="005C542E" w:rsidRDefault="00A53D7D" w:rsidP="005140B4">
            <w:pPr>
              <w:pStyle w:val="OGTabText"/>
              <w:rPr>
                <w:lang w:eastAsia="en-AU"/>
              </w:rPr>
            </w:pPr>
            <w:r w:rsidRPr="005C542E">
              <w:rPr>
                <w:lang w:eastAsia="en-AU"/>
              </w:rPr>
              <w:t>Investment in student transport (excludes special need students)</w:t>
            </w:r>
          </w:p>
        </w:tc>
        <w:tc>
          <w:tcPr>
            <w:tcW w:w="952" w:type="dxa"/>
            <w:gridSpan w:val="2"/>
            <w:tcBorders>
              <w:top w:val="nil"/>
              <w:left w:val="nil"/>
              <w:bottom w:val="nil"/>
              <w:right w:val="nil"/>
            </w:tcBorders>
            <w:shd w:val="clear" w:color="000000" w:fill="FFFFFF"/>
            <w:hideMark/>
          </w:tcPr>
          <w:p w:rsidR="00A53D7D" w:rsidRPr="005C542E" w:rsidRDefault="00A53D7D" w:rsidP="005140B4">
            <w:pPr>
              <w:pStyle w:val="OGUoM"/>
              <w:rPr>
                <w:lang w:eastAsia="en-AU"/>
              </w:rPr>
            </w:pPr>
            <w:r>
              <w:t>$ million</w:t>
            </w:r>
          </w:p>
        </w:tc>
        <w:tc>
          <w:tcPr>
            <w:tcW w:w="909" w:type="dxa"/>
            <w:tcBorders>
              <w:top w:val="nil"/>
              <w:left w:val="nil"/>
              <w:bottom w:val="nil"/>
              <w:right w:val="nil"/>
            </w:tcBorders>
            <w:shd w:val="clear" w:color="auto" w:fill="D9D9D9"/>
            <w:hideMark/>
          </w:tcPr>
          <w:p w:rsidR="00A53D7D" w:rsidRPr="00A0427E" w:rsidRDefault="00A53D7D" w:rsidP="005140B4">
            <w:pPr>
              <w:pStyle w:val="OGTableofFigures"/>
              <w:rPr>
                <w:lang w:eastAsia="en-AU"/>
              </w:rPr>
            </w:pPr>
            <w:r>
              <w:rPr>
                <w:lang w:eastAsia="en-AU"/>
              </w:rPr>
              <w:t>44.2</w:t>
            </w:r>
          </w:p>
        </w:tc>
        <w:tc>
          <w:tcPr>
            <w:tcW w:w="993" w:type="dxa"/>
            <w:tcBorders>
              <w:top w:val="nil"/>
              <w:left w:val="nil"/>
              <w:bottom w:val="nil"/>
              <w:right w:val="nil"/>
            </w:tcBorders>
            <w:shd w:val="clear" w:color="000000" w:fill="FFFFFF"/>
            <w:hideMark/>
          </w:tcPr>
          <w:p w:rsidR="00A53D7D" w:rsidRPr="00A0427E" w:rsidRDefault="00A53D7D" w:rsidP="005140B4">
            <w:pPr>
              <w:pStyle w:val="OGTableofFigures"/>
              <w:rPr>
                <w:lang w:eastAsia="en-AU"/>
              </w:rPr>
            </w:pPr>
            <w:r>
              <w:rPr>
                <w:lang w:eastAsia="en-AU"/>
              </w:rPr>
              <w:t>46.0</w:t>
            </w:r>
          </w:p>
        </w:tc>
        <w:tc>
          <w:tcPr>
            <w:tcW w:w="895" w:type="dxa"/>
            <w:tcBorders>
              <w:top w:val="nil"/>
              <w:left w:val="nil"/>
              <w:bottom w:val="nil"/>
              <w:right w:val="nil"/>
            </w:tcBorders>
            <w:shd w:val="clear" w:color="000000" w:fill="FFFFFF"/>
            <w:hideMark/>
          </w:tcPr>
          <w:p w:rsidR="00A53D7D" w:rsidRPr="00346351" w:rsidRDefault="00A53D7D" w:rsidP="005140B4">
            <w:pPr>
              <w:pStyle w:val="OGTableofFigures"/>
              <w:rPr>
                <w:lang w:eastAsia="en-AU"/>
              </w:rPr>
            </w:pPr>
            <w:r w:rsidRPr="00346351">
              <w:rPr>
                <w:lang w:eastAsia="en-AU"/>
              </w:rPr>
              <w:t>45.4</w:t>
            </w:r>
          </w:p>
        </w:tc>
        <w:tc>
          <w:tcPr>
            <w:tcW w:w="925" w:type="dxa"/>
            <w:gridSpan w:val="2"/>
            <w:tcBorders>
              <w:top w:val="nil"/>
              <w:left w:val="nil"/>
              <w:bottom w:val="nil"/>
              <w:right w:val="nil"/>
            </w:tcBorders>
            <w:shd w:val="clear" w:color="000000" w:fill="FFFFFF"/>
            <w:hideMark/>
          </w:tcPr>
          <w:p w:rsidR="00A53D7D" w:rsidRDefault="00A53D7D" w:rsidP="005140B4">
            <w:pPr>
              <w:pStyle w:val="OGTableofFigures"/>
              <w:rPr>
                <w:lang w:eastAsia="en-AU"/>
              </w:rPr>
            </w:pPr>
            <w:r w:rsidRPr="00346351">
              <w:rPr>
                <w:lang w:eastAsia="en-AU"/>
              </w:rPr>
              <w:t>42.1</w:t>
            </w:r>
          </w:p>
        </w:tc>
      </w:tr>
      <w:tr w:rsidR="00A53D7D" w:rsidRPr="005C542E" w:rsidTr="005140B4">
        <w:trPr>
          <w:cantSplit/>
        </w:trPr>
        <w:tc>
          <w:tcPr>
            <w:tcW w:w="7782" w:type="dxa"/>
            <w:gridSpan w:val="8"/>
            <w:tcBorders>
              <w:top w:val="nil"/>
              <w:left w:val="nil"/>
              <w:bottom w:val="nil"/>
            </w:tcBorders>
            <w:shd w:val="clear" w:color="000000" w:fill="FFFFFF"/>
          </w:tcPr>
          <w:p w:rsidR="00A53D7D" w:rsidRPr="004B2922" w:rsidRDefault="00A53D7D" w:rsidP="005140B4">
            <w:pPr>
              <w:pStyle w:val="OGNotes"/>
            </w:pPr>
            <w:r w:rsidRPr="00744FEC">
              <w:t>The lower 2014</w:t>
            </w:r>
            <w:r>
              <w:noBreakHyphen/>
            </w:r>
            <w:r w:rsidRPr="00744FEC">
              <w:t xml:space="preserve">15 </w:t>
            </w:r>
            <w:r>
              <w:t>target</w:t>
            </w:r>
            <w:r w:rsidRPr="00744FEC">
              <w:t xml:space="preserve"> reflects continued transition of the metropolitan boundary</w:t>
            </w:r>
            <w:r>
              <w:t xml:space="preserve"> change</w:t>
            </w:r>
            <w:r w:rsidRPr="00744FEC">
              <w:t xml:space="preserve"> </w:t>
            </w:r>
            <w:r>
              <w:t>in</w:t>
            </w:r>
            <w:r w:rsidRPr="00744FEC">
              <w:t xml:space="preserve"> 2013 used for assessing conveyance allowance eligibility.</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Investment in student welfare and support</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t>$ million</w:t>
            </w:r>
          </w:p>
        </w:tc>
        <w:tc>
          <w:tcPr>
            <w:tcW w:w="909" w:type="dxa"/>
            <w:tcBorders>
              <w:top w:val="single" w:sz="6" w:space="0" w:color="auto"/>
              <w:left w:val="nil"/>
              <w:right w:val="nil"/>
            </w:tcBorders>
            <w:shd w:val="clear" w:color="auto" w:fill="D9D9D9"/>
            <w:hideMark/>
          </w:tcPr>
          <w:p w:rsidR="00A53D7D" w:rsidRPr="00DE5BD7" w:rsidRDefault="00A53D7D" w:rsidP="005140B4">
            <w:pPr>
              <w:pStyle w:val="OGTableofFigures"/>
              <w:rPr>
                <w:lang w:eastAsia="en-AU"/>
              </w:rPr>
            </w:pPr>
            <w:r>
              <w:rPr>
                <w:lang w:eastAsia="en-AU"/>
              </w:rPr>
              <w:t>215.9</w:t>
            </w:r>
          </w:p>
        </w:tc>
        <w:tc>
          <w:tcPr>
            <w:tcW w:w="993" w:type="dxa"/>
            <w:tcBorders>
              <w:top w:val="single" w:sz="6" w:space="0" w:color="auto"/>
              <w:left w:val="nil"/>
              <w:right w:val="nil"/>
            </w:tcBorders>
            <w:shd w:val="clear" w:color="000000" w:fill="FFFFFF"/>
            <w:hideMark/>
          </w:tcPr>
          <w:p w:rsidR="00A53D7D" w:rsidRPr="00DE5BD7" w:rsidRDefault="00A53D7D" w:rsidP="005140B4">
            <w:pPr>
              <w:pStyle w:val="OGTableofFigures"/>
              <w:rPr>
                <w:lang w:eastAsia="en-AU"/>
              </w:rPr>
            </w:pPr>
            <w:r>
              <w:rPr>
                <w:lang w:eastAsia="en-AU"/>
              </w:rPr>
              <w:t>210.7</w:t>
            </w:r>
          </w:p>
        </w:tc>
        <w:tc>
          <w:tcPr>
            <w:tcW w:w="895" w:type="dxa"/>
            <w:tcBorders>
              <w:top w:val="single" w:sz="6" w:space="0" w:color="auto"/>
              <w:left w:val="nil"/>
              <w:right w:val="nil"/>
            </w:tcBorders>
            <w:shd w:val="clear" w:color="000000" w:fill="FFFFFF"/>
            <w:hideMark/>
          </w:tcPr>
          <w:p w:rsidR="00A53D7D" w:rsidRPr="00244E14" w:rsidRDefault="00A53D7D" w:rsidP="005140B4">
            <w:pPr>
              <w:pStyle w:val="OGTableofFigures"/>
              <w:rPr>
                <w:lang w:eastAsia="en-AU"/>
              </w:rPr>
            </w:pPr>
            <w:r w:rsidRPr="00244E14">
              <w:rPr>
                <w:lang w:eastAsia="en-AU"/>
              </w:rPr>
              <w:t>210.6</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244E14">
              <w:rPr>
                <w:lang w:eastAsia="en-AU"/>
              </w:rPr>
              <w:t>217</w:t>
            </w:r>
          </w:p>
        </w:tc>
      </w:tr>
      <w:tr w:rsidR="00A53D7D" w:rsidRPr="005C542E" w:rsidTr="005140B4">
        <w:trPr>
          <w:cantSplit/>
        </w:trPr>
        <w:tc>
          <w:tcPr>
            <w:tcW w:w="7782" w:type="dxa"/>
            <w:gridSpan w:val="8"/>
            <w:tcBorders>
              <w:left w:val="nil"/>
              <w:bottom w:val="single" w:sz="6" w:space="0" w:color="auto"/>
              <w:right w:val="nil"/>
            </w:tcBorders>
            <w:shd w:val="clear" w:color="000000" w:fill="FFFFFF"/>
          </w:tcPr>
          <w:p w:rsidR="00A53D7D" w:rsidRPr="004B2922" w:rsidRDefault="00A53D7D" w:rsidP="005140B4">
            <w:pPr>
              <w:pStyle w:val="OGNotes"/>
            </w:pPr>
            <w:r>
              <w:t>The higher 2014</w:t>
            </w:r>
            <w:r>
              <w:noBreakHyphen/>
              <w:t>15 target reflects escalation.</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rPr>
                <w:lang w:eastAsia="en-AU"/>
              </w:rPr>
            </w:pPr>
            <w:r w:rsidRPr="005C542E">
              <w:rPr>
                <w:lang w:eastAsia="en-AU"/>
              </w:rPr>
              <w:t>Prep</w:t>
            </w:r>
            <w:r>
              <w:rPr>
                <w:lang w:eastAsia="en-AU"/>
              </w:rPr>
              <w:noBreakHyphen/>
            </w:r>
            <w:r w:rsidRPr="005C542E">
              <w:rPr>
                <w:lang w:eastAsia="en-AU"/>
              </w:rPr>
              <w:t>aged students assessed by school nurses</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single" w:sz="6" w:space="0" w:color="auto"/>
              <w:left w:val="nil"/>
              <w:bottom w:val="nil"/>
              <w:right w:val="nil"/>
            </w:tcBorders>
            <w:shd w:val="clear" w:color="auto" w:fill="D9D9D9"/>
            <w:hideMark/>
          </w:tcPr>
          <w:p w:rsidR="00A53D7D" w:rsidRPr="00944E80" w:rsidRDefault="00A53D7D" w:rsidP="005140B4">
            <w:pPr>
              <w:pStyle w:val="OGTableofFigures"/>
              <w:rPr>
                <w:lang w:eastAsia="en-AU"/>
              </w:rPr>
            </w:pPr>
            <w:r w:rsidRPr="00944E80">
              <w:rPr>
                <w:lang w:eastAsia="en-AU"/>
              </w:rPr>
              <w:t>57</w:t>
            </w:r>
            <w:r>
              <w:t> </w:t>
            </w:r>
            <w:r w:rsidRPr="00944E80">
              <w:rPr>
                <w:lang w:eastAsia="en-AU"/>
              </w:rPr>
              <w:t>500</w:t>
            </w:r>
          </w:p>
        </w:tc>
        <w:tc>
          <w:tcPr>
            <w:tcW w:w="993" w:type="dxa"/>
            <w:tcBorders>
              <w:top w:val="single" w:sz="6" w:space="0" w:color="auto"/>
              <w:left w:val="nil"/>
              <w:bottom w:val="nil"/>
              <w:right w:val="nil"/>
            </w:tcBorders>
            <w:shd w:val="clear" w:color="000000" w:fill="FFFFFF"/>
            <w:hideMark/>
          </w:tcPr>
          <w:p w:rsidR="00A53D7D" w:rsidRPr="00944E80" w:rsidRDefault="00A53D7D" w:rsidP="005140B4">
            <w:pPr>
              <w:pStyle w:val="OGTableofFigures"/>
              <w:rPr>
                <w:lang w:eastAsia="en-AU"/>
              </w:rPr>
            </w:pPr>
            <w:r w:rsidRPr="00944E80">
              <w:rPr>
                <w:lang w:eastAsia="en-AU"/>
              </w:rPr>
              <w:t>63</w:t>
            </w:r>
            <w:r>
              <w:t> </w:t>
            </w:r>
            <w:r w:rsidRPr="00944E80">
              <w:rPr>
                <w:lang w:eastAsia="en-AU"/>
              </w:rPr>
              <w:t>338</w:t>
            </w:r>
          </w:p>
        </w:tc>
        <w:tc>
          <w:tcPr>
            <w:tcW w:w="895" w:type="dxa"/>
            <w:tcBorders>
              <w:top w:val="single" w:sz="6" w:space="0" w:color="auto"/>
              <w:left w:val="nil"/>
              <w:bottom w:val="nil"/>
              <w:right w:val="nil"/>
            </w:tcBorders>
            <w:shd w:val="clear" w:color="000000" w:fill="FFFFFF"/>
            <w:hideMark/>
          </w:tcPr>
          <w:p w:rsidR="00A53D7D" w:rsidRPr="00944E80" w:rsidRDefault="00A53D7D" w:rsidP="005140B4">
            <w:pPr>
              <w:pStyle w:val="OGTableofFigures"/>
              <w:rPr>
                <w:lang w:eastAsia="en-AU"/>
              </w:rPr>
            </w:pPr>
            <w:r w:rsidRPr="00944E80">
              <w:rPr>
                <w:lang w:eastAsia="en-AU"/>
              </w:rPr>
              <w:t>57</w:t>
            </w:r>
            <w:r>
              <w:t> </w:t>
            </w:r>
            <w:r w:rsidRPr="00944E80">
              <w:rPr>
                <w:lang w:eastAsia="en-AU"/>
              </w:rPr>
              <w:t>500</w:t>
            </w:r>
          </w:p>
        </w:tc>
        <w:tc>
          <w:tcPr>
            <w:tcW w:w="925" w:type="dxa"/>
            <w:gridSpan w:val="2"/>
            <w:tcBorders>
              <w:top w:val="single" w:sz="6" w:space="0" w:color="auto"/>
              <w:left w:val="nil"/>
              <w:bottom w:val="nil"/>
              <w:right w:val="nil"/>
            </w:tcBorders>
            <w:shd w:val="clear" w:color="000000" w:fill="FFFFFF"/>
            <w:hideMark/>
          </w:tcPr>
          <w:p w:rsidR="00A53D7D" w:rsidRDefault="00A53D7D" w:rsidP="005140B4">
            <w:pPr>
              <w:pStyle w:val="OGTableofFigures"/>
              <w:rPr>
                <w:lang w:eastAsia="en-AU"/>
              </w:rPr>
            </w:pPr>
            <w:r w:rsidRPr="00944E80">
              <w:rPr>
                <w:lang w:eastAsia="en-AU"/>
              </w:rPr>
              <w:t>60</w:t>
            </w:r>
            <w:r>
              <w:t> </w:t>
            </w:r>
            <w:r w:rsidRPr="00944E80">
              <w:rPr>
                <w:lang w:eastAsia="en-AU"/>
              </w:rPr>
              <w:t>499</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5C542E">
              <w:t>Th</w:t>
            </w:r>
            <w:r>
              <w:t xml:space="preserve">is performance measure includes government and </w:t>
            </w:r>
            <w:r w:rsidRPr="005C542E">
              <w:t>non</w:t>
            </w:r>
            <w:r>
              <w:noBreakHyphen/>
            </w:r>
            <w:r w:rsidRPr="005C542E">
              <w:t>government schools.</w:t>
            </w:r>
          </w:p>
          <w:p w:rsidR="00A53D7D" w:rsidRPr="00A42C8E" w:rsidRDefault="00A53D7D" w:rsidP="00A42C8E">
            <w:pPr>
              <w:pStyle w:val="OGNotes"/>
              <w:spacing w:after="40"/>
            </w:pPr>
            <w:r w:rsidRPr="00A42C8E">
              <w:t>The 2013</w:t>
            </w:r>
            <w:r w:rsidRPr="00A42C8E">
              <w:noBreakHyphen/>
              <w:t>14 expected outcome is higher than the 2013</w:t>
            </w:r>
            <w:r w:rsidRPr="00A42C8E">
              <w:noBreakHyphen/>
              <w:t xml:space="preserve">14 target due to an increase in Prep enrolments/population. </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rPr>
                <w:lang w:eastAsia="en-AU"/>
              </w:rPr>
            </w:pPr>
            <w:r w:rsidRPr="005C542E">
              <w:rPr>
                <w:lang w:eastAsia="en-AU"/>
              </w:rPr>
              <w:t>Provision of Education Maintenance Allowance</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t>$ million</w:t>
            </w:r>
          </w:p>
        </w:tc>
        <w:tc>
          <w:tcPr>
            <w:tcW w:w="909" w:type="dxa"/>
            <w:tcBorders>
              <w:top w:val="single" w:sz="6" w:space="0" w:color="auto"/>
              <w:left w:val="nil"/>
              <w:bottom w:val="nil"/>
              <w:right w:val="nil"/>
            </w:tcBorders>
            <w:shd w:val="clear" w:color="auto" w:fill="D9D9D9"/>
            <w:hideMark/>
          </w:tcPr>
          <w:p w:rsidR="00A53D7D" w:rsidRPr="009B4DB6" w:rsidRDefault="00A53D7D" w:rsidP="005140B4">
            <w:pPr>
              <w:pStyle w:val="OGTableofFigures"/>
              <w:rPr>
                <w:lang w:eastAsia="en-AU"/>
              </w:rPr>
            </w:pPr>
            <w:r>
              <w:rPr>
                <w:lang w:eastAsia="en-AU"/>
              </w:rPr>
              <w:t>12.3</w:t>
            </w:r>
          </w:p>
        </w:tc>
        <w:tc>
          <w:tcPr>
            <w:tcW w:w="993" w:type="dxa"/>
            <w:tcBorders>
              <w:top w:val="single" w:sz="6" w:space="0" w:color="auto"/>
              <w:left w:val="nil"/>
              <w:bottom w:val="nil"/>
              <w:right w:val="nil"/>
            </w:tcBorders>
            <w:shd w:val="clear" w:color="000000" w:fill="FFFFFF"/>
            <w:hideMark/>
          </w:tcPr>
          <w:p w:rsidR="00A53D7D" w:rsidRPr="009B4DB6" w:rsidRDefault="00A53D7D" w:rsidP="005140B4">
            <w:pPr>
              <w:pStyle w:val="OGTableofFigures"/>
              <w:rPr>
                <w:lang w:eastAsia="en-AU"/>
              </w:rPr>
            </w:pPr>
            <w:r>
              <w:rPr>
                <w:lang w:eastAsia="en-AU"/>
              </w:rPr>
              <w:t>41.2</w:t>
            </w:r>
          </w:p>
        </w:tc>
        <w:tc>
          <w:tcPr>
            <w:tcW w:w="895" w:type="dxa"/>
            <w:tcBorders>
              <w:top w:val="single" w:sz="6" w:space="0" w:color="auto"/>
              <w:left w:val="nil"/>
              <w:bottom w:val="nil"/>
              <w:right w:val="nil"/>
            </w:tcBorders>
            <w:shd w:val="clear" w:color="000000" w:fill="FFFFFF"/>
            <w:hideMark/>
          </w:tcPr>
          <w:p w:rsidR="00A53D7D" w:rsidRPr="000241C0" w:rsidRDefault="00A53D7D" w:rsidP="005140B4">
            <w:pPr>
              <w:pStyle w:val="OGTableofFigures"/>
              <w:rPr>
                <w:lang w:eastAsia="en-AU"/>
              </w:rPr>
            </w:pPr>
            <w:r w:rsidRPr="000241C0">
              <w:rPr>
                <w:lang w:eastAsia="en-AU"/>
              </w:rPr>
              <w:t>41.2</w:t>
            </w:r>
          </w:p>
        </w:tc>
        <w:tc>
          <w:tcPr>
            <w:tcW w:w="925" w:type="dxa"/>
            <w:gridSpan w:val="2"/>
            <w:tcBorders>
              <w:top w:val="single" w:sz="6" w:space="0" w:color="auto"/>
              <w:left w:val="nil"/>
              <w:bottom w:val="nil"/>
              <w:right w:val="nil"/>
            </w:tcBorders>
            <w:shd w:val="clear" w:color="000000" w:fill="FFFFFF"/>
            <w:hideMark/>
          </w:tcPr>
          <w:p w:rsidR="00A53D7D" w:rsidRDefault="00A53D7D" w:rsidP="005140B4">
            <w:pPr>
              <w:pStyle w:val="OGTableofFigures"/>
              <w:rPr>
                <w:lang w:eastAsia="en-AU"/>
              </w:rPr>
            </w:pPr>
            <w:r w:rsidRPr="000241C0">
              <w:rPr>
                <w:lang w:eastAsia="en-AU"/>
              </w:rPr>
              <w:t>45.8</w:t>
            </w:r>
          </w:p>
        </w:tc>
      </w:tr>
      <w:tr w:rsidR="00A53D7D" w:rsidRPr="005C542E" w:rsidTr="005140B4">
        <w:trPr>
          <w:cantSplit/>
        </w:trPr>
        <w:tc>
          <w:tcPr>
            <w:tcW w:w="7782" w:type="dxa"/>
            <w:gridSpan w:val="8"/>
            <w:tcBorders>
              <w:left w:val="nil"/>
              <w:right w:val="nil"/>
            </w:tcBorders>
            <w:shd w:val="clear" w:color="000000" w:fill="FFFFFF"/>
            <w:vAlign w:val="bottom"/>
          </w:tcPr>
          <w:p w:rsidR="00A53D7D" w:rsidRPr="00A42C8E" w:rsidRDefault="00A53D7D" w:rsidP="00A42C8E">
            <w:pPr>
              <w:pStyle w:val="OGNotes"/>
              <w:spacing w:after="40"/>
            </w:pPr>
            <w:r w:rsidRPr="00A42C8E">
              <w:t>The lower 2014</w:t>
            </w:r>
            <w:r w:rsidRPr="00A42C8E">
              <w:noBreakHyphen/>
              <w:t>15 target reflects the cessation of the Education Maintenance Allowance program from 1 January 2015.</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School students (government) supported by conveyance allowance</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single" w:sz="6" w:space="0" w:color="auto"/>
              <w:left w:val="nil"/>
              <w:right w:val="nil"/>
            </w:tcBorders>
            <w:shd w:val="clear" w:color="auto" w:fill="D9D9D9"/>
            <w:hideMark/>
          </w:tcPr>
          <w:p w:rsidR="00A53D7D" w:rsidRPr="00FB63A4" w:rsidRDefault="00A53D7D" w:rsidP="005140B4">
            <w:pPr>
              <w:pStyle w:val="OGTableofFigures"/>
              <w:rPr>
                <w:lang w:eastAsia="en-AU"/>
              </w:rPr>
            </w:pPr>
            <w:r w:rsidRPr="00141ACA">
              <w:t>10</w:t>
            </w:r>
            <w:r>
              <w:t> </w:t>
            </w:r>
            <w:r w:rsidRPr="00141ACA">
              <w:t>500</w:t>
            </w:r>
          </w:p>
        </w:tc>
        <w:tc>
          <w:tcPr>
            <w:tcW w:w="993" w:type="dxa"/>
            <w:tcBorders>
              <w:top w:val="single" w:sz="6" w:space="0" w:color="auto"/>
              <w:left w:val="nil"/>
              <w:right w:val="nil"/>
            </w:tcBorders>
            <w:shd w:val="clear" w:color="000000" w:fill="FFFFFF"/>
            <w:hideMark/>
          </w:tcPr>
          <w:p w:rsidR="00A53D7D" w:rsidRPr="00FB63A4" w:rsidRDefault="00A53D7D" w:rsidP="005140B4">
            <w:pPr>
              <w:pStyle w:val="OGTableofFigures"/>
              <w:rPr>
                <w:lang w:eastAsia="en-AU"/>
              </w:rPr>
            </w:pPr>
            <w:r w:rsidRPr="00141ACA">
              <w:t>10</w:t>
            </w:r>
            <w:r>
              <w:t> </w:t>
            </w:r>
            <w:r w:rsidRPr="00141ACA">
              <w:t>770</w:t>
            </w:r>
          </w:p>
        </w:tc>
        <w:tc>
          <w:tcPr>
            <w:tcW w:w="895" w:type="dxa"/>
            <w:tcBorders>
              <w:top w:val="single" w:sz="6" w:space="0" w:color="auto"/>
              <w:left w:val="nil"/>
              <w:right w:val="nil"/>
            </w:tcBorders>
            <w:shd w:val="clear" w:color="000000" w:fill="FFFFFF"/>
            <w:hideMark/>
          </w:tcPr>
          <w:p w:rsidR="00A53D7D" w:rsidRPr="00FB63A4" w:rsidRDefault="00A53D7D" w:rsidP="005140B4">
            <w:pPr>
              <w:pStyle w:val="OGTableofFigures"/>
              <w:rPr>
                <w:lang w:eastAsia="en-AU"/>
              </w:rPr>
            </w:pPr>
            <w:r w:rsidRPr="00FB63A4">
              <w:rPr>
                <w:lang w:eastAsia="en-AU"/>
              </w:rPr>
              <w:t>10</w:t>
            </w:r>
            <w:r>
              <w:t> </w:t>
            </w:r>
            <w:r w:rsidRPr="00FB63A4">
              <w:rPr>
                <w:lang w:eastAsia="en-AU"/>
              </w:rPr>
              <w:t>500</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pPr>
            <w:r w:rsidRPr="00FB63A4">
              <w:rPr>
                <w:lang w:eastAsia="en-AU"/>
              </w:rPr>
              <w:t>11</w:t>
            </w:r>
            <w:r>
              <w:t> </w:t>
            </w:r>
            <w:r w:rsidRPr="00FB63A4">
              <w:rPr>
                <w:lang w:eastAsia="en-AU"/>
              </w:rPr>
              <w:t>000</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Pr="00A42C8E" w:rsidRDefault="00A53D7D" w:rsidP="00A42C8E">
            <w:pPr>
              <w:pStyle w:val="OGNotes"/>
              <w:spacing w:after="40"/>
            </w:pPr>
            <w:r w:rsidRPr="00A42C8E">
              <w:t>This performance measure relates to the calendar year.</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keepNext/>
              <w:ind w:left="142"/>
              <w:rPr>
                <w:lang w:eastAsia="en-AU"/>
              </w:rPr>
            </w:pPr>
            <w:r w:rsidRPr="005C542E">
              <w:rPr>
                <w:lang w:eastAsia="en-AU"/>
              </w:rPr>
              <w:t>School students (non</w:t>
            </w:r>
            <w:r>
              <w:rPr>
                <w:lang w:eastAsia="en-AU"/>
              </w:rPr>
              <w:noBreakHyphen/>
            </w:r>
            <w:r w:rsidRPr="005C542E">
              <w:rPr>
                <w:lang w:eastAsia="en-AU"/>
              </w:rPr>
              <w:t>government) supported by conveyance allowance</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single" w:sz="6" w:space="0" w:color="auto"/>
              <w:left w:val="nil"/>
              <w:right w:val="nil"/>
            </w:tcBorders>
            <w:shd w:val="clear" w:color="auto" w:fill="D9D9D9"/>
            <w:hideMark/>
          </w:tcPr>
          <w:p w:rsidR="00A53D7D" w:rsidRPr="00577C9D" w:rsidRDefault="00A53D7D" w:rsidP="005140B4">
            <w:pPr>
              <w:pStyle w:val="OGTableofFigures"/>
              <w:rPr>
                <w:lang w:eastAsia="en-AU"/>
              </w:rPr>
            </w:pPr>
            <w:r w:rsidRPr="00641CD5">
              <w:t>31</w:t>
            </w:r>
            <w:r>
              <w:t> </w:t>
            </w:r>
            <w:r w:rsidRPr="00641CD5">
              <w:t>700</w:t>
            </w:r>
          </w:p>
        </w:tc>
        <w:tc>
          <w:tcPr>
            <w:tcW w:w="993" w:type="dxa"/>
            <w:tcBorders>
              <w:top w:val="single" w:sz="6" w:space="0" w:color="auto"/>
              <w:left w:val="nil"/>
              <w:right w:val="nil"/>
            </w:tcBorders>
            <w:shd w:val="clear" w:color="000000" w:fill="FFFFFF"/>
            <w:hideMark/>
          </w:tcPr>
          <w:p w:rsidR="00A53D7D" w:rsidRPr="00577C9D" w:rsidRDefault="00A53D7D" w:rsidP="005140B4">
            <w:pPr>
              <w:pStyle w:val="OGTableofFigures"/>
              <w:rPr>
                <w:lang w:eastAsia="en-AU"/>
              </w:rPr>
            </w:pPr>
            <w:r w:rsidRPr="00641CD5">
              <w:t>32</w:t>
            </w:r>
            <w:r>
              <w:t> </w:t>
            </w:r>
            <w:r w:rsidRPr="00641CD5">
              <w:t>580</w:t>
            </w:r>
          </w:p>
        </w:tc>
        <w:tc>
          <w:tcPr>
            <w:tcW w:w="895" w:type="dxa"/>
            <w:tcBorders>
              <w:top w:val="single" w:sz="6" w:space="0" w:color="auto"/>
              <w:left w:val="nil"/>
              <w:right w:val="nil"/>
            </w:tcBorders>
            <w:shd w:val="clear" w:color="000000" w:fill="FFFFFF"/>
            <w:hideMark/>
          </w:tcPr>
          <w:p w:rsidR="00A53D7D" w:rsidRPr="00577C9D" w:rsidRDefault="00A53D7D" w:rsidP="005140B4">
            <w:pPr>
              <w:pStyle w:val="OGTableofFigures"/>
              <w:rPr>
                <w:lang w:eastAsia="en-AU"/>
              </w:rPr>
            </w:pPr>
            <w:r w:rsidRPr="00577C9D">
              <w:rPr>
                <w:lang w:eastAsia="en-AU"/>
              </w:rPr>
              <w:t>33</w:t>
            </w:r>
            <w:r>
              <w:t> </w:t>
            </w:r>
            <w:r w:rsidRPr="00577C9D">
              <w:rPr>
                <w:lang w:eastAsia="en-AU"/>
              </w:rPr>
              <w:t>000</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577C9D">
              <w:rPr>
                <w:lang w:eastAsia="en-AU"/>
              </w:rPr>
              <w:t>35</w:t>
            </w:r>
            <w:r>
              <w:t> </w:t>
            </w:r>
            <w:r w:rsidRPr="00577C9D">
              <w:rPr>
                <w:lang w:eastAsia="en-AU"/>
              </w:rPr>
              <w:t>000</w:t>
            </w:r>
          </w:p>
        </w:tc>
      </w:tr>
      <w:tr w:rsidR="00A53D7D" w:rsidRPr="005C542E" w:rsidTr="005140B4">
        <w:trPr>
          <w:cantSplit/>
        </w:trPr>
        <w:tc>
          <w:tcPr>
            <w:tcW w:w="7782" w:type="dxa"/>
            <w:gridSpan w:val="8"/>
            <w:tcBorders>
              <w:top w:val="nil"/>
              <w:left w:val="nil"/>
              <w:bottom w:val="single" w:sz="6" w:space="0" w:color="auto"/>
              <w:right w:val="nil"/>
            </w:tcBorders>
            <w:shd w:val="clear" w:color="auto" w:fill="auto"/>
            <w:vAlign w:val="bottom"/>
            <w:hideMark/>
          </w:tcPr>
          <w:p w:rsidR="00A53D7D" w:rsidRDefault="00A53D7D" w:rsidP="005140B4">
            <w:pPr>
              <w:pStyle w:val="OGNotes"/>
              <w:spacing w:after="0"/>
            </w:pPr>
            <w:r w:rsidRPr="00BF40B1">
              <w:t>This performance measure relates to the calendar year.</w:t>
            </w:r>
          </w:p>
          <w:p w:rsidR="00A53D7D" w:rsidRPr="00A42C8E" w:rsidRDefault="00A53D7D" w:rsidP="00A42C8E">
            <w:pPr>
              <w:pStyle w:val="OGNotes"/>
              <w:spacing w:after="40"/>
            </w:pPr>
            <w:r w:rsidRPr="00A42C8E">
              <w:t>The 2014</w:t>
            </w:r>
            <w:r w:rsidRPr="00A42C8E">
              <w:noBreakHyphen/>
              <w:t>15 target is lower than the 2013</w:t>
            </w:r>
            <w:r w:rsidRPr="00A42C8E">
              <w:noBreakHyphen/>
              <w:t>14 target due to the continued transition of the metropolitan boundary change in 2013 used for assessing conveyance allowance eligibility.</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Schools allocated a nurse through the Secondary School Nursing Program</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single" w:sz="6" w:space="0" w:color="auto"/>
              <w:left w:val="nil"/>
              <w:right w:val="nil"/>
            </w:tcBorders>
            <w:shd w:val="clear" w:color="auto" w:fill="D9D9D9"/>
            <w:hideMark/>
          </w:tcPr>
          <w:p w:rsidR="00A53D7D" w:rsidRPr="0004528D" w:rsidRDefault="00A53D7D" w:rsidP="005140B4">
            <w:pPr>
              <w:pStyle w:val="OGTableofFigures"/>
              <w:rPr>
                <w:lang w:eastAsia="en-AU"/>
              </w:rPr>
            </w:pPr>
            <w:r w:rsidRPr="0004528D">
              <w:rPr>
                <w:lang w:eastAsia="en-AU"/>
              </w:rPr>
              <w:t>193</w:t>
            </w:r>
          </w:p>
        </w:tc>
        <w:tc>
          <w:tcPr>
            <w:tcW w:w="993" w:type="dxa"/>
            <w:tcBorders>
              <w:top w:val="single" w:sz="6" w:space="0" w:color="auto"/>
              <w:left w:val="nil"/>
              <w:right w:val="nil"/>
            </w:tcBorders>
            <w:shd w:val="clear" w:color="auto" w:fill="auto"/>
            <w:hideMark/>
          </w:tcPr>
          <w:p w:rsidR="00A53D7D" w:rsidRPr="0004528D" w:rsidRDefault="00A53D7D" w:rsidP="005140B4">
            <w:pPr>
              <w:pStyle w:val="OGTableofFigures"/>
              <w:rPr>
                <w:lang w:eastAsia="en-AU"/>
              </w:rPr>
            </w:pPr>
            <w:r w:rsidRPr="0004528D">
              <w:rPr>
                <w:lang w:eastAsia="en-AU"/>
              </w:rPr>
              <w:t>197</w:t>
            </w:r>
          </w:p>
        </w:tc>
        <w:tc>
          <w:tcPr>
            <w:tcW w:w="895" w:type="dxa"/>
            <w:tcBorders>
              <w:top w:val="single" w:sz="6" w:space="0" w:color="auto"/>
              <w:left w:val="nil"/>
              <w:right w:val="nil"/>
            </w:tcBorders>
            <w:shd w:val="clear" w:color="000000" w:fill="FFFFFF"/>
            <w:hideMark/>
          </w:tcPr>
          <w:p w:rsidR="00A53D7D" w:rsidRPr="0004528D" w:rsidRDefault="00A53D7D" w:rsidP="005140B4">
            <w:pPr>
              <w:pStyle w:val="OGTableofFigures"/>
              <w:rPr>
                <w:lang w:eastAsia="en-AU"/>
              </w:rPr>
            </w:pPr>
            <w:r w:rsidRPr="0004528D">
              <w:rPr>
                <w:lang w:eastAsia="en-AU"/>
              </w:rPr>
              <w:t>193</w:t>
            </w:r>
          </w:p>
        </w:tc>
        <w:tc>
          <w:tcPr>
            <w:tcW w:w="925" w:type="dxa"/>
            <w:gridSpan w:val="2"/>
            <w:tcBorders>
              <w:top w:val="single" w:sz="6" w:space="0" w:color="auto"/>
              <w:left w:val="nil"/>
              <w:right w:val="nil"/>
            </w:tcBorders>
            <w:shd w:val="clear" w:color="000000" w:fill="FFFFFF"/>
            <w:hideMark/>
          </w:tcPr>
          <w:p w:rsidR="00A53D7D" w:rsidRDefault="00A53D7D" w:rsidP="005140B4">
            <w:pPr>
              <w:pStyle w:val="OGTableofFigures"/>
              <w:rPr>
                <w:lang w:eastAsia="en-AU"/>
              </w:rPr>
            </w:pPr>
            <w:r w:rsidRPr="0004528D">
              <w:rPr>
                <w:lang w:eastAsia="en-AU"/>
              </w:rPr>
              <w:t>191</w:t>
            </w:r>
          </w:p>
        </w:tc>
      </w:tr>
      <w:tr w:rsidR="00A53D7D" w:rsidRPr="005C542E" w:rsidTr="005140B4">
        <w:trPr>
          <w:cantSplit/>
        </w:trPr>
        <w:tc>
          <w:tcPr>
            <w:tcW w:w="7782" w:type="dxa"/>
            <w:gridSpan w:val="8"/>
            <w:tcBorders>
              <w:left w:val="nil"/>
              <w:bottom w:val="single" w:sz="6" w:space="0" w:color="auto"/>
              <w:right w:val="nil"/>
            </w:tcBorders>
            <w:shd w:val="clear" w:color="000000" w:fill="FFFFFF"/>
          </w:tcPr>
          <w:p w:rsidR="00A53D7D" w:rsidRPr="00A42C8E" w:rsidRDefault="00A53D7D" w:rsidP="00A42C8E">
            <w:pPr>
              <w:pStyle w:val="OGNotes"/>
              <w:spacing w:after="40"/>
            </w:pPr>
            <w:r w:rsidRPr="00A42C8E">
              <w:t>This performance measure relates to the calendar year.</w:t>
            </w:r>
          </w:p>
        </w:tc>
      </w:tr>
      <w:tr w:rsidR="00A53D7D" w:rsidRPr="005C542E" w:rsidTr="005140B4">
        <w:trPr>
          <w:cantSplit/>
        </w:trPr>
        <w:tc>
          <w:tcPr>
            <w:tcW w:w="3108" w:type="dxa"/>
            <w:tcBorders>
              <w:top w:val="single" w:sz="6" w:space="0" w:color="auto"/>
              <w:left w:val="nil"/>
              <w:bottom w:val="nil"/>
              <w:right w:val="nil"/>
            </w:tcBorders>
            <w:shd w:val="clear" w:color="000000" w:fill="FFFFFF"/>
            <w:hideMark/>
          </w:tcPr>
          <w:p w:rsidR="00A53D7D" w:rsidRPr="005C542E" w:rsidRDefault="00A53D7D" w:rsidP="005140B4">
            <w:pPr>
              <w:pStyle w:val="OGTabText"/>
              <w:keepNext/>
              <w:rPr>
                <w:lang w:eastAsia="en-AU"/>
              </w:rPr>
            </w:pPr>
            <w:r w:rsidRPr="005C542E">
              <w:rPr>
                <w:lang w:eastAsia="en-AU"/>
              </w:rPr>
              <w:t>Schools funded for primary welfare officers</w:t>
            </w:r>
          </w:p>
        </w:tc>
        <w:tc>
          <w:tcPr>
            <w:tcW w:w="952" w:type="dxa"/>
            <w:gridSpan w:val="2"/>
            <w:tcBorders>
              <w:top w:val="single" w:sz="6" w:space="0" w:color="auto"/>
              <w:left w:val="nil"/>
              <w:bottom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single" w:sz="6" w:space="0" w:color="auto"/>
              <w:left w:val="nil"/>
              <w:bottom w:val="nil"/>
              <w:right w:val="nil"/>
            </w:tcBorders>
            <w:shd w:val="clear" w:color="auto" w:fill="D9D9D9"/>
            <w:hideMark/>
          </w:tcPr>
          <w:p w:rsidR="00A53D7D" w:rsidRPr="00283AF4" w:rsidRDefault="00A53D7D" w:rsidP="005140B4">
            <w:pPr>
              <w:pStyle w:val="OGTableofFigures"/>
              <w:rPr>
                <w:lang w:eastAsia="en-AU"/>
              </w:rPr>
            </w:pPr>
            <w:r w:rsidRPr="00821779">
              <w:t>804</w:t>
            </w:r>
          </w:p>
        </w:tc>
        <w:tc>
          <w:tcPr>
            <w:tcW w:w="993" w:type="dxa"/>
            <w:tcBorders>
              <w:top w:val="single" w:sz="6" w:space="0" w:color="auto"/>
              <w:left w:val="nil"/>
              <w:bottom w:val="nil"/>
              <w:right w:val="nil"/>
            </w:tcBorders>
            <w:shd w:val="clear" w:color="000000" w:fill="FFFFFF"/>
            <w:hideMark/>
          </w:tcPr>
          <w:p w:rsidR="00A53D7D" w:rsidRPr="00283AF4" w:rsidRDefault="00A53D7D" w:rsidP="005140B4">
            <w:pPr>
              <w:pStyle w:val="OGTableofFigures"/>
              <w:rPr>
                <w:lang w:eastAsia="en-AU"/>
              </w:rPr>
            </w:pPr>
            <w:r w:rsidRPr="00821779">
              <w:t>804</w:t>
            </w:r>
          </w:p>
        </w:tc>
        <w:tc>
          <w:tcPr>
            <w:tcW w:w="895" w:type="dxa"/>
            <w:tcBorders>
              <w:top w:val="single" w:sz="6" w:space="0" w:color="auto"/>
              <w:left w:val="nil"/>
              <w:bottom w:val="nil"/>
              <w:right w:val="nil"/>
            </w:tcBorders>
            <w:shd w:val="clear" w:color="000000" w:fill="FFFFFF"/>
            <w:hideMark/>
          </w:tcPr>
          <w:p w:rsidR="00A53D7D" w:rsidRPr="00283AF4" w:rsidRDefault="00A53D7D" w:rsidP="005140B4">
            <w:pPr>
              <w:pStyle w:val="OGTableofFigures"/>
              <w:rPr>
                <w:lang w:eastAsia="en-AU"/>
              </w:rPr>
            </w:pPr>
            <w:r w:rsidRPr="00283AF4">
              <w:rPr>
                <w:lang w:eastAsia="en-AU"/>
              </w:rPr>
              <w:t>807</w:t>
            </w:r>
          </w:p>
        </w:tc>
        <w:tc>
          <w:tcPr>
            <w:tcW w:w="925" w:type="dxa"/>
            <w:gridSpan w:val="2"/>
            <w:tcBorders>
              <w:top w:val="single" w:sz="6" w:space="0" w:color="auto"/>
              <w:left w:val="nil"/>
              <w:bottom w:val="nil"/>
              <w:right w:val="nil"/>
            </w:tcBorders>
            <w:shd w:val="clear" w:color="000000" w:fill="FFFFFF"/>
            <w:hideMark/>
          </w:tcPr>
          <w:p w:rsidR="00A53D7D" w:rsidRDefault="00A53D7D" w:rsidP="005140B4">
            <w:pPr>
              <w:pStyle w:val="OGTableofFigures"/>
              <w:rPr>
                <w:lang w:eastAsia="en-AU"/>
              </w:rPr>
            </w:pPr>
            <w:r w:rsidRPr="00283AF4">
              <w:rPr>
                <w:lang w:eastAsia="en-AU"/>
              </w:rPr>
              <w:t>657</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Default="00A53D7D" w:rsidP="005140B4">
            <w:pPr>
              <w:pStyle w:val="OGNotes"/>
              <w:spacing w:after="0"/>
            </w:pPr>
            <w:r w:rsidRPr="00D53429">
              <w:t>Figures for this performance measure for 2013</w:t>
            </w:r>
            <w:r>
              <w:noBreakHyphen/>
            </w:r>
            <w:r w:rsidRPr="00D53429">
              <w:t>14 relates to the 2014 calendar year and 2014</w:t>
            </w:r>
            <w:r>
              <w:noBreakHyphen/>
            </w:r>
            <w:r w:rsidRPr="00D53429">
              <w:t xml:space="preserve">15 relates to the 2015 calendar year. The targets are based on an estimate of the number of schools eligible for </w:t>
            </w:r>
            <w:r>
              <w:t>primary welfare officers</w:t>
            </w:r>
            <w:r w:rsidRPr="00D53429">
              <w:t xml:space="preserve"> funding. The lower 2013</w:t>
            </w:r>
            <w:r>
              <w:noBreakHyphen/>
            </w:r>
            <w:r w:rsidRPr="00D53429">
              <w:t xml:space="preserve">14 </w:t>
            </w:r>
            <w:r>
              <w:t>expected outcome</w:t>
            </w:r>
            <w:r w:rsidRPr="00D53429">
              <w:t xml:space="preserve"> is due to school closures and mergers</w:t>
            </w:r>
            <w:r>
              <w:t>,</w:t>
            </w:r>
            <w:r w:rsidRPr="00D53429">
              <w:t xml:space="preserve"> which could not be known at the time the target was set. </w:t>
            </w:r>
          </w:p>
          <w:p w:rsidR="00A53D7D" w:rsidRPr="00A42C8E" w:rsidRDefault="00A53D7D" w:rsidP="00A42C8E">
            <w:pPr>
              <w:pStyle w:val="OGNotes"/>
              <w:spacing w:after="40"/>
            </w:pPr>
            <w:r w:rsidRPr="00A42C8E">
              <w:t>The 2014</w:t>
            </w:r>
            <w:r w:rsidRPr="00A42C8E">
              <w:noBreakHyphen/>
              <w:t>15 target is lower than the 2013</w:t>
            </w:r>
            <w:r w:rsidRPr="00A42C8E">
              <w:noBreakHyphen/>
              <w:t>14 target due to the variations in funding levels, student enrolments and the student family occupation index which can impact on the number of schools eligible for funding.</w:t>
            </w:r>
          </w:p>
        </w:tc>
      </w:tr>
      <w:tr w:rsidR="00A53D7D" w:rsidRPr="005C542E" w:rsidTr="005140B4">
        <w:trPr>
          <w:cantSplit/>
        </w:trPr>
        <w:tc>
          <w:tcPr>
            <w:tcW w:w="3108" w:type="dxa"/>
            <w:tcBorders>
              <w:top w:val="single" w:sz="6" w:space="0" w:color="auto"/>
              <w:left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Cost</w:t>
            </w:r>
          </w:p>
        </w:tc>
        <w:tc>
          <w:tcPr>
            <w:tcW w:w="952" w:type="dxa"/>
            <w:gridSpan w:val="2"/>
            <w:tcBorders>
              <w:top w:val="single" w:sz="6" w:space="0" w:color="auto"/>
              <w:left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bottom w:val="nil"/>
              <w:right w:val="nil"/>
            </w:tcBorders>
            <w:shd w:val="clear" w:color="000000" w:fill="FFFFFF"/>
            <w:hideMark/>
          </w:tcPr>
          <w:p w:rsidR="00A53D7D" w:rsidRPr="005C542E" w:rsidRDefault="00A53D7D" w:rsidP="005140B4">
            <w:pPr>
              <w:pStyle w:val="OGTabText"/>
              <w:rPr>
                <w:lang w:eastAsia="en-AU"/>
              </w:rPr>
            </w:pPr>
            <w:r w:rsidRPr="005C542E">
              <w:rPr>
                <w:lang w:eastAsia="en-AU"/>
              </w:rPr>
              <w:t>Total output cost</w:t>
            </w:r>
          </w:p>
        </w:tc>
        <w:tc>
          <w:tcPr>
            <w:tcW w:w="952" w:type="dxa"/>
            <w:gridSpan w:val="2"/>
            <w:tcBorders>
              <w:top w:val="nil"/>
              <w:left w:val="nil"/>
              <w:bottom w:val="nil"/>
              <w:right w:val="nil"/>
            </w:tcBorders>
            <w:shd w:val="clear" w:color="000000" w:fill="FFFFFF"/>
            <w:hideMark/>
          </w:tcPr>
          <w:p w:rsidR="00A53D7D" w:rsidRPr="005C542E" w:rsidRDefault="00A53D7D" w:rsidP="005140B4">
            <w:pPr>
              <w:pStyle w:val="OGUoM"/>
              <w:rPr>
                <w:lang w:eastAsia="en-AU"/>
              </w:rPr>
            </w:pPr>
            <w:r>
              <w:t>$ million</w:t>
            </w:r>
          </w:p>
        </w:tc>
        <w:tc>
          <w:tcPr>
            <w:tcW w:w="909" w:type="dxa"/>
            <w:tcBorders>
              <w:top w:val="nil"/>
              <w:left w:val="nil"/>
              <w:bottom w:val="nil"/>
              <w:right w:val="nil"/>
            </w:tcBorders>
            <w:shd w:val="clear" w:color="auto" w:fill="D9D9D9"/>
            <w:hideMark/>
          </w:tcPr>
          <w:p w:rsidR="00A53D7D" w:rsidRPr="00C03979" w:rsidRDefault="00A53D7D" w:rsidP="005140B4">
            <w:pPr>
              <w:pStyle w:val="OGTableofFigures"/>
              <w:rPr>
                <w:lang w:eastAsia="en-AU"/>
              </w:rPr>
            </w:pPr>
            <w:r>
              <w:rPr>
                <w:lang w:eastAsia="en-AU"/>
              </w:rPr>
              <w:t>272.4</w:t>
            </w:r>
          </w:p>
        </w:tc>
        <w:tc>
          <w:tcPr>
            <w:tcW w:w="993" w:type="dxa"/>
            <w:tcBorders>
              <w:top w:val="nil"/>
              <w:left w:val="nil"/>
              <w:bottom w:val="nil"/>
              <w:right w:val="nil"/>
            </w:tcBorders>
            <w:shd w:val="clear" w:color="000000" w:fill="FFFFFF"/>
            <w:hideMark/>
          </w:tcPr>
          <w:p w:rsidR="00A53D7D" w:rsidRPr="00C03979" w:rsidRDefault="00A53D7D" w:rsidP="005140B4">
            <w:pPr>
              <w:pStyle w:val="OGTableofFigures"/>
              <w:rPr>
                <w:lang w:eastAsia="en-AU"/>
              </w:rPr>
            </w:pPr>
            <w:r>
              <w:rPr>
                <w:lang w:eastAsia="en-AU"/>
              </w:rPr>
              <w:t>297.9</w:t>
            </w:r>
          </w:p>
        </w:tc>
        <w:tc>
          <w:tcPr>
            <w:tcW w:w="895" w:type="dxa"/>
            <w:tcBorders>
              <w:top w:val="nil"/>
              <w:left w:val="nil"/>
              <w:bottom w:val="nil"/>
              <w:right w:val="nil"/>
            </w:tcBorders>
            <w:shd w:val="clear" w:color="000000" w:fill="FFFFFF"/>
            <w:hideMark/>
          </w:tcPr>
          <w:p w:rsidR="00A53D7D" w:rsidRPr="001642A1" w:rsidRDefault="00A53D7D" w:rsidP="005140B4">
            <w:pPr>
              <w:pStyle w:val="OGTableofFigures"/>
              <w:rPr>
                <w:lang w:eastAsia="en-AU"/>
              </w:rPr>
            </w:pPr>
            <w:r w:rsidRPr="001642A1">
              <w:rPr>
                <w:lang w:eastAsia="en-AU"/>
              </w:rPr>
              <w:t>297.2</w:t>
            </w:r>
          </w:p>
        </w:tc>
        <w:tc>
          <w:tcPr>
            <w:tcW w:w="925" w:type="dxa"/>
            <w:gridSpan w:val="2"/>
            <w:tcBorders>
              <w:top w:val="nil"/>
              <w:left w:val="nil"/>
              <w:bottom w:val="nil"/>
              <w:right w:val="nil"/>
            </w:tcBorders>
            <w:shd w:val="clear" w:color="000000" w:fill="FFFFFF"/>
            <w:hideMark/>
          </w:tcPr>
          <w:p w:rsidR="00A53D7D" w:rsidRDefault="00A53D7D" w:rsidP="005140B4">
            <w:pPr>
              <w:pStyle w:val="OGTableofFigures"/>
              <w:rPr>
                <w:lang w:eastAsia="en-AU"/>
              </w:rPr>
            </w:pPr>
            <w:r w:rsidRPr="001642A1">
              <w:rPr>
                <w:lang w:eastAsia="en-AU"/>
              </w:rPr>
              <w:t>304.9</w:t>
            </w:r>
          </w:p>
        </w:tc>
      </w:tr>
      <w:tr w:rsidR="00A53D7D" w:rsidRPr="005C542E" w:rsidTr="005140B4">
        <w:trPr>
          <w:cantSplit/>
        </w:trPr>
        <w:tc>
          <w:tcPr>
            <w:tcW w:w="7782" w:type="dxa"/>
            <w:gridSpan w:val="8"/>
            <w:tcBorders>
              <w:top w:val="nil"/>
              <w:left w:val="nil"/>
              <w:bottom w:val="single" w:sz="12" w:space="0" w:color="auto"/>
              <w:right w:val="nil"/>
            </w:tcBorders>
            <w:shd w:val="clear" w:color="000000" w:fill="FFFFFF"/>
          </w:tcPr>
          <w:p w:rsidR="00A53D7D" w:rsidRPr="000263FB" w:rsidRDefault="00A53D7D" w:rsidP="00A42C8E">
            <w:pPr>
              <w:pStyle w:val="OGTabText"/>
              <w:spacing w:before="0" w:after="40"/>
              <w:ind w:left="403"/>
              <w:rPr>
                <w:sz w:val="15"/>
                <w:szCs w:val="15"/>
                <w:lang w:eastAsia="en-AU"/>
              </w:rPr>
            </w:pPr>
            <w:r w:rsidRPr="000263FB">
              <w:rPr>
                <w:i/>
                <w:sz w:val="15"/>
                <w:szCs w:val="15"/>
                <w:lang w:eastAsia="en-AU"/>
              </w:rPr>
              <w:t>The lower 2014</w:t>
            </w:r>
            <w:r>
              <w:rPr>
                <w:i/>
                <w:sz w:val="15"/>
                <w:szCs w:val="15"/>
                <w:lang w:eastAsia="en-AU"/>
              </w:rPr>
              <w:noBreakHyphen/>
            </w:r>
            <w:r w:rsidRPr="000263FB">
              <w:rPr>
                <w:i/>
                <w:sz w:val="15"/>
                <w:szCs w:val="15"/>
                <w:lang w:eastAsia="en-AU"/>
              </w:rPr>
              <w:t xml:space="preserve">15 </w:t>
            </w:r>
            <w:r>
              <w:rPr>
                <w:i/>
                <w:sz w:val="15"/>
                <w:szCs w:val="15"/>
                <w:lang w:eastAsia="en-AU"/>
              </w:rPr>
              <w:t>target</w:t>
            </w:r>
            <w:r w:rsidRPr="000263FB">
              <w:rPr>
                <w:i/>
                <w:sz w:val="15"/>
                <w:szCs w:val="15"/>
                <w:lang w:eastAsia="en-AU"/>
              </w:rPr>
              <w:t xml:space="preserve"> primarily reflects the cessation of the Education Maintenance Allowance program from 1</w:t>
            </w:r>
            <w:r>
              <w:rPr>
                <w:i/>
                <w:sz w:val="15"/>
                <w:szCs w:val="15"/>
                <w:lang w:eastAsia="en-AU"/>
              </w:rPr>
              <w:t> </w:t>
            </w:r>
            <w:r w:rsidRPr="000263FB">
              <w:rPr>
                <w:i/>
                <w:sz w:val="15"/>
                <w:szCs w:val="15"/>
                <w:lang w:eastAsia="en-AU"/>
              </w:rPr>
              <w:t>January 2015.</w:t>
            </w:r>
          </w:p>
        </w:tc>
      </w:tr>
    </w:tbl>
    <w:p w:rsidR="00A53D7D" w:rsidRDefault="00A53D7D" w:rsidP="005140B4">
      <w:pPr>
        <w:pStyle w:val="Source"/>
      </w:pPr>
      <w:r w:rsidRPr="004F04BA">
        <w:t>Source: Department of Education and Early Childhood Development</w:t>
      </w:r>
      <w:r>
        <w:fldChar w:fldCharType="begin"/>
      </w:r>
      <w:r>
        <w:instrText xml:space="preserve"> XE "</w:instrText>
      </w:r>
      <w:r w:rsidRPr="001A70C6">
        <w:instrText>Department o</w:instrText>
      </w:r>
      <w:r>
        <w:instrText>f</w:instrText>
      </w:r>
      <w:r w:rsidRPr="001A70C6">
        <w:instrText xml:space="preserve"> Education and Early Childhood Development:Support Services Delivery</w:instrText>
      </w:r>
      <w:r>
        <w:instrText xml:space="preserve">" \r "DEECDsupport" </w:instrText>
      </w:r>
      <w:r>
        <w:fldChar w:fldCharType="end"/>
      </w:r>
      <w:r>
        <w:fldChar w:fldCharType="begin"/>
      </w:r>
      <w:r>
        <w:instrText xml:space="preserve"> XE "</w:instrText>
      </w:r>
      <w:r w:rsidRPr="00CB2D70">
        <w:instrText>School Education</w:instrText>
      </w:r>
      <w:r>
        <w:instrText xml:space="preserve">" \r "DEECDsupport" </w:instrText>
      </w:r>
      <w:r>
        <w:fldChar w:fldCharType="end"/>
      </w:r>
    </w:p>
    <w:bookmarkEnd w:id="75"/>
    <w:p w:rsidR="00A53D7D" w:rsidRDefault="00A53D7D">
      <w:pPr>
        <w:spacing w:after="0"/>
      </w:pPr>
      <w:r>
        <w:br w:type="page"/>
      </w:r>
    </w:p>
    <w:p w:rsidR="00A53D7D" w:rsidRDefault="00A53D7D" w:rsidP="005140B4">
      <w:pPr>
        <w:pStyle w:val="OGHeading1"/>
      </w:pPr>
      <w:r>
        <w:t>Support for Students with Disabilities</w:t>
      </w:r>
    </w:p>
    <w:p w:rsidR="00A53D7D" w:rsidRDefault="00A53D7D" w:rsidP="005140B4">
      <w:pPr>
        <w:pStyle w:val="OGText"/>
      </w:pPr>
      <w:r>
        <w:t xml:space="preserve">The Support for Students with Disabilities output group covers the Program for Students with Disabilities, transport for special need students and welfare and support services for students with special needs. This output group contributes towards providing and improving services to support all the Department’s objectives of achievement, engagement, </w:t>
      </w:r>
      <w:proofErr w:type="gramStart"/>
      <w:r>
        <w:t>wellbeing</w:t>
      </w:r>
      <w:proofErr w:type="gramEnd"/>
      <w:r>
        <w:t xml:space="preserve"> and productivity.</w:t>
      </w:r>
    </w:p>
    <w:tbl>
      <w:tblPr>
        <w:tblW w:w="7782" w:type="dxa"/>
        <w:tblInd w:w="29" w:type="dxa"/>
        <w:tblLayout w:type="fixed"/>
        <w:tblCellMar>
          <w:left w:w="43" w:type="dxa"/>
          <w:right w:w="43" w:type="dxa"/>
        </w:tblCellMar>
        <w:tblLook w:val="04A0" w:firstRow="1" w:lastRow="0" w:firstColumn="1" w:lastColumn="0" w:noHBand="0" w:noVBand="1"/>
      </w:tblPr>
      <w:tblGrid>
        <w:gridCol w:w="3108"/>
        <w:gridCol w:w="42"/>
        <w:gridCol w:w="910"/>
        <w:gridCol w:w="909"/>
        <w:gridCol w:w="993"/>
        <w:gridCol w:w="895"/>
        <w:gridCol w:w="12"/>
        <w:gridCol w:w="913"/>
      </w:tblGrid>
      <w:tr w:rsidR="00A53D7D" w:rsidRPr="00204234" w:rsidTr="005140B4">
        <w:trPr>
          <w:cantSplit/>
        </w:trPr>
        <w:tc>
          <w:tcPr>
            <w:tcW w:w="3150" w:type="dxa"/>
            <w:gridSpan w:val="2"/>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10"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9"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gridSpan w:val="2"/>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13"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rPr>
        <w:tc>
          <w:tcPr>
            <w:tcW w:w="3150" w:type="dxa"/>
            <w:gridSpan w:val="2"/>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10"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9"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gridSpan w:val="2"/>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Pr>
                <w:color w:val="FFFFFF"/>
                <w:lang w:eastAsia="en-AU"/>
              </w:rPr>
              <w:t>Target</w:t>
            </w:r>
          </w:p>
        </w:tc>
        <w:tc>
          <w:tcPr>
            <w:tcW w:w="91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Pr="005C542E" w:rsidRDefault="00A53D7D" w:rsidP="005140B4">
            <w:pPr>
              <w:pStyle w:val="OGHeading2"/>
              <w:rPr>
                <w:lang w:eastAsia="en-AU"/>
              </w:rPr>
            </w:pPr>
            <w:r w:rsidRPr="005C542E">
              <w:rPr>
                <w:lang w:eastAsia="en-AU"/>
              </w:rPr>
              <w:t>Support for Students with Disabilities</w:t>
            </w:r>
          </w:p>
        </w:tc>
      </w:tr>
      <w:tr w:rsidR="00A53D7D" w:rsidRPr="005C542E" w:rsidTr="005140B4">
        <w:trPr>
          <w:cantSplit/>
        </w:trPr>
        <w:tc>
          <w:tcPr>
            <w:tcW w:w="7782" w:type="dxa"/>
            <w:gridSpan w:val="8"/>
            <w:tcBorders>
              <w:top w:val="nil"/>
              <w:left w:val="nil"/>
              <w:bottom w:val="nil"/>
              <w:right w:val="nil"/>
            </w:tcBorders>
            <w:shd w:val="clear" w:color="auto" w:fill="auto"/>
            <w:vAlign w:val="bottom"/>
            <w:hideMark/>
          </w:tcPr>
          <w:p w:rsidR="00A53D7D" w:rsidRPr="005C542E" w:rsidRDefault="00A53D7D" w:rsidP="005140B4">
            <w:pPr>
              <w:pStyle w:val="OGText"/>
              <w:rPr>
                <w:lang w:eastAsia="en-AU"/>
              </w:rPr>
            </w:pPr>
            <w:r w:rsidRPr="005C542E">
              <w:rPr>
                <w:lang w:eastAsia="en-AU"/>
              </w:rPr>
              <w:t>This output includes delivery of services for the Program for Students with Disabilities and transport for special need</w:t>
            </w:r>
            <w:r>
              <w:rPr>
                <w:lang w:eastAsia="en-AU"/>
              </w:rPr>
              <w:t>s</w:t>
            </w:r>
            <w:r w:rsidRPr="005C542E">
              <w:rPr>
                <w:lang w:eastAsia="en-AU"/>
              </w:rPr>
              <w:t xml:space="preserve"> students and welfare and support services for students with special needs.</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Quality</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bottom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bottom w:val="nil"/>
              <w:right w:val="nil"/>
            </w:tcBorders>
            <w:shd w:val="clear" w:color="000000" w:fill="FFFFFF"/>
            <w:hideMark/>
          </w:tcPr>
          <w:p w:rsidR="00A53D7D" w:rsidRPr="005C542E" w:rsidRDefault="00A53D7D" w:rsidP="005140B4">
            <w:pPr>
              <w:pStyle w:val="OGTabText"/>
              <w:rPr>
                <w:lang w:eastAsia="en-AU"/>
              </w:rPr>
            </w:pPr>
            <w:r w:rsidRPr="005C542E">
              <w:rPr>
                <w:lang w:eastAsia="en-AU"/>
              </w:rPr>
              <w:t>Parent satisfaction with special education on a 100</w:t>
            </w:r>
            <w:r>
              <w:rPr>
                <w:lang w:eastAsia="en-AU"/>
              </w:rPr>
              <w:noBreakHyphen/>
            </w:r>
            <w:r w:rsidRPr="005C542E">
              <w:rPr>
                <w:lang w:eastAsia="en-AU"/>
              </w:rPr>
              <w:t>point scale</w:t>
            </w:r>
          </w:p>
        </w:tc>
        <w:tc>
          <w:tcPr>
            <w:tcW w:w="952" w:type="dxa"/>
            <w:gridSpan w:val="2"/>
            <w:tcBorders>
              <w:top w:val="nil"/>
              <w:left w:val="nil"/>
              <w:bottom w:val="nil"/>
              <w:right w:val="nil"/>
            </w:tcBorders>
            <w:shd w:val="clear" w:color="000000" w:fill="FFFFFF"/>
            <w:hideMark/>
          </w:tcPr>
          <w:p w:rsidR="00A53D7D" w:rsidRPr="005C542E" w:rsidRDefault="00A53D7D" w:rsidP="005140B4">
            <w:pPr>
              <w:pStyle w:val="OGUoM"/>
              <w:rPr>
                <w:lang w:eastAsia="en-AU"/>
              </w:rPr>
            </w:pPr>
            <w:r w:rsidRPr="005C542E">
              <w:rPr>
                <w:lang w:eastAsia="en-AU"/>
              </w:rPr>
              <w:t>100</w:t>
            </w:r>
            <w:r>
              <w:rPr>
                <w:lang w:eastAsia="en-AU"/>
              </w:rPr>
              <w:noBreakHyphen/>
            </w:r>
            <w:r w:rsidRPr="005C542E">
              <w:rPr>
                <w:lang w:eastAsia="en-AU"/>
              </w:rPr>
              <w:t>point scale</w:t>
            </w:r>
          </w:p>
        </w:tc>
        <w:tc>
          <w:tcPr>
            <w:tcW w:w="909" w:type="dxa"/>
            <w:tcBorders>
              <w:top w:val="nil"/>
              <w:left w:val="nil"/>
              <w:bottom w:val="nil"/>
              <w:right w:val="nil"/>
            </w:tcBorders>
            <w:shd w:val="clear" w:color="auto" w:fill="D9D9D9"/>
            <w:hideMark/>
          </w:tcPr>
          <w:p w:rsidR="00A53D7D" w:rsidRPr="005C542E" w:rsidRDefault="00A53D7D" w:rsidP="005140B4">
            <w:pPr>
              <w:pStyle w:val="OGTableofFigures"/>
              <w:rPr>
                <w:lang w:eastAsia="en-AU"/>
              </w:rPr>
            </w:pPr>
            <w:r w:rsidRPr="005C542E">
              <w:rPr>
                <w:lang w:eastAsia="en-AU"/>
              </w:rPr>
              <w:t>85</w:t>
            </w:r>
          </w:p>
        </w:tc>
        <w:tc>
          <w:tcPr>
            <w:tcW w:w="993" w:type="dxa"/>
            <w:tcBorders>
              <w:top w:val="nil"/>
              <w:left w:val="nil"/>
              <w:bottom w:val="nil"/>
              <w:right w:val="nil"/>
            </w:tcBorders>
            <w:shd w:val="clear" w:color="auto" w:fill="auto"/>
            <w:hideMark/>
          </w:tcPr>
          <w:p w:rsidR="00A53D7D" w:rsidRPr="005C542E" w:rsidRDefault="00A53D7D" w:rsidP="005140B4">
            <w:pPr>
              <w:pStyle w:val="OGTableofFigures"/>
              <w:rPr>
                <w:lang w:eastAsia="en-AU"/>
              </w:rPr>
            </w:pPr>
            <w:r w:rsidRPr="005C542E">
              <w:rPr>
                <w:lang w:eastAsia="en-AU"/>
              </w:rPr>
              <w:t>85</w:t>
            </w:r>
          </w:p>
        </w:tc>
        <w:tc>
          <w:tcPr>
            <w:tcW w:w="895" w:type="dxa"/>
            <w:tcBorders>
              <w:top w:val="nil"/>
              <w:left w:val="nil"/>
              <w:bottom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85</w:t>
            </w:r>
          </w:p>
        </w:tc>
        <w:tc>
          <w:tcPr>
            <w:tcW w:w="925" w:type="dxa"/>
            <w:gridSpan w:val="2"/>
            <w:tcBorders>
              <w:top w:val="nil"/>
              <w:left w:val="nil"/>
              <w:bottom w:val="nil"/>
              <w:right w:val="nil"/>
            </w:tcBorders>
            <w:shd w:val="clear" w:color="000000" w:fill="FFFFFF"/>
            <w:hideMark/>
          </w:tcPr>
          <w:p w:rsidR="00A53D7D" w:rsidRPr="005C542E" w:rsidRDefault="00A53D7D" w:rsidP="005140B4">
            <w:pPr>
              <w:pStyle w:val="OGTableofFigures"/>
              <w:rPr>
                <w:lang w:eastAsia="en-AU"/>
              </w:rPr>
            </w:pPr>
            <w:r>
              <w:rPr>
                <w:lang w:eastAsia="en-AU"/>
              </w:rPr>
              <w:t>85</w:t>
            </w:r>
          </w:p>
        </w:tc>
      </w:tr>
      <w:tr w:rsidR="00A53D7D" w:rsidRPr="005C542E" w:rsidTr="005140B4">
        <w:trPr>
          <w:cantSplit/>
        </w:trPr>
        <w:tc>
          <w:tcPr>
            <w:tcW w:w="7782" w:type="dxa"/>
            <w:gridSpan w:val="8"/>
            <w:tcBorders>
              <w:top w:val="nil"/>
              <w:left w:val="nil"/>
              <w:bottom w:val="nil"/>
              <w:right w:val="nil"/>
            </w:tcBorders>
            <w:shd w:val="clear" w:color="000000" w:fill="FFFFFF"/>
          </w:tcPr>
          <w:p w:rsidR="00A53D7D" w:rsidRPr="005C542E" w:rsidRDefault="00A53D7D" w:rsidP="005140B4">
            <w:pPr>
              <w:pStyle w:val="OGNotes"/>
            </w:pPr>
            <w:r w:rsidRPr="00BF40B1">
              <w:t>This performance measure relates to the calendar year.</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Quantity</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bottom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bottom w:val="nil"/>
              <w:right w:val="nil"/>
            </w:tcBorders>
            <w:shd w:val="clear" w:color="000000" w:fill="FFFFFF"/>
            <w:hideMark/>
          </w:tcPr>
          <w:p w:rsidR="00A53D7D" w:rsidRPr="005C542E" w:rsidRDefault="00A53D7D" w:rsidP="005140B4">
            <w:pPr>
              <w:pStyle w:val="OGTabText"/>
              <w:rPr>
                <w:lang w:eastAsia="en-AU"/>
              </w:rPr>
            </w:pPr>
            <w:r w:rsidRPr="005C542E">
              <w:rPr>
                <w:lang w:eastAsia="en-AU"/>
              </w:rPr>
              <w:t>Eligible special school students provided with appropriate travel</w:t>
            </w:r>
          </w:p>
        </w:tc>
        <w:tc>
          <w:tcPr>
            <w:tcW w:w="952" w:type="dxa"/>
            <w:gridSpan w:val="2"/>
            <w:tcBorders>
              <w:top w:val="nil"/>
              <w:left w:val="nil"/>
              <w:bottom w:val="nil"/>
              <w:right w:val="nil"/>
            </w:tcBorders>
            <w:shd w:val="clear" w:color="000000" w:fill="FFFFFF"/>
            <w:hideMark/>
          </w:tcPr>
          <w:p w:rsidR="00A53D7D" w:rsidRPr="005C542E" w:rsidRDefault="00A53D7D" w:rsidP="005140B4">
            <w:pPr>
              <w:pStyle w:val="OGUoM"/>
              <w:rPr>
                <w:lang w:eastAsia="en-AU"/>
              </w:rPr>
            </w:pPr>
            <w:r w:rsidRPr="005C542E">
              <w:rPr>
                <w:lang w:eastAsia="en-AU"/>
              </w:rPr>
              <w:t>number</w:t>
            </w:r>
          </w:p>
        </w:tc>
        <w:tc>
          <w:tcPr>
            <w:tcW w:w="909" w:type="dxa"/>
            <w:tcBorders>
              <w:top w:val="nil"/>
              <w:left w:val="nil"/>
              <w:bottom w:val="nil"/>
              <w:right w:val="nil"/>
            </w:tcBorders>
            <w:shd w:val="clear" w:color="auto" w:fill="D9D9D9"/>
            <w:hideMark/>
          </w:tcPr>
          <w:p w:rsidR="00A53D7D" w:rsidRPr="00514EAB" w:rsidRDefault="00A53D7D" w:rsidP="005140B4">
            <w:pPr>
              <w:pStyle w:val="OGTableofFigures"/>
              <w:rPr>
                <w:lang w:eastAsia="en-AU"/>
              </w:rPr>
            </w:pPr>
            <w:r w:rsidRPr="006129D8">
              <w:t>8</w:t>
            </w:r>
            <w:r>
              <w:t> </w:t>
            </w:r>
            <w:r w:rsidRPr="006129D8">
              <w:t>500</w:t>
            </w:r>
          </w:p>
        </w:tc>
        <w:tc>
          <w:tcPr>
            <w:tcW w:w="993" w:type="dxa"/>
            <w:tcBorders>
              <w:top w:val="nil"/>
              <w:left w:val="nil"/>
              <w:bottom w:val="nil"/>
              <w:right w:val="nil"/>
            </w:tcBorders>
            <w:shd w:val="clear" w:color="000000" w:fill="FFFFFF"/>
            <w:hideMark/>
          </w:tcPr>
          <w:p w:rsidR="00A53D7D" w:rsidRPr="00514EAB" w:rsidRDefault="00A53D7D" w:rsidP="005140B4">
            <w:pPr>
              <w:pStyle w:val="OGTableofFigures"/>
              <w:rPr>
                <w:lang w:eastAsia="en-AU"/>
              </w:rPr>
            </w:pPr>
            <w:r w:rsidRPr="006129D8">
              <w:t>8</w:t>
            </w:r>
            <w:r>
              <w:t> </w:t>
            </w:r>
            <w:r w:rsidRPr="006129D8">
              <w:t>182</w:t>
            </w:r>
          </w:p>
        </w:tc>
        <w:tc>
          <w:tcPr>
            <w:tcW w:w="895" w:type="dxa"/>
            <w:tcBorders>
              <w:top w:val="nil"/>
              <w:left w:val="nil"/>
              <w:bottom w:val="nil"/>
              <w:right w:val="nil"/>
            </w:tcBorders>
            <w:shd w:val="clear" w:color="000000" w:fill="FFFFFF"/>
            <w:hideMark/>
          </w:tcPr>
          <w:p w:rsidR="00A53D7D" w:rsidRPr="00514EAB" w:rsidRDefault="00A53D7D" w:rsidP="005140B4">
            <w:pPr>
              <w:pStyle w:val="OGTableofFigures"/>
              <w:rPr>
                <w:lang w:eastAsia="en-AU"/>
              </w:rPr>
            </w:pPr>
            <w:r w:rsidRPr="00514EAB">
              <w:rPr>
                <w:lang w:eastAsia="en-AU"/>
              </w:rPr>
              <w:t>8 300</w:t>
            </w:r>
          </w:p>
        </w:tc>
        <w:tc>
          <w:tcPr>
            <w:tcW w:w="925" w:type="dxa"/>
            <w:gridSpan w:val="2"/>
            <w:tcBorders>
              <w:top w:val="nil"/>
              <w:left w:val="nil"/>
              <w:bottom w:val="nil"/>
              <w:right w:val="nil"/>
            </w:tcBorders>
            <w:shd w:val="clear" w:color="000000" w:fill="FFFFFF"/>
            <w:hideMark/>
          </w:tcPr>
          <w:p w:rsidR="00A53D7D" w:rsidRDefault="00A53D7D" w:rsidP="005140B4">
            <w:pPr>
              <w:pStyle w:val="OGTableofFigures"/>
              <w:rPr>
                <w:lang w:eastAsia="en-AU"/>
              </w:rPr>
            </w:pPr>
            <w:r w:rsidRPr="00514EAB">
              <w:rPr>
                <w:lang w:eastAsia="en-AU"/>
              </w:rPr>
              <w:t>8 081</w:t>
            </w:r>
          </w:p>
        </w:tc>
      </w:tr>
      <w:tr w:rsidR="00A53D7D" w:rsidRPr="005C542E" w:rsidTr="005140B4">
        <w:trPr>
          <w:cantSplit/>
        </w:trPr>
        <w:tc>
          <w:tcPr>
            <w:tcW w:w="7782" w:type="dxa"/>
            <w:gridSpan w:val="8"/>
            <w:tcBorders>
              <w:top w:val="nil"/>
              <w:left w:val="nil"/>
              <w:bottom w:val="nil"/>
              <w:right w:val="nil"/>
            </w:tcBorders>
            <w:shd w:val="clear" w:color="000000" w:fill="FFFFFF"/>
          </w:tcPr>
          <w:p w:rsidR="00A53D7D" w:rsidRDefault="00A53D7D" w:rsidP="005140B4">
            <w:pPr>
              <w:pStyle w:val="OGNotes"/>
              <w:spacing w:after="0"/>
            </w:pPr>
            <w:r w:rsidRPr="00BF40B1">
              <w:t>This performance measure relates to the calendar year.</w:t>
            </w:r>
          </w:p>
          <w:p w:rsidR="00A53D7D" w:rsidRDefault="00A53D7D" w:rsidP="005140B4">
            <w:pPr>
              <w:pStyle w:val="OGNotes"/>
              <w:spacing w:after="0"/>
            </w:pPr>
            <w:r w:rsidRPr="00710613">
              <w:t>The 2013</w:t>
            </w:r>
            <w:r>
              <w:noBreakHyphen/>
            </w:r>
            <w:r w:rsidRPr="00710613">
              <w:t xml:space="preserve">14 </w:t>
            </w:r>
            <w:r>
              <w:t>expected outcome</w:t>
            </w:r>
            <w:r w:rsidRPr="00710613">
              <w:t xml:space="preserve"> is lower than the 2013</w:t>
            </w:r>
            <w:r>
              <w:noBreakHyphen/>
            </w:r>
            <w:r w:rsidRPr="00710613">
              <w:t xml:space="preserve">14 </w:t>
            </w:r>
            <w:r>
              <w:t>target</w:t>
            </w:r>
            <w:r w:rsidRPr="00710613">
              <w:t xml:space="preserve"> due to a number of factors including changes in enrolments at specialist schools and parental choice about transport.</w:t>
            </w:r>
          </w:p>
          <w:p w:rsidR="00A53D7D" w:rsidRPr="00A42C8E" w:rsidRDefault="00A53D7D" w:rsidP="00A42C8E">
            <w:pPr>
              <w:pStyle w:val="OGNotes"/>
              <w:spacing w:after="40"/>
            </w:pPr>
            <w:r w:rsidRPr="00A42C8E">
              <w:t>The 2014</w:t>
            </w:r>
            <w:r w:rsidRPr="00A42C8E">
              <w:noBreakHyphen/>
              <w:t>15 target is higher than the 2013</w:t>
            </w:r>
            <w:r w:rsidRPr="00A42C8E">
              <w:noBreakHyphen/>
              <w:t xml:space="preserve">14 target due to increased capacity in the specialist school system (that is, two new specialist schools opening in 2014) and enrolment growth in this system. </w:t>
            </w:r>
          </w:p>
        </w:tc>
      </w:tr>
      <w:tr w:rsidR="00A53D7D" w:rsidRPr="005C542E" w:rsidTr="005140B4">
        <w:trPr>
          <w:cantSplit/>
        </w:trPr>
        <w:tc>
          <w:tcPr>
            <w:tcW w:w="3108" w:type="dxa"/>
            <w:tcBorders>
              <w:top w:val="single" w:sz="6" w:space="0" w:color="auto"/>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Students funded under the disabilities program in government schools as a proportion of the total student population</w:t>
            </w:r>
          </w:p>
        </w:tc>
        <w:tc>
          <w:tcPr>
            <w:tcW w:w="952" w:type="dxa"/>
            <w:gridSpan w:val="2"/>
            <w:tcBorders>
              <w:top w:val="single" w:sz="6" w:space="0" w:color="auto"/>
              <w:left w:val="nil"/>
              <w:right w:val="nil"/>
            </w:tcBorders>
            <w:shd w:val="clear" w:color="000000" w:fill="FFFFFF"/>
            <w:hideMark/>
          </w:tcPr>
          <w:p w:rsidR="00A53D7D" w:rsidRPr="005C542E" w:rsidRDefault="00A53D7D" w:rsidP="005140B4">
            <w:pPr>
              <w:pStyle w:val="OGUoM"/>
              <w:rPr>
                <w:lang w:eastAsia="en-AU"/>
              </w:rPr>
            </w:pPr>
            <w:r>
              <w:rPr>
                <w:lang w:eastAsia="en-AU"/>
              </w:rPr>
              <w:t>per cent</w:t>
            </w:r>
          </w:p>
        </w:tc>
        <w:tc>
          <w:tcPr>
            <w:tcW w:w="909" w:type="dxa"/>
            <w:tcBorders>
              <w:top w:val="single" w:sz="6" w:space="0" w:color="auto"/>
              <w:left w:val="nil"/>
              <w:right w:val="nil"/>
            </w:tcBorders>
            <w:shd w:val="clear" w:color="auto" w:fill="D9D9D9"/>
            <w:hideMark/>
          </w:tcPr>
          <w:p w:rsidR="00A53D7D" w:rsidRPr="005C542E" w:rsidRDefault="00A53D7D" w:rsidP="005140B4">
            <w:pPr>
              <w:pStyle w:val="OGTableofFigures"/>
              <w:rPr>
                <w:lang w:eastAsia="en-AU"/>
              </w:rPr>
            </w:pPr>
            <w:r w:rsidRPr="005C542E">
              <w:rPr>
                <w:lang w:eastAsia="en-AU"/>
              </w:rPr>
              <w:t>4</w:t>
            </w:r>
            <w:r>
              <w:rPr>
                <w:lang w:eastAsia="en-AU"/>
              </w:rPr>
              <w:t>.1</w:t>
            </w:r>
          </w:p>
        </w:tc>
        <w:tc>
          <w:tcPr>
            <w:tcW w:w="993" w:type="dxa"/>
            <w:tcBorders>
              <w:top w:val="single" w:sz="6" w:space="0" w:color="auto"/>
              <w:left w:val="nil"/>
              <w:right w:val="nil"/>
            </w:tcBorders>
            <w:shd w:val="clear" w:color="auto" w:fill="auto"/>
            <w:hideMark/>
          </w:tcPr>
          <w:p w:rsidR="00A53D7D" w:rsidRPr="005C542E" w:rsidRDefault="00A53D7D" w:rsidP="005140B4">
            <w:pPr>
              <w:pStyle w:val="OGTableofFigures"/>
              <w:rPr>
                <w:lang w:eastAsia="en-AU"/>
              </w:rPr>
            </w:pPr>
            <w:r w:rsidRPr="005C542E">
              <w:rPr>
                <w:lang w:eastAsia="en-AU"/>
              </w:rPr>
              <w:t>4</w:t>
            </w:r>
          </w:p>
        </w:tc>
        <w:tc>
          <w:tcPr>
            <w:tcW w:w="895" w:type="dxa"/>
            <w:tcBorders>
              <w:top w:val="single" w:sz="6" w:space="0" w:color="auto"/>
              <w:left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4</w:t>
            </w:r>
          </w:p>
        </w:tc>
        <w:tc>
          <w:tcPr>
            <w:tcW w:w="925" w:type="dxa"/>
            <w:gridSpan w:val="2"/>
            <w:tcBorders>
              <w:top w:val="single" w:sz="6" w:space="0" w:color="auto"/>
              <w:left w:val="nil"/>
              <w:right w:val="nil"/>
            </w:tcBorders>
            <w:shd w:val="clear" w:color="000000" w:fill="FFFFFF"/>
            <w:hideMark/>
          </w:tcPr>
          <w:p w:rsidR="00A53D7D" w:rsidRPr="005C542E" w:rsidRDefault="00A53D7D" w:rsidP="005140B4">
            <w:pPr>
              <w:pStyle w:val="OGTableofFigures"/>
              <w:rPr>
                <w:lang w:eastAsia="en-AU"/>
              </w:rPr>
            </w:pPr>
            <w:r w:rsidRPr="005C542E">
              <w:rPr>
                <w:lang w:eastAsia="en-AU"/>
              </w:rPr>
              <w:t>4</w:t>
            </w:r>
          </w:p>
        </w:tc>
      </w:tr>
      <w:tr w:rsidR="00A53D7D" w:rsidRPr="005C542E" w:rsidTr="005140B4">
        <w:trPr>
          <w:cantSplit/>
        </w:trPr>
        <w:tc>
          <w:tcPr>
            <w:tcW w:w="7782" w:type="dxa"/>
            <w:gridSpan w:val="8"/>
            <w:tcBorders>
              <w:left w:val="nil"/>
              <w:bottom w:val="single" w:sz="6" w:space="0" w:color="auto"/>
              <w:right w:val="nil"/>
            </w:tcBorders>
            <w:shd w:val="clear" w:color="000000" w:fill="FFFFFF"/>
          </w:tcPr>
          <w:p w:rsidR="00A53D7D" w:rsidRDefault="00A53D7D" w:rsidP="005140B4">
            <w:pPr>
              <w:spacing w:after="0"/>
              <w:ind w:left="363" w:right="113"/>
              <w:rPr>
                <w:rFonts w:ascii="Calibri" w:hAnsi="Calibri"/>
                <w:i/>
                <w:sz w:val="15"/>
                <w:lang w:eastAsia="en-AU"/>
              </w:rPr>
            </w:pPr>
            <w:r w:rsidRPr="00BF40B1">
              <w:rPr>
                <w:rFonts w:ascii="Calibri" w:hAnsi="Calibri"/>
                <w:i/>
                <w:sz w:val="15"/>
                <w:lang w:eastAsia="en-AU"/>
              </w:rPr>
              <w:t>This performance measure relates to the calendar year.</w:t>
            </w:r>
          </w:p>
          <w:p w:rsidR="00A53D7D" w:rsidRPr="005C542E" w:rsidRDefault="00A53D7D" w:rsidP="005140B4">
            <w:pPr>
              <w:pStyle w:val="OGNotes"/>
            </w:pPr>
            <w:r w:rsidRPr="003257B1">
              <w:t>The higher 2014</w:t>
            </w:r>
            <w:r>
              <w:noBreakHyphen/>
            </w:r>
            <w:r w:rsidRPr="003257B1">
              <w:t xml:space="preserve">15 </w:t>
            </w:r>
            <w:r>
              <w:t>target</w:t>
            </w:r>
            <w:r w:rsidRPr="003257B1">
              <w:t xml:space="preserve"> reflects an increasing proportion of eligible students for the program.</w:t>
            </w:r>
          </w:p>
        </w:tc>
      </w:tr>
      <w:tr w:rsidR="00A53D7D" w:rsidRPr="005C542E" w:rsidTr="005140B4">
        <w:trPr>
          <w:cantSplit/>
        </w:trPr>
        <w:tc>
          <w:tcPr>
            <w:tcW w:w="3108" w:type="dxa"/>
            <w:tcBorders>
              <w:top w:val="single" w:sz="6" w:space="0" w:color="auto"/>
              <w:left w:val="nil"/>
              <w:bottom w:val="nil"/>
              <w:right w:val="nil"/>
            </w:tcBorders>
            <w:shd w:val="clear" w:color="auto" w:fill="auto"/>
            <w:vAlign w:val="bottom"/>
            <w:hideMark/>
          </w:tcPr>
          <w:p w:rsidR="00A53D7D" w:rsidRPr="005C542E" w:rsidRDefault="00A53D7D" w:rsidP="005140B4">
            <w:pPr>
              <w:pStyle w:val="OGTabHead"/>
              <w:rPr>
                <w:lang w:eastAsia="en-AU"/>
              </w:rPr>
            </w:pPr>
            <w:r w:rsidRPr="005C542E">
              <w:rPr>
                <w:lang w:eastAsia="en-AU"/>
              </w:rPr>
              <w:t>Cost</w:t>
            </w:r>
          </w:p>
        </w:tc>
        <w:tc>
          <w:tcPr>
            <w:tcW w:w="952"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center"/>
              <w:rPr>
                <w:lang w:eastAsia="en-AU"/>
              </w:rPr>
            </w:pPr>
          </w:p>
        </w:tc>
        <w:tc>
          <w:tcPr>
            <w:tcW w:w="909" w:type="dxa"/>
            <w:tcBorders>
              <w:top w:val="single" w:sz="6" w:space="0" w:color="auto"/>
              <w:left w:val="nil"/>
              <w:bottom w:val="nil"/>
              <w:right w:val="nil"/>
            </w:tcBorders>
            <w:shd w:val="clear" w:color="auto" w:fill="D9D9D9"/>
            <w:noWrap/>
            <w:hideMark/>
          </w:tcPr>
          <w:p w:rsidR="00A53D7D" w:rsidRPr="005C542E" w:rsidRDefault="00A53D7D" w:rsidP="005140B4">
            <w:pPr>
              <w:pStyle w:val="OGTabText"/>
              <w:jc w:val="right"/>
              <w:rPr>
                <w:lang w:eastAsia="en-AU"/>
              </w:rPr>
            </w:pPr>
          </w:p>
        </w:tc>
        <w:tc>
          <w:tcPr>
            <w:tcW w:w="993"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c>
          <w:tcPr>
            <w:tcW w:w="925" w:type="dxa"/>
            <w:gridSpan w:val="2"/>
            <w:tcBorders>
              <w:top w:val="single" w:sz="6" w:space="0" w:color="auto"/>
              <w:left w:val="nil"/>
              <w:bottom w:val="nil"/>
              <w:right w:val="nil"/>
            </w:tcBorders>
            <w:shd w:val="clear" w:color="auto" w:fill="auto"/>
            <w:noWrap/>
            <w:hideMark/>
          </w:tcPr>
          <w:p w:rsidR="00A53D7D" w:rsidRPr="005C542E" w:rsidRDefault="00A53D7D" w:rsidP="005140B4">
            <w:pPr>
              <w:pStyle w:val="OGTabText"/>
              <w:jc w:val="right"/>
              <w:rPr>
                <w:lang w:eastAsia="en-AU"/>
              </w:rPr>
            </w:pPr>
          </w:p>
        </w:tc>
      </w:tr>
      <w:tr w:rsidR="00A53D7D" w:rsidRPr="005C542E" w:rsidTr="005140B4">
        <w:trPr>
          <w:cantSplit/>
        </w:trPr>
        <w:tc>
          <w:tcPr>
            <w:tcW w:w="3108" w:type="dxa"/>
            <w:tcBorders>
              <w:top w:val="nil"/>
              <w:left w:val="nil"/>
              <w:right w:val="nil"/>
            </w:tcBorders>
            <w:shd w:val="clear" w:color="000000" w:fill="FFFFFF"/>
            <w:hideMark/>
          </w:tcPr>
          <w:p w:rsidR="00A53D7D" w:rsidRPr="005C542E" w:rsidRDefault="00A53D7D" w:rsidP="005140B4">
            <w:pPr>
              <w:pStyle w:val="OGTabText"/>
              <w:rPr>
                <w:lang w:eastAsia="en-AU"/>
              </w:rPr>
            </w:pPr>
            <w:r w:rsidRPr="005C542E">
              <w:rPr>
                <w:lang w:eastAsia="en-AU"/>
              </w:rPr>
              <w:t>Total output cost</w:t>
            </w:r>
          </w:p>
        </w:tc>
        <w:tc>
          <w:tcPr>
            <w:tcW w:w="952" w:type="dxa"/>
            <w:gridSpan w:val="2"/>
            <w:tcBorders>
              <w:top w:val="nil"/>
              <w:left w:val="nil"/>
              <w:right w:val="nil"/>
            </w:tcBorders>
            <w:shd w:val="clear" w:color="000000" w:fill="FFFFFF"/>
            <w:hideMark/>
          </w:tcPr>
          <w:p w:rsidR="00A53D7D" w:rsidRPr="004F04BA" w:rsidRDefault="00A53D7D" w:rsidP="005140B4">
            <w:pPr>
              <w:pStyle w:val="OGUoM"/>
            </w:pPr>
            <w:r w:rsidRPr="004F04BA">
              <w:t>$</w:t>
            </w:r>
            <w:r>
              <w:t> million</w:t>
            </w:r>
          </w:p>
        </w:tc>
        <w:tc>
          <w:tcPr>
            <w:tcW w:w="909" w:type="dxa"/>
            <w:tcBorders>
              <w:top w:val="nil"/>
              <w:left w:val="nil"/>
              <w:right w:val="nil"/>
            </w:tcBorders>
            <w:shd w:val="clear" w:color="auto" w:fill="D9D9D9"/>
            <w:hideMark/>
          </w:tcPr>
          <w:p w:rsidR="00A53D7D" w:rsidRPr="00E64AC0" w:rsidRDefault="00A53D7D" w:rsidP="005140B4">
            <w:pPr>
              <w:pStyle w:val="OGTableofFigures"/>
              <w:rPr>
                <w:lang w:eastAsia="en-AU"/>
              </w:rPr>
            </w:pPr>
            <w:r>
              <w:rPr>
                <w:lang w:eastAsia="en-AU"/>
              </w:rPr>
              <w:t>835.5</w:t>
            </w:r>
          </w:p>
        </w:tc>
        <w:tc>
          <w:tcPr>
            <w:tcW w:w="993" w:type="dxa"/>
            <w:tcBorders>
              <w:top w:val="nil"/>
              <w:left w:val="nil"/>
              <w:right w:val="nil"/>
            </w:tcBorders>
            <w:shd w:val="clear" w:color="000000" w:fill="FFFFFF"/>
            <w:hideMark/>
          </w:tcPr>
          <w:p w:rsidR="00A53D7D" w:rsidRPr="00E64AC0" w:rsidRDefault="00A53D7D" w:rsidP="005140B4">
            <w:pPr>
              <w:pStyle w:val="OGTableofFigures"/>
              <w:rPr>
                <w:lang w:eastAsia="en-AU"/>
              </w:rPr>
            </w:pPr>
            <w:r>
              <w:rPr>
                <w:lang w:eastAsia="en-AU"/>
              </w:rPr>
              <w:t>774.0</w:t>
            </w:r>
          </w:p>
        </w:tc>
        <w:tc>
          <w:tcPr>
            <w:tcW w:w="895" w:type="dxa"/>
            <w:tcBorders>
              <w:top w:val="nil"/>
              <w:left w:val="nil"/>
              <w:right w:val="nil"/>
            </w:tcBorders>
            <w:shd w:val="clear" w:color="000000" w:fill="FFFFFF"/>
            <w:hideMark/>
          </w:tcPr>
          <w:p w:rsidR="00A53D7D" w:rsidRPr="00290D0A" w:rsidRDefault="00A53D7D" w:rsidP="005140B4">
            <w:pPr>
              <w:pStyle w:val="OGTableofFigures"/>
              <w:rPr>
                <w:lang w:eastAsia="en-AU"/>
              </w:rPr>
            </w:pPr>
            <w:r w:rsidRPr="00290D0A">
              <w:rPr>
                <w:lang w:eastAsia="en-AU"/>
              </w:rPr>
              <w:t>773.6</w:t>
            </w:r>
          </w:p>
        </w:tc>
        <w:tc>
          <w:tcPr>
            <w:tcW w:w="925" w:type="dxa"/>
            <w:gridSpan w:val="2"/>
            <w:tcBorders>
              <w:top w:val="nil"/>
              <w:left w:val="nil"/>
              <w:right w:val="nil"/>
            </w:tcBorders>
            <w:shd w:val="clear" w:color="000000" w:fill="FFFFFF"/>
            <w:hideMark/>
          </w:tcPr>
          <w:p w:rsidR="00A53D7D" w:rsidRDefault="00A53D7D" w:rsidP="005140B4">
            <w:pPr>
              <w:pStyle w:val="OGTableofFigures"/>
              <w:rPr>
                <w:lang w:eastAsia="en-AU"/>
              </w:rPr>
            </w:pPr>
            <w:r w:rsidRPr="00290D0A">
              <w:rPr>
                <w:lang w:eastAsia="en-AU"/>
              </w:rPr>
              <w:t>718.8</w:t>
            </w:r>
          </w:p>
        </w:tc>
      </w:tr>
      <w:tr w:rsidR="00A53D7D" w:rsidRPr="005C542E" w:rsidTr="005140B4">
        <w:trPr>
          <w:cantSplit/>
        </w:trPr>
        <w:tc>
          <w:tcPr>
            <w:tcW w:w="7782" w:type="dxa"/>
            <w:gridSpan w:val="8"/>
            <w:tcBorders>
              <w:left w:val="nil"/>
              <w:bottom w:val="single" w:sz="12" w:space="0" w:color="auto"/>
              <w:right w:val="nil"/>
            </w:tcBorders>
            <w:shd w:val="clear" w:color="000000" w:fill="FFFFFF"/>
          </w:tcPr>
          <w:p w:rsidR="00A53D7D" w:rsidRPr="005C542E" w:rsidRDefault="00A53D7D" w:rsidP="005140B4">
            <w:pPr>
              <w:pStyle w:val="OGNotes"/>
            </w:pPr>
            <w:r w:rsidRPr="002E4659">
              <w:t>The higher 2014</w:t>
            </w:r>
            <w:r>
              <w:noBreakHyphen/>
            </w:r>
            <w:r w:rsidRPr="002E4659">
              <w:t xml:space="preserve">15 </w:t>
            </w:r>
            <w:r>
              <w:t>target</w:t>
            </w:r>
            <w:r w:rsidRPr="002E4659">
              <w:t xml:space="preserve"> primarily reflects growth in the number of eligible students and increased </w:t>
            </w:r>
            <w:r>
              <w:t xml:space="preserve">total </w:t>
            </w:r>
            <w:r w:rsidRPr="002E4659">
              <w:t>delivery costs.</w:t>
            </w:r>
          </w:p>
        </w:tc>
      </w:tr>
    </w:tbl>
    <w:p w:rsidR="00A53D7D" w:rsidRDefault="00A53D7D" w:rsidP="005140B4">
      <w:pPr>
        <w:pStyle w:val="Source"/>
      </w:pPr>
      <w:r w:rsidRPr="004F04BA">
        <w:t>Source: Department of Education and Early Childhood Development</w:t>
      </w:r>
      <w:r>
        <w:fldChar w:fldCharType="begin"/>
      </w:r>
      <w:r>
        <w:instrText xml:space="preserve"> XE "</w:instrText>
      </w:r>
      <w:r w:rsidRPr="003277C2">
        <w:instrText>Department of Education and Early Childhood Development:Support for Students with Disabilities</w:instrText>
      </w:r>
      <w:r>
        <w:instrText xml:space="preserve">" </w:instrText>
      </w:r>
      <w:r>
        <w:fldChar w:fldCharType="end"/>
      </w:r>
      <w:r>
        <w:fldChar w:fldCharType="begin"/>
      </w:r>
      <w:r>
        <w:instrText xml:space="preserve"> XE "Disability:</w:instrText>
      </w:r>
      <w:r w:rsidRPr="00B5115E">
        <w:instrText>Support for Students with Disabilities</w:instrText>
      </w:r>
      <w:r>
        <w:instrText xml:space="preserve">" </w:instrText>
      </w:r>
      <w:r>
        <w:fldChar w:fldCharType="end"/>
      </w:r>
    </w:p>
    <w:p w:rsidR="00A53D7D" w:rsidRPr="00172FB3" w:rsidRDefault="00A53D7D" w:rsidP="005140B4"/>
    <w:p w:rsidR="00A53D7D" w:rsidRDefault="00A53D7D" w:rsidP="00497606"/>
    <w:p w:rsidR="00A53D7D" w:rsidRDefault="00A53D7D" w:rsidP="004463C6">
      <w:pPr>
        <w:sectPr w:rsidR="00A53D7D" w:rsidSect="00CD2017">
          <w:footerReference w:type="even" r:id="rId23"/>
          <w:footerReference w:type="default" r:id="rId24"/>
          <w:pgSz w:w="9979" w:h="14181" w:code="138"/>
          <w:pgMar w:top="1140" w:right="1140" w:bottom="1140" w:left="1140" w:header="720" w:footer="431" w:gutter="0"/>
          <w:cols w:space="708"/>
          <w:docGrid w:linePitch="360"/>
        </w:sectPr>
      </w:pPr>
    </w:p>
    <w:p w:rsidR="00A53D7D" w:rsidRDefault="00A53D7D" w:rsidP="005140B4">
      <w:pPr>
        <w:pStyle w:val="Heading1"/>
      </w:pPr>
      <w:bookmarkStart w:id="76" w:name="_Toc386364076"/>
      <w:bookmarkStart w:id="77" w:name="_Toc386541217"/>
      <w:bookmarkStart w:id="78" w:name="_Toc407116909"/>
      <w:r>
        <w:t>Department of Environment and Primary Industries</w:t>
      </w:r>
      <w:bookmarkEnd w:id="76"/>
      <w:bookmarkEnd w:id="77"/>
      <w:bookmarkEnd w:id="78"/>
    </w:p>
    <w:p w:rsidR="00A53D7D" w:rsidRDefault="00A53D7D" w:rsidP="005140B4">
      <w:pPr>
        <w:pStyle w:val="Heading2"/>
      </w:pPr>
      <w:r>
        <w:t>Ministerial portfolios</w:t>
      </w:r>
    </w:p>
    <w:p w:rsidR="00A53D7D" w:rsidRDefault="00A53D7D" w:rsidP="005140B4">
      <w:r w:rsidRPr="000E650F">
        <w:t>The Department supports the ministerial portfolios of Agriculture and Food Security, Water and Environment and Climate Change.</w:t>
      </w:r>
    </w:p>
    <w:p w:rsidR="00A53D7D" w:rsidRDefault="00A53D7D" w:rsidP="005140B4">
      <w:pPr>
        <w:pStyle w:val="Heading2"/>
      </w:pPr>
      <w:r>
        <w:t>Departmental mission statement</w:t>
      </w:r>
    </w:p>
    <w:p w:rsidR="00A53D7D" w:rsidRDefault="00A53D7D" w:rsidP="005140B4">
      <w:r>
        <w:t>The Department of Environment and Primary Industries’ mission is to provide a better and more efficient management approach for public and private land and water for the people of Victoria.</w:t>
      </w:r>
    </w:p>
    <w:p w:rsidR="00A53D7D" w:rsidRDefault="00A53D7D" w:rsidP="005140B4">
      <w:r>
        <w:t>The Department will focus on protecting our environment, boosting productivity in Victoria’s world</w:t>
      </w:r>
      <w:r>
        <w:noBreakHyphen/>
        <w:t>class food and fibre sector and the management of our natural resources, strongly influenced by decision making at a local level.</w:t>
      </w:r>
    </w:p>
    <w:p w:rsidR="00A53D7D" w:rsidRDefault="00A53D7D" w:rsidP="005140B4">
      <w:pPr>
        <w:pStyle w:val="Heading2"/>
      </w:pPr>
      <w:r>
        <w:t>Departmental objectives, indicators and outputs</w:t>
      </w:r>
    </w:p>
    <w:p w:rsidR="00A53D7D" w:rsidRDefault="00A53D7D" w:rsidP="005140B4">
      <w:r w:rsidRPr="000E650F">
        <w:t>The Department of Environment and Primary Industries’ objectives, indicators and linked outputs are</w:t>
      </w:r>
      <w:r>
        <w:t>:</w:t>
      </w:r>
    </w:p>
    <w:tbl>
      <w:tblPr>
        <w:tblW w:w="5000" w:type="pct"/>
        <w:tblInd w:w="29" w:type="dxa"/>
        <w:tblLayout w:type="fixed"/>
        <w:tblCellMar>
          <w:top w:w="45" w:type="dxa"/>
          <w:left w:w="43" w:type="dxa"/>
          <w:right w:w="43" w:type="dxa"/>
        </w:tblCellMar>
        <w:tblLook w:val="01E0" w:firstRow="1" w:lastRow="1" w:firstColumn="1" w:lastColumn="1" w:noHBand="0" w:noVBand="0"/>
      </w:tblPr>
      <w:tblGrid>
        <w:gridCol w:w="2593"/>
        <w:gridCol w:w="2596"/>
        <w:gridCol w:w="2596"/>
      </w:tblGrid>
      <w:tr w:rsidR="00A53D7D" w:rsidRPr="000E650F" w:rsidTr="005140B4">
        <w:trPr>
          <w:cantSplit/>
          <w:tblHeader/>
        </w:trPr>
        <w:tc>
          <w:tcPr>
            <w:tcW w:w="2595" w:type="dxa"/>
            <w:tcBorders>
              <w:top w:val="single" w:sz="6" w:space="0" w:color="auto"/>
              <w:left w:val="single" w:sz="6" w:space="0" w:color="auto"/>
              <w:bottom w:val="single" w:sz="6" w:space="0" w:color="auto"/>
            </w:tcBorders>
            <w:shd w:val="clear" w:color="auto" w:fill="000000"/>
          </w:tcPr>
          <w:p w:rsidR="00A53D7D" w:rsidRPr="000E650F" w:rsidRDefault="00A53D7D" w:rsidP="005140B4">
            <w:pPr>
              <w:pStyle w:val="Tabletextheadingleft"/>
              <w:spacing w:after="80"/>
              <w:rPr>
                <w:lang w:eastAsia="en-AU"/>
              </w:rPr>
            </w:pPr>
            <w:r w:rsidRPr="000E650F">
              <w:rPr>
                <w:lang w:eastAsia="en-AU"/>
              </w:rPr>
              <w:t>Departmental objectives</w:t>
            </w:r>
          </w:p>
        </w:tc>
        <w:tc>
          <w:tcPr>
            <w:tcW w:w="2597" w:type="dxa"/>
            <w:tcBorders>
              <w:top w:val="single" w:sz="6" w:space="0" w:color="auto"/>
              <w:bottom w:val="single" w:sz="6" w:space="0" w:color="auto"/>
            </w:tcBorders>
            <w:shd w:val="clear" w:color="auto" w:fill="000000"/>
          </w:tcPr>
          <w:p w:rsidR="00A53D7D" w:rsidRPr="000E650F" w:rsidRDefault="00A53D7D" w:rsidP="005140B4">
            <w:pPr>
              <w:pStyle w:val="Tabletextheadingleft"/>
              <w:spacing w:after="80"/>
              <w:rPr>
                <w:lang w:eastAsia="en-AU"/>
              </w:rPr>
            </w:pPr>
            <w:r w:rsidRPr="000E650F">
              <w:rPr>
                <w:lang w:eastAsia="en-AU"/>
              </w:rPr>
              <w:t>Indicators</w:t>
            </w:r>
          </w:p>
        </w:tc>
        <w:tc>
          <w:tcPr>
            <w:tcW w:w="2597" w:type="dxa"/>
            <w:tcBorders>
              <w:top w:val="single" w:sz="6" w:space="0" w:color="auto"/>
              <w:bottom w:val="single" w:sz="6" w:space="0" w:color="auto"/>
              <w:right w:val="single" w:sz="6" w:space="0" w:color="auto"/>
            </w:tcBorders>
            <w:shd w:val="clear" w:color="auto" w:fill="000000"/>
          </w:tcPr>
          <w:p w:rsidR="00A53D7D" w:rsidRPr="000E650F" w:rsidRDefault="00A53D7D" w:rsidP="005140B4">
            <w:pPr>
              <w:pStyle w:val="Tabletextheadingleft"/>
              <w:spacing w:after="80"/>
              <w:rPr>
                <w:lang w:eastAsia="en-AU"/>
              </w:rPr>
            </w:pPr>
            <w:r w:rsidRPr="000E650F">
              <w:rPr>
                <w:lang w:eastAsia="en-AU"/>
              </w:rPr>
              <w:t>Outputs</w:t>
            </w:r>
          </w:p>
        </w:tc>
      </w:tr>
      <w:tr w:rsidR="00A53D7D" w:rsidRPr="000E650F" w:rsidTr="005140B4">
        <w:trPr>
          <w:cantSplit/>
        </w:trPr>
        <w:tc>
          <w:tcPr>
            <w:tcW w:w="2595" w:type="dxa"/>
            <w:tcBorders>
              <w:top w:val="single" w:sz="6" w:space="0" w:color="auto"/>
              <w:bottom w:val="single" w:sz="6" w:space="0" w:color="auto"/>
            </w:tcBorders>
            <w:shd w:val="clear" w:color="auto" w:fill="auto"/>
          </w:tcPr>
          <w:p w:rsidR="00A53D7D" w:rsidRPr="00CF0B40" w:rsidRDefault="00A53D7D" w:rsidP="005140B4">
            <w:pPr>
              <w:pStyle w:val="Tabletext"/>
              <w:spacing w:after="80"/>
              <w:ind w:left="0" w:firstLine="0"/>
              <w:rPr>
                <w:rFonts w:asciiTheme="minorHAnsi" w:hAnsiTheme="minorHAnsi" w:cstheme="minorHAnsi"/>
                <w:szCs w:val="20"/>
                <w:vertAlign w:val="superscript"/>
              </w:rPr>
            </w:pPr>
            <w:r w:rsidRPr="000E650F">
              <w:rPr>
                <w:rFonts w:asciiTheme="minorHAnsi" w:hAnsiTheme="minorHAnsi" w:cstheme="minorHAnsi"/>
                <w:b/>
                <w:szCs w:val="20"/>
              </w:rPr>
              <w:t>Create productive and competitive agricultural industries</w:t>
            </w:r>
          </w:p>
        </w:tc>
        <w:tc>
          <w:tcPr>
            <w:tcW w:w="2597" w:type="dxa"/>
            <w:tcBorders>
              <w:top w:val="single" w:sz="6" w:space="0" w:color="auto"/>
              <w:bottom w:val="single" w:sz="6" w:space="0" w:color="auto"/>
            </w:tcBorders>
            <w:shd w:val="clear" w:color="auto" w:fill="auto"/>
          </w:tcPr>
          <w:p w:rsidR="00A53D7D" w:rsidRPr="009B2BDF" w:rsidRDefault="00A53D7D" w:rsidP="005140B4">
            <w:pPr>
              <w:pStyle w:val="Tabletext"/>
              <w:spacing w:after="80"/>
              <w:ind w:left="0" w:firstLine="0"/>
              <w:rPr>
                <w:rFonts w:asciiTheme="minorHAnsi" w:hAnsiTheme="minorHAnsi" w:cstheme="minorHAnsi"/>
                <w:szCs w:val="20"/>
                <w:vertAlign w:val="superscript"/>
              </w:rPr>
            </w:pPr>
            <w:r w:rsidRPr="000E650F">
              <w:rPr>
                <w:rFonts w:asciiTheme="minorHAnsi" w:hAnsiTheme="minorHAnsi" w:cstheme="minorHAnsi"/>
                <w:szCs w:val="20"/>
              </w:rPr>
              <w:t>Value of Victorian agricultural production</w:t>
            </w:r>
            <w:r>
              <w:rPr>
                <w:rFonts w:asciiTheme="minorHAnsi" w:hAnsiTheme="minorHAnsi" w:cstheme="minorHAnsi"/>
                <w:szCs w:val="20"/>
                <w:vertAlign w:val="superscript"/>
              </w:rPr>
              <w:t>(a)</w:t>
            </w:r>
          </w:p>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Value of Victorian agricultural exports</w:t>
            </w:r>
            <w:r w:rsidRPr="009B2BDF">
              <w:rPr>
                <w:rFonts w:asciiTheme="minorHAnsi" w:hAnsiTheme="minorHAnsi" w:cstheme="minorHAnsi"/>
                <w:szCs w:val="20"/>
                <w:vertAlign w:val="superscript"/>
              </w:rPr>
              <w:t>(a)</w:t>
            </w:r>
          </w:p>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Number of effective responses to biosecurity events, incursions and emergencies</w:t>
            </w:r>
            <w:r w:rsidRPr="009B2BDF">
              <w:rPr>
                <w:rFonts w:asciiTheme="minorHAnsi" w:hAnsiTheme="minorHAnsi" w:cstheme="minorHAnsi"/>
                <w:szCs w:val="20"/>
                <w:vertAlign w:val="superscript"/>
              </w:rPr>
              <w:t>(b)</w:t>
            </w:r>
          </w:p>
        </w:tc>
        <w:tc>
          <w:tcPr>
            <w:tcW w:w="2597" w:type="dxa"/>
            <w:tcBorders>
              <w:top w:val="single" w:sz="6" w:space="0" w:color="auto"/>
              <w:bottom w:val="single" w:sz="6" w:space="0" w:color="auto"/>
            </w:tcBorders>
          </w:tcPr>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Agriculture</w:t>
            </w:r>
          </w:p>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Biosecurity</w:t>
            </w:r>
          </w:p>
        </w:tc>
      </w:tr>
      <w:tr w:rsidR="00A53D7D" w:rsidRPr="000E650F" w:rsidTr="005140B4">
        <w:trPr>
          <w:cantSplit/>
        </w:trPr>
        <w:tc>
          <w:tcPr>
            <w:tcW w:w="2595" w:type="dxa"/>
            <w:tcBorders>
              <w:top w:val="single" w:sz="4" w:space="0" w:color="auto"/>
              <w:bottom w:val="single" w:sz="4" w:space="0" w:color="auto"/>
            </w:tcBorders>
            <w:shd w:val="clear" w:color="auto" w:fill="auto"/>
          </w:tcPr>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b/>
                <w:szCs w:val="20"/>
              </w:rPr>
              <w:t>Effective environmental and adaptation policy, investment and regulation</w:t>
            </w:r>
          </w:p>
        </w:tc>
        <w:tc>
          <w:tcPr>
            <w:tcW w:w="2597" w:type="dxa"/>
            <w:tcBorders>
              <w:top w:val="single" w:sz="4" w:space="0" w:color="auto"/>
              <w:bottom w:val="single" w:sz="4" w:space="0" w:color="auto"/>
            </w:tcBorders>
            <w:shd w:val="clear" w:color="auto" w:fill="auto"/>
          </w:tcPr>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Participation in community</w:t>
            </w:r>
            <w:r>
              <w:rPr>
                <w:rFonts w:asciiTheme="minorHAnsi" w:hAnsiTheme="minorHAnsi" w:cstheme="minorHAnsi"/>
                <w:szCs w:val="20"/>
              </w:rPr>
              <w:noBreakHyphen/>
            </w:r>
            <w:r w:rsidRPr="000E650F">
              <w:rPr>
                <w:rFonts w:asciiTheme="minorHAnsi" w:hAnsiTheme="minorHAnsi" w:cstheme="minorHAnsi"/>
                <w:szCs w:val="20"/>
              </w:rPr>
              <w:t>based environmental programs</w:t>
            </w:r>
          </w:p>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Level of support from key stakeholders for environmental and adaptation policy development and implementation</w:t>
            </w:r>
          </w:p>
          <w:p w:rsidR="00A53D7D" w:rsidRPr="000E650F" w:rsidRDefault="00A53D7D" w:rsidP="005140B4">
            <w:pPr>
              <w:pStyle w:val="Tabletext"/>
              <w:spacing w:after="80"/>
              <w:ind w:left="0" w:firstLine="0"/>
              <w:rPr>
                <w:rFonts w:asciiTheme="minorHAnsi" w:hAnsiTheme="minorHAnsi" w:cstheme="minorHAnsi"/>
                <w:b/>
                <w:szCs w:val="20"/>
              </w:rPr>
            </w:pPr>
            <w:r w:rsidRPr="000E650F">
              <w:rPr>
                <w:rFonts w:asciiTheme="minorHAnsi" w:hAnsiTheme="minorHAnsi" w:cstheme="minorHAnsi"/>
                <w:szCs w:val="20"/>
              </w:rPr>
              <w:t>Reduction in pollutants from priority hotspots</w:t>
            </w:r>
          </w:p>
        </w:tc>
        <w:tc>
          <w:tcPr>
            <w:tcW w:w="2597" w:type="dxa"/>
            <w:tcBorders>
              <w:top w:val="single" w:sz="4" w:space="0" w:color="auto"/>
              <w:bottom w:val="single" w:sz="4" w:space="0" w:color="auto"/>
            </w:tcBorders>
          </w:tcPr>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Environmental Programs</w:t>
            </w:r>
          </w:p>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Environmental Policy</w:t>
            </w:r>
          </w:p>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Statutory Activiti</w:t>
            </w:r>
            <w:r>
              <w:rPr>
                <w:rFonts w:asciiTheme="minorHAnsi" w:hAnsiTheme="minorHAnsi" w:cstheme="minorHAnsi"/>
                <w:szCs w:val="20"/>
              </w:rPr>
              <w:t>es and Environmental Protection</w:t>
            </w:r>
          </w:p>
        </w:tc>
      </w:tr>
      <w:tr w:rsidR="00A53D7D" w:rsidRPr="000E650F" w:rsidTr="005140B4">
        <w:trPr>
          <w:cantSplit/>
        </w:trPr>
        <w:tc>
          <w:tcPr>
            <w:tcW w:w="2595" w:type="dxa"/>
            <w:tcBorders>
              <w:top w:val="single" w:sz="4" w:space="0" w:color="auto"/>
              <w:bottom w:val="single" w:sz="4" w:space="0" w:color="auto"/>
            </w:tcBorders>
            <w:shd w:val="clear" w:color="auto" w:fill="auto"/>
          </w:tcPr>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b/>
                <w:szCs w:val="20"/>
              </w:rPr>
              <w:t>Effective management of water resources to meet future urban, rural and environmental needs</w:t>
            </w:r>
          </w:p>
        </w:tc>
        <w:tc>
          <w:tcPr>
            <w:tcW w:w="2597" w:type="dxa"/>
            <w:tcBorders>
              <w:top w:val="single" w:sz="4" w:space="0" w:color="auto"/>
              <w:bottom w:val="single" w:sz="4" w:space="0" w:color="auto"/>
            </w:tcBorders>
            <w:shd w:val="clear" w:color="auto" w:fill="auto"/>
          </w:tcPr>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Proportion of new homes and businesses connected to an alternative water source</w:t>
            </w:r>
          </w:p>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Proportion of properties directly connected to the modernised irrigation delivery system (in the Goulburn</w:t>
            </w:r>
            <w:r>
              <w:rPr>
                <w:rFonts w:asciiTheme="minorHAnsi" w:hAnsiTheme="minorHAnsi" w:cstheme="minorHAnsi"/>
                <w:szCs w:val="20"/>
              </w:rPr>
              <w:noBreakHyphen/>
            </w:r>
            <w:r w:rsidRPr="000E650F">
              <w:rPr>
                <w:rFonts w:asciiTheme="minorHAnsi" w:hAnsiTheme="minorHAnsi" w:cstheme="minorHAnsi"/>
                <w:szCs w:val="20"/>
              </w:rPr>
              <w:t>Murray and Macalister Irrigation Districts)</w:t>
            </w:r>
          </w:p>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Number of river reaches/wetlands with maintained or improved environmental condition</w:t>
            </w:r>
          </w:p>
        </w:tc>
        <w:tc>
          <w:tcPr>
            <w:tcW w:w="2597" w:type="dxa"/>
            <w:tcBorders>
              <w:top w:val="single" w:sz="4" w:space="0" w:color="auto"/>
              <w:bottom w:val="single" w:sz="4" w:space="0" w:color="auto"/>
            </w:tcBorders>
          </w:tcPr>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Effective Water Management and Supply</w:t>
            </w:r>
          </w:p>
        </w:tc>
      </w:tr>
      <w:tr w:rsidR="00A53D7D" w:rsidRPr="000E650F" w:rsidTr="005140B4">
        <w:trPr>
          <w:cantSplit/>
        </w:trPr>
        <w:tc>
          <w:tcPr>
            <w:tcW w:w="2595" w:type="dxa"/>
            <w:tcBorders>
              <w:top w:val="single" w:sz="4" w:space="0" w:color="auto"/>
              <w:bottom w:val="single" w:sz="4" w:space="0" w:color="auto"/>
            </w:tcBorders>
            <w:shd w:val="clear" w:color="auto" w:fill="auto"/>
          </w:tcPr>
          <w:p w:rsidR="00A53D7D" w:rsidRPr="00CF0B40" w:rsidRDefault="00A53D7D" w:rsidP="005140B4">
            <w:pPr>
              <w:pStyle w:val="Tabletext"/>
              <w:spacing w:after="80"/>
              <w:ind w:left="0" w:firstLine="0"/>
              <w:rPr>
                <w:rFonts w:asciiTheme="minorHAnsi" w:hAnsiTheme="minorHAnsi" w:cstheme="minorHAnsi"/>
                <w:szCs w:val="20"/>
                <w:vertAlign w:val="superscript"/>
              </w:rPr>
            </w:pPr>
            <w:r w:rsidRPr="000E650F">
              <w:rPr>
                <w:rFonts w:asciiTheme="minorHAnsi" w:hAnsiTheme="minorHAnsi" w:cstheme="minorHAnsi"/>
                <w:b/>
                <w:szCs w:val="20"/>
              </w:rPr>
              <w:t>Reduced impact of major bushfires and other emergencies on people, infrastructure and the environment</w:t>
            </w:r>
            <w:r>
              <w:rPr>
                <w:rFonts w:asciiTheme="minorHAnsi" w:hAnsiTheme="minorHAnsi" w:cstheme="minorHAnsi"/>
                <w:b/>
                <w:szCs w:val="20"/>
                <w:vertAlign w:val="superscript"/>
              </w:rPr>
              <w:t xml:space="preserve"> (c)</w:t>
            </w:r>
          </w:p>
        </w:tc>
        <w:tc>
          <w:tcPr>
            <w:tcW w:w="2597" w:type="dxa"/>
            <w:tcBorders>
              <w:top w:val="single" w:sz="4" w:space="0" w:color="auto"/>
              <w:bottom w:val="single" w:sz="4" w:space="0" w:color="auto"/>
            </w:tcBorders>
            <w:shd w:val="clear" w:color="auto" w:fill="auto"/>
          </w:tcPr>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Percentage of bushfires cont</w:t>
            </w:r>
            <w:r>
              <w:rPr>
                <w:rFonts w:asciiTheme="minorHAnsi" w:hAnsiTheme="minorHAnsi" w:cstheme="minorHAnsi"/>
                <w:szCs w:val="20"/>
              </w:rPr>
              <w:t>rolled at first attack and/</w:t>
            </w:r>
            <w:r w:rsidRPr="000E650F">
              <w:rPr>
                <w:rFonts w:asciiTheme="minorHAnsi" w:hAnsiTheme="minorHAnsi" w:cstheme="minorHAnsi"/>
                <w:szCs w:val="20"/>
              </w:rPr>
              <w:t xml:space="preserve">or under </w:t>
            </w:r>
            <w:r>
              <w:rPr>
                <w:rFonts w:asciiTheme="minorHAnsi" w:hAnsiTheme="minorHAnsi" w:cstheme="minorHAnsi"/>
                <w:szCs w:val="20"/>
              </w:rPr>
              <w:t>5</w:t>
            </w:r>
            <w:r w:rsidRPr="000E650F">
              <w:rPr>
                <w:rFonts w:asciiTheme="minorHAnsi" w:hAnsiTheme="minorHAnsi" w:cstheme="minorHAnsi"/>
                <w:szCs w:val="20"/>
              </w:rPr>
              <w:t xml:space="preserve"> hectares to suppress bushfires promptly, keep bushfires small and minimise loss</w:t>
            </w:r>
          </w:p>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 xml:space="preserve">Area of public land treated through planned burning and other treatments </w:t>
            </w:r>
          </w:p>
          <w:p w:rsidR="00A53D7D" w:rsidRPr="009B2BDF" w:rsidRDefault="00A53D7D" w:rsidP="005140B4">
            <w:pPr>
              <w:pStyle w:val="Tabletext"/>
              <w:spacing w:after="80"/>
              <w:ind w:left="0" w:firstLine="0"/>
              <w:rPr>
                <w:rFonts w:asciiTheme="minorHAnsi" w:hAnsiTheme="minorHAnsi" w:cstheme="minorHAnsi"/>
                <w:szCs w:val="20"/>
                <w:vertAlign w:val="superscript"/>
              </w:rPr>
            </w:pPr>
            <w:r w:rsidRPr="000E650F">
              <w:rPr>
                <w:rFonts w:asciiTheme="minorHAnsi" w:hAnsiTheme="minorHAnsi" w:cstheme="minorHAnsi"/>
                <w:szCs w:val="20"/>
              </w:rPr>
              <w:t>Adoption of consistent systems across DEPI to support efficient and effective emergency management</w:t>
            </w:r>
            <w:r>
              <w:rPr>
                <w:rFonts w:asciiTheme="minorHAnsi" w:hAnsiTheme="minorHAnsi" w:cstheme="minorHAnsi"/>
                <w:szCs w:val="20"/>
                <w:vertAlign w:val="superscript"/>
              </w:rPr>
              <w:t>(d)</w:t>
            </w:r>
          </w:p>
          <w:p w:rsidR="00A53D7D" w:rsidRPr="009B2BDF" w:rsidRDefault="00A53D7D" w:rsidP="005140B4">
            <w:pPr>
              <w:pStyle w:val="Tabletext"/>
              <w:spacing w:after="80"/>
              <w:ind w:left="0" w:firstLine="0"/>
              <w:rPr>
                <w:rFonts w:asciiTheme="minorHAnsi" w:hAnsiTheme="minorHAnsi" w:cstheme="minorHAnsi"/>
                <w:szCs w:val="20"/>
                <w:vertAlign w:val="superscript"/>
              </w:rPr>
            </w:pPr>
            <w:r w:rsidRPr="000E650F">
              <w:rPr>
                <w:rFonts w:asciiTheme="minorHAnsi" w:hAnsiTheme="minorHAnsi" w:cstheme="minorHAnsi"/>
                <w:szCs w:val="20"/>
              </w:rPr>
              <w:t>Percentage of agreed DEPI emergency management obligations met on time and to standard</w:t>
            </w:r>
            <w:r>
              <w:rPr>
                <w:rFonts w:asciiTheme="minorHAnsi" w:hAnsiTheme="minorHAnsi" w:cstheme="minorHAnsi"/>
                <w:szCs w:val="20"/>
                <w:vertAlign w:val="superscript"/>
              </w:rPr>
              <w:t xml:space="preserve">(d) </w:t>
            </w:r>
          </w:p>
        </w:tc>
        <w:tc>
          <w:tcPr>
            <w:tcW w:w="2597" w:type="dxa"/>
            <w:tcBorders>
              <w:top w:val="single" w:sz="4" w:space="0" w:color="auto"/>
              <w:bottom w:val="single" w:sz="4" w:space="0" w:color="auto"/>
            </w:tcBorders>
          </w:tcPr>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Fire and Emergency Management</w:t>
            </w:r>
          </w:p>
        </w:tc>
      </w:tr>
      <w:tr w:rsidR="00A53D7D" w:rsidRPr="000E650F" w:rsidTr="005140B4">
        <w:trPr>
          <w:cantSplit/>
        </w:trPr>
        <w:tc>
          <w:tcPr>
            <w:tcW w:w="2595" w:type="dxa"/>
            <w:tcBorders>
              <w:top w:val="single" w:sz="4" w:space="0" w:color="auto"/>
              <w:bottom w:val="single" w:sz="4" w:space="0" w:color="auto"/>
            </w:tcBorders>
            <w:shd w:val="clear" w:color="auto" w:fill="auto"/>
          </w:tcPr>
          <w:p w:rsidR="00A53D7D" w:rsidRPr="00647AEB" w:rsidRDefault="00A53D7D" w:rsidP="005140B4">
            <w:pPr>
              <w:pStyle w:val="Tabletext"/>
              <w:spacing w:after="80"/>
              <w:ind w:left="0" w:firstLine="0"/>
              <w:rPr>
                <w:rFonts w:asciiTheme="minorHAnsi" w:hAnsiTheme="minorHAnsi" w:cstheme="minorHAnsi"/>
                <w:b/>
                <w:szCs w:val="20"/>
              </w:rPr>
            </w:pPr>
            <w:r w:rsidRPr="000E650F">
              <w:rPr>
                <w:rFonts w:asciiTheme="minorHAnsi" w:hAnsiTheme="minorHAnsi" w:cstheme="minorHAnsi"/>
                <w:b/>
                <w:szCs w:val="20"/>
              </w:rPr>
              <w:t>Sustainably manage fish and forest resources</w:t>
            </w:r>
          </w:p>
        </w:tc>
        <w:tc>
          <w:tcPr>
            <w:tcW w:w="2597" w:type="dxa"/>
            <w:tcBorders>
              <w:top w:val="single" w:sz="4" w:space="0" w:color="auto"/>
              <w:bottom w:val="single" w:sz="4" w:space="0" w:color="auto"/>
            </w:tcBorders>
            <w:shd w:val="clear" w:color="auto" w:fill="auto"/>
          </w:tcPr>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Number of fisheries and levels of timber stocks maintained within sustainable limits</w:t>
            </w:r>
          </w:p>
        </w:tc>
        <w:tc>
          <w:tcPr>
            <w:tcW w:w="2597" w:type="dxa"/>
            <w:tcBorders>
              <w:top w:val="single" w:sz="4" w:space="0" w:color="auto"/>
              <w:bottom w:val="single" w:sz="4" w:space="0" w:color="auto"/>
            </w:tcBorders>
          </w:tcPr>
          <w:p w:rsidR="00A53D7D" w:rsidRPr="000E650F" w:rsidRDefault="00A53D7D" w:rsidP="005140B4">
            <w:pPr>
              <w:pStyle w:val="Tabletext"/>
              <w:spacing w:after="80"/>
              <w:ind w:left="0" w:firstLine="0"/>
              <w:rPr>
                <w:rFonts w:asciiTheme="minorHAnsi" w:hAnsiTheme="minorHAnsi" w:cstheme="minorHAnsi"/>
                <w:szCs w:val="20"/>
              </w:rPr>
            </w:pPr>
            <w:r w:rsidRPr="000E650F">
              <w:rPr>
                <w:rFonts w:asciiTheme="minorHAnsi" w:hAnsiTheme="minorHAnsi" w:cstheme="minorHAnsi"/>
                <w:szCs w:val="20"/>
              </w:rPr>
              <w:t>Sustainably manage fish and forest resources</w:t>
            </w:r>
          </w:p>
        </w:tc>
      </w:tr>
      <w:tr w:rsidR="00A53D7D" w:rsidRPr="000E650F" w:rsidTr="005140B4">
        <w:trPr>
          <w:cantSplit/>
        </w:trPr>
        <w:tc>
          <w:tcPr>
            <w:tcW w:w="2595" w:type="dxa"/>
            <w:tcBorders>
              <w:top w:val="single" w:sz="4" w:space="0" w:color="auto"/>
              <w:bottom w:val="single" w:sz="12" w:space="0" w:color="auto"/>
            </w:tcBorders>
            <w:shd w:val="clear" w:color="auto" w:fill="auto"/>
          </w:tcPr>
          <w:p w:rsidR="00A53D7D" w:rsidRPr="000E650F" w:rsidRDefault="00A53D7D" w:rsidP="005140B4">
            <w:pPr>
              <w:pStyle w:val="Tabletext"/>
              <w:keepNext/>
              <w:pageBreakBefore/>
              <w:spacing w:after="80"/>
              <w:ind w:left="0" w:firstLine="0"/>
              <w:rPr>
                <w:rFonts w:asciiTheme="minorHAnsi" w:hAnsiTheme="minorHAnsi" w:cstheme="minorHAnsi"/>
                <w:szCs w:val="20"/>
              </w:rPr>
            </w:pPr>
            <w:r w:rsidRPr="000E650F">
              <w:rPr>
                <w:rFonts w:asciiTheme="minorHAnsi" w:hAnsiTheme="minorHAnsi" w:cstheme="minorHAnsi"/>
                <w:b/>
                <w:szCs w:val="20"/>
              </w:rPr>
              <w:t>The community benefits from effective management of Victoria’s land assets</w:t>
            </w:r>
          </w:p>
        </w:tc>
        <w:tc>
          <w:tcPr>
            <w:tcW w:w="2597" w:type="dxa"/>
            <w:tcBorders>
              <w:top w:val="single" w:sz="4" w:space="0" w:color="auto"/>
              <w:bottom w:val="single" w:sz="12" w:space="0" w:color="auto"/>
            </w:tcBorders>
            <w:shd w:val="clear" w:color="auto" w:fill="auto"/>
          </w:tcPr>
          <w:p w:rsidR="00A53D7D" w:rsidRPr="000E650F" w:rsidRDefault="00A53D7D" w:rsidP="005140B4">
            <w:pPr>
              <w:pStyle w:val="Tabletext"/>
              <w:keepNext/>
              <w:pageBreakBefore/>
              <w:spacing w:after="80"/>
              <w:ind w:left="0" w:firstLine="0"/>
              <w:rPr>
                <w:rFonts w:asciiTheme="minorHAnsi" w:hAnsiTheme="minorHAnsi" w:cstheme="minorHAnsi"/>
                <w:szCs w:val="20"/>
              </w:rPr>
            </w:pPr>
            <w:r w:rsidRPr="000E650F">
              <w:rPr>
                <w:rFonts w:asciiTheme="minorHAnsi" w:hAnsiTheme="minorHAnsi" w:cstheme="minorHAnsi"/>
                <w:szCs w:val="20"/>
              </w:rPr>
              <w:t>Number of visits to the public land estate managed by DEPI por</w:t>
            </w:r>
            <w:r>
              <w:rPr>
                <w:rFonts w:asciiTheme="minorHAnsi" w:hAnsiTheme="minorHAnsi" w:cstheme="minorHAnsi"/>
                <w:szCs w:val="20"/>
              </w:rPr>
              <w:t>tfolio agencies: Parks Victoria</w:t>
            </w:r>
          </w:p>
          <w:p w:rsidR="00A53D7D" w:rsidRPr="000E650F" w:rsidRDefault="00A53D7D" w:rsidP="005140B4">
            <w:pPr>
              <w:pStyle w:val="Tabletext"/>
              <w:keepNext/>
              <w:pageBreakBefore/>
              <w:spacing w:after="80"/>
              <w:ind w:left="0" w:firstLine="0"/>
              <w:rPr>
                <w:rFonts w:asciiTheme="minorHAnsi" w:hAnsiTheme="minorHAnsi" w:cstheme="minorHAnsi"/>
                <w:szCs w:val="20"/>
              </w:rPr>
            </w:pPr>
            <w:r w:rsidRPr="000E650F">
              <w:rPr>
                <w:rFonts w:asciiTheme="minorHAnsi" w:hAnsiTheme="minorHAnsi" w:cstheme="minorHAnsi"/>
                <w:szCs w:val="20"/>
              </w:rPr>
              <w:t>Bay and Parks assets rated in average to excellent condition</w:t>
            </w:r>
          </w:p>
        </w:tc>
        <w:tc>
          <w:tcPr>
            <w:tcW w:w="2597" w:type="dxa"/>
            <w:tcBorders>
              <w:top w:val="single" w:sz="4" w:space="0" w:color="auto"/>
              <w:bottom w:val="single" w:sz="12" w:space="0" w:color="auto"/>
            </w:tcBorders>
          </w:tcPr>
          <w:p w:rsidR="00A53D7D" w:rsidRPr="000E650F" w:rsidRDefault="00A53D7D" w:rsidP="005140B4">
            <w:pPr>
              <w:pStyle w:val="Tabletext"/>
              <w:keepNext/>
              <w:pageBreakBefore/>
              <w:spacing w:after="80"/>
              <w:ind w:left="0" w:firstLine="0"/>
              <w:rPr>
                <w:rFonts w:asciiTheme="minorHAnsi" w:hAnsiTheme="minorHAnsi" w:cstheme="minorHAnsi"/>
                <w:szCs w:val="20"/>
              </w:rPr>
            </w:pPr>
            <w:r w:rsidRPr="000E650F">
              <w:rPr>
                <w:rFonts w:asciiTheme="minorHAnsi" w:hAnsiTheme="minorHAnsi" w:cstheme="minorHAnsi"/>
                <w:szCs w:val="20"/>
              </w:rPr>
              <w:t>Management of Forests, Parks and Public Land</w:t>
            </w:r>
          </w:p>
        </w:tc>
      </w:tr>
    </w:tbl>
    <w:p w:rsidR="00A53D7D" w:rsidRDefault="00A53D7D" w:rsidP="005140B4">
      <w:pPr>
        <w:pStyle w:val="Source"/>
      </w:pPr>
      <w:r>
        <w:t>Source: Department of Environment and Primary Industries</w:t>
      </w:r>
    </w:p>
    <w:p w:rsidR="00A53D7D" w:rsidRDefault="00A53D7D" w:rsidP="005140B4">
      <w:pPr>
        <w:pStyle w:val="Notes"/>
      </w:pPr>
      <w:r>
        <w:t>Notes:</w:t>
      </w:r>
    </w:p>
    <w:p w:rsidR="00A53D7D" w:rsidRDefault="00A53D7D" w:rsidP="005140B4">
      <w:pPr>
        <w:pStyle w:val="Notes"/>
      </w:pPr>
      <w:r>
        <w:t>(a)</w:t>
      </w:r>
      <w:r>
        <w:tab/>
        <w:t>New departmental objective indicator for 2014</w:t>
      </w:r>
      <w:r>
        <w:noBreakHyphen/>
        <w:t xml:space="preserve">15 to reflect the Government’s priority to increase agriculture productivity and capture export opportunities through the </w:t>
      </w:r>
      <w:r w:rsidRPr="00A74C96">
        <w:rPr>
          <w:i w:val="0"/>
        </w:rPr>
        <w:t>Food to Asia Action Plan</w:t>
      </w:r>
      <w:r>
        <w:t>.</w:t>
      </w:r>
    </w:p>
    <w:p w:rsidR="00A53D7D" w:rsidRDefault="00A53D7D" w:rsidP="005140B4">
      <w:pPr>
        <w:pStyle w:val="Notes"/>
      </w:pPr>
      <w:r>
        <w:t>(b)</w:t>
      </w:r>
      <w:r>
        <w:tab/>
        <w:t>This departmental objective indicator renames the 2013</w:t>
      </w:r>
      <w:r>
        <w:noBreakHyphen/>
        <w:t>14 departmental objective indicator ‘Effective biosecurity incursion management’. It has been amended for increased clarity.</w:t>
      </w:r>
    </w:p>
    <w:p w:rsidR="00A53D7D" w:rsidRDefault="00A53D7D" w:rsidP="005140B4">
      <w:pPr>
        <w:pStyle w:val="Notes"/>
      </w:pPr>
      <w:r>
        <w:t>(c)</w:t>
      </w:r>
      <w:r>
        <w:tab/>
        <w:t>This objective renames the 2013</w:t>
      </w:r>
      <w:r>
        <w:noBreakHyphen/>
        <w:t xml:space="preserve">14 objective ‘Reduced impact of major bushfires and extreme events on people, </w:t>
      </w:r>
      <w:proofErr w:type="gramStart"/>
      <w:r>
        <w:t>infrastructure</w:t>
      </w:r>
      <w:proofErr w:type="gramEnd"/>
      <w:r>
        <w:t xml:space="preserve"> and the environment’. It has been amended to better reflect the focus and direction of the Department following the machinery of government changes that came into effect in July 2013 and the Government’s all</w:t>
      </w:r>
      <w:r>
        <w:noBreakHyphen/>
        <w:t>hazard approach to emergency management.</w:t>
      </w:r>
    </w:p>
    <w:p w:rsidR="00A53D7D" w:rsidRPr="00F525B0" w:rsidRDefault="00A53D7D" w:rsidP="005140B4">
      <w:pPr>
        <w:pStyle w:val="Notes"/>
      </w:pPr>
      <w:r>
        <w:t>(d)</w:t>
      </w:r>
      <w:r>
        <w:tab/>
        <w:t xml:space="preserve">New departmental objective indicator for </w:t>
      </w:r>
      <w:r w:rsidRPr="008C4446">
        <w:t>2014</w:t>
      </w:r>
      <w:r>
        <w:noBreakHyphen/>
      </w:r>
      <w:r w:rsidRPr="008C4446">
        <w:t>15</w:t>
      </w:r>
      <w:r>
        <w:t xml:space="preserve"> to better reflect service delivery functions of the Department following machinery of government changes that came into effect in July 2013 and the Government’s all</w:t>
      </w:r>
      <w:r>
        <w:noBreakHyphen/>
        <w:t>hazard approach to emergency management.</w:t>
      </w:r>
    </w:p>
    <w:p w:rsidR="00A53D7D" w:rsidRDefault="00A53D7D" w:rsidP="005140B4">
      <w:pPr>
        <w:pStyle w:val="Heading2"/>
      </w:pPr>
      <w:r>
        <w:t>Changes to the output structure</w:t>
      </w:r>
    </w:p>
    <w:p w:rsidR="00A53D7D" w:rsidRPr="004914FE" w:rsidRDefault="00A53D7D" w:rsidP="005140B4">
      <w:pPr>
        <w:keepNext/>
        <w:spacing w:before="40"/>
        <w:rPr>
          <w:rFonts w:ascii="Calibri" w:hAnsi="Calibri"/>
          <w:sz w:val="20"/>
          <w:szCs w:val="18"/>
        </w:rPr>
      </w:pPr>
      <w:r w:rsidRPr="004914FE">
        <w:rPr>
          <w:rFonts w:ascii="Calibri" w:hAnsi="Calibri"/>
          <w:sz w:val="20"/>
          <w:szCs w:val="18"/>
        </w:rPr>
        <w:t>The Department has made changes to its output structure for 2014</w:t>
      </w:r>
      <w:r>
        <w:rPr>
          <w:rFonts w:ascii="Calibri" w:hAnsi="Calibri"/>
          <w:sz w:val="20"/>
          <w:szCs w:val="18"/>
        </w:rPr>
        <w:noBreakHyphen/>
      </w:r>
      <w:r w:rsidRPr="004914FE">
        <w:rPr>
          <w:rFonts w:ascii="Calibri" w:hAnsi="Calibri"/>
          <w:sz w:val="20"/>
          <w:szCs w:val="18"/>
        </w:rPr>
        <w:t xml:space="preserve">15, as shown in the table below: </w:t>
      </w:r>
    </w:p>
    <w:tbl>
      <w:tblPr>
        <w:tblW w:w="5000" w:type="pct"/>
        <w:tblCellMar>
          <w:left w:w="43" w:type="dxa"/>
          <w:right w:w="43" w:type="dxa"/>
        </w:tblCellMar>
        <w:tblLook w:val="0000" w:firstRow="0" w:lastRow="0" w:firstColumn="0" w:lastColumn="0" w:noHBand="0" w:noVBand="0"/>
      </w:tblPr>
      <w:tblGrid>
        <w:gridCol w:w="2618"/>
        <w:gridCol w:w="2603"/>
        <w:gridCol w:w="2564"/>
      </w:tblGrid>
      <w:tr w:rsidR="00A53D7D" w:rsidRPr="003B522A" w:rsidTr="005140B4">
        <w:trPr>
          <w:cantSplit/>
          <w:tblHeader/>
        </w:trPr>
        <w:tc>
          <w:tcPr>
            <w:tcW w:w="1681" w:type="pct"/>
            <w:tcBorders>
              <w:top w:val="single" w:sz="4" w:space="0" w:color="auto"/>
              <w:left w:val="single" w:sz="4" w:space="0" w:color="auto"/>
              <w:bottom w:val="single" w:sz="4" w:space="0" w:color="auto"/>
              <w:right w:val="single" w:sz="4" w:space="0" w:color="auto"/>
            </w:tcBorders>
            <w:shd w:val="clear" w:color="auto" w:fill="000000"/>
          </w:tcPr>
          <w:p w:rsidR="00A53D7D" w:rsidRPr="003B522A" w:rsidRDefault="00A53D7D" w:rsidP="005140B4">
            <w:pPr>
              <w:pStyle w:val="TabletextheadingLeft0"/>
            </w:pPr>
            <w:r w:rsidRPr="003B522A">
              <w:t>2013</w:t>
            </w:r>
            <w:r>
              <w:noBreakHyphen/>
            </w:r>
            <w:r w:rsidRPr="003B522A">
              <w:t>14 outputs</w:t>
            </w:r>
          </w:p>
        </w:tc>
        <w:tc>
          <w:tcPr>
            <w:tcW w:w="1672" w:type="pct"/>
            <w:tcBorders>
              <w:top w:val="single" w:sz="4" w:space="0" w:color="auto"/>
              <w:left w:val="single" w:sz="4" w:space="0" w:color="auto"/>
              <w:bottom w:val="single" w:sz="4" w:space="0" w:color="auto"/>
              <w:right w:val="single" w:sz="4" w:space="0" w:color="auto"/>
            </w:tcBorders>
            <w:shd w:val="clear" w:color="auto" w:fill="000000"/>
          </w:tcPr>
          <w:p w:rsidR="00A53D7D" w:rsidRPr="003B522A" w:rsidRDefault="00A53D7D" w:rsidP="005140B4">
            <w:pPr>
              <w:pStyle w:val="TabletextheadingLeft0"/>
            </w:pPr>
            <w:r w:rsidRPr="003B522A">
              <w:t xml:space="preserve">Reason </w:t>
            </w:r>
          </w:p>
        </w:tc>
        <w:tc>
          <w:tcPr>
            <w:tcW w:w="1647" w:type="pct"/>
            <w:tcBorders>
              <w:top w:val="single" w:sz="4" w:space="0" w:color="auto"/>
              <w:left w:val="single" w:sz="4" w:space="0" w:color="auto"/>
              <w:bottom w:val="single" w:sz="4" w:space="0" w:color="auto"/>
              <w:right w:val="single" w:sz="4" w:space="0" w:color="auto"/>
            </w:tcBorders>
            <w:shd w:val="clear" w:color="auto" w:fill="000000"/>
          </w:tcPr>
          <w:p w:rsidR="00A53D7D" w:rsidRPr="003B522A" w:rsidRDefault="00A53D7D" w:rsidP="005140B4">
            <w:pPr>
              <w:pStyle w:val="TabletextheadingLeft0"/>
            </w:pPr>
            <w:r w:rsidRPr="003B522A">
              <w:t>2014</w:t>
            </w:r>
            <w:r>
              <w:noBreakHyphen/>
            </w:r>
            <w:r w:rsidRPr="003B522A">
              <w:t>15 outputs</w:t>
            </w:r>
          </w:p>
        </w:tc>
      </w:tr>
      <w:tr w:rsidR="00A53D7D" w:rsidRPr="004914FE" w:rsidTr="005140B4">
        <w:trPr>
          <w:cantSplit/>
        </w:trPr>
        <w:tc>
          <w:tcPr>
            <w:tcW w:w="1681" w:type="pct"/>
            <w:tcBorders>
              <w:top w:val="single" w:sz="4" w:space="0" w:color="auto"/>
            </w:tcBorders>
            <w:shd w:val="clear" w:color="auto" w:fill="auto"/>
          </w:tcPr>
          <w:p w:rsidR="00A53D7D" w:rsidRPr="004914FE" w:rsidRDefault="00A53D7D" w:rsidP="005140B4">
            <w:pPr>
              <w:keepNext/>
              <w:spacing w:before="40"/>
              <w:rPr>
                <w:rFonts w:asciiTheme="minorHAnsi" w:hAnsiTheme="minorHAnsi" w:cstheme="minorHAnsi"/>
                <w:sz w:val="20"/>
              </w:rPr>
            </w:pPr>
            <w:r w:rsidRPr="004914FE">
              <w:rPr>
                <w:rFonts w:asciiTheme="minorHAnsi" w:hAnsiTheme="minorHAnsi" w:cstheme="minorHAnsi"/>
                <w:sz w:val="20"/>
              </w:rPr>
              <w:t>Forests and Parks</w:t>
            </w:r>
            <w:r>
              <w:rPr>
                <w:rFonts w:asciiTheme="minorHAnsi" w:hAnsiTheme="minorHAnsi" w:cstheme="minorHAnsi"/>
                <w:sz w:val="20"/>
              </w:rPr>
              <w:br/>
            </w:r>
            <w:r w:rsidRPr="004914FE">
              <w:rPr>
                <w:rFonts w:asciiTheme="minorHAnsi" w:hAnsiTheme="minorHAnsi" w:cstheme="minorHAnsi"/>
                <w:sz w:val="20"/>
              </w:rPr>
              <w:t>Public Land</w:t>
            </w:r>
          </w:p>
        </w:tc>
        <w:tc>
          <w:tcPr>
            <w:tcW w:w="1672" w:type="pct"/>
            <w:tcBorders>
              <w:top w:val="single" w:sz="4" w:space="0" w:color="auto"/>
            </w:tcBorders>
            <w:shd w:val="clear" w:color="auto" w:fill="auto"/>
          </w:tcPr>
          <w:p w:rsidR="00A53D7D" w:rsidRPr="004914FE" w:rsidRDefault="00A53D7D" w:rsidP="005140B4">
            <w:pPr>
              <w:keepNext/>
              <w:spacing w:before="40"/>
              <w:rPr>
                <w:rFonts w:asciiTheme="minorHAnsi" w:hAnsiTheme="minorHAnsi" w:cstheme="minorHAnsi"/>
                <w:sz w:val="20"/>
              </w:rPr>
            </w:pPr>
            <w:r w:rsidRPr="004914FE">
              <w:rPr>
                <w:rFonts w:asciiTheme="minorHAnsi" w:hAnsiTheme="minorHAnsi" w:cstheme="minorHAnsi"/>
                <w:sz w:val="20"/>
              </w:rPr>
              <w:t>The Department has consolidated th</w:t>
            </w:r>
            <w:r>
              <w:rPr>
                <w:rFonts w:asciiTheme="minorHAnsi" w:hAnsiTheme="minorHAnsi" w:cstheme="minorHAnsi"/>
                <w:sz w:val="20"/>
              </w:rPr>
              <w:t>ese outputs to better reflect departmental service delivery functions following machinery of g</w:t>
            </w:r>
            <w:r w:rsidRPr="004914FE">
              <w:rPr>
                <w:rFonts w:asciiTheme="minorHAnsi" w:hAnsiTheme="minorHAnsi" w:cstheme="minorHAnsi"/>
                <w:sz w:val="20"/>
              </w:rPr>
              <w:t xml:space="preserve">overnment changes. </w:t>
            </w:r>
          </w:p>
        </w:tc>
        <w:tc>
          <w:tcPr>
            <w:tcW w:w="1647" w:type="pct"/>
            <w:tcBorders>
              <w:top w:val="single" w:sz="4" w:space="0" w:color="auto"/>
            </w:tcBorders>
            <w:shd w:val="clear" w:color="auto" w:fill="auto"/>
          </w:tcPr>
          <w:p w:rsidR="00A53D7D" w:rsidRPr="004914FE" w:rsidRDefault="00A53D7D" w:rsidP="005140B4">
            <w:pPr>
              <w:keepNext/>
              <w:spacing w:before="40"/>
              <w:rPr>
                <w:rFonts w:asciiTheme="minorHAnsi" w:hAnsiTheme="minorHAnsi" w:cstheme="minorHAnsi"/>
                <w:sz w:val="20"/>
              </w:rPr>
            </w:pPr>
            <w:r w:rsidRPr="004914FE">
              <w:rPr>
                <w:rFonts w:asciiTheme="minorHAnsi" w:hAnsiTheme="minorHAnsi" w:cstheme="minorHAnsi"/>
                <w:sz w:val="20"/>
              </w:rPr>
              <w:t>Management of Forests, Parks and Public Land</w:t>
            </w:r>
          </w:p>
        </w:tc>
      </w:tr>
      <w:tr w:rsidR="00A53D7D" w:rsidRPr="004914FE" w:rsidTr="005140B4">
        <w:trPr>
          <w:cantSplit/>
        </w:trPr>
        <w:tc>
          <w:tcPr>
            <w:tcW w:w="1681" w:type="pct"/>
            <w:shd w:val="clear" w:color="auto" w:fill="E0E0E0"/>
          </w:tcPr>
          <w:p w:rsidR="00A53D7D" w:rsidRPr="004914FE" w:rsidRDefault="00A53D7D" w:rsidP="005140B4">
            <w:pPr>
              <w:pStyle w:val="Tabletext"/>
              <w:ind w:left="0" w:firstLine="0"/>
              <w:rPr>
                <w:rFonts w:asciiTheme="minorHAnsi" w:hAnsiTheme="minorHAnsi" w:cstheme="minorHAnsi"/>
                <w:szCs w:val="20"/>
              </w:rPr>
            </w:pPr>
            <w:r w:rsidRPr="004914FE">
              <w:rPr>
                <w:rFonts w:asciiTheme="minorHAnsi" w:hAnsiTheme="minorHAnsi" w:cstheme="minorHAnsi"/>
                <w:szCs w:val="20"/>
              </w:rPr>
              <w:t>Land and Fire Management</w:t>
            </w:r>
          </w:p>
        </w:tc>
        <w:tc>
          <w:tcPr>
            <w:tcW w:w="1672" w:type="pct"/>
            <w:shd w:val="clear" w:color="auto" w:fill="E0E0E0"/>
          </w:tcPr>
          <w:p w:rsidR="00A53D7D" w:rsidRPr="004914FE" w:rsidRDefault="00A53D7D" w:rsidP="005140B4">
            <w:pPr>
              <w:pStyle w:val="Tabletext"/>
              <w:ind w:left="0" w:firstLine="0"/>
              <w:rPr>
                <w:rFonts w:asciiTheme="minorHAnsi" w:hAnsiTheme="minorHAnsi" w:cstheme="minorHAnsi"/>
                <w:szCs w:val="20"/>
              </w:rPr>
            </w:pPr>
            <w:r w:rsidRPr="004914FE">
              <w:rPr>
                <w:rFonts w:asciiTheme="minorHAnsi" w:hAnsiTheme="minorHAnsi" w:cstheme="minorHAnsi"/>
                <w:szCs w:val="20"/>
              </w:rPr>
              <w:t>The Department h</w:t>
            </w:r>
            <w:r>
              <w:rPr>
                <w:rFonts w:asciiTheme="minorHAnsi" w:hAnsiTheme="minorHAnsi" w:cstheme="minorHAnsi"/>
                <w:szCs w:val="20"/>
              </w:rPr>
              <w:t>as renamed this output to better reflect departmental service delivery functions following machinery of g</w:t>
            </w:r>
            <w:r w:rsidRPr="004914FE">
              <w:rPr>
                <w:rFonts w:asciiTheme="minorHAnsi" w:hAnsiTheme="minorHAnsi" w:cstheme="minorHAnsi"/>
                <w:szCs w:val="20"/>
              </w:rPr>
              <w:t>overnment changes.</w:t>
            </w:r>
          </w:p>
        </w:tc>
        <w:tc>
          <w:tcPr>
            <w:tcW w:w="1647" w:type="pct"/>
            <w:shd w:val="clear" w:color="auto" w:fill="E0E0E0"/>
          </w:tcPr>
          <w:p w:rsidR="00A53D7D" w:rsidRPr="004914FE" w:rsidRDefault="00A53D7D" w:rsidP="005140B4">
            <w:pPr>
              <w:pStyle w:val="Tabletext"/>
              <w:ind w:left="0" w:firstLine="0"/>
              <w:rPr>
                <w:rFonts w:asciiTheme="minorHAnsi" w:hAnsiTheme="minorHAnsi" w:cstheme="minorHAnsi"/>
                <w:szCs w:val="20"/>
              </w:rPr>
            </w:pPr>
            <w:r w:rsidRPr="004914FE">
              <w:rPr>
                <w:rFonts w:asciiTheme="minorHAnsi" w:hAnsiTheme="minorHAnsi" w:cstheme="minorHAnsi"/>
                <w:szCs w:val="20"/>
              </w:rPr>
              <w:t>Fire and Emergency Management</w:t>
            </w:r>
          </w:p>
        </w:tc>
      </w:tr>
      <w:tr w:rsidR="00A53D7D" w:rsidRPr="004914FE" w:rsidTr="005140B4">
        <w:trPr>
          <w:cantSplit/>
        </w:trPr>
        <w:tc>
          <w:tcPr>
            <w:tcW w:w="1681" w:type="pct"/>
            <w:tcBorders>
              <w:bottom w:val="single" w:sz="12" w:space="0" w:color="auto"/>
            </w:tcBorders>
            <w:shd w:val="clear" w:color="auto" w:fill="FFFFFF"/>
          </w:tcPr>
          <w:p w:rsidR="00A53D7D" w:rsidRPr="004914FE" w:rsidRDefault="00A53D7D" w:rsidP="005140B4">
            <w:pPr>
              <w:pStyle w:val="Tabletext"/>
              <w:ind w:left="0" w:firstLine="0"/>
              <w:rPr>
                <w:rFonts w:asciiTheme="minorHAnsi" w:hAnsiTheme="minorHAnsi" w:cstheme="minorHAnsi"/>
                <w:szCs w:val="20"/>
              </w:rPr>
            </w:pPr>
            <w:r w:rsidRPr="004914FE">
              <w:rPr>
                <w:rFonts w:asciiTheme="minorHAnsi" w:hAnsiTheme="minorHAnsi" w:cstheme="minorHAnsi"/>
                <w:szCs w:val="20"/>
              </w:rPr>
              <w:t>Development of Primary Industries</w:t>
            </w:r>
          </w:p>
        </w:tc>
        <w:tc>
          <w:tcPr>
            <w:tcW w:w="1672" w:type="pct"/>
            <w:tcBorders>
              <w:bottom w:val="single" w:sz="12" w:space="0" w:color="auto"/>
            </w:tcBorders>
            <w:shd w:val="clear" w:color="auto" w:fill="FFFFFF"/>
          </w:tcPr>
          <w:p w:rsidR="00A53D7D" w:rsidRPr="004914FE" w:rsidRDefault="00A53D7D" w:rsidP="005140B4">
            <w:pPr>
              <w:pStyle w:val="Tabletext"/>
              <w:ind w:left="0" w:firstLine="0"/>
              <w:rPr>
                <w:rFonts w:asciiTheme="minorHAnsi" w:hAnsiTheme="minorHAnsi" w:cstheme="minorHAnsi"/>
                <w:szCs w:val="20"/>
              </w:rPr>
            </w:pPr>
            <w:r w:rsidRPr="004914FE">
              <w:rPr>
                <w:rFonts w:asciiTheme="minorHAnsi" w:hAnsiTheme="minorHAnsi" w:cstheme="minorHAnsi"/>
                <w:szCs w:val="20"/>
              </w:rPr>
              <w:t xml:space="preserve">The Department has split </w:t>
            </w:r>
            <w:r>
              <w:rPr>
                <w:rFonts w:asciiTheme="minorHAnsi" w:hAnsiTheme="minorHAnsi" w:cstheme="minorHAnsi"/>
                <w:szCs w:val="20"/>
              </w:rPr>
              <w:t>this output to better reflect departmental service delivery functions following machinery of government changes.</w:t>
            </w:r>
          </w:p>
        </w:tc>
        <w:tc>
          <w:tcPr>
            <w:tcW w:w="1647" w:type="pct"/>
            <w:tcBorders>
              <w:bottom w:val="single" w:sz="12" w:space="0" w:color="auto"/>
            </w:tcBorders>
            <w:shd w:val="clear" w:color="auto" w:fill="FFFFFF"/>
          </w:tcPr>
          <w:p w:rsidR="00A53D7D" w:rsidRPr="004914FE" w:rsidRDefault="00A53D7D" w:rsidP="005140B4">
            <w:pPr>
              <w:pStyle w:val="Tabletext"/>
              <w:ind w:left="0" w:firstLine="0"/>
              <w:rPr>
                <w:rFonts w:asciiTheme="minorHAnsi" w:hAnsiTheme="minorHAnsi" w:cstheme="minorHAnsi"/>
                <w:szCs w:val="20"/>
              </w:rPr>
            </w:pPr>
            <w:r w:rsidRPr="004914FE">
              <w:rPr>
                <w:rFonts w:asciiTheme="minorHAnsi" w:hAnsiTheme="minorHAnsi" w:cstheme="minorHAnsi"/>
                <w:szCs w:val="20"/>
              </w:rPr>
              <w:t>Agriculture</w:t>
            </w:r>
          </w:p>
          <w:p w:rsidR="00A53D7D" w:rsidRPr="004914FE" w:rsidRDefault="00A53D7D" w:rsidP="005140B4">
            <w:pPr>
              <w:pStyle w:val="Tabletext"/>
              <w:ind w:left="0" w:firstLine="0"/>
              <w:rPr>
                <w:rFonts w:asciiTheme="minorHAnsi" w:hAnsiTheme="minorHAnsi" w:cstheme="minorHAnsi"/>
                <w:szCs w:val="20"/>
              </w:rPr>
            </w:pPr>
            <w:r w:rsidRPr="004914FE">
              <w:rPr>
                <w:rFonts w:asciiTheme="minorHAnsi" w:hAnsiTheme="minorHAnsi" w:cstheme="minorHAnsi"/>
                <w:szCs w:val="20"/>
              </w:rPr>
              <w:t>Biosecurity</w:t>
            </w:r>
          </w:p>
          <w:p w:rsidR="00A53D7D" w:rsidRPr="004914FE" w:rsidRDefault="00A53D7D" w:rsidP="005140B4">
            <w:pPr>
              <w:pStyle w:val="Tabletext"/>
              <w:ind w:left="0" w:firstLine="0"/>
              <w:rPr>
                <w:rFonts w:asciiTheme="minorHAnsi" w:hAnsiTheme="minorHAnsi" w:cstheme="minorHAnsi"/>
                <w:szCs w:val="20"/>
              </w:rPr>
            </w:pPr>
            <w:r w:rsidRPr="004914FE">
              <w:rPr>
                <w:rFonts w:asciiTheme="minorHAnsi" w:hAnsiTheme="minorHAnsi" w:cstheme="minorHAnsi"/>
                <w:szCs w:val="20"/>
              </w:rPr>
              <w:t>Sustainably Manage Fish and Forest Resources</w:t>
            </w:r>
          </w:p>
        </w:tc>
      </w:tr>
    </w:tbl>
    <w:p w:rsidR="00A53D7D" w:rsidRDefault="00A53D7D" w:rsidP="005140B4">
      <w:pPr>
        <w:pStyle w:val="Source"/>
      </w:pPr>
      <w:r w:rsidRPr="004914FE">
        <w:t>Source:</w:t>
      </w:r>
      <w:r>
        <w:t xml:space="preserve"> </w:t>
      </w:r>
      <w:r w:rsidRPr="004914FE">
        <w:t>Department of Env</w:t>
      </w:r>
      <w:r>
        <w:t>ironment and Primary Industries</w:t>
      </w:r>
    </w:p>
    <w:p w:rsidR="00A53D7D" w:rsidRDefault="00A53D7D">
      <w:pPr>
        <w:spacing w:after="0"/>
        <w:rPr>
          <w:rFonts w:ascii="Calibri" w:hAnsi="Calibri"/>
          <w:b/>
        </w:rPr>
      </w:pPr>
      <w:r>
        <w:br w:type="page"/>
      </w:r>
    </w:p>
    <w:p w:rsidR="00A53D7D" w:rsidRDefault="00A53D7D" w:rsidP="005140B4">
      <w:pPr>
        <w:pStyle w:val="Tableheading"/>
      </w:pPr>
      <w:r>
        <w:t>Table 2.5:</w:t>
      </w:r>
      <w:r>
        <w:tab/>
        <w:t xml:space="preserve">Output summary </w:t>
      </w:r>
    </w:p>
    <w:p w:rsidR="00A53D7D" w:rsidRDefault="00A53D7D" w:rsidP="005140B4">
      <w:r>
        <w:t>Following the creation of the Department of Environment and Primary Industries and the merger with the former Department of Primary Industries on 1 July 2013, the new Department has undertaken a comprehensive review of its key activities and priorities. As a result, some functions have transferred from one output to another to more accurately reflect service delivery outcomes. This has resulted in considerable movement in output costs between 2013</w:t>
      </w:r>
      <w:r>
        <w:noBreakHyphen/>
        <w:t>14 and 2014</w:t>
      </w:r>
      <w:r>
        <w:noBreakHyphen/>
        <w:t>15 across a number of outputs. This has also led to the creation of the Agriculture, Biosecurity and Sustainably Manage Fish and Forest Resources outputs.</w:t>
      </w:r>
    </w:p>
    <w:p w:rsidR="00A53D7D" w:rsidRPr="00DE25AD" w:rsidRDefault="00A53D7D" w:rsidP="005140B4">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42"/>
        <w:gridCol w:w="850"/>
        <w:gridCol w:w="851"/>
        <w:gridCol w:w="992"/>
        <w:gridCol w:w="1241"/>
      </w:tblGrid>
      <w:tr w:rsidR="00A53D7D" w:rsidRPr="00DE25AD" w:rsidTr="005140B4">
        <w:tc>
          <w:tcPr>
            <w:tcW w:w="3842" w:type="dxa"/>
            <w:tcBorders>
              <w:top w:val="single" w:sz="6" w:space="0" w:color="auto"/>
              <w:left w:val="single" w:sz="6" w:space="0" w:color="auto"/>
              <w:bottom w:val="single" w:sz="6" w:space="0" w:color="auto"/>
              <w:right w:val="nil"/>
            </w:tcBorders>
            <w:shd w:val="clear" w:color="auto" w:fill="000000"/>
          </w:tcPr>
          <w:p w:rsidR="00A53D7D" w:rsidRPr="00DE25AD" w:rsidRDefault="00A53D7D" w:rsidP="005140B4">
            <w:pPr>
              <w:pStyle w:val="Tabletext"/>
              <w:rPr>
                <w:rFonts w:eastAsiaTheme="minorEastAsia"/>
                <w:lang w:eastAsia="en-AU"/>
              </w:rPr>
            </w:pPr>
          </w:p>
        </w:tc>
        <w:tc>
          <w:tcPr>
            <w:tcW w:w="850" w:type="dxa"/>
            <w:tcBorders>
              <w:top w:val="single" w:sz="6" w:space="0" w:color="auto"/>
              <w:left w:val="nil"/>
              <w:bottom w:val="single" w:sz="6" w:space="0" w:color="auto"/>
              <w:right w:val="nil"/>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2013-14</w:t>
            </w:r>
          </w:p>
        </w:tc>
        <w:tc>
          <w:tcPr>
            <w:tcW w:w="851" w:type="dxa"/>
            <w:tcBorders>
              <w:top w:val="single" w:sz="6" w:space="0" w:color="auto"/>
              <w:left w:val="nil"/>
              <w:bottom w:val="single" w:sz="6" w:space="0" w:color="auto"/>
              <w:right w:val="nil"/>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2013-14</w:t>
            </w:r>
          </w:p>
        </w:tc>
        <w:tc>
          <w:tcPr>
            <w:tcW w:w="992" w:type="dxa"/>
            <w:tcBorders>
              <w:top w:val="single" w:sz="6" w:space="0" w:color="auto"/>
              <w:left w:val="nil"/>
              <w:bottom w:val="single" w:sz="6" w:space="0" w:color="auto"/>
              <w:right w:val="nil"/>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2014-15</w:t>
            </w:r>
          </w:p>
        </w:tc>
        <w:tc>
          <w:tcPr>
            <w:tcW w:w="1241" w:type="dxa"/>
            <w:tcBorders>
              <w:top w:val="single" w:sz="6" w:space="0" w:color="auto"/>
              <w:left w:val="nil"/>
              <w:bottom w:val="single" w:sz="6" w:space="0" w:color="auto"/>
              <w:right w:val="single" w:sz="6" w:space="0" w:color="auto"/>
            </w:tcBorders>
            <w:shd w:val="clear" w:color="auto" w:fill="000000"/>
          </w:tcPr>
          <w:p w:rsidR="00A53D7D" w:rsidRPr="00DE25AD" w:rsidRDefault="00A53D7D" w:rsidP="005140B4">
            <w:pPr>
              <w:pStyle w:val="Tabletextheading"/>
              <w:rPr>
                <w:rFonts w:eastAsiaTheme="minorEastAsia"/>
                <w:vertAlign w:val="superscript"/>
                <w:lang w:eastAsia="en-AU"/>
              </w:rPr>
            </w:pPr>
            <w:r w:rsidRPr="00DE25AD">
              <w:rPr>
                <w:rFonts w:eastAsiaTheme="minorEastAsia"/>
                <w:lang w:eastAsia="en-AU"/>
              </w:rPr>
              <w:t>Variation</w:t>
            </w:r>
            <w:r w:rsidRPr="00DE25AD">
              <w:rPr>
                <w:rFonts w:eastAsiaTheme="minorEastAsia"/>
                <w:vertAlign w:val="superscript"/>
                <w:lang w:eastAsia="en-AU"/>
              </w:rPr>
              <w:t>(a)</w:t>
            </w:r>
          </w:p>
        </w:tc>
      </w:tr>
      <w:tr w:rsidR="00A53D7D" w:rsidRPr="00DE25AD" w:rsidTr="005140B4">
        <w:tc>
          <w:tcPr>
            <w:tcW w:w="3842" w:type="dxa"/>
            <w:tcBorders>
              <w:top w:val="single" w:sz="6" w:space="0" w:color="auto"/>
              <w:left w:val="single" w:sz="6" w:space="0" w:color="auto"/>
              <w:bottom w:val="single" w:sz="6" w:space="0" w:color="auto"/>
              <w:right w:val="nil"/>
            </w:tcBorders>
            <w:shd w:val="clear" w:color="auto" w:fill="000000"/>
          </w:tcPr>
          <w:p w:rsidR="00A53D7D" w:rsidRPr="00DE25AD" w:rsidRDefault="00A53D7D" w:rsidP="005140B4">
            <w:pPr>
              <w:pStyle w:val="Tabletext"/>
              <w:rPr>
                <w:rFonts w:eastAsiaTheme="minorEastAsia"/>
                <w:lang w:eastAsia="en-AU"/>
              </w:rPr>
            </w:pPr>
          </w:p>
        </w:tc>
        <w:tc>
          <w:tcPr>
            <w:tcW w:w="850" w:type="dxa"/>
            <w:tcBorders>
              <w:top w:val="single" w:sz="6" w:space="0" w:color="auto"/>
              <w:left w:val="nil"/>
              <w:bottom w:val="single" w:sz="6" w:space="0" w:color="auto"/>
              <w:right w:val="nil"/>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Budget</w:t>
            </w:r>
          </w:p>
        </w:tc>
        <w:tc>
          <w:tcPr>
            <w:tcW w:w="851" w:type="dxa"/>
            <w:tcBorders>
              <w:top w:val="single" w:sz="6" w:space="0" w:color="auto"/>
              <w:left w:val="nil"/>
              <w:bottom w:val="single" w:sz="6" w:space="0" w:color="auto"/>
              <w:right w:val="nil"/>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Revised</w:t>
            </w:r>
          </w:p>
        </w:tc>
        <w:tc>
          <w:tcPr>
            <w:tcW w:w="992" w:type="dxa"/>
            <w:tcBorders>
              <w:top w:val="single" w:sz="6" w:space="0" w:color="auto"/>
              <w:left w:val="nil"/>
              <w:bottom w:val="single" w:sz="6" w:space="0" w:color="auto"/>
              <w:right w:val="nil"/>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Budget</w:t>
            </w:r>
          </w:p>
        </w:tc>
        <w:tc>
          <w:tcPr>
            <w:tcW w:w="1241" w:type="dxa"/>
            <w:tcBorders>
              <w:top w:val="single" w:sz="6" w:space="0" w:color="auto"/>
              <w:left w:val="nil"/>
              <w:bottom w:val="single" w:sz="6" w:space="0" w:color="auto"/>
              <w:right w:val="single" w:sz="6" w:space="0" w:color="auto"/>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w:t>
            </w:r>
          </w:p>
        </w:tc>
      </w:tr>
      <w:tr w:rsidR="00A53D7D" w:rsidRPr="00DE25AD" w:rsidTr="005140B4">
        <w:tc>
          <w:tcPr>
            <w:tcW w:w="3842" w:type="dxa"/>
            <w:tcBorders>
              <w:top w:val="single" w:sz="6" w:space="0" w:color="auto"/>
              <w:left w:val="nil"/>
              <w:bottom w:val="nil"/>
              <w:right w:val="nil"/>
            </w:tcBorders>
          </w:tcPr>
          <w:p w:rsidR="00A53D7D" w:rsidRPr="00DE25AD" w:rsidRDefault="00A53D7D" w:rsidP="005140B4">
            <w:pPr>
              <w:pStyle w:val="Tabletext"/>
              <w:rPr>
                <w:rFonts w:eastAsiaTheme="minorEastAsia" w:cs="Calibri"/>
                <w:color w:val="000000"/>
                <w:vertAlign w:val="superscript"/>
                <w:lang w:eastAsia="en-AU"/>
              </w:rPr>
            </w:pPr>
            <w:r w:rsidRPr="00DE25AD">
              <w:rPr>
                <w:rFonts w:eastAsiaTheme="minorEastAsia"/>
                <w:lang w:eastAsia="en-AU"/>
              </w:rPr>
              <w:t xml:space="preserve">Agriculture </w:t>
            </w:r>
            <w:r w:rsidRPr="00DE25AD">
              <w:rPr>
                <w:rFonts w:eastAsiaTheme="minorEastAsia" w:cs="Calibri"/>
                <w:color w:val="000000"/>
                <w:vertAlign w:val="superscript"/>
                <w:lang w:eastAsia="en-AU"/>
              </w:rPr>
              <w:t>(b) (k)</w:t>
            </w:r>
          </w:p>
        </w:tc>
        <w:tc>
          <w:tcPr>
            <w:tcW w:w="850" w:type="dxa"/>
            <w:tcBorders>
              <w:top w:val="single" w:sz="6" w:space="0" w:color="auto"/>
              <w:left w:val="nil"/>
              <w:bottom w:val="nil"/>
              <w:right w:val="nil"/>
            </w:tcBorders>
          </w:tcPr>
          <w:p w:rsidR="00A53D7D" w:rsidRPr="00DE25AD" w:rsidRDefault="00A53D7D" w:rsidP="005140B4">
            <w:pPr>
              <w:pStyle w:val="TableofFigures"/>
              <w:rPr>
                <w:rFonts w:eastAsiaTheme="minorEastAsia"/>
                <w:lang w:eastAsia="en-AU"/>
              </w:rPr>
            </w:pPr>
            <w:proofErr w:type="spellStart"/>
            <w:r w:rsidRPr="00DE25AD">
              <w:rPr>
                <w:rFonts w:eastAsiaTheme="minorEastAsia"/>
                <w:lang w:eastAsia="en-AU"/>
              </w:rPr>
              <w:t>na</w:t>
            </w:r>
            <w:proofErr w:type="spellEnd"/>
          </w:p>
        </w:tc>
        <w:tc>
          <w:tcPr>
            <w:tcW w:w="851" w:type="dxa"/>
            <w:tcBorders>
              <w:top w:val="single" w:sz="6" w:space="0" w:color="auto"/>
              <w:left w:val="nil"/>
              <w:bottom w:val="nil"/>
              <w:right w:val="nil"/>
            </w:tcBorders>
          </w:tcPr>
          <w:p w:rsidR="00A53D7D" w:rsidRPr="00DE25AD" w:rsidRDefault="00A53D7D" w:rsidP="005140B4">
            <w:pPr>
              <w:pStyle w:val="TableofFigures"/>
              <w:rPr>
                <w:rFonts w:eastAsiaTheme="minorEastAsia"/>
                <w:lang w:eastAsia="en-AU"/>
              </w:rPr>
            </w:pPr>
            <w:proofErr w:type="spellStart"/>
            <w:r w:rsidRPr="00DE25AD">
              <w:rPr>
                <w:rFonts w:eastAsiaTheme="minorEastAsia"/>
                <w:lang w:eastAsia="en-AU"/>
              </w:rPr>
              <w:t>na</w:t>
            </w:r>
            <w:proofErr w:type="spellEnd"/>
          </w:p>
        </w:tc>
        <w:tc>
          <w:tcPr>
            <w:tcW w:w="992" w:type="dxa"/>
            <w:tcBorders>
              <w:top w:val="single" w:sz="6" w:space="0" w:color="auto"/>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328.3</w:t>
            </w:r>
          </w:p>
        </w:tc>
        <w:tc>
          <w:tcPr>
            <w:tcW w:w="1241" w:type="dxa"/>
            <w:tcBorders>
              <w:top w:val="single" w:sz="6" w:space="0" w:color="auto"/>
              <w:left w:val="nil"/>
              <w:bottom w:val="nil"/>
              <w:right w:val="nil"/>
            </w:tcBorders>
          </w:tcPr>
          <w:p w:rsidR="00A53D7D" w:rsidRPr="00DE25AD" w:rsidRDefault="00A53D7D" w:rsidP="005140B4">
            <w:pPr>
              <w:pStyle w:val="TableofFigures"/>
              <w:rPr>
                <w:rFonts w:eastAsiaTheme="minorEastAsia"/>
                <w:lang w:eastAsia="en-AU"/>
              </w:rPr>
            </w:pPr>
            <w:proofErr w:type="spellStart"/>
            <w:r w:rsidRPr="00DE25AD">
              <w:rPr>
                <w:rFonts w:eastAsiaTheme="minorEastAsia"/>
                <w:lang w:eastAsia="en-AU"/>
              </w:rPr>
              <w:t>na</w:t>
            </w:r>
            <w:proofErr w:type="spellEnd"/>
          </w:p>
        </w:tc>
      </w:tr>
      <w:tr w:rsidR="00A53D7D" w:rsidRPr="00DE25AD" w:rsidTr="005140B4">
        <w:tc>
          <w:tcPr>
            <w:tcW w:w="3842" w:type="dxa"/>
            <w:tcBorders>
              <w:top w:val="nil"/>
              <w:left w:val="nil"/>
              <w:bottom w:val="nil"/>
              <w:right w:val="nil"/>
            </w:tcBorders>
          </w:tcPr>
          <w:p w:rsidR="00A53D7D" w:rsidRPr="00DE25AD" w:rsidRDefault="00A53D7D" w:rsidP="005140B4">
            <w:pPr>
              <w:pStyle w:val="Tabletext"/>
              <w:rPr>
                <w:rFonts w:eastAsiaTheme="minorEastAsia" w:cs="Calibri"/>
                <w:color w:val="000000"/>
                <w:vertAlign w:val="superscript"/>
                <w:lang w:eastAsia="en-AU"/>
              </w:rPr>
            </w:pPr>
            <w:r w:rsidRPr="00DE25AD">
              <w:rPr>
                <w:rFonts w:eastAsiaTheme="minorEastAsia"/>
                <w:lang w:eastAsia="en-AU"/>
              </w:rPr>
              <w:t xml:space="preserve">Biosecurity </w:t>
            </w:r>
            <w:r w:rsidRPr="00DE25AD">
              <w:rPr>
                <w:rFonts w:eastAsiaTheme="minorEastAsia" w:cs="Calibri"/>
                <w:color w:val="000000"/>
                <w:vertAlign w:val="superscript"/>
                <w:lang w:eastAsia="en-AU"/>
              </w:rPr>
              <w:t>(c) (k)</w:t>
            </w:r>
          </w:p>
        </w:tc>
        <w:tc>
          <w:tcPr>
            <w:tcW w:w="850" w:type="dxa"/>
            <w:tcBorders>
              <w:top w:val="nil"/>
              <w:left w:val="nil"/>
              <w:bottom w:val="nil"/>
              <w:right w:val="nil"/>
            </w:tcBorders>
          </w:tcPr>
          <w:p w:rsidR="00A53D7D" w:rsidRPr="00DE25AD" w:rsidRDefault="00A53D7D" w:rsidP="005140B4">
            <w:pPr>
              <w:pStyle w:val="TableofFigures"/>
              <w:rPr>
                <w:rFonts w:eastAsiaTheme="minorEastAsia"/>
                <w:lang w:eastAsia="en-AU"/>
              </w:rPr>
            </w:pPr>
            <w:proofErr w:type="spellStart"/>
            <w:r w:rsidRPr="00DE25AD">
              <w:rPr>
                <w:rFonts w:eastAsiaTheme="minorEastAsia"/>
                <w:lang w:eastAsia="en-AU"/>
              </w:rPr>
              <w:t>na</w:t>
            </w:r>
            <w:proofErr w:type="spellEnd"/>
          </w:p>
        </w:tc>
        <w:tc>
          <w:tcPr>
            <w:tcW w:w="851" w:type="dxa"/>
            <w:tcBorders>
              <w:top w:val="nil"/>
              <w:left w:val="nil"/>
              <w:bottom w:val="nil"/>
              <w:right w:val="nil"/>
            </w:tcBorders>
          </w:tcPr>
          <w:p w:rsidR="00A53D7D" w:rsidRPr="00DE25AD" w:rsidRDefault="00A53D7D" w:rsidP="005140B4">
            <w:pPr>
              <w:pStyle w:val="TableofFigures"/>
              <w:rPr>
                <w:rFonts w:eastAsiaTheme="minorEastAsia"/>
                <w:lang w:eastAsia="en-AU"/>
              </w:rPr>
            </w:pPr>
            <w:proofErr w:type="spellStart"/>
            <w:r w:rsidRPr="00DE25AD">
              <w:rPr>
                <w:rFonts w:eastAsiaTheme="minorEastAsia"/>
                <w:lang w:eastAsia="en-AU"/>
              </w:rPr>
              <w:t>na</w:t>
            </w:r>
            <w:proofErr w:type="spellEnd"/>
          </w:p>
        </w:tc>
        <w:tc>
          <w:tcPr>
            <w:tcW w:w="992"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80.1</w:t>
            </w:r>
          </w:p>
        </w:tc>
        <w:tc>
          <w:tcPr>
            <w:tcW w:w="1241" w:type="dxa"/>
            <w:tcBorders>
              <w:top w:val="nil"/>
              <w:left w:val="nil"/>
              <w:bottom w:val="nil"/>
              <w:right w:val="nil"/>
            </w:tcBorders>
          </w:tcPr>
          <w:p w:rsidR="00A53D7D" w:rsidRPr="00DE25AD" w:rsidRDefault="00A53D7D" w:rsidP="005140B4">
            <w:pPr>
              <w:pStyle w:val="TableofFigures"/>
              <w:rPr>
                <w:rFonts w:eastAsiaTheme="minorEastAsia"/>
                <w:lang w:eastAsia="en-AU"/>
              </w:rPr>
            </w:pPr>
            <w:proofErr w:type="spellStart"/>
            <w:r w:rsidRPr="00DE25AD">
              <w:rPr>
                <w:rFonts w:eastAsiaTheme="minorEastAsia"/>
                <w:lang w:eastAsia="en-AU"/>
              </w:rPr>
              <w:t>na</w:t>
            </w:r>
            <w:proofErr w:type="spellEnd"/>
          </w:p>
        </w:tc>
      </w:tr>
      <w:tr w:rsidR="00A53D7D" w:rsidRPr="00DE25AD" w:rsidTr="005140B4">
        <w:tc>
          <w:tcPr>
            <w:tcW w:w="3842" w:type="dxa"/>
            <w:tcBorders>
              <w:top w:val="nil"/>
              <w:left w:val="nil"/>
              <w:bottom w:val="nil"/>
              <w:right w:val="nil"/>
            </w:tcBorders>
          </w:tcPr>
          <w:p w:rsidR="00A53D7D" w:rsidRPr="00DE25AD" w:rsidRDefault="00A53D7D" w:rsidP="005140B4">
            <w:pPr>
              <w:pStyle w:val="Tabletext"/>
              <w:rPr>
                <w:rFonts w:eastAsiaTheme="minorEastAsia" w:cs="Calibri"/>
                <w:color w:val="000000"/>
                <w:vertAlign w:val="superscript"/>
                <w:lang w:eastAsia="en-AU"/>
              </w:rPr>
            </w:pPr>
            <w:r w:rsidRPr="00DE25AD">
              <w:rPr>
                <w:rFonts w:eastAsiaTheme="minorEastAsia"/>
                <w:lang w:eastAsia="en-AU"/>
              </w:rPr>
              <w:t xml:space="preserve">Environmental Policy </w:t>
            </w:r>
            <w:r w:rsidRPr="00DE25AD">
              <w:rPr>
                <w:rFonts w:eastAsiaTheme="minorEastAsia" w:cs="Calibri"/>
                <w:color w:val="000000"/>
                <w:vertAlign w:val="superscript"/>
                <w:lang w:eastAsia="en-AU"/>
              </w:rPr>
              <w:t>(d)</w:t>
            </w:r>
          </w:p>
        </w:tc>
        <w:tc>
          <w:tcPr>
            <w:tcW w:w="850"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48.8</w:t>
            </w:r>
          </w:p>
        </w:tc>
        <w:tc>
          <w:tcPr>
            <w:tcW w:w="851"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51.0</w:t>
            </w:r>
          </w:p>
        </w:tc>
        <w:tc>
          <w:tcPr>
            <w:tcW w:w="992"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32.0</w:t>
            </w:r>
          </w:p>
        </w:tc>
        <w:tc>
          <w:tcPr>
            <w:tcW w:w="1241"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-34.4</w:t>
            </w:r>
          </w:p>
        </w:tc>
      </w:tr>
      <w:tr w:rsidR="00A53D7D" w:rsidRPr="00DE25AD" w:rsidTr="005140B4">
        <w:tc>
          <w:tcPr>
            <w:tcW w:w="3842" w:type="dxa"/>
            <w:tcBorders>
              <w:top w:val="nil"/>
              <w:left w:val="nil"/>
              <w:bottom w:val="nil"/>
              <w:right w:val="nil"/>
            </w:tcBorders>
          </w:tcPr>
          <w:p w:rsidR="00A53D7D" w:rsidRPr="00DE25AD" w:rsidRDefault="00A53D7D" w:rsidP="005140B4">
            <w:pPr>
              <w:pStyle w:val="Tabletext"/>
              <w:rPr>
                <w:rFonts w:eastAsiaTheme="minorEastAsia" w:cs="Calibri"/>
                <w:color w:val="000000"/>
                <w:vertAlign w:val="superscript"/>
                <w:lang w:eastAsia="en-AU"/>
              </w:rPr>
            </w:pPr>
            <w:r w:rsidRPr="00DE25AD">
              <w:rPr>
                <w:rFonts w:eastAsiaTheme="minorEastAsia"/>
                <w:lang w:eastAsia="en-AU"/>
              </w:rPr>
              <w:t xml:space="preserve">Environmental Programs </w:t>
            </w:r>
            <w:r w:rsidRPr="00DE25AD">
              <w:rPr>
                <w:rFonts w:eastAsiaTheme="minorEastAsia" w:cs="Calibri"/>
                <w:color w:val="000000"/>
                <w:vertAlign w:val="superscript"/>
                <w:lang w:eastAsia="en-AU"/>
              </w:rPr>
              <w:t>(e)</w:t>
            </w:r>
          </w:p>
        </w:tc>
        <w:tc>
          <w:tcPr>
            <w:tcW w:w="850"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109.3</w:t>
            </w:r>
          </w:p>
        </w:tc>
        <w:tc>
          <w:tcPr>
            <w:tcW w:w="851"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127.4</w:t>
            </w:r>
          </w:p>
        </w:tc>
        <w:tc>
          <w:tcPr>
            <w:tcW w:w="992"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81.3</w:t>
            </w:r>
          </w:p>
        </w:tc>
        <w:tc>
          <w:tcPr>
            <w:tcW w:w="1241"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-25.6</w:t>
            </w:r>
          </w:p>
        </w:tc>
      </w:tr>
      <w:tr w:rsidR="00A53D7D" w:rsidRPr="00DE25AD" w:rsidTr="005140B4">
        <w:tc>
          <w:tcPr>
            <w:tcW w:w="3842" w:type="dxa"/>
            <w:tcBorders>
              <w:top w:val="nil"/>
              <w:left w:val="nil"/>
              <w:bottom w:val="nil"/>
              <w:right w:val="nil"/>
            </w:tcBorders>
          </w:tcPr>
          <w:p w:rsidR="00A53D7D" w:rsidRPr="00DE25AD" w:rsidRDefault="00A53D7D" w:rsidP="005140B4">
            <w:pPr>
              <w:pStyle w:val="Tabletext"/>
              <w:rPr>
                <w:rFonts w:eastAsiaTheme="minorEastAsia" w:cs="Calibri"/>
                <w:color w:val="000000"/>
                <w:vertAlign w:val="superscript"/>
                <w:lang w:eastAsia="en-AU"/>
              </w:rPr>
            </w:pPr>
            <w:r w:rsidRPr="00DE25AD">
              <w:rPr>
                <w:rFonts w:eastAsiaTheme="minorEastAsia"/>
                <w:lang w:eastAsia="en-AU"/>
              </w:rPr>
              <w:t xml:space="preserve">Statutory Activities and Environment Protection </w:t>
            </w:r>
            <w:r w:rsidRPr="00DE25AD">
              <w:rPr>
                <w:rFonts w:eastAsiaTheme="minorEastAsia" w:cs="Calibri"/>
                <w:color w:val="000000"/>
                <w:vertAlign w:val="superscript"/>
                <w:lang w:eastAsia="en-AU"/>
              </w:rPr>
              <w:t>(f)</w:t>
            </w:r>
          </w:p>
        </w:tc>
        <w:tc>
          <w:tcPr>
            <w:tcW w:w="850"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138.1</w:t>
            </w:r>
          </w:p>
        </w:tc>
        <w:tc>
          <w:tcPr>
            <w:tcW w:w="851"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142.0</w:t>
            </w:r>
          </w:p>
        </w:tc>
        <w:tc>
          <w:tcPr>
            <w:tcW w:w="992"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131.5</w:t>
            </w:r>
          </w:p>
        </w:tc>
        <w:tc>
          <w:tcPr>
            <w:tcW w:w="1241"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-4.8</w:t>
            </w:r>
          </w:p>
        </w:tc>
      </w:tr>
      <w:tr w:rsidR="00A53D7D" w:rsidRPr="00DE25AD" w:rsidTr="005140B4">
        <w:tc>
          <w:tcPr>
            <w:tcW w:w="3842" w:type="dxa"/>
            <w:tcBorders>
              <w:top w:val="nil"/>
              <w:left w:val="nil"/>
              <w:bottom w:val="nil"/>
              <w:right w:val="nil"/>
            </w:tcBorders>
          </w:tcPr>
          <w:p w:rsidR="00A53D7D" w:rsidRPr="00DE25AD" w:rsidRDefault="00A53D7D" w:rsidP="005140B4">
            <w:pPr>
              <w:pStyle w:val="Tabletext"/>
              <w:rPr>
                <w:rFonts w:eastAsiaTheme="minorEastAsia" w:cs="Calibri"/>
                <w:color w:val="000000"/>
                <w:vertAlign w:val="superscript"/>
                <w:lang w:eastAsia="en-AU"/>
              </w:rPr>
            </w:pPr>
            <w:r w:rsidRPr="00DE25AD">
              <w:rPr>
                <w:rFonts w:eastAsiaTheme="minorEastAsia"/>
                <w:lang w:eastAsia="en-AU"/>
              </w:rPr>
              <w:t xml:space="preserve">Effective Water Management and Supply </w:t>
            </w:r>
            <w:r w:rsidRPr="00DE25AD">
              <w:rPr>
                <w:rFonts w:eastAsiaTheme="minorEastAsia" w:cs="Calibri"/>
                <w:color w:val="000000"/>
                <w:vertAlign w:val="superscript"/>
                <w:lang w:eastAsia="en-AU"/>
              </w:rPr>
              <w:t>(g)</w:t>
            </w:r>
          </w:p>
        </w:tc>
        <w:tc>
          <w:tcPr>
            <w:tcW w:w="850"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343.7</w:t>
            </w:r>
          </w:p>
        </w:tc>
        <w:tc>
          <w:tcPr>
            <w:tcW w:w="851"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371.5</w:t>
            </w:r>
          </w:p>
        </w:tc>
        <w:tc>
          <w:tcPr>
            <w:tcW w:w="992"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452.8</w:t>
            </w:r>
          </w:p>
        </w:tc>
        <w:tc>
          <w:tcPr>
            <w:tcW w:w="1241"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31.7</w:t>
            </w:r>
          </w:p>
        </w:tc>
      </w:tr>
      <w:tr w:rsidR="00A53D7D" w:rsidRPr="00DE25AD" w:rsidTr="005140B4">
        <w:tc>
          <w:tcPr>
            <w:tcW w:w="3842" w:type="dxa"/>
            <w:tcBorders>
              <w:top w:val="nil"/>
              <w:left w:val="nil"/>
              <w:bottom w:val="nil"/>
              <w:right w:val="nil"/>
            </w:tcBorders>
          </w:tcPr>
          <w:p w:rsidR="00A53D7D" w:rsidRPr="00DE25AD" w:rsidRDefault="00A53D7D" w:rsidP="005140B4">
            <w:pPr>
              <w:pStyle w:val="Tabletext"/>
              <w:rPr>
                <w:rFonts w:eastAsiaTheme="minorEastAsia" w:cs="Calibri"/>
                <w:color w:val="000000"/>
                <w:vertAlign w:val="superscript"/>
                <w:lang w:eastAsia="en-AU"/>
              </w:rPr>
            </w:pPr>
            <w:r w:rsidRPr="00DE25AD">
              <w:rPr>
                <w:rFonts w:eastAsiaTheme="minorEastAsia"/>
                <w:lang w:eastAsia="en-AU"/>
              </w:rPr>
              <w:t xml:space="preserve">Fire and Emergency Management </w:t>
            </w:r>
            <w:r w:rsidRPr="00DE25AD">
              <w:rPr>
                <w:rFonts w:eastAsiaTheme="minorEastAsia" w:cs="Calibri"/>
                <w:color w:val="000000"/>
                <w:vertAlign w:val="superscript"/>
                <w:lang w:eastAsia="en-AU"/>
              </w:rPr>
              <w:t>(h)</w:t>
            </w:r>
          </w:p>
        </w:tc>
        <w:tc>
          <w:tcPr>
            <w:tcW w:w="850"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338.7</w:t>
            </w:r>
          </w:p>
        </w:tc>
        <w:tc>
          <w:tcPr>
            <w:tcW w:w="851"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334.7</w:t>
            </w:r>
          </w:p>
        </w:tc>
        <w:tc>
          <w:tcPr>
            <w:tcW w:w="992"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357.6</w:t>
            </w:r>
          </w:p>
        </w:tc>
        <w:tc>
          <w:tcPr>
            <w:tcW w:w="1241"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5.6</w:t>
            </w:r>
          </w:p>
        </w:tc>
      </w:tr>
      <w:tr w:rsidR="00A53D7D" w:rsidRPr="00DE25AD" w:rsidTr="005140B4">
        <w:tc>
          <w:tcPr>
            <w:tcW w:w="3842" w:type="dxa"/>
            <w:tcBorders>
              <w:top w:val="nil"/>
              <w:left w:val="nil"/>
              <w:bottom w:val="nil"/>
              <w:right w:val="nil"/>
            </w:tcBorders>
          </w:tcPr>
          <w:p w:rsidR="00A53D7D" w:rsidRPr="00DE25AD" w:rsidRDefault="00A53D7D" w:rsidP="005140B4">
            <w:pPr>
              <w:pStyle w:val="Tabletext"/>
              <w:rPr>
                <w:rFonts w:eastAsiaTheme="minorEastAsia" w:cs="Calibri"/>
                <w:color w:val="000000"/>
                <w:vertAlign w:val="superscript"/>
                <w:lang w:eastAsia="en-AU"/>
              </w:rPr>
            </w:pPr>
            <w:r w:rsidRPr="00DE25AD">
              <w:rPr>
                <w:rFonts w:eastAsiaTheme="minorEastAsia"/>
                <w:lang w:eastAsia="en-AU"/>
              </w:rPr>
              <w:t xml:space="preserve">Sustainably Manage Fish and Forest Resources </w:t>
            </w:r>
            <w:r w:rsidRPr="00DE25AD">
              <w:rPr>
                <w:rFonts w:eastAsiaTheme="minorEastAsia" w:cs="Calibri"/>
                <w:color w:val="000000"/>
                <w:vertAlign w:val="superscript"/>
                <w:lang w:eastAsia="en-AU"/>
              </w:rPr>
              <w:t>(</w:t>
            </w:r>
            <w:proofErr w:type="spellStart"/>
            <w:r w:rsidRPr="00DE25AD">
              <w:rPr>
                <w:rFonts w:eastAsiaTheme="minorEastAsia" w:cs="Calibri"/>
                <w:color w:val="000000"/>
                <w:vertAlign w:val="superscript"/>
                <w:lang w:eastAsia="en-AU"/>
              </w:rPr>
              <w:t>i</w:t>
            </w:r>
            <w:proofErr w:type="spellEnd"/>
            <w:r w:rsidRPr="00DE25AD">
              <w:rPr>
                <w:rFonts w:eastAsiaTheme="minorEastAsia" w:cs="Calibri"/>
                <w:color w:val="000000"/>
                <w:vertAlign w:val="superscript"/>
                <w:lang w:eastAsia="en-AU"/>
              </w:rPr>
              <w:t>) (k)</w:t>
            </w:r>
          </w:p>
        </w:tc>
        <w:tc>
          <w:tcPr>
            <w:tcW w:w="850" w:type="dxa"/>
            <w:tcBorders>
              <w:top w:val="nil"/>
              <w:left w:val="nil"/>
              <w:bottom w:val="nil"/>
              <w:right w:val="nil"/>
            </w:tcBorders>
          </w:tcPr>
          <w:p w:rsidR="00A53D7D" w:rsidRPr="00DE25AD" w:rsidRDefault="00A53D7D" w:rsidP="005140B4">
            <w:pPr>
              <w:pStyle w:val="TableofFigures"/>
              <w:rPr>
                <w:rFonts w:eastAsiaTheme="minorEastAsia"/>
                <w:lang w:eastAsia="en-AU"/>
              </w:rPr>
            </w:pPr>
            <w:proofErr w:type="spellStart"/>
            <w:r w:rsidRPr="00DE25AD">
              <w:rPr>
                <w:rFonts w:eastAsiaTheme="minorEastAsia"/>
                <w:lang w:eastAsia="en-AU"/>
              </w:rPr>
              <w:t>na</w:t>
            </w:r>
            <w:proofErr w:type="spellEnd"/>
          </w:p>
        </w:tc>
        <w:tc>
          <w:tcPr>
            <w:tcW w:w="851" w:type="dxa"/>
            <w:tcBorders>
              <w:top w:val="nil"/>
              <w:left w:val="nil"/>
              <w:bottom w:val="nil"/>
              <w:right w:val="nil"/>
            </w:tcBorders>
          </w:tcPr>
          <w:p w:rsidR="00A53D7D" w:rsidRPr="00DE25AD" w:rsidRDefault="00A53D7D" w:rsidP="005140B4">
            <w:pPr>
              <w:pStyle w:val="TableofFigures"/>
              <w:rPr>
                <w:rFonts w:eastAsiaTheme="minorEastAsia"/>
                <w:lang w:eastAsia="en-AU"/>
              </w:rPr>
            </w:pPr>
            <w:proofErr w:type="spellStart"/>
            <w:r w:rsidRPr="00DE25AD">
              <w:rPr>
                <w:rFonts w:eastAsiaTheme="minorEastAsia"/>
                <w:lang w:eastAsia="en-AU"/>
              </w:rPr>
              <w:t>na</w:t>
            </w:r>
            <w:proofErr w:type="spellEnd"/>
          </w:p>
        </w:tc>
        <w:tc>
          <w:tcPr>
            <w:tcW w:w="992"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72.0</w:t>
            </w:r>
          </w:p>
        </w:tc>
        <w:tc>
          <w:tcPr>
            <w:tcW w:w="1241" w:type="dxa"/>
            <w:tcBorders>
              <w:top w:val="nil"/>
              <w:left w:val="nil"/>
              <w:bottom w:val="nil"/>
              <w:right w:val="nil"/>
            </w:tcBorders>
          </w:tcPr>
          <w:p w:rsidR="00A53D7D" w:rsidRPr="00DE25AD" w:rsidRDefault="00A53D7D" w:rsidP="005140B4">
            <w:pPr>
              <w:pStyle w:val="TableofFigures"/>
              <w:rPr>
                <w:rFonts w:eastAsiaTheme="minorEastAsia"/>
                <w:lang w:eastAsia="en-AU"/>
              </w:rPr>
            </w:pPr>
            <w:proofErr w:type="spellStart"/>
            <w:r w:rsidRPr="00DE25AD">
              <w:rPr>
                <w:rFonts w:eastAsiaTheme="minorEastAsia"/>
                <w:lang w:eastAsia="en-AU"/>
              </w:rPr>
              <w:t>na</w:t>
            </w:r>
            <w:proofErr w:type="spellEnd"/>
          </w:p>
        </w:tc>
      </w:tr>
      <w:tr w:rsidR="00A53D7D" w:rsidRPr="00DE25AD" w:rsidTr="005140B4">
        <w:tc>
          <w:tcPr>
            <w:tcW w:w="3842" w:type="dxa"/>
            <w:tcBorders>
              <w:top w:val="nil"/>
              <w:left w:val="nil"/>
              <w:bottom w:val="nil"/>
              <w:right w:val="nil"/>
            </w:tcBorders>
          </w:tcPr>
          <w:p w:rsidR="00A53D7D" w:rsidRPr="00DE25AD" w:rsidRDefault="00A53D7D" w:rsidP="005140B4">
            <w:pPr>
              <w:pStyle w:val="Tabletext"/>
              <w:rPr>
                <w:rFonts w:eastAsiaTheme="minorEastAsia" w:cs="Calibri"/>
                <w:color w:val="000000"/>
                <w:vertAlign w:val="superscript"/>
                <w:lang w:eastAsia="en-AU"/>
              </w:rPr>
            </w:pPr>
            <w:r w:rsidRPr="00DE25AD">
              <w:rPr>
                <w:rFonts w:eastAsiaTheme="minorEastAsia"/>
                <w:lang w:eastAsia="en-AU"/>
              </w:rPr>
              <w:t xml:space="preserve">Management of Forests, Parks and Public Land </w:t>
            </w:r>
            <w:r w:rsidRPr="00DE25AD">
              <w:rPr>
                <w:rFonts w:eastAsiaTheme="minorEastAsia" w:cs="Calibri"/>
                <w:color w:val="000000"/>
                <w:vertAlign w:val="superscript"/>
                <w:lang w:eastAsia="en-AU"/>
              </w:rPr>
              <w:t>(j)</w:t>
            </w:r>
          </w:p>
        </w:tc>
        <w:tc>
          <w:tcPr>
            <w:tcW w:w="850" w:type="dxa"/>
            <w:tcBorders>
              <w:top w:val="nil"/>
              <w:left w:val="nil"/>
              <w:bottom w:val="nil"/>
              <w:right w:val="nil"/>
            </w:tcBorders>
            <w:shd w:val="clear" w:color="auto" w:fill="auto"/>
          </w:tcPr>
          <w:p w:rsidR="00A53D7D" w:rsidRPr="00DE25AD" w:rsidRDefault="00A53D7D" w:rsidP="005140B4">
            <w:pPr>
              <w:pStyle w:val="TableofFigures"/>
              <w:rPr>
                <w:rFonts w:eastAsiaTheme="minorEastAsia"/>
                <w:lang w:eastAsia="en-AU"/>
              </w:rPr>
            </w:pPr>
            <w:r w:rsidRPr="00DE25AD">
              <w:rPr>
                <w:rFonts w:eastAsiaTheme="minorEastAsia"/>
                <w:lang w:eastAsia="en-AU"/>
              </w:rPr>
              <w:t>300.6</w:t>
            </w:r>
          </w:p>
        </w:tc>
        <w:tc>
          <w:tcPr>
            <w:tcW w:w="851"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307.5</w:t>
            </w:r>
          </w:p>
        </w:tc>
        <w:tc>
          <w:tcPr>
            <w:tcW w:w="992" w:type="dxa"/>
            <w:tcBorders>
              <w:top w:val="nil"/>
              <w:left w:val="nil"/>
              <w:bottom w:val="nil"/>
              <w:right w:val="nil"/>
            </w:tcBorders>
          </w:tcPr>
          <w:p w:rsidR="00A53D7D" w:rsidRPr="00DE25AD" w:rsidRDefault="00A53D7D" w:rsidP="005140B4">
            <w:pPr>
              <w:pStyle w:val="TableofFigures"/>
              <w:rPr>
                <w:rFonts w:eastAsiaTheme="minorEastAsia" w:cs="Calibri"/>
                <w:color w:val="000000"/>
                <w:lang w:eastAsia="en-AU"/>
              </w:rPr>
            </w:pPr>
            <w:r w:rsidRPr="00DE25AD">
              <w:rPr>
                <w:rFonts w:eastAsiaTheme="minorEastAsia"/>
                <w:lang w:eastAsia="en-AU"/>
              </w:rPr>
              <w:t>290.9</w:t>
            </w:r>
          </w:p>
        </w:tc>
        <w:tc>
          <w:tcPr>
            <w:tcW w:w="1241"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-3.2</w:t>
            </w:r>
          </w:p>
        </w:tc>
      </w:tr>
      <w:tr w:rsidR="00A53D7D" w:rsidRPr="00DE25AD" w:rsidTr="005140B4">
        <w:tc>
          <w:tcPr>
            <w:tcW w:w="3842" w:type="dxa"/>
            <w:tcBorders>
              <w:top w:val="single" w:sz="6" w:space="0" w:color="auto"/>
              <w:left w:val="nil"/>
              <w:bottom w:val="single" w:sz="12" w:space="0" w:color="auto"/>
              <w:right w:val="nil"/>
            </w:tcBorders>
          </w:tcPr>
          <w:p w:rsidR="00A53D7D" w:rsidRPr="00DE25AD" w:rsidRDefault="00A53D7D" w:rsidP="005140B4">
            <w:pPr>
              <w:pStyle w:val="Tabletext"/>
              <w:rPr>
                <w:rFonts w:eastAsiaTheme="minorEastAsia"/>
                <w:b/>
                <w:bCs/>
                <w:vertAlign w:val="superscript"/>
                <w:lang w:eastAsia="en-AU"/>
              </w:rPr>
            </w:pPr>
            <w:r w:rsidRPr="00DE25AD">
              <w:rPr>
                <w:rFonts w:eastAsiaTheme="minorEastAsia"/>
                <w:b/>
                <w:bCs/>
                <w:lang w:eastAsia="en-AU"/>
              </w:rPr>
              <w:t>Total</w:t>
            </w:r>
          </w:p>
        </w:tc>
        <w:tc>
          <w:tcPr>
            <w:tcW w:w="850" w:type="dxa"/>
            <w:tcBorders>
              <w:top w:val="single" w:sz="6" w:space="0" w:color="auto"/>
              <w:left w:val="nil"/>
              <w:bottom w:val="single" w:sz="12" w:space="0" w:color="auto"/>
              <w:right w:val="nil"/>
            </w:tcBorders>
          </w:tcPr>
          <w:p w:rsidR="00A53D7D" w:rsidRPr="00DE25AD" w:rsidRDefault="00A53D7D" w:rsidP="005140B4">
            <w:pPr>
              <w:pStyle w:val="TableofFigures"/>
              <w:rPr>
                <w:rFonts w:eastAsiaTheme="minorEastAsia"/>
                <w:b/>
                <w:bCs/>
                <w:lang w:eastAsia="en-AU"/>
              </w:rPr>
            </w:pPr>
            <w:r w:rsidRPr="00DE25AD">
              <w:rPr>
                <w:rFonts w:eastAsiaTheme="minorEastAsia"/>
                <w:b/>
                <w:bCs/>
                <w:lang w:eastAsia="en-AU"/>
              </w:rPr>
              <w:t>1279.2</w:t>
            </w:r>
          </w:p>
        </w:tc>
        <w:tc>
          <w:tcPr>
            <w:tcW w:w="851" w:type="dxa"/>
            <w:tcBorders>
              <w:top w:val="single" w:sz="6" w:space="0" w:color="auto"/>
              <w:left w:val="nil"/>
              <w:bottom w:val="single" w:sz="12" w:space="0" w:color="auto"/>
              <w:right w:val="nil"/>
            </w:tcBorders>
          </w:tcPr>
          <w:p w:rsidR="00A53D7D" w:rsidRPr="00DE25AD" w:rsidRDefault="00A53D7D" w:rsidP="005140B4">
            <w:pPr>
              <w:pStyle w:val="TableofFigures"/>
              <w:rPr>
                <w:rFonts w:eastAsiaTheme="minorEastAsia"/>
                <w:b/>
                <w:bCs/>
                <w:lang w:eastAsia="en-AU"/>
              </w:rPr>
            </w:pPr>
            <w:r w:rsidRPr="00DE25AD">
              <w:rPr>
                <w:rFonts w:eastAsiaTheme="minorEastAsia"/>
                <w:b/>
                <w:bCs/>
                <w:lang w:eastAsia="en-AU"/>
              </w:rPr>
              <w:t>1334.1</w:t>
            </w:r>
          </w:p>
        </w:tc>
        <w:tc>
          <w:tcPr>
            <w:tcW w:w="992" w:type="dxa"/>
            <w:tcBorders>
              <w:top w:val="single" w:sz="6" w:space="0" w:color="auto"/>
              <w:left w:val="nil"/>
              <w:bottom w:val="single" w:sz="12" w:space="0" w:color="auto"/>
              <w:right w:val="nil"/>
            </w:tcBorders>
          </w:tcPr>
          <w:p w:rsidR="00A53D7D" w:rsidRPr="00DE25AD" w:rsidRDefault="00A53D7D" w:rsidP="005140B4">
            <w:pPr>
              <w:pStyle w:val="TableofFigures"/>
              <w:rPr>
                <w:rFonts w:eastAsiaTheme="minorEastAsia"/>
                <w:b/>
                <w:bCs/>
                <w:lang w:eastAsia="en-AU"/>
              </w:rPr>
            </w:pPr>
            <w:r w:rsidRPr="00DE25AD">
              <w:rPr>
                <w:rFonts w:eastAsiaTheme="minorEastAsia"/>
                <w:b/>
                <w:bCs/>
                <w:lang w:eastAsia="en-AU"/>
              </w:rPr>
              <w:t>1826.5</w:t>
            </w:r>
          </w:p>
        </w:tc>
        <w:tc>
          <w:tcPr>
            <w:tcW w:w="1241" w:type="dxa"/>
            <w:tcBorders>
              <w:top w:val="single" w:sz="6" w:space="0" w:color="auto"/>
              <w:left w:val="nil"/>
              <w:bottom w:val="single" w:sz="12" w:space="0" w:color="auto"/>
              <w:right w:val="nil"/>
            </w:tcBorders>
          </w:tcPr>
          <w:p w:rsidR="00A53D7D" w:rsidRPr="00DE25AD" w:rsidRDefault="00A53D7D" w:rsidP="005140B4">
            <w:pPr>
              <w:pStyle w:val="TableofFigures"/>
              <w:rPr>
                <w:rFonts w:eastAsiaTheme="minorEastAsia"/>
                <w:b/>
                <w:bCs/>
                <w:lang w:eastAsia="en-AU"/>
              </w:rPr>
            </w:pPr>
            <w:r w:rsidRPr="00DE25AD">
              <w:rPr>
                <w:rFonts w:eastAsiaTheme="minorEastAsia"/>
                <w:b/>
                <w:bCs/>
                <w:lang w:eastAsia="en-AU"/>
              </w:rPr>
              <w:t>42.8</w:t>
            </w:r>
          </w:p>
        </w:tc>
      </w:tr>
    </w:tbl>
    <w:p w:rsidR="00A53D7D" w:rsidRDefault="00A53D7D" w:rsidP="005140B4">
      <w:pPr>
        <w:pStyle w:val="Source"/>
      </w:pPr>
      <w:r>
        <w:t xml:space="preserve">Source: Department of Environment and Primary Industries </w:t>
      </w:r>
      <w:r>
        <w:fldChar w:fldCharType="begin"/>
      </w:r>
      <w:r>
        <w:instrText xml:space="preserve"> XE "</w:instrText>
      </w:r>
      <w:r w:rsidRPr="00B15ECE">
        <w:instrText xml:space="preserve">Department of </w:instrText>
      </w:r>
      <w:r>
        <w:instrText>Environment</w:instrText>
      </w:r>
      <w:r w:rsidRPr="00B15ECE">
        <w:instrText xml:space="preserve"> and </w:instrText>
      </w:r>
      <w:r>
        <w:instrText>Primary Industries</w:instrText>
      </w:r>
      <w:r w:rsidRPr="00B15ECE">
        <w:instrText>:Output summary</w:instrText>
      </w:r>
      <w:r>
        <w:instrText xml:space="preserve">" </w:instrText>
      </w:r>
      <w:r>
        <w:fldChar w:fldCharType="end"/>
      </w:r>
    </w:p>
    <w:p w:rsidR="00A53D7D" w:rsidRDefault="00A53D7D" w:rsidP="005140B4">
      <w:pPr>
        <w:pStyle w:val="Notes"/>
      </w:pPr>
      <w:r>
        <w:t>Notes:</w:t>
      </w:r>
    </w:p>
    <w:p w:rsidR="00A53D7D" w:rsidRDefault="00A53D7D" w:rsidP="005140B4">
      <w:pPr>
        <w:pStyle w:val="Notes"/>
      </w:pPr>
      <w:r>
        <w:t>(a)</w:t>
      </w:r>
      <w:r>
        <w:tab/>
        <w:t xml:space="preserve">Variation between </w:t>
      </w:r>
      <w:r w:rsidRPr="00A74C96">
        <w:t>2013</w:t>
      </w:r>
      <w:r w:rsidRPr="00A74C96">
        <w:noBreakHyphen/>
        <w:t>14 budget</w:t>
      </w:r>
      <w:r>
        <w:t xml:space="preserve"> and </w:t>
      </w:r>
      <w:r w:rsidRPr="00A74C96">
        <w:t>2014</w:t>
      </w:r>
      <w:r w:rsidRPr="00A74C96">
        <w:noBreakHyphen/>
        <w:t>15 budget</w:t>
      </w:r>
      <w:r>
        <w:t>.</w:t>
      </w:r>
    </w:p>
    <w:p w:rsidR="00A53D7D" w:rsidRDefault="00A53D7D" w:rsidP="005140B4">
      <w:pPr>
        <w:pStyle w:val="Notes"/>
      </w:pPr>
      <w:r>
        <w:t>(b)</w:t>
      </w:r>
      <w:r>
        <w:tab/>
        <w:t>Agriculture is a new output in 2014</w:t>
      </w:r>
      <w:r>
        <w:noBreakHyphen/>
        <w:t xml:space="preserve">15. As such there is no </w:t>
      </w:r>
      <w:r w:rsidRPr="00A74C96">
        <w:t>2013</w:t>
      </w:r>
      <w:r w:rsidRPr="00A74C96">
        <w:noBreakHyphen/>
        <w:t>14 budget</w:t>
      </w:r>
      <w:r>
        <w:t xml:space="preserve"> and 2013</w:t>
      </w:r>
      <w:r>
        <w:noBreakHyphen/>
        <w:t>14 revised.</w:t>
      </w:r>
    </w:p>
    <w:p w:rsidR="00A53D7D" w:rsidRDefault="00A53D7D" w:rsidP="005140B4">
      <w:pPr>
        <w:pStyle w:val="Notes"/>
      </w:pPr>
      <w:r>
        <w:t>(c)</w:t>
      </w:r>
      <w:r>
        <w:tab/>
        <w:t>Biosecurity is a new output in 2014</w:t>
      </w:r>
      <w:r>
        <w:noBreakHyphen/>
        <w:t xml:space="preserve">15. As such there is no </w:t>
      </w:r>
      <w:r w:rsidRPr="00A74C96">
        <w:t>2013</w:t>
      </w:r>
      <w:r w:rsidRPr="00A74C96">
        <w:noBreakHyphen/>
        <w:t>14 budget</w:t>
      </w:r>
      <w:r>
        <w:t xml:space="preserve"> and 2013</w:t>
      </w:r>
      <w:r>
        <w:noBreakHyphen/>
        <w:t>14 revised.</w:t>
      </w:r>
    </w:p>
    <w:p w:rsidR="00A53D7D" w:rsidRDefault="00A53D7D" w:rsidP="005140B4">
      <w:pPr>
        <w:pStyle w:val="Notes"/>
      </w:pPr>
      <w:r>
        <w:t>(d)</w:t>
      </w:r>
      <w:r>
        <w:tab/>
        <w:t>The lower 2014</w:t>
      </w:r>
      <w:r>
        <w:noBreakHyphen/>
        <w:t xml:space="preserve">15 budget primarily reflects the timing of grant payments under the Communities for Nature and the Victorian Environmental Partnerships programs. </w:t>
      </w:r>
    </w:p>
    <w:p w:rsidR="00A53D7D" w:rsidRDefault="00A53D7D" w:rsidP="005140B4">
      <w:pPr>
        <w:pStyle w:val="Notes"/>
      </w:pPr>
      <w:r>
        <w:t>(e)</w:t>
      </w:r>
      <w:r>
        <w:tab/>
        <w:t xml:space="preserve">The lower </w:t>
      </w:r>
      <w:r w:rsidRPr="00A74C96">
        <w:t>2014</w:t>
      </w:r>
      <w:r w:rsidRPr="00A74C96">
        <w:noBreakHyphen/>
        <w:t>15 budget</w:t>
      </w:r>
      <w:r>
        <w:t xml:space="preserve"> primarily reflects the transfer of responsibility for natural resource management from the Environmental Programs output to the Effective Water Management and Supply output in order to align service delivery outcomes.</w:t>
      </w:r>
    </w:p>
    <w:p w:rsidR="00A53D7D" w:rsidRDefault="00A53D7D" w:rsidP="005140B4">
      <w:pPr>
        <w:pStyle w:val="Notes"/>
      </w:pPr>
      <w:r>
        <w:tab/>
        <w:t>The higher 2013</w:t>
      </w:r>
      <w:r>
        <w:noBreakHyphen/>
        <w:t>14 revised is due to the timing of the finalisation of the agreement with the Commonwealth Government for the Caring for our Country initiative.</w:t>
      </w:r>
    </w:p>
    <w:p w:rsidR="00A53D7D" w:rsidRDefault="00A53D7D" w:rsidP="005140B4">
      <w:pPr>
        <w:pStyle w:val="Notes"/>
      </w:pPr>
      <w:r>
        <w:t>(f)</w:t>
      </w:r>
      <w:r>
        <w:tab/>
        <w:t xml:space="preserve">The lower </w:t>
      </w:r>
      <w:r w:rsidRPr="00A74C96">
        <w:t>2014</w:t>
      </w:r>
      <w:r w:rsidRPr="00A74C96">
        <w:noBreakHyphen/>
        <w:t>15 budget</w:t>
      </w:r>
      <w:r>
        <w:t xml:space="preserve"> is due to the timing of payments from the Environment Protection Fund.</w:t>
      </w:r>
    </w:p>
    <w:p w:rsidR="00A53D7D" w:rsidRDefault="00A53D7D" w:rsidP="005140B4">
      <w:pPr>
        <w:pStyle w:val="Notes"/>
      </w:pPr>
      <w:r>
        <w:t>(g)</w:t>
      </w:r>
      <w:r>
        <w:tab/>
        <w:t xml:space="preserve">The higher </w:t>
      </w:r>
      <w:r w:rsidRPr="00A74C96">
        <w:t>2014</w:t>
      </w:r>
      <w:r w:rsidRPr="00A74C96">
        <w:noBreakHyphen/>
        <w:t>15 budget</w:t>
      </w:r>
      <w:r>
        <w:t xml:space="preserve"> primarily reflects additional Government investment provided </w:t>
      </w:r>
      <w:r w:rsidRPr="00A74C96">
        <w:t>in the 2014</w:t>
      </w:r>
      <w:r w:rsidRPr="00A74C96">
        <w:noBreakHyphen/>
        <w:t>15 budget</w:t>
      </w:r>
      <w:r>
        <w:t xml:space="preserve"> for the rural water management and implementing the Government’s commitment to flood enquiries initiatives and service realignment due to machinery of government changes. </w:t>
      </w:r>
    </w:p>
    <w:p w:rsidR="00A53D7D" w:rsidRDefault="00A53D7D" w:rsidP="005140B4">
      <w:pPr>
        <w:pStyle w:val="Notes"/>
      </w:pPr>
      <w:r>
        <w:t>(h)</w:t>
      </w:r>
      <w:r>
        <w:tab/>
        <w:t xml:space="preserve">The higher </w:t>
      </w:r>
      <w:r w:rsidRPr="00A74C96">
        <w:t>2014</w:t>
      </w:r>
      <w:r w:rsidRPr="00A74C96">
        <w:noBreakHyphen/>
        <w:t>15 budget</w:t>
      </w:r>
      <w:r>
        <w:t xml:space="preserve"> primarily reflects additional Government investment provided in the 2014</w:t>
      </w:r>
      <w:r>
        <w:noBreakHyphen/>
        <w:t xml:space="preserve">15 budget for the preformed incident management teams and planned burning initiatives. </w:t>
      </w:r>
    </w:p>
    <w:p w:rsidR="00A53D7D" w:rsidRDefault="00A53D7D" w:rsidP="005140B4">
      <w:pPr>
        <w:pStyle w:val="Notes"/>
      </w:pPr>
      <w:r>
        <w:t>(</w:t>
      </w:r>
      <w:proofErr w:type="spellStart"/>
      <w:r>
        <w:t>i</w:t>
      </w:r>
      <w:proofErr w:type="spellEnd"/>
      <w:r>
        <w:t>)</w:t>
      </w:r>
      <w:r>
        <w:tab/>
        <w:t>Sustainably Manage Fish and Forest Resources is a new output in 2014</w:t>
      </w:r>
      <w:r>
        <w:noBreakHyphen/>
        <w:t xml:space="preserve">15. As such there is no </w:t>
      </w:r>
      <w:r w:rsidRPr="00A74C96">
        <w:t>2013</w:t>
      </w:r>
      <w:r w:rsidRPr="00A74C96">
        <w:noBreakHyphen/>
        <w:t>14 budget</w:t>
      </w:r>
      <w:r>
        <w:t xml:space="preserve"> and 2013</w:t>
      </w:r>
      <w:r>
        <w:noBreakHyphen/>
        <w:t>14 revised.</w:t>
      </w:r>
    </w:p>
    <w:p w:rsidR="00A53D7D" w:rsidRDefault="00A53D7D" w:rsidP="005140B4">
      <w:pPr>
        <w:pStyle w:val="Notes"/>
      </w:pPr>
      <w:r>
        <w:t>(j)</w:t>
      </w:r>
      <w:r>
        <w:tab/>
        <w:t xml:space="preserve">Management of Forests, </w:t>
      </w:r>
      <w:proofErr w:type="gramStart"/>
      <w:r>
        <w:t>Parks</w:t>
      </w:r>
      <w:proofErr w:type="gramEnd"/>
      <w:r>
        <w:t xml:space="preserve"> and Public Land consolidates the 2013</w:t>
      </w:r>
      <w:r>
        <w:noBreakHyphen/>
        <w:t>14 outputs Forests and Parks and Public Land. The 2013</w:t>
      </w:r>
      <w:r>
        <w:noBreakHyphen/>
        <w:t xml:space="preserve">14 revised </w:t>
      </w:r>
      <w:r w:rsidRPr="00A74C96">
        <w:t>and 2013</w:t>
      </w:r>
      <w:r w:rsidRPr="00A74C96">
        <w:noBreakHyphen/>
        <w:t>14 budget</w:t>
      </w:r>
      <w:r>
        <w:t xml:space="preserve"> represent the addition of the 2013</w:t>
      </w:r>
      <w:r>
        <w:noBreakHyphen/>
        <w:t>14 figures for the outputs Forest and Parks and Public Land.</w:t>
      </w:r>
    </w:p>
    <w:p w:rsidR="00A53D7D" w:rsidRDefault="00A53D7D" w:rsidP="005140B4">
      <w:pPr>
        <w:pStyle w:val="Notes"/>
      </w:pPr>
      <w:r>
        <w:tab/>
        <w:t>The lower 2014</w:t>
      </w:r>
      <w:r>
        <w:noBreakHyphen/>
        <w:t xml:space="preserve">15 budget is due to the timing of payments from the Parks and Reserve Trust. </w:t>
      </w:r>
    </w:p>
    <w:p w:rsidR="00A53D7D" w:rsidRPr="00AC1D3D" w:rsidRDefault="00A53D7D" w:rsidP="005140B4">
      <w:pPr>
        <w:pStyle w:val="Notes"/>
      </w:pPr>
      <w:r>
        <w:t>(k)</w:t>
      </w:r>
      <w:r>
        <w:tab/>
        <w:t xml:space="preserve">These outputs </w:t>
      </w:r>
      <w:r w:rsidRPr="00B86A43">
        <w:t>ha</w:t>
      </w:r>
      <w:r>
        <w:t>ve</w:t>
      </w:r>
      <w:r w:rsidRPr="00B86A43">
        <w:t xml:space="preserve"> been disaggregated from the discontinued Development of Primary Industries output to provide greater clarity of expenditure against portfolio outcomes. As such, there is no historical output cost data available for this output.</w:t>
      </w:r>
      <w:r>
        <w:t xml:space="preserve"> The Development of Primary Industries output cost was $440.3 million in 2013</w:t>
      </w:r>
      <w:r>
        <w:noBreakHyphen/>
        <w:t>14.The new outputs include additional amounts reallocated from other outputs.</w:t>
      </w:r>
    </w:p>
    <w:p w:rsidR="00A53D7D" w:rsidRDefault="00A53D7D" w:rsidP="005140B4">
      <w:pPr>
        <w:pStyle w:val="Heading2"/>
      </w:pPr>
      <w:r>
        <w:t>Amounts available</w:t>
      </w:r>
    </w:p>
    <w:p w:rsidR="00A53D7D" w:rsidRDefault="00A53D7D" w:rsidP="005140B4">
      <w:r>
        <w:t>The following tables detail the amounts available to the Department from Parliamentary authority and income generated through transactions.</w:t>
      </w:r>
    </w:p>
    <w:p w:rsidR="00A53D7D" w:rsidRDefault="00A53D7D" w:rsidP="005140B4">
      <w:r>
        <w:t>Table 2.6 outlines the Department’s income from transactions and Table 2.7 summarises the sources of Parliamentary authority available to the Department to fund the provision of outputs, additions to net asset base and payments made on behalf of the State.</w:t>
      </w:r>
    </w:p>
    <w:p w:rsidR="00A53D7D" w:rsidRDefault="00A53D7D" w:rsidP="005140B4">
      <w:pPr>
        <w:pStyle w:val="Tableheading"/>
      </w:pPr>
      <w:r>
        <w:t>Table 2.6:</w:t>
      </w:r>
      <w:r>
        <w:tab/>
        <w:t xml:space="preserve">Income from transactions </w:t>
      </w:r>
    </w:p>
    <w:p w:rsidR="00A53D7D" w:rsidRPr="00DE25AD" w:rsidRDefault="00A53D7D" w:rsidP="005140B4">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DE25AD" w:rsidTr="005140B4">
        <w:tc>
          <w:tcPr>
            <w:tcW w:w="3801" w:type="dxa"/>
            <w:tcBorders>
              <w:top w:val="single" w:sz="6" w:space="0" w:color="auto"/>
              <w:left w:val="single" w:sz="6" w:space="0" w:color="auto"/>
              <w:bottom w:val="nil"/>
              <w:right w:val="nil"/>
            </w:tcBorders>
            <w:shd w:val="clear" w:color="auto" w:fill="000000"/>
          </w:tcPr>
          <w:p w:rsidR="00A53D7D" w:rsidRPr="00DE25AD" w:rsidRDefault="00A53D7D" w:rsidP="005140B4">
            <w:pPr>
              <w:pStyle w:val="Tabletext"/>
              <w:rPr>
                <w:rFonts w:eastAsiaTheme="minorEastAsia"/>
                <w:lang w:eastAsia="en-AU"/>
              </w:rPr>
            </w:pPr>
            <w:r w:rsidRPr="00DE25AD">
              <w:rPr>
                <w:rFonts w:eastAsiaTheme="minorEastAsia"/>
                <w:lang w:eastAsia="en-AU"/>
              </w:rPr>
              <w:t xml:space="preserve"> </w:t>
            </w:r>
          </w:p>
        </w:tc>
        <w:tc>
          <w:tcPr>
            <w:tcW w:w="993" w:type="dxa"/>
            <w:tcBorders>
              <w:top w:val="single" w:sz="6" w:space="0" w:color="auto"/>
              <w:left w:val="nil"/>
              <w:bottom w:val="nil"/>
              <w:right w:val="nil"/>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2012-13</w:t>
            </w:r>
          </w:p>
        </w:tc>
        <w:tc>
          <w:tcPr>
            <w:tcW w:w="993" w:type="dxa"/>
            <w:tcBorders>
              <w:top w:val="single" w:sz="6" w:space="0" w:color="auto"/>
              <w:left w:val="nil"/>
              <w:bottom w:val="nil"/>
              <w:right w:val="nil"/>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2013-14</w:t>
            </w:r>
          </w:p>
        </w:tc>
        <w:tc>
          <w:tcPr>
            <w:tcW w:w="993" w:type="dxa"/>
            <w:tcBorders>
              <w:top w:val="single" w:sz="6" w:space="0" w:color="auto"/>
              <w:left w:val="nil"/>
              <w:bottom w:val="nil"/>
              <w:right w:val="nil"/>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2013-14</w:t>
            </w:r>
          </w:p>
        </w:tc>
        <w:tc>
          <w:tcPr>
            <w:tcW w:w="993" w:type="dxa"/>
            <w:tcBorders>
              <w:top w:val="single" w:sz="6" w:space="0" w:color="auto"/>
              <w:left w:val="nil"/>
              <w:bottom w:val="nil"/>
              <w:right w:val="single" w:sz="6" w:space="0" w:color="auto"/>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2014-15</w:t>
            </w:r>
          </w:p>
        </w:tc>
      </w:tr>
      <w:tr w:rsidR="00A53D7D" w:rsidRPr="00DE25AD" w:rsidTr="005140B4">
        <w:tc>
          <w:tcPr>
            <w:tcW w:w="3801" w:type="dxa"/>
            <w:tcBorders>
              <w:top w:val="nil"/>
              <w:left w:val="single" w:sz="6" w:space="0" w:color="auto"/>
              <w:bottom w:val="single" w:sz="6" w:space="0" w:color="auto"/>
              <w:right w:val="nil"/>
            </w:tcBorders>
            <w:shd w:val="clear" w:color="auto" w:fill="000000"/>
          </w:tcPr>
          <w:p w:rsidR="00A53D7D" w:rsidRPr="00DE25AD" w:rsidRDefault="00A53D7D" w:rsidP="005140B4">
            <w:pPr>
              <w:pStyle w:val="Tabletext"/>
              <w:rPr>
                <w:rFonts w:eastAsiaTheme="minorEastAsia"/>
                <w:lang w:eastAsia="en-AU"/>
              </w:rPr>
            </w:pPr>
            <w:r w:rsidRPr="00DE25AD">
              <w:rPr>
                <w:rFonts w:eastAsiaTheme="minorEastAsia"/>
                <w:lang w:eastAsia="en-AU"/>
              </w:rPr>
              <w:t xml:space="preserve"> </w:t>
            </w:r>
          </w:p>
        </w:tc>
        <w:tc>
          <w:tcPr>
            <w:tcW w:w="993" w:type="dxa"/>
            <w:tcBorders>
              <w:top w:val="nil"/>
              <w:left w:val="nil"/>
              <w:bottom w:val="single" w:sz="6" w:space="0" w:color="auto"/>
              <w:right w:val="nil"/>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Actual</w:t>
            </w:r>
          </w:p>
        </w:tc>
        <w:tc>
          <w:tcPr>
            <w:tcW w:w="993" w:type="dxa"/>
            <w:tcBorders>
              <w:top w:val="nil"/>
              <w:left w:val="nil"/>
              <w:bottom w:val="single" w:sz="6" w:space="0" w:color="auto"/>
              <w:right w:val="nil"/>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 xml:space="preserve">Budget </w:t>
            </w:r>
          </w:p>
        </w:tc>
        <w:tc>
          <w:tcPr>
            <w:tcW w:w="993" w:type="dxa"/>
            <w:tcBorders>
              <w:top w:val="nil"/>
              <w:left w:val="nil"/>
              <w:bottom w:val="single" w:sz="6" w:space="0" w:color="auto"/>
              <w:right w:val="nil"/>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Revised</w:t>
            </w:r>
          </w:p>
        </w:tc>
        <w:tc>
          <w:tcPr>
            <w:tcW w:w="993" w:type="dxa"/>
            <w:tcBorders>
              <w:top w:val="nil"/>
              <w:left w:val="nil"/>
              <w:bottom w:val="single" w:sz="6" w:space="0" w:color="auto"/>
              <w:right w:val="single" w:sz="6" w:space="0" w:color="auto"/>
            </w:tcBorders>
            <w:shd w:val="clear" w:color="auto" w:fill="000000"/>
          </w:tcPr>
          <w:p w:rsidR="00A53D7D" w:rsidRPr="00DE25AD" w:rsidRDefault="00A53D7D" w:rsidP="005140B4">
            <w:pPr>
              <w:pStyle w:val="Tabletextheading"/>
              <w:rPr>
                <w:rFonts w:eastAsiaTheme="minorEastAsia"/>
                <w:lang w:eastAsia="en-AU"/>
              </w:rPr>
            </w:pPr>
            <w:r w:rsidRPr="00DE25AD">
              <w:rPr>
                <w:rFonts w:eastAsiaTheme="minorEastAsia"/>
                <w:lang w:eastAsia="en-AU"/>
              </w:rPr>
              <w:t>Budget</w:t>
            </w:r>
          </w:p>
        </w:tc>
      </w:tr>
      <w:tr w:rsidR="00A53D7D" w:rsidRPr="00DE25AD" w:rsidTr="005140B4">
        <w:tc>
          <w:tcPr>
            <w:tcW w:w="3801" w:type="dxa"/>
            <w:tcBorders>
              <w:top w:val="nil"/>
              <w:left w:val="nil"/>
              <w:bottom w:val="nil"/>
              <w:right w:val="nil"/>
            </w:tcBorders>
          </w:tcPr>
          <w:p w:rsidR="00A53D7D" w:rsidRPr="00DE25AD" w:rsidRDefault="00A53D7D" w:rsidP="005140B4">
            <w:pPr>
              <w:pStyle w:val="Tabletext"/>
              <w:rPr>
                <w:rFonts w:eastAsiaTheme="minorEastAsia"/>
                <w:lang w:eastAsia="en-AU"/>
              </w:rPr>
            </w:pPr>
            <w:r w:rsidRPr="00DE25AD">
              <w:rPr>
                <w:rFonts w:eastAsiaTheme="minorEastAsia"/>
                <w:lang w:eastAsia="en-AU"/>
              </w:rPr>
              <w:t>Output appropriations</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1 030.7</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1 357.1</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1 423.4</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1 463.6</w:t>
            </w:r>
          </w:p>
        </w:tc>
      </w:tr>
      <w:tr w:rsidR="00A53D7D" w:rsidRPr="00DE25AD" w:rsidTr="005140B4">
        <w:tc>
          <w:tcPr>
            <w:tcW w:w="3801" w:type="dxa"/>
            <w:tcBorders>
              <w:top w:val="nil"/>
              <w:left w:val="nil"/>
              <w:bottom w:val="nil"/>
              <w:right w:val="nil"/>
            </w:tcBorders>
          </w:tcPr>
          <w:p w:rsidR="00A53D7D" w:rsidRPr="00DE25AD" w:rsidRDefault="00A53D7D" w:rsidP="005140B4">
            <w:pPr>
              <w:pStyle w:val="Tabletext"/>
              <w:rPr>
                <w:rFonts w:eastAsiaTheme="minorEastAsia"/>
                <w:lang w:eastAsia="en-AU"/>
              </w:rPr>
            </w:pPr>
            <w:r w:rsidRPr="00DE25AD">
              <w:rPr>
                <w:rFonts w:eastAsiaTheme="minorEastAsia"/>
                <w:lang w:eastAsia="en-AU"/>
              </w:rPr>
              <w:t>Special appropriations</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14.5</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2.0</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w:t>
            </w:r>
          </w:p>
        </w:tc>
      </w:tr>
      <w:tr w:rsidR="00A53D7D" w:rsidRPr="00DE25AD" w:rsidTr="005140B4">
        <w:tc>
          <w:tcPr>
            <w:tcW w:w="3801" w:type="dxa"/>
            <w:tcBorders>
              <w:top w:val="nil"/>
              <w:left w:val="nil"/>
              <w:bottom w:val="nil"/>
              <w:right w:val="nil"/>
            </w:tcBorders>
          </w:tcPr>
          <w:p w:rsidR="00A53D7D" w:rsidRPr="00DE25AD" w:rsidRDefault="00A53D7D" w:rsidP="005140B4">
            <w:pPr>
              <w:pStyle w:val="Tabletext"/>
              <w:rPr>
                <w:rFonts w:eastAsiaTheme="minorEastAsia"/>
                <w:lang w:eastAsia="en-AU"/>
              </w:rPr>
            </w:pPr>
            <w:r w:rsidRPr="00DE25AD">
              <w:rPr>
                <w:rFonts w:eastAsiaTheme="minorEastAsia"/>
                <w:lang w:eastAsia="en-AU"/>
              </w:rPr>
              <w:t>Interest</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9.5</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10.5</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15.2</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18.4</w:t>
            </w:r>
          </w:p>
        </w:tc>
      </w:tr>
      <w:tr w:rsidR="00A53D7D" w:rsidRPr="00DE25AD" w:rsidTr="005140B4">
        <w:tc>
          <w:tcPr>
            <w:tcW w:w="3801" w:type="dxa"/>
            <w:tcBorders>
              <w:top w:val="nil"/>
              <w:left w:val="nil"/>
              <w:bottom w:val="nil"/>
              <w:right w:val="nil"/>
            </w:tcBorders>
          </w:tcPr>
          <w:p w:rsidR="00A53D7D" w:rsidRPr="00DE25AD" w:rsidRDefault="00A53D7D" w:rsidP="005140B4">
            <w:pPr>
              <w:pStyle w:val="Tabletext"/>
              <w:rPr>
                <w:rFonts w:eastAsiaTheme="minorEastAsia"/>
                <w:lang w:eastAsia="en-AU"/>
              </w:rPr>
            </w:pPr>
            <w:r w:rsidRPr="00DE25AD">
              <w:rPr>
                <w:rFonts w:eastAsiaTheme="minorEastAsia"/>
                <w:lang w:eastAsia="en-AU"/>
              </w:rPr>
              <w:t>Sale of goods and services</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72.1</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65.9</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93.2</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82.7</w:t>
            </w:r>
          </w:p>
        </w:tc>
      </w:tr>
      <w:tr w:rsidR="00A53D7D" w:rsidRPr="00DE25AD" w:rsidTr="005140B4">
        <w:tc>
          <w:tcPr>
            <w:tcW w:w="3801" w:type="dxa"/>
            <w:tcBorders>
              <w:top w:val="nil"/>
              <w:left w:val="nil"/>
              <w:bottom w:val="nil"/>
              <w:right w:val="nil"/>
            </w:tcBorders>
          </w:tcPr>
          <w:p w:rsidR="00A53D7D" w:rsidRPr="00DE25AD" w:rsidRDefault="00A53D7D" w:rsidP="005140B4">
            <w:pPr>
              <w:pStyle w:val="Tabletext"/>
              <w:rPr>
                <w:rFonts w:eastAsiaTheme="minorEastAsia"/>
                <w:lang w:eastAsia="en-AU"/>
              </w:rPr>
            </w:pPr>
            <w:r w:rsidRPr="00DE25AD">
              <w:rPr>
                <w:rFonts w:eastAsiaTheme="minorEastAsia"/>
                <w:lang w:eastAsia="en-AU"/>
              </w:rPr>
              <w:t>Grants</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37.4</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48.3</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39.3</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27.5</w:t>
            </w:r>
          </w:p>
        </w:tc>
      </w:tr>
      <w:tr w:rsidR="00A53D7D" w:rsidRPr="00DE25AD" w:rsidTr="005140B4">
        <w:tc>
          <w:tcPr>
            <w:tcW w:w="3801" w:type="dxa"/>
            <w:tcBorders>
              <w:top w:val="nil"/>
              <w:left w:val="nil"/>
              <w:bottom w:val="nil"/>
              <w:right w:val="nil"/>
            </w:tcBorders>
          </w:tcPr>
          <w:p w:rsidR="00A53D7D" w:rsidRPr="00DE25AD" w:rsidRDefault="00A53D7D" w:rsidP="005140B4">
            <w:pPr>
              <w:pStyle w:val="Tabletext"/>
              <w:rPr>
                <w:rFonts w:eastAsiaTheme="minorEastAsia"/>
                <w:lang w:eastAsia="en-AU"/>
              </w:rPr>
            </w:pPr>
            <w:r w:rsidRPr="00DE25AD">
              <w:rPr>
                <w:rFonts w:eastAsiaTheme="minorEastAsia"/>
                <w:lang w:eastAsia="en-AU"/>
              </w:rPr>
              <w:t>Fair value of assets and services received free of charge or for nominal consideration</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5.0</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w:t>
            </w:r>
          </w:p>
        </w:tc>
      </w:tr>
      <w:tr w:rsidR="00A53D7D" w:rsidRPr="00DE25AD" w:rsidTr="005140B4">
        <w:tc>
          <w:tcPr>
            <w:tcW w:w="3801" w:type="dxa"/>
            <w:tcBorders>
              <w:top w:val="nil"/>
              <w:left w:val="nil"/>
              <w:bottom w:val="nil"/>
              <w:right w:val="nil"/>
            </w:tcBorders>
          </w:tcPr>
          <w:p w:rsidR="00A53D7D" w:rsidRPr="00DE25AD" w:rsidRDefault="00A53D7D" w:rsidP="005140B4">
            <w:pPr>
              <w:pStyle w:val="Tabletext"/>
              <w:rPr>
                <w:rFonts w:eastAsiaTheme="minorEastAsia"/>
                <w:lang w:eastAsia="en-AU"/>
              </w:rPr>
            </w:pPr>
            <w:r w:rsidRPr="00DE25AD">
              <w:rPr>
                <w:rFonts w:eastAsiaTheme="minorEastAsia"/>
                <w:lang w:eastAsia="en-AU"/>
              </w:rPr>
              <w:t>Other income</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304.4</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313.9</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331.9</w:t>
            </w:r>
          </w:p>
        </w:tc>
        <w:tc>
          <w:tcPr>
            <w:tcW w:w="993" w:type="dxa"/>
            <w:tcBorders>
              <w:top w:val="nil"/>
              <w:left w:val="nil"/>
              <w:bottom w:val="nil"/>
              <w:right w:val="nil"/>
            </w:tcBorders>
          </w:tcPr>
          <w:p w:rsidR="00A53D7D" w:rsidRPr="00DE25AD" w:rsidRDefault="00A53D7D" w:rsidP="005140B4">
            <w:pPr>
              <w:pStyle w:val="TableofFigures"/>
              <w:rPr>
                <w:rFonts w:eastAsiaTheme="minorEastAsia"/>
                <w:lang w:eastAsia="en-AU"/>
              </w:rPr>
            </w:pPr>
            <w:r w:rsidRPr="00DE25AD">
              <w:rPr>
                <w:rFonts w:eastAsiaTheme="minorEastAsia"/>
                <w:lang w:eastAsia="en-AU"/>
              </w:rPr>
              <w:t xml:space="preserve"> 334.5</w:t>
            </w:r>
          </w:p>
        </w:tc>
      </w:tr>
      <w:tr w:rsidR="00A53D7D" w:rsidRPr="00DE25AD" w:rsidTr="005140B4">
        <w:tc>
          <w:tcPr>
            <w:tcW w:w="3801" w:type="dxa"/>
            <w:tcBorders>
              <w:top w:val="single" w:sz="6" w:space="0" w:color="auto"/>
              <w:left w:val="nil"/>
              <w:bottom w:val="single" w:sz="12" w:space="0" w:color="auto"/>
              <w:right w:val="nil"/>
            </w:tcBorders>
          </w:tcPr>
          <w:p w:rsidR="00A53D7D" w:rsidRPr="00DE25AD" w:rsidRDefault="00A53D7D" w:rsidP="005140B4">
            <w:pPr>
              <w:pStyle w:val="Tabletext"/>
              <w:rPr>
                <w:rFonts w:eastAsiaTheme="minorEastAsia"/>
                <w:b/>
                <w:bCs/>
                <w:lang w:eastAsia="en-AU"/>
              </w:rPr>
            </w:pPr>
            <w:r w:rsidRPr="00DE25AD">
              <w:rPr>
                <w:rFonts w:eastAsiaTheme="minorEastAsia"/>
                <w:b/>
                <w:bCs/>
                <w:lang w:eastAsia="en-AU"/>
              </w:rPr>
              <w:t>Total income from transactions</w:t>
            </w:r>
          </w:p>
        </w:tc>
        <w:tc>
          <w:tcPr>
            <w:tcW w:w="993" w:type="dxa"/>
            <w:tcBorders>
              <w:top w:val="single" w:sz="6" w:space="0" w:color="auto"/>
              <w:left w:val="nil"/>
              <w:bottom w:val="single" w:sz="12" w:space="0" w:color="auto"/>
              <w:right w:val="nil"/>
            </w:tcBorders>
          </w:tcPr>
          <w:p w:rsidR="00A53D7D" w:rsidRPr="00DE25AD" w:rsidRDefault="00A53D7D" w:rsidP="005140B4">
            <w:pPr>
              <w:pStyle w:val="TableofFigures"/>
              <w:rPr>
                <w:rFonts w:eastAsiaTheme="minorEastAsia"/>
                <w:b/>
                <w:bCs/>
                <w:lang w:eastAsia="en-AU"/>
              </w:rPr>
            </w:pPr>
            <w:r w:rsidRPr="00DE25AD">
              <w:rPr>
                <w:rFonts w:eastAsiaTheme="minorEastAsia"/>
                <w:b/>
                <w:bCs/>
                <w:lang w:eastAsia="en-AU"/>
              </w:rPr>
              <w:t>1 473.7</w:t>
            </w:r>
          </w:p>
        </w:tc>
        <w:tc>
          <w:tcPr>
            <w:tcW w:w="993" w:type="dxa"/>
            <w:tcBorders>
              <w:top w:val="single" w:sz="6" w:space="0" w:color="auto"/>
              <w:left w:val="nil"/>
              <w:bottom w:val="single" w:sz="12" w:space="0" w:color="auto"/>
              <w:right w:val="nil"/>
            </w:tcBorders>
          </w:tcPr>
          <w:p w:rsidR="00A53D7D" w:rsidRPr="00DE25AD" w:rsidRDefault="00A53D7D" w:rsidP="005140B4">
            <w:pPr>
              <w:pStyle w:val="TableofFigures"/>
              <w:rPr>
                <w:rFonts w:eastAsiaTheme="minorEastAsia"/>
                <w:b/>
                <w:bCs/>
                <w:lang w:eastAsia="en-AU"/>
              </w:rPr>
            </w:pPr>
            <w:r w:rsidRPr="00DE25AD">
              <w:rPr>
                <w:rFonts w:eastAsiaTheme="minorEastAsia"/>
                <w:b/>
                <w:bCs/>
                <w:lang w:eastAsia="en-AU"/>
              </w:rPr>
              <w:t>1 795.6</w:t>
            </w:r>
          </w:p>
        </w:tc>
        <w:tc>
          <w:tcPr>
            <w:tcW w:w="993" w:type="dxa"/>
            <w:tcBorders>
              <w:top w:val="single" w:sz="6" w:space="0" w:color="auto"/>
              <w:left w:val="nil"/>
              <w:bottom w:val="single" w:sz="12" w:space="0" w:color="auto"/>
              <w:right w:val="nil"/>
            </w:tcBorders>
          </w:tcPr>
          <w:p w:rsidR="00A53D7D" w:rsidRPr="00DE25AD" w:rsidRDefault="00A53D7D" w:rsidP="005140B4">
            <w:pPr>
              <w:pStyle w:val="TableofFigures"/>
              <w:rPr>
                <w:rFonts w:eastAsiaTheme="minorEastAsia"/>
                <w:b/>
                <w:bCs/>
                <w:lang w:eastAsia="en-AU"/>
              </w:rPr>
            </w:pPr>
            <w:r w:rsidRPr="00DE25AD">
              <w:rPr>
                <w:rFonts w:eastAsiaTheme="minorEastAsia"/>
                <w:b/>
                <w:bCs/>
                <w:lang w:eastAsia="en-AU"/>
              </w:rPr>
              <w:t>1 905.2</w:t>
            </w:r>
          </w:p>
        </w:tc>
        <w:tc>
          <w:tcPr>
            <w:tcW w:w="993" w:type="dxa"/>
            <w:tcBorders>
              <w:top w:val="single" w:sz="6" w:space="0" w:color="auto"/>
              <w:left w:val="nil"/>
              <w:bottom w:val="single" w:sz="12" w:space="0" w:color="auto"/>
              <w:right w:val="nil"/>
            </w:tcBorders>
          </w:tcPr>
          <w:p w:rsidR="00A53D7D" w:rsidRPr="00DE25AD" w:rsidRDefault="00A53D7D" w:rsidP="005140B4">
            <w:pPr>
              <w:pStyle w:val="TableofFigures"/>
              <w:rPr>
                <w:rFonts w:eastAsiaTheme="minorEastAsia"/>
                <w:b/>
                <w:bCs/>
                <w:lang w:eastAsia="en-AU"/>
              </w:rPr>
            </w:pPr>
            <w:r w:rsidRPr="00DE25AD">
              <w:rPr>
                <w:rFonts w:eastAsiaTheme="minorEastAsia"/>
                <w:b/>
                <w:bCs/>
                <w:lang w:eastAsia="en-AU"/>
              </w:rPr>
              <w:t>1 926.7</w:t>
            </w:r>
          </w:p>
        </w:tc>
      </w:tr>
    </w:tbl>
    <w:p w:rsidR="00A42C8E" w:rsidRDefault="00A53D7D" w:rsidP="005140B4">
      <w:pPr>
        <w:pStyle w:val="Source"/>
      </w:pPr>
      <w:r>
        <w:t xml:space="preserve">Source: Departments of Environment and Primary Industries and Treasury and Finance </w:t>
      </w:r>
    </w:p>
    <w:p w:rsidR="00A53D7D" w:rsidRPr="00352A7E" w:rsidRDefault="00A53D7D" w:rsidP="00A42C8E">
      <w:pPr>
        <w:pStyle w:val="Notes"/>
      </w:pPr>
      <w:r>
        <w:fldChar w:fldCharType="begin"/>
      </w:r>
      <w:r>
        <w:instrText xml:space="preserve"> XE "Department of Environment and Primary Industries</w:instrText>
      </w:r>
      <w:r w:rsidRPr="00C642EA">
        <w:instrText>:Income from transactions</w:instrText>
      </w:r>
      <w:r>
        <w:instrText xml:space="preserve">" </w:instrText>
      </w:r>
      <w:r>
        <w:fldChar w:fldCharType="end"/>
      </w:r>
    </w:p>
    <w:p w:rsidR="00A53D7D" w:rsidRDefault="00A53D7D" w:rsidP="005140B4">
      <w:pPr>
        <w:pStyle w:val="Tableheading"/>
      </w:pPr>
      <w:r>
        <w:t>Table 2.7:</w:t>
      </w:r>
      <w:r>
        <w:tab/>
        <w:t xml:space="preserve">Parliamentary authority for resources </w:t>
      </w:r>
    </w:p>
    <w:p w:rsidR="00A53D7D" w:rsidRPr="004B34F5"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53D7D" w:rsidRPr="004B34F5" w:rsidTr="005140B4">
        <w:tc>
          <w:tcPr>
            <w:tcW w:w="4668" w:type="dxa"/>
            <w:tcBorders>
              <w:top w:val="single" w:sz="6" w:space="0" w:color="auto"/>
              <w:left w:val="single" w:sz="6" w:space="0" w:color="auto"/>
              <w:bottom w:val="nil"/>
              <w:right w:val="nil"/>
            </w:tcBorders>
            <w:shd w:val="clear" w:color="auto" w:fill="000000"/>
          </w:tcPr>
          <w:p w:rsidR="00A53D7D" w:rsidRPr="004B34F5" w:rsidRDefault="00A53D7D" w:rsidP="005140B4">
            <w:pPr>
              <w:pStyle w:val="Tabletext"/>
              <w:rPr>
                <w:rFonts w:eastAsiaTheme="minorEastAsia"/>
                <w:lang w:eastAsia="en-AU"/>
              </w:rPr>
            </w:pPr>
            <w:r w:rsidRPr="004B34F5">
              <w:rPr>
                <w:rFonts w:eastAsiaTheme="minorEastAsia"/>
                <w:lang w:eastAsia="en-AU"/>
              </w:rPr>
              <w:t xml:space="preserve"> </w:t>
            </w:r>
          </w:p>
        </w:tc>
        <w:tc>
          <w:tcPr>
            <w:tcW w:w="1036" w:type="dxa"/>
            <w:tcBorders>
              <w:top w:val="single" w:sz="6" w:space="0" w:color="auto"/>
              <w:left w:val="nil"/>
              <w:bottom w:val="nil"/>
              <w:right w:val="nil"/>
            </w:tcBorders>
            <w:shd w:val="clear" w:color="auto" w:fill="000000"/>
          </w:tcPr>
          <w:p w:rsidR="00A53D7D" w:rsidRPr="004B34F5" w:rsidRDefault="00A53D7D" w:rsidP="005140B4">
            <w:pPr>
              <w:pStyle w:val="Tabletextheading"/>
              <w:rPr>
                <w:rFonts w:eastAsiaTheme="minorEastAsia"/>
                <w:lang w:eastAsia="en-AU"/>
              </w:rPr>
            </w:pPr>
            <w:r w:rsidRPr="004B34F5">
              <w:rPr>
                <w:rFonts w:eastAsiaTheme="minorEastAsia"/>
                <w:lang w:eastAsia="en-AU"/>
              </w:rPr>
              <w:t>2013-14</w:t>
            </w:r>
          </w:p>
        </w:tc>
        <w:tc>
          <w:tcPr>
            <w:tcW w:w="1036" w:type="dxa"/>
            <w:tcBorders>
              <w:top w:val="single" w:sz="6" w:space="0" w:color="auto"/>
              <w:left w:val="nil"/>
              <w:bottom w:val="nil"/>
              <w:right w:val="nil"/>
            </w:tcBorders>
            <w:shd w:val="clear" w:color="auto" w:fill="000000"/>
          </w:tcPr>
          <w:p w:rsidR="00A53D7D" w:rsidRPr="004B34F5" w:rsidRDefault="00A53D7D" w:rsidP="005140B4">
            <w:pPr>
              <w:pStyle w:val="Tabletextheading"/>
              <w:rPr>
                <w:rFonts w:eastAsiaTheme="minorEastAsia"/>
                <w:lang w:eastAsia="en-AU"/>
              </w:rPr>
            </w:pPr>
            <w:r w:rsidRPr="004B34F5">
              <w:rPr>
                <w:rFonts w:eastAsiaTheme="minorEastAsia"/>
                <w:lang w:eastAsia="en-AU"/>
              </w:rPr>
              <w:t>2013-14</w:t>
            </w:r>
          </w:p>
        </w:tc>
        <w:tc>
          <w:tcPr>
            <w:tcW w:w="1036" w:type="dxa"/>
            <w:tcBorders>
              <w:top w:val="single" w:sz="6" w:space="0" w:color="auto"/>
              <w:left w:val="nil"/>
              <w:bottom w:val="nil"/>
              <w:right w:val="single" w:sz="6" w:space="0" w:color="auto"/>
            </w:tcBorders>
            <w:shd w:val="clear" w:color="auto" w:fill="000000"/>
          </w:tcPr>
          <w:p w:rsidR="00A53D7D" w:rsidRPr="004B34F5" w:rsidRDefault="00A53D7D" w:rsidP="005140B4">
            <w:pPr>
              <w:pStyle w:val="Tabletextheading"/>
              <w:rPr>
                <w:rFonts w:eastAsiaTheme="minorEastAsia"/>
                <w:lang w:eastAsia="en-AU"/>
              </w:rPr>
            </w:pPr>
            <w:r w:rsidRPr="004B34F5">
              <w:rPr>
                <w:rFonts w:eastAsiaTheme="minorEastAsia"/>
                <w:lang w:eastAsia="en-AU"/>
              </w:rPr>
              <w:t>2014-15</w:t>
            </w:r>
          </w:p>
        </w:tc>
      </w:tr>
      <w:tr w:rsidR="00A53D7D" w:rsidRPr="004B34F5" w:rsidTr="005140B4">
        <w:tc>
          <w:tcPr>
            <w:tcW w:w="4668" w:type="dxa"/>
            <w:tcBorders>
              <w:top w:val="nil"/>
              <w:left w:val="single" w:sz="6" w:space="0" w:color="auto"/>
              <w:bottom w:val="single" w:sz="6" w:space="0" w:color="auto"/>
              <w:right w:val="nil"/>
            </w:tcBorders>
            <w:shd w:val="clear" w:color="auto" w:fill="000000"/>
          </w:tcPr>
          <w:p w:rsidR="00A53D7D" w:rsidRPr="004B34F5" w:rsidRDefault="00A53D7D" w:rsidP="005140B4">
            <w:pPr>
              <w:pStyle w:val="Tabletext"/>
              <w:rPr>
                <w:rFonts w:eastAsiaTheme="minorEastAsia"/>
                <w:lang w:eastAsia="en-AU"/>
              </w:rPr>
            </w:pPr>
            <w:r w:rsidRPr="004B34F5">
              <w:rPr>
                <w:rFonts w:eastAsiaTheme="minorEastAsia"/>
                <w:lang w:eastAsia="en-AU"/>
              </w:rPr>
              <w:t xml:space="preserve"> </w:t>
            </w:r>
          </w:p>
        </w:tc>
        <w:tc>
          <w:tcPr>
            <w:tcW w:w="1036" w:type="dxa"/>
            <w:tcBorders>
              <w:top w:val="nil"/>
              <w:left w:val="nil"/>
              <w:bottom w:val="single" w:sz="6" w:space="0" w:color="auto"/>
              <w:right w:val="nil"/>
            </w:tcBorders>
            <w:shd w:val="clear" w:color="auto" w:fill="000000"/>
          </w:tcPr>
          <w:p w:rsidR="00A53D7D" w:rsidRPr="004B34F5" w:rsidRDefault="00A53D7D" w:rsidP="005140B4">
            <w:pPr>
              <w:pStyle w:val="Tabletextheading"/>
              <w:rPr>
                <w:rFonts w:eastAsiaTheme="minorEastAsia"/>
                <w:lang w:eastAsia="en-AU"/>
              </w:rPr>
            </w:pPr>
            <w:r w:rsidRPr="004B34F5">
              <w:rPr>
                <w:rFonts w:eastAsiaTheme="minorEastAsia"/>
                <w:lang w:eastAsia="en-AU"/>
              </w:rPr>
              <w:t>Budget</w:t>
            </w:r>
          </w:p>
        </w:tc>
        <w:tc>
          <w:tcPr>
            <w:tcW w:w="1036" w:type="dxa"/>
            <w:tcBorders>
              <w:top w:val="nil"/>
              <w:left w:val="nil"/>
              <w:bottom w:val="single" w:sz="6" w:space="0" w:color="auto"/>
              <w:right w:val="nil"/>
            </w:tcBorders>
            <w:shd w:val="clear" w:color="auto" w:fill="000000"/>
          </w:tcPr>
          <w:p w:rsidR="00A53D7D" w:rsidRPr="004B34F5" w:rsidRDefault="00A53D7D" w:rsidP="005140B4">
            <w:pPr>
              <w:pStyle w:val="Tabletextheading"/>
              <w:rPr>
                <w:rFonts w:eastAsiaTheme="minorEastAsia"/>
                <w:lang w:eastAsia="en-AU"/>
              </w:rPr>
            </w:pPr>
            <w:r w:rsidRPr="004B34F5">
              <w:rPr>
                <w:rFonts w:eastAsiaTheme="minorEastAsia"/>
                <w:lang w:eastAsia="en-AU"/>
              </w:rPr>
              <w:t>Revised</w:t>
            </w:r>
          </w:p>
        </w:tc>
        <w:tc>
          <w:tcPr>
            <w:tcW w:w="1036" w:type="dxa"/>
            <w:tcBorders>
              <w:top w:val="nil"/>
              <w:left w:val="nil"/>
              <w:bottom w:val="single" w:sz="6" w:space="0" w:color="auto"/>
              <w:right w:val="single" w:sz="6" w:space="0" w:color="auto"/>
            </w:tcBorders>
            <w:shd w:val="clear" w:color="auto" w:fill="000000"/>
          </w:tcPr>
          <w:p w:rsidR="00A53D7D" w:rsidRPr="004B34F5" w:rsidRDefault="00A53D7D" w:rsidP="005140B4">
            <w:pPr>
              <w:pStyle w:val="Tabletextheading"/>
              <w:rPr>
                <w:rFonts w:eastAsiaTheme="minorEastAsia"/>
                <w:lang w:eastAsia="en-AU"/>
              </w:rPr>
            </w:pPr>
            <w:r w:rsidRPr="004B34F5">
              <w:rPr>
                <w:rFonts w:eastAsiaTheme="minorEastAsia"/>
                <w:lang w:eastAsia="en-AU"/>
              </w:rPr>
              <w:t>Budget</w:t>
            </w:r>
          </w:p>
        </w:tc>
      </w:tr>
      <w:tr w:rsidR="00A53D7D" w:rsidRPr="004B34F5" w:rsidTr="005140B4">
        <w:tc>
          <w:tcPr>
            <w:tcW w:w="4668" w:type="dxa"/>
            <w:tcBorders>
              <w:top w:val="nil"/>
              <w:left w:val="nil"/>
              <w:bottom w:val="nil"/>
              <w:right w:val="nil"/>
            </w:tcBorders>
            <w:shd w:val="solid" w:color="FFFFFF" w:fill="auto"/>
          </w:tcPr>
          <w:p w:rsidR="00A53D7D" w:rsidRPr="004B34F5" w:rsidRDefault="00A53D7D" w:rsidP="005140B4">
            <w:pPr>
              <w:pStyle w:val="Tabletext"/>
              <w:rPr>
                <w:rFonts w:eastAsiaTheme="minorEastAsia"/>
                <w:b/>
                <w:bCs/>
                <w:lang w:eastAsia="en-AU"/>
              </w:rPr>
            </w:pPr>
            <w:r w:rsidRPr="004B34F5">
              <w:rPr>
                <w:rFonts w:eastAsiaTheme="minorEastAsia"/>
                <w:b/>
                <w:bCs/>
                <w:lang w:eastAsia="en-AU"/>
              </w:rPr>
              <w:t>Annual appropriations</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b/>
                <w:bCs/>
                <w:lang w:eastAsia="en-AU"/>
              </w:rPr>
            </w:pPr>
            <w:r w:rsidRPr="004B34F5">
              <w:rPr>
                <w:rFonts w:eastAsiaTheme="minorEastAsia"/>
                <w:b/>
                <w:bCs/>
                <w:lang w:eastAsia="en-AU"/>
              </w:rPr>
              <w:t>2 228.7</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b/>
                <w:bCs/>
                <w:lang w:eastAsia="en-AU"/>
              </w:rPr>
            </w:pPr>
            <w:r w:rsidRPr="004B34F5">
              <w:rPr>
                <w:rFonts w:eastAsiaTheme="minorEastAsia"/>
                <w:b/>
                <w:bCs/>
                <w:lang w:eastAsia="en-AU"/>
              </w:rPr>
              <w:t>2 132.0</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b/>
                <w:bCs/>
                <w:lang w:eastAsia="en-AU"/>
              </w:rPr>
            </w:pPr>
            <w:r w:rsidRPr="004B34F5">
              <w:rPr>
                <w:rFonts w:eastAsiaTheme="minorEastAsia"/>
                <w:b/>
                <w:bCs/>
                <w:lang w:eastAsia="en-AU"/>
              </w:rPr>
              <w:t>2 061.4</w:t>
            </w:r>
          </w:p>
        </w:tc>
      </w:tr>
      <w:tr w:rsidR="00A53D7D" w:rsidRPr="004B34F5" w:rsidTr="005140B4">
        <w:tc>
          <w:tcPr>
            <w:tcW w:w="4668" w:type="dxa"/>
            <w:tcBorders>
              <w:top w:val="nil"/>
              <w:left w:val="nil"/>
              <w:bottom w:val="nil"/>
              <w:right w:val="nil"/>
            </w:tcBorders>
            <w:shd w:val="solid" w:color="FFFFFF" w:fill="auto"/>
          </w:tcPr>
          <w:p w:rsidR="00A53D7D" w:rsidRPr="004B34F5" w:rsidRDefault="00A53D7D" w:rsidP="005140B4">
            <w:pPr>
              <w:pStyle w:val="Tabletext"/>
              <w:rPr>
                <w:rFonts w:eastAsiaTheme="minorEastAsia"/>
                <w:lang w:eastAsia="en-AU"/>
              </w:rPr>
            </w:pPr>
            <w:r w:rsidRPr="004B34F5">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1 205.0</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1 158.7</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1 253.6</w:t>
            </w:r>
          </w:p>
        </w:tc>
      </w:tr>
      <w:tr w:rsidR="00A53D7D" w:rsidRPr="004B34F5" w:rsidTr="005140B4">
        <w:tc>
          <w:tcPr>
            <w:tcW w:w="4668" w:type="dxa"/>
            <w:tcBorders>
              <w:top w:val="nil"/>
              <w:left w:val="nil"/>
              <w:bottom w:val="nil"/>
              <w:right w:val="nil"/>
            </w:tcBorders>
            <w:shd w:val="solid" w:color="FFFFFF" w:fill="auto"/>
          </w:tcPr>
          <w:p w:rsidR="00A53D7D" w:rsidRPr="004B34F5" w:rsidRDefault="00A53D7D" w:rsidP="005140B4">
            <w:pPr>
              <w:pStyle w:val="Tabletext"/>
              <w:rPr>
                <w:rFonts w:eastAsiaTheme="minorEastAsia"/>
                <w:lang w:eastAsia="en-AU"/>
              </w:rPr>
            </w:pPr>
            <w:r w:rsidRPr="004B34F5">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104.4</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72.4</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111.2</w:t>
            </w:r>
          </w:p>
        </w:tc>
      </w:tr>
      <w:tr w:rsidR="00A53D7D" w:rsidRPr="004B34F5" w:rsidTr="005140B4">
        <w:tc>
          <w:tcPr>
            <w:tcW w:w="4668" w:type="dxa"/>
            <w:tcBorders>
              <w:top w:val="nil"/>
              <w:left w:val="nil"/>
              <w:bottom w:val="nil"/>
              <w:right w:val="nil"/>
            </w:tcBorders>
            <w:shd w:val="solid" w:color="FFFFFF" w:fill="auto"/>
          </w:tcPr>
          <w:p w:rsidR="00A53D7D" w:rsidRPr="004B34F5" w:rsidRDefault="00A53D7D" w:rsidP="005140B4">
            <w:pPr>
              <w:pStyle w:val="Tabletext"/>
              <w:rPr>
                <w:rFonts w:eastAsiaTheme="minorEastAsia"/>
                <w:lang w:eastAsia="en-AU"/>
              </w:rPr>
            </w:pPr>
            <w:r w:rsidRPr="004B34F5">
              <w:rPr>
                <w:rFonts w:eastAsiaTheme="minorEastAsia"/>
                <w:lang w:eastAsia="en-AU"/>
              </w:rPr>
              <w:t xml:space="preserve"> Payments made on behalf of the State</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919.3</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900.9</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696.7</w:t>
            </w:r>
          </w:p>
        </w:tc>
      </w:tr>
      <w:tr w:rsidR="00A53D7D" w:rsidRPr="004B34F5" w:rsidTr="005140B4">
        <w:tc>
          <w:tcPr>
            <w:tcW w:w="4668" w:type="dxa"/>
            <w:tcBorders>
              <w:top w:val="nil"/>
              <w:left w:val="nil"/>
              <w:bottom w:val="nil"/>
              <w:right w:val="nil"/>
            </w:tcBorders>
            <w:shd w:val="solid" w:color="FFFFFF" w:fill="auto"/>
          </w:tcPr>
          <w:p w:rsidR="00A53D7D" w:rsidRPr="004B34F5" w:rsidRDefault="00A53D7D" w:rsidP="005140B4">
            <w:pPr>
              <w:pStyle w:val="Tabletext"/>
              <w:rPr>
                <w:rFonts w:eastAsiaTheme="minorEastAsia"/>
                <w:lang w:eastAsia="en-AU"/>
              </w:rPr>
            </w:pPr>
            <w:r w:rsidRPr="004B34F5">
              <w:rPr>
                <w:rFonts w:eastAsiaTheme="minorEastAsia"/>
                <w:lang w:eastAsia="en-AU"/>
              </w:rPr>
              <w:t>Receipts credited to appropriations</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145.6</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201.2</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220.2</w:t>
            </w:r>
          </w:p>
        </w:tc>
      </w:tr>
      <w:tr w:rsidR="00A53D7D" w:rsidRPr="00E646BF" w:rsidTr="005140B4">
        <w:tc>
          <w:tcPr>
            <w:tcW w:w="4668" w:type="dxa"/>
            <w:tcBorders>
              <w:top w:val="nil"/>
              <w:left w:val="nil"/>
              <w:bottom w:val="nil"/>
              <w:right w:val="nil"/>
            </w:tcBorders>
            <w:shd w:val="solid" w:color="FFFFFF" w:fill="auto"/>
          </w:tcPr>
          <w:p w:rsidR="00A53D7D" w:rsidRPr="00E646BF" w:rsidRDefault="00A53D7D" w:rsidP="005140B4">
            <w:pPr>
              <w:pStyle w:val="Tabletext"/>
              <w:rPr>
                <w:rFonts w:eastAsiaTheme="minorEastAsia"/>
                <w:b/>
                <w:bCs/>
                <w:lang w:eastAsia="en-AU"/>
              </w:rPr>
            </w:pPr>
            <w:r w:rsidRPr="00E646BF">
              <w:rPr>
                <w:rFonts w:eastAsiaTheme="minorEastAsia"/>
                <w:b/>
                <w:bCs/>
                <w:lang w:eastAsia="en-AU"/>
              </w:rPr>
              <w:t>Unapplied previous years appropriation</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91.4</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186.5</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62.2</w:t>
            </w:r>
          </w:p>
        </w:tc>
      </w:tr>
      <w:tr w:rsidR="00A53D7D" w:rsidRPr="004B34F5" w:rsidTr="005140B4">
        <w:tc>
          <w:tcPr>
            <w:tcW w:w="4668" w:type="dxa"/>
            <w:tcBorders>
              <w:top w:val="nil"/>
              <w:left w:val="nil"/>
              <w:bottom w:val="nil"/>
              <w:right w:val="nil"/>
            </w:tcBorders>
            <w:shd w:val="solid" w:color="FFFFFF" w:fill="auto"/>
          </w:tcPr>
          <w:p w:rsidR="00A53D7D" w:rsidRPr="004B34F5" w:rsidRDefault="00A53D7D" w:rsidP="005140B4">
            <w:pPr>
              <w:pStyle w:val="Tabletext"/>
              <w:rPr>
                <w:rFonts w:eastAsiaTheme="minorEastAsia"/>
                <w:lang w:eastAsia="en-AU"/>
              </w:rPr>
            </w:pPr>
            <w:r w:rsidRPr="004B34F5">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35.9</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116.9</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51.1</w:t>
            </w:r>
          </w:p>
        </w:tc>
      </w:tr>
      <w:tr w:rsidR="00A53D7D" w:rsidRPr="004B34F5" w:rsidTr="005140B4">
        <w:tc>
          <w:tcPr>
            <w:tcW w:w="4668" w:type="dxa"/>
            <w:tcBorders>
              <w:top w:val="nil"/>
              <w:left w:val="nil"/>
              <w:bottom w:val="nil"/>
              <w:right w:val="nil"/>
            </w:tcBorders>
            <w:shd w:val="solid" w:color="FFFFFF" w:fill="auto"/>
          </w:tcPr>
          <w:p w:rsidR="00A53D7D" w:rsidRPr="004B34F5" w:rsidRDefault="00A53D7D" w:rsidP="005140B4">
            <w:pPr>
              <w:pStyle w:val="Tabletext"/>
              <w:rPr>
                <w:rFonts w:eastAsiaTheme="minorEastAsia"/>
                <w:lang w:eastAsia="en-AU"/>
              </w:rPr>
            </w:pPr>
            <w:r w:rsidRPr="004B34F5">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55.3</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69.3</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11.1</w:t>
            </w:r>
          </w:p>
        </w:tc>
      </w:tr>
      <w:tr w:rsidR="00A53D7D" w:rsidRPr="004B34F5" w:rsidTr="005140B4">
        <w:tc>
          <w:tcPr>
            <w:tcW w:w="4668" w:type="dxa"/>
            <w:tcBorders>
              <w:top w:val="nil"/>
              <w:left w:val="nil"/>
              <w:bottom w:val="nil"/>
              <w:right w:val="nil"/>
            </w:tcBorders>
            <w:shd w:val="solid" w:color="FFFFFF" w:fill="auto"/>
          </w:tcPr>
          <w:p w:rsidR="00A53D7D" w:rsidRPr="004B34F5" w:rsidRDefault="00A53D7D" w:rsidP="005140B4">
            <w:pPr>
              <w:pStyle w:val="Tabletext"/>
              <w:rPr>
                <w:rFonts w:eastAsiaTheme="minorEastAsia"/>
                <w:lang w:eastAsia="en-AU"/>
              </w:rPr>
            </w:pPr>
            <w:r w:rsidRPr="004B34F5">
              <w:rPr>
                <w:rFonts w:eastAsiaTheme="minorEastAsia"/>
                <w:lang w:eastAsia="en-AU"/>
              </w:rPr>
              <w:t xml:space="preserve"> Payments made on behalf of the State</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0.3</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0.3</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w:t>
            </w:r>
          </w:p>
        </w:tc>
      </w:tr>
      <w:tr w:rsidR="00A53D7D" w:rsidRPr="004B34F5" w:rsidTr="005140B4">
        <w:tc>
          <w:tcPr>
            <w:tcW w:w="4668" w:type="dxa"/>
            <w:tcBorders>
              <w:top w:val="nil"/>
              <w:left w:val="nil"/>
              <w:bottom w:val="single" w:sz="6" w:space="0" w:color="auto"/>
              <w:right w:val="nil"/>
            </w:tcBorders>
            <w:shd w:val="solid" w:color="FFFFFF" w:fill="auto"/>
          </w:tcPr>
          <w:p w:rsidR="00A53D7D" w:rsidRPr="004B34F5" w:rsidRDefault="00A53D7D" w:rsidP="005140B4">
            <w:pPr>
              <w:pStyle w:val="Tabletext"/>
              <w:rPr>
                <w:rFonts w:eastAsiaTheme="minorEastAsia"/>
                <w:lang w:eastAsia="en-AU"/>
              </w:rPr>
            </w:pPr>
            <w:r w:rsidRPr="004B34F5">
              <w:rPr>
                <w:rFonts w:eastAsiaTheme="minorEastAsia"/>
                <w:lang w:eastAsia="en-AU"/>
              </w:rPr>
              <w:t>Accumulated surplus – previously applied appropriation</w:t>
            </w:r>
          </w:p>
        </w:tc>
        <w:tc>
          <w:tcPr>
            <w:tcW w:w="1036" w:type="dxa"/>
            <w:tcBorders>
              <w:top w:val="nil"/>
              <w:left w:val="nil"/>
              <w:bottom w:val="single" w:sz="6" w:space="0" w:color="auto"/>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8.3</w:t>
            </w:r>
          </w:p>
        </w:tc>
        <w:tc>
          <w:tcPr>
            <w:tcW w:w="1036" w:type="dxa"/>
            <w:tcBorders>
              <w:top w:val="nil"/>
              <w:left w:val="nil"/>
              <w:bottom w:val="single" w:sz="6" w:space="0" w:color="auto"/>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w:t>
            </w:r>
          </w:p>
        </w:tc>
        <w:tc>
          <w:tcPr>
            <w:tcW w:w="1036" w:type="dxa"/>
            <w:tcBorders>
              <w:top w:val="nil"/>
              <w:left w:val="nil"/>
              <w:bottom w:val="single" w:sz="6" w:space="0" w:color="auto"/>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w:t>
            </w:r>
          </w:p>
        </w:tc>
      </w:tr>
      <w:tr w:rsidR="00A53D7D" w:rsidRPr="004B34F5" w:rsidTr="005140B4">
        <w:tc>
          <w:tcPr>
            <w:tcW w:w="4668" w:type="dxa"/>
            <w:tcBorders>
              <w:top w:val="nil"/>
              <w:left w:val="nil"/>
              <w:bottom w:val="nil"/>
              <w:right w:val="nil"/>
            </w:tcBorders>
            <w:shd w:val="solid" w:color="FFFFFF" w:fill="auto"/>
          </w:tcPr>
          <w:p w:rsidR="00A53D7D" w:rsidRPr="004B34F5" w:rsidRDefault="00A53D7D" w:rsidP="005140B4">
            <w:pPr>
              <w:pStyle w:val="Tabletext"/>
              <w:rPr>
                <w:rFonts w:eastAsiaTheme="minorEastAsia"/>
                <w:b/>
                <w:bCs/>
                <w:lang w:eastAsia="en-AU"/>
              </w:rPr>
            </w:pPr>
            <w:r w:rsidRPr="004B34F5">
              <w:rPr>
                <w:rFonts w:eastAsiaTheme="minorEastAsia"/>
                <w:b/>
                <w:bCs/>
                <w:lang w:eastAsia="en-AU"/>
              </w:rPr>
              <w:t>Gross annual appropriation</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b/>
                <w:bCs/>
                <w:lang w:eastAsia="en-AU"/>
              </w:rPr>
            </w:pPr>
            <w:r w:rsidRPr="004B34F5">
              <w:rPr>
                <w:rFonts w:eastAsiaTheme="minorEastAsia"/>
                <w:b/>
                <w:bCs/>
                <w:lang w:eastAsia="en-AU"/>
              </w:rPr>
              <w:t>2 474.0</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b/>
                <w:bCs/>
                <w:lang w:eastAsia="en-AU"/>
              </w:rPr>
            </w:pPr>
            <w:r w:rsidRPr="004B34F5">
              <w:rPr>
                <w:rFonts w:eastAsiaTheme="minorEastAsia"/>
                <w:b/>
                <w:bCs/>
                <w:lang w:eastAsia="en-AU"/>
              </w:rPr>
              <w:t>2 519.6</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b/>
                <w:bCs/>
                <w:lang w:eastAsia="en-AU"/>
              </w:rPr>
            </w:pPr>
            <w:r w:rsidRPr="004B34F5">
              <w:rPr>
                <w:rFonts w:eastAsiaTheme="minorEastAsia"/>
                <w:b/>
                <w:bCs/>
                <w:lang w:eastAsia="en-AU"/>
              </w:rPr>
              <w:t>2 343.8</w:t>
            </w:r>
          </w:p>
        </w:tc>
      </w:tr>
      <w:tr w:rsidR="00A53D7D" w:rsidRPr="004B34F5" w:rsidTr="005140B4">
        <w:tc>
          <w:tcPr>
            <w:tcW w:w="4668" w:type="dxa"/>
            <w:tcBorders>
              <w:top w:val="nil"/>
              <w:left w:val="nil"/>
              <w:bottom w:val="nil"/>
              <w:right w:val="nil"/>
            </w:tcBorders>
            <w:shd w:val="solid" w:color="FFFFFF" w:fill="auto"/>
          </w:tcPr>
          <w:p w:rsidR="00A53D7D" w:rsidRPr="004B34F5" w:rsidRDefault="00A53D7D" w:rsidP="005140B4">
            <w:pPr>
              <w:pStyle w:val="Tabletext"/>
              <w:rPr>
                <w:rFonts w:eastAsiaTheme="minorEastAsia"/>
                <w:lang w:eastAsia="en-AU"/>
              </w:rPr>
            </w:pPr>
            <w:r w:rsidRPr="004B34F5">
              <w:rPr>
                <w:rFonts w:eastAsiaTheme="minorEastAsia"/>
                <w:lang w:eastAsia="en-AU"/>
              </w:rPr>
              <w:t>Special appropriations</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3.6</w:t>
            </w:r>
          </w:p>
        </w:tc>
        <w:tc>
          <w:tcPr>
            <w:tcW w:w="1036" w:type="dxa"/>
            <w:tcBorders>
              <w:top w:val="nil"/>
              <w:left w:val="nil"/>
              <w:bottom w:val="nil"/>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w:t>
            </w:r>
          </w:p>
        </w:tc>
      </w:tr>
      <w:tr w:rsidR="00A53D7D" w:rsidRPr="004B34F5" w:rsidTr="005140B4">
        <w:tc>
          <w:tcPr>
            <w:tcW w:w="4668" w:type="dxa"/>
            <w:tcBorders>
              <w:top w:val="nil"/>
              <w:left w:val="nil"/>
              <w:bottom w:val="single" w:sz="6" w:space="0" w:color="auto"/>
              <w:right w:val="nil"/>
            </w:tcBorders>
            <w:shd w:val="solid" w:color="FFFFFF" w:fill="auto"/>
          </w:tcPr>
          <w:p w:rsidR="00A53D7D" w:rsidRPr="004B34F5" w:rsidRDefault="00A53D7D" w:rsidP="005140B4">
            <w:pPr>
              <w:pStyle w:val="Tabletext"/>
              <w:rPr>
                <w:rFonts w:eastAsiaTheme="minorEastAsia"/>
                <w:lang w:eastAsia="en-AU"/>
              </w:rPr>
            </w:pPr>
            <w:r w:rsidRPr="004B34F5">
              <w:rPr>
                <w:rFonts w:eastAsiaTheme="minorEastAsia"/>
                <w:lang w:eastAsia="en-AU"/>
              </w:rPr>
              <w:t>Trust funds</w:t>
            </w:r>
          </w:p>
        </w:tc>
        <w:tc>
          <w:tcPr>
            <w:tcW w:w="1036" w:type="dxa"/>
            <w:tcBorders>
              <w:top w:val="nil"/>
              <w:left w:val="nil"/>
              <w:bottom w:val="single" w:sz="6" w:space="0" w:color="auto"/>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438.5</w:t>
            </w:r>
          </w:p>
        </w:tc>
        <w:tc>
          <w:tcPr>
            <w:tcW w:w="1036" w:type="dxa"/>
            <w:tcBorders>
              <w:top w:val="nil"/>
              <w:left w:val="nil"/>
              <w:bottom w:val="single" w:sz="6" w:space="0" w:color="auto"/>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479.7</w:t>
            </w:r>
          </w:p>
        </w:tc>
        <w:tc>
          <w:tcPr>
            <w:tcW w:w="1036" w:type="dxa"/>
            <w:tcBorders>
              <w:top w:val="nil"/>
              <w:left w:val="nil"/>
              <w:bottom w:val="single" w:sz="6" w:space="0" w:color="auto"/>
              <w:right w:val="nil"/>
            </w:tcBorders>
            <w:shd w:val="solid" w:color="FFFFFF" w:fill="auto"/>
          </w:tcPr>
          <w:p w:rsidR="00A53D7D" w:rsidRPr="004B34F5" w:rsidRDefault="00A53D7D" w:rsidP="005140B4">
            <w:pPr>
              <w:pStyle w:val="TableofFigures"/>
              <w:rPr>
                <w:rFonts w:eastAsiaTheme="minorEastAsia"/>
                <w:lang w:eastAsia="en-AU"/>
              </w:rPr>
            </w:pPr>
            <w:r w:rsidRPr="004B34F5">
              <w:rPr>
                <w:rFonts w:eastAsiaTheme="minorEastAsia"/>
                <w:lang w:eastAsia="en-AU"/>
              </w:rPr>
              <w:t xml:space="preserve"> 463.1</w:t>
            </w:r>
          </w:p>
        </w:tc>
      </w:tr>
      <w:tr w:rsidR="00A53D7D" w:rsidRPr="004B34F5" w:rsidTr="005140B4">
        <w:tc>
          <w:tcPr>
            <w:tcW w:w="4668" w:type="dxa"/>
            <w:tcBorders>
              <w:top w:val="nil"/>
              <w:left w:val="nil"/>
              <w:bottom w:val="single" w:sz="12" w:space="0" w:color="auto"/>
              <w:right w:val="nil"/>
            </w:tcBorders>
            <w:shd w:val="solid" w:color="FFFFFF" w:fill="auto"/>
          </w:tcPr>
          <w:p w:rsidR="00A53D7D" w:rsidRPr="004B34F5" w:rsidRDefault="00A53D7D" w:rsidP="005140B4">
            <w:pPr>
              <w:pStyle w:val="Tabletext"/>
              <w:rPr>
                <w:rFonts w:eastAsiaTheme="minorEastAsia"/>
                <w:b/>
                <w:bCs/>
                <w:lang w:eastAsia="en-AU"/>
              </w:rPr>
            </w:pPr>
            <w:r w:rsidRPr="004B34F5">
              <w:rPr>
                <w:rFonts w:eastAsiaTheme="minorEastAsia"/>
                <w:b/>
                <w:bCs/>
                <w:lang w:eastAsia="en-AU"/>
              </w:rPr>
              <w:t>Total parliamentary authority</w:t>
            </w:r>
          </w:p>
        </w:tc>
        <w:tc>
          <w:tcPr>
            <w:tcW w:w="1036" w:type="dxa"/>
            <w:tcBorders>
              <w:top w:val="nil"/>
              <w:left w:val="nil"/>
              <w:bottom w:val="single" w:sz="12" w:space="0" w:color="auto"/>
              <w:right w:val="nil"/>
            </w:tcBorders>
            <w:shd w:val="solid" w:color="FFFFFF" w:fill="auto"/>
          </w:tcPr>
          <w:p w:rsidR="00A53D7D" w:rsidRPr="004B34F5" w:rsidRDefault="00A53D7D" w:rsidP="005140B4">
            <w:pPr>
              <w:pStyle w:val="TableofFigures"/>
              <w:rPr>
                <w:rFonts w:eastAsiaTheme="minorEastAsia"/>
                <w:b/>
                <w:bCs/>
                <w:lang w:eastAsia="en-AU"/>
              </w:rPr>
            </w:pPr>
            <w:r w:rsidRPr="004B34F5">
              <w:rPr>
                <w:rFonts w:eastAsiaTheme="minorEastAsia"/>
                <w:b/>
                <w:bCs/>
                <w:lang w:eastAsia="en-AU"/>
              </w:rPr>
              <w:t>2 912.5</w:t>
            </w:r>
          </w:p>
        </w:tc>
        <w:tc>
          <w:tcPr>
            <w:tcW w:w="1036" w:type="dxa"/>
            <w:tcBorders>
              <w:top w:val="nil"/>
              <w:left w:val="nil"/>
              <w:bottom w:val="single" w:sz="12" w:space="0" w:color="auto"/>
              <w:right w:val="nil"/>
            </w:tcBorders>
            <w:shd w:val="solid" w:color="FFFFFF" w:fill="auto"/>
          </w:tcPr>
          <w:p w:rsidR="00A53D7D" w:rsidRPr="004B34F5" w:rsidRDefault="00A53D7D" w:rsidP="005140B4">
            <w:pPr>
              <w:pStyle w:val="TableofFigures"/>
              <w:rPr>
                <w:rFonts w:eastAsiaTheme="minorEastAsia"/>
                <w:b/>
                <w:bCs/>
                <w:lang w:eastAsia="en-AU"/>
              </w:rPr>
            </w:pPr>
            <w:r w:rsidRPr="004B34F5">
              <w:rPr>
                <w:rFonts w:eastAsiaTheme="minorEastAsia"/>
                <w:b/>
                <w:bCs/>
                <w:lang w:eastAsia="en-AU"/>
              </w:rPr>
              <w:t>3 003.0</w:t>
            </w:r>
          </w:p>
        </w:tc>
        <w:tc>
          <w:tcPr>
            <w:tcW w:w="1036" w:type="dxa"/>
            <w:tcBorders>
              <w:top w:val="nil"/>
              <w:left w:val="nil"/>
              <w:bottom w:val="single" w:sz="12" w:space="0" w:color="auto"/>
              <w:right w:val="nil"/>
            </w:tcBorders>
            <w:shd w:val="solid" w:color="FFFFFF" w:fill="auto"/>
          </w:tcPr>
          <w:p w:rsidR="00A53D7D" w:rsidRPr="004B34F5" w:rsidRDefault="00A53D7D" w:rsidP="005140B4">
            <w:pPr>
              <w:pStyle w:val="TableofFigures"/>
              <w:rPr>
                <w:rFonts w:eastAsiaTheme="minorEastAsia"/>
                <w:b/>
                <w:bCs/>
                <w:lang w:eastAsia="en-AU"/>
              </w:rPr>
            </w:pPr>
            <w:r w:rsidRPr="004B34F5">
              <w:rPr>
                <w:rFonts w:eastAsiaTheme="minorEastAsia"/>
                <w:b/>
                <w:bCs/>
                <w:lang w:eastAsia="en-AU"/>
              </w:rPr>
              <w:t>2 806.9</w:t>
            </w:r>
          </w:p>
        </w:tc>
      </w:tr>
    </w:tbl>
    <w:p w:rsidR="00A53D7D" w:rsidRDefault="00A53D7D" w:rsidP="005140B4">
      <w:pPr>
        <w:pStyle w:val="Source"/>
      </w:pPr>
      <w:r>
        <w:t xml:space="preserve">Source: Department of Environment and Primary Industries </w:t>
      </w:r>
      <w:r>
        <w:fldChar w:fldCharType="begin"/>
      </w:r>
      <w:r>
        <w:instrText xml:space="preserve"> XE "Department of Environment and Primary Industries</w:instrText>
      </w:r>
      <w:r w:rsidRPr="00ED1DC7">
        <w:instrText>:Parliamentary authority for resources</w:instrText>
      </w:r>
      <w:r>
        <w:instrText xml:space="preserve">" </w:instrText>
      </w:r>
      <w:r>
        <w:fldChar w:fldCharType="end"/>
      </w:r>
      <w:r>
        <w:t xml:space="preserve"> </w:t>
      </w:r>
    </w:p>
    <w:p w:rsidR="00A53D7D" w:rsidRDefault="00A53D7D">
      <w:pPr>
        <w:spacing w:after="0"/>
      </w:pPr>
      <w:r>
        <w:br w:type="page"/>
      </w:r>
    </w:p>
    <w:p w:rsidR="00A53D7D" w:rsidRDefault="00A53D7D" w:rsidP="005140B4">
      <w:pPr>
        <w:pStyle w:val="OGHeading1"/>
      </w:pPr>
      <w:bookmarkStart w:id="79" w:name="DEPICreate"/>
      <w:r>
        <w:t>Create productive and competitive agricultural i</w:t>
      </w:r>
      <w:r w:rsidRPr="0026599C">
        <w:t>ndustries</w:t>
      </w:r>
    </w:p>
    <w:p w:rsidR="00A53D7D" w:rsidRDefault="00A53D7D" w:rsidP="005140B4">
      <w:pPr>
        <w:pStyle w:val="OGText"/>
        <w:rPr>
          <w:lang w:eastAsia="en-AU"/>
        </w:rPr>
      </w:pPr>
      <w:r w:rsidRPr="005E5444">
        <w:rPr>
          <w:lang w:eastAsia="en-AU"/>
        </w:rPr>
        <w:t>This objective creates conditions for increased productivity and access to markets for Victoria's agricultural industries.</w:t>
      </w:r>
    </w:p>
    <w:p w:rsidR="00A53D7D" w:rsidRDefault="00A53D7D" w:rsidP="005140B4">
      <w:pPr>
        <w:pStyle w:val="OGText"/>
        <w:rPr>
          <w:lang w:eastAsia="en-AU"/>
        </w:rPr>
      </w:pPr>
      <w:r w:rsidRPr="005E5444">
        <w:rPr>
          <w:lang w:eastAsia="en-AU"/>
        </w:rPr>
        <w:t xml:space="preserve">The Department works with research and industry partners, primary </w:t>
      </w:r>
      <w:proofErr w:type="gramStart"/>
      <w:r w:rsidRPr="005E5444">
        <w:rPr>
          <w:lang w:eastAsia="en-AU"/>
        </w:rPr>
        <w:t>producers</w:t>
      </w:r>
      <w:proofErr w:type="gramEnd"/>
      <w:r w:rsidRPr="005E5444">
        <w:rPr>
          <w:lang w:eastAsia="en-AU"/>
        </w:rPr>
        <w:t xml:space="preserve"> and rural communities across Victoria to address major and emerging challenges in productivity, biosecurity and competitiveness.</w:t>
      </w:r>
    </w:p>
    <w:p w:rsidR="00A53D7D" w:rsidRDefault="00A53D7D" w:rsidP="005140B4">
      <w:pPr>
        <w:pStyle w:val="OGText"/>
        <w:rPr>
          <w:lang w:eastAsia="en-AU"/>
        </w:rPr>
      </w:pPr>
      <w:r w:rsidRPr="005E5444">
        <w:rPr>
          <w:lang w:eastAsia="en-AU"/>
        </w:rPr>
        <w:t xml:space="preserve">The Department provides services to drive productivity </w:t>
      </w:r>
      <w:proofErr w:type="gramStart"/>
      <w:r w:rsidRPr="005E5444">
        <w:rPr>
          <w:lang w:eastAsia="en-AU"/>
        </w:rPr>
        <w:t>growth,</w:t>
      </w:r>
      <w:proofErr w:type="gramEnd"/>
      <w:r w:rsidRPr="005E5444">
        <w:rPr>
          <w:lang w:eastAsia="en-AU"/>
        </w:rPr>
        <w:t xml:space="preserve"> connect Victoria's food and fibre industries to the Asian growth markets and assist industry development and transition. The Department builds and maintains Victoria's capability to monitor, </w:t>
      </w:r>
      <w:proofErr w:type="gramStart"/>
      <w:r w:rsidRPr="005E5444">
        <w:rPr>
          <w:lang w:eastAsia="en-AU"/>
        </w:rPr>
        <w:t>detect</w:t>
      </w:r>
      <w:proofErr w:type="gramEnd"/>
      <w:r w:rsidRPr="005E5444">
        <w:rPr>
          <w:lang w:eastAsia="en-AU"/>
        </w:rPr>
        <w:t xml:space="preserve"> and respond to animal and plant disease outbreaks, residue incidents and other biosecurity threats, thereby safeguarding animal welfare and ensuring continued and increasing access to local and international markets.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5140B4">
        <w:trPr>
          <w:cantSplit/>
        </w:trPr>
        <w:tc>
          <w:tcPr>
            <w:tcW w:w="7776" w:type="dxa"/>
            <w:gridSpan w:val="6"/>
            <w:tcBorders>
              <w:top w:val="nil"/>
              <w:left w:val="nil"/>
              <w:bottom w:val="nil"/>
              <w:right w:val="nil"/>
            </w:tcBorders>
            <w:shd w:val="clear" w:color="auto" w:fill="auto"/>
            <w:vAlign w:val="bottom"/>
            <w:hideMark/>
          </w:tcPr>
          <w:p w:rsidR="00A53D7D" w:rsidRPr="005E5444" w:rsidRDefault="00A53D7D" w:rsidP="005140B4">
            <w:pPr>
              <w:pStyle w:val="OGHeading2"/>
              <w:rPr>
                <w:lang w:eastAsia="en-AU"/>
              </w:rPr>
            </w:pPr>
            <w:r w:rsidRPr="005E5444">
              <w:rPr>
                <w:lang w:eastAsia="en-AU"/>
              </w:rPr>
              <w:t>Agriculture</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Text"/>
              <w:rPr>
                <w:lang w:eastAsia="en-AU"/>
              </w:rPr>
            </w:pPr>
            <w:r w:rsidRPr="005E5444">
              <w:rPr>
                <w:lang w:eastAsia="en-AU"/>
              </w:rPr>
              <w:t>This output sets policies and manages legislation for a productive and responsive agricultural sector in Victoria. Through this output</w:t>
            </w:r>
            <w:r>
              <w:rPr>
                <w:lang w:eastAsia="en-AU"/>
              </w:rPr>
              <w:t>,</w:t>
            </w:r>
            <w:r w:rsidRPr="005E5444">
              <w:rPr>
                <w:lang w:eastAsia="en-AU"/>
              </w:rPr>
              <w:t xml:space="preserve"> the Department conducts research to develop new technologies, practices and knowledge</w:t>
            </w:r>
            <w:r>
              <w:rPr>
                <w:lang w:eastAsia="en-AU"/>
              </w:rPr>
              <w:t>,</w:t>
            </w:r>
            <w:r w:rsidRPr="005E5444">
              <w:rPr>
                <w:lang w:eastAsia="en-AU"/>
              </w:rPr>
              <w:t xml:space="preserve"> and accelerates productivity growth in the dairy, grains, </w:t>
            </w:r>
            <w:proofErr w:type="gramStart"/>
            <w:r w:rsidRPr="005E5444">
              <w:rPr>
                <w:lang w:eastAsia="en-AU"/>
              </w:rPr>
              <w:t>horticulture</w:t>
            </w:r>
            <w:proofErr w:type="gramEnd"/>
            <w:r w:rsidRPr="005E5444">
              <w:rPr>
                <w:lang w:eastAsia="en-AU"/>
              </w:rPr>
              <w:t xml:space="preserve"> and livestock sectors by delivering targeted services that address key productivity impediments. Additionally, the Department supports industry development and facilitates access to key international markets by addressing trade barriers and coordinating trade missions and international delegations.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Applications for intellectual property protection</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8</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19</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This performance measure has been moved from timeliness to quantity to better reflect the nature of the measure.</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Clients engaged with agriculture productivity services</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5</w:t>
            </w:r>
            <w:r>
              <w:rPr>
                <w:lang w:eastAsia="en-AU"/>
              </w:rPr>
              <w:t> </w:t>
            </w:r>
            <w:r w:rsidRPr="005E5444">
              <w:rPr>
                <w:lang w:eastAsia="en-AU"/>
              </w:rPr>
              <w:t>500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New performance measure for 2014</w:t>
            </w:r>
            <w:r>
              <w:noBreakHyphen/>
            </w:r>
            <w:r w:rsidRPr="005E5444">
              <w:t xml:space="preserve">15 to better reflect the </w:t>
            </w:r>
            <w:r>
              <w:t>G</w:t>
            </w:r>
            <w:r w:rsidRPr="005E5444">
              <w:t>overnment's agricultural productivity service offer.</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Commercial technology licence agreements finalised</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16</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16</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16</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12</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Farms and related small businesses facing significant adjustment pressures supported to make better informed decisions by the Rural Financial Counselling Service</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2</w:t>
            </w:r>
            <w:r>
              <w:rPr>
                <w:lang w:eastAsia="en-AU"/>
              </w:rPr>
              <w:t> </w:t>
            </w:r>
            <w:r w:rsidRPr="005E5444">
              <w:rPr>
                <w:lang w:eastAsia="en-AU"/>
              </w:rPr>
              <w:t>000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2</w:t>
            </w:r>
            <w:r>
              <w:rPr>
                <w:lang w:eastAsia="en-AU"/>
              </w:rPr>
              <w:t> </w:t>
            </w:r>
            <w:r w:rsidRPr="005E5444">
              <w:rPr>
                <w:lang w:eastAsia="en-AU"/>
              </w:rPr>
              <w:t>000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2</w:t>
            </w:r>
            <w:r>
              <w:rPr>
                <w:lang w:eastAsia="en-AU"/>
              </w:rPr>
              <w:t> </w:t>
            </w:r>
            <w:r w:rsidRPr="005E5444">
              <w:rPr>
                <w:lang w:eastAsia="en-AU"/>
              </w:rPr>
              <w:t>000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849</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Genetic improvement of dairy cows achieved through breeding contributing to increased milk production and dairy productivity</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1</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Pr>
                <w:lang w:eastAsia="en-AU"/>
              </w:rPr>
              <w:t>Improved agricultural</w:t>
            </w:r>
            <w:r w:rsidRPr="005E5444">
              <w:rPr>
                <w:lang w:eastAsia="en-AU"/>
              </w:rPr>
              <w:t xml:space="preserve"> productivity services, programs and products developed</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8</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New performance measure for 2014</w:t>
            </w:r>
            <w:r>
              <w:noBreakHyphen/>
            </w:r>
            <w:r w:rsidRPr="005E5444">
              <w:t>15 to better reflect the Government</w:t>
            </w:r>
            <w:r>
              <w:t>’</w:t>
            </w:r>
            <w:r w:rsidRPr="005E5444">
              <w:t>s agricultural productivity service offer.</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Major strategic policy briefings to government</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4</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4</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4</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New enabling technologies and core competencies for productivity and biosecurity outcomes established/upgraded by DEPI</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This performance measure renames the 2013</w:t>
            </w:r>
            <w:r>
              <w:noBreakHyphen/>
            </w:r>
            <w:r w:rsidRPr="005E5444">
              <w:t>14 performance measure 'New key enabling technologies and core science capacity competenci</w:t>
            </w:r>
            <w:r>
              <w:t>es established/upgraded by DEPI</w:t>
            </w:r>
            <w:r w:rsidRPr="005E5444">
              <w:t>'</w:t>
            </w:r>
            <w:r>
              <w:t>.</w:t>
            </w:r>
            <w:r w:rsidRPr="005E5444">
              <w:t xml:space="preserve"> The measure </w:t>
            </w:r>
            <w:proofErr w:type="gramStart"/>
            <w:r w:rsidRPr="005E5444">
              <w:t>reports on the same activity as the previous measure</w:t>
            </w:r>
            <w:r>
              <w:t>,</w:t>
            </w:r>
            <w:r w:rsidRPr="005E5444">
              <w:t xml:space="preserve"> however</w:t>
            </w:r>
            <w:r>
              <w:t>,</w:t>
            </w:r>
            <w:r w:rsidRPr="005E5444">
              <w:t xml:space="preserve"> has</w:t>
            </w:r>
            <w:proofErr w:type="gramEnd"/>
            <w:r w:rsidRPr="005E5444">
              <w:t xml:space="preserve"> been amended for increased clarity.</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Postgraduate level/PhD students in training by DEPI</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65</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76</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65</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83</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2013</w:t>
            </w:r>
            <w:r>
              <w:noBreakHyphen/>
            </w:r>
            <w:r w:rsidRPr="005E5444">
              <w:t xml:space="preserve">14 </w:t>
            </w:r>
            <w:r>
              <w:t xml:space="preserve">expected outcome </w:t>
            </w:r>
            <w:r w:rsidRPr="005E5444">
              <w:t>is higher than the 2013</w:t>
            </w:r>
            <w:r>
              <w:noBreakHyphen/>
            </w:r>
            <w:r w:rsidRPr="005E5444">
              <w:t xml:space="preserve">14 </w:t>
            </w:r>
            <w:r>
              <w:t>target</w:t>
            </w:r>
            <w:r w:rsidRPr="005E5444">
              <w:t xml:space="preserve"> due to the </w:t>
            </w:r>
            <w:proofErr w:type="spellStart"/>
            <w:r w:rsidRPr="005E5444">
              <w:t>AgriBio</w:t>
            </w:r>
            <w:proofErr w:type="spellEnd"/>
            <w:r w:rsidRPr="005E5444">
              <w:t xml:space="preserve"> joint venture with La Trobe University and DEPI generating higher than anticipated numbers of students</w:t>
            </w:r>
            <w:r>
              <w:t xml:space="preserve"> in 2013</w:t>
            </w:r>
            <w:r>
              <w:noBreakHyphen/>
              <w:t>14</w:t>
            </w:r>
            <w:r w:rsidRPr="005E5444">
              <w:t>.</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Regional land health services being delivered</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5</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t>This</w:t>
            </w:r>
            <w:r w:rsidRPr="005E5444">
              <w:t xml:space="preserve"> performance measure</w:t>
            </w:r>
            <w:r>
              <w:t xml:space="preserve"> is proposed to replace</w:t>
            </w:r>
            <w:r w:rsidRPr="005E5444">
              <w:t xml:space="preserve"> 2013</w:t>
            </w:r>
            <w:r>
              <w:noBreakHyphen/>
            </w:r>
            <w:r w:rsidRPr="005E5444">
              <w:t xml:space="preserve">14 performance measures in the Environmental Programs output – 'Area covered by regional land health projects' and 'Regional land health projects being implemented'. </w:t>
            </w:r>
            <w:r>
              <w:t xml:space="preserve">It has been amended to reflect </w:t>
            </w:r>
            <w:r w:rsidRPr="005E5444">
              <w:t>the redesign and transfer of the Land Health program to focus on managing the resource base to support agricultural productivity.</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Scientific and technical publications in international and/or peer review journals that promote productive agriculture</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260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260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258</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395</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5444">
              <w:t>This performance measure renames the 2013</w:t>
            </w:r>
            <w:r>
              <w:noBreakHyphen/>
            </w:r>
            <w:r w:rsidRPr="005E5444">
              <w:t xml:space="preserve">14 performance measure 'Scientific and technical publications in international and/or peer review journals that promote productive, profitable and sustainable farming systems'. The measure </w:t>
            </w:r>
            <w:proofErr w:type="gramStart"/>
            <w:r w:rsidRPr="005E5444">
              <w:t>reports on the same activity as the previous measure</w:t>
            </w:r>
            <w:r>
              <w:t>,</w:t>
            </w:r>
            <w:r w:rsidRPr="005E5444">
              <w:t xml:space="preserve"> however</w:t>
            </w:r>
            <w:r>
              <w:t>,</w:t>
            </w:r>
            <w:r w:rsidRPr="005E5444">
              <w:t xml:space="preserve"> has</w:t>
            </w:r>
            <w:proofErr w:type="gramEnd"/>
            <w:r w:rsidRPr="005E5444">
              <w:t xml:space="preserve"> been amended to </w:t>
            </w:r>
            <w:r>
              <w:t>reflect the productivity focus.</w:t>
            </w:r>
          </w:p>
          <w:p w:rsidR="00A53D7D" w:rsidRPr="005E5444" w:rsidRDefault="00A53D7D" w:rsidP="005140B4">
            <w:pPr>
              <w:pStyle w:val="OGNotes"/>
            </w:pPr>
            <w:r w:rsidRPr="005E5444">
              <w:t>The 2013</w:t>
            </w:r>
            <w:r>
              <w:noBreakHyphen/>
            </w:r>
            <w:r w:rsidRPr="005E5444">
              <w:t xml:space="preserve">14 </w:t>
            </w:r>
            <w:r>
              <w:t xml:space="preserve">expected outcome </w:t>
            </w:r>
            <w:r w:rsidRPr="005E5444">
              <w:t>is higher than the 2013</w:t>
            </w:r>
            <w:r>
              <w:noBreakHyphen/>
            </w:r>
            <w:r w:rsidRPr="005E5444">
              <w:t xml:space="preserve">14 </w:t>
            </w:r>
            <w:r>
              <w:t>target</w:t>
            </w:r>
            <w:r w:rsidRPr="005E5444">
              <w:t xml:space="preserve"> due to</w:t>
            </w:r>
            <w:r>
              <w:t xml:space="preserve"> a focus on the development and production of quality publications.</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Significant interactions with Victorian exporters and international trading partners that facilitate export outcomes</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250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120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50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139</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5444">
              <w:t>This performance measure renames the 2013</w:t>
            </w:r>
            <w:r>
              <w:noBreakHyphen/>
            </w:r>
            <w:r w:rsidRPr="005E5444">
              <w:t xml:space="preserve">14 performance measure 'Significant customer interactions to facilitate export outcomes'. The measure </w:t>
            </w:r>
            <w:proofErr w:type="gramStart"/>
            <w:r w:rsidRPr="005E5444">
              <w:t>reports on the same activity as the previous measure</w:t>
            </w:r>
            <w:r>
              <w:t>,</w:t>
            </w:r>
            <w:r w:rsidRPr="005E5444">
              <w:t xml:space="preserve"> however</w:t>
            </w:r>
            <w:r>
              <w:t>,</w:t>
            </w:r>
            <w:r w:rsidRPr="005E5444">
              <w:t xml:space="preserve"> has</w:t>
            </w:r>
            <w:proofErr w:type="gramEnd"/>
            <w:r w:rsidRPr="005E5444">
              <w:t xml:space="preserve"> been amend</w:t>
            </w:r>
            <w:r>
              <w:t>ed for increased clarity.</w:t>
            </w:r>
          </w:p>
          <w:p w:rsidR="00A53D7D" w:rsidRDefault="00A53D7D" w:rsidP="005140B4">
            <w:pPr>
              <w:pStyle w:val="OGNotes"/>
            </w:pPr>
            <w:r w:rsidRPr="005E5444">
              <w:t>The 2013</w:t>
            </w:r>
            <w:r>
              <w:noBreakHyphen/>
            </w:r>
            <w:r w:rsidRPr="005E5444">
              <w:t xml:space="preserve">14 </w:t>
            </w:r>
            <w:r>
              <w:t xml:space="preserve">expected outcome </w:t>
            </w:r>
            <w:r w:rsidRPr="005E5444">
              <w:t>is higher than the 2013</w:t>
            </w:r>
            <w:r>
              <w:noBreakHyphen/>
            </w:r>
            <w:r w:rsidRPr="005E5444">
              <w:t xml:space="preserve">14 </w:t>
            </w:r>
            <w:r>
              <w:t>target</w:t>
            </w:r>
            <w:r w:rsidRPr="005E5444">
              <w:t xml:space="preserve"> due to the implementation of </w:t>
            </w:r>
            <w:r w:rsidRPr="00BE7963">
              <w:rPr>
                <w:i w:val="0"/>
              </w:rPr>
              <w:t>Food and Agriculture into Asia</w:t>
            </w:r>
            <w:r w:rsidRPr="005E5444">
              <w:t xml:space="preserve"> Action Plan increasing customer interactions through its trade and export outcomes.</w:t>
            </w:r>
          </w:p>
          <w:p w:rsidR="00A53D7D" w:rsidRPr="005E5444" w:rsidRDefault="00A53D7D" w:rsidP="005140B4">
            <w:pPr>
              <w:pStyle w:val="OGNotes"/>
            </w:pPr>
            <w:r w:rsidRPr="005E5444">
              <w:t>The 2014</w:t>
            </w:r>
            <w:r>
              <w:noBreakHyphen/>
            </w:r>
            <w:r w:rsidRPr="005E5444">
              <w:t xml:space="preserve">15 </w:t>
            </w:r>
            <w:r>
              <w:t>target</w:t>
            </w:r>
            <w:r w:rsidRPr="005E5444">
              <w:t xml:space="preserve"> has been increased to reflect the funding received through the </w:t>
            </w:r>
            <w:r w:rsidRPr="00BE7963">
              <w:rPr>
                <w:i w:val="0"/>
              </w:rPr>
              <w:t>2014</w:t>
            </w:r>
            <w:r w:rsidRPr="00BE7963">
              <w:rPr>
                <w:i w:val="0"/>
              </w:rPr>
              <w:noBreakHyphen/>
              <w:t>15 Budget</w:t>
            </w:r>
            <w:r w:rsidRPr="005E5444">
              <w:t xml:space="preserve"> for </w:t>
            </w:r>
            <w:r w:rsidRPr="00BE7963">
              <w:rPr>
                <w:i w:val="0"/>
              </w:rPr>
              <w:t>Food and Agriculture into Asia</w:t>
            </w:r>
            <w:r>
              <w:rPr>
                <w:i w:val="0"/>
              </w:rPr>
              <w:fldChar w:fldCharType="begin"/>
            </w:r>
            <w:r>
              <w:instrText xml:space="preserve"> XE "</w:instrText>
            </w:r>
            <w:r w:rsidRPr="00E5472A">
              <w:rPr>
                <w:i w:val="0"/>
              </w:rPr>
              <w:instrText>Food and Agriculture into Asia</w:instrText>
            </w:r>
            <w:r>
              <w:instrText xml:space="preserve">" </w:instrText>
            </w:r>
            <w:r>
              <w:rPr>
                <w:i w:val="0"/>
              </w:rPr>
              <w:fldChar w:fldCharType="end"/>
            </w:r>
            <w:r w:rsidRPr="005E5444">
              <w:rPr>
                <w:iCs/>
              </w:rPr>
              <w:t xml:space="preserve"> – Positioning the Food Sector for Growth</w:t>
            </w:r>
            <w:r w:rsidRPr="005E5444">
              <w:t xml:space="preserve"> initiative.</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keepNext/>
              <w:rPr>
                <w:lang w:eastAsia="en-AU"/>
              </w:rPr>
            </w:pPr>
            <w:r w:rsidRPr="005E5444">
              <w:rPr>
                <w:lang w:eastAsia="en-AU"/>
              </w:rPr>
              <w:t>Strategies developed to overcome identified trade barriers</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keepNext/>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keepNext/>
              <w:rPr>
                <w:lang w:eastAsia="en-AU"/>
              </w:rPr>
            </w:pPr>
            <w:r w:rsidRPr="005E5444">
              <w:rPr>
                <w:lang w:eastAsia="en-AU"/>
              </w:rPr>
              <w:t>7</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keepNext/>
              <w:rPr>
                <w:lang w:eastAsia="en-AU"/>
              </w:rPr>
            </w:pPr>
            <w:r w:rsidRPr="005E5444">
              <w:rPr>
                <w:lang w:eastAsia="en-AU"/>
              </w:rPr>
              <w:t>3</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keepNext/>
              <w:rPr>
                <w:lang w:eastAsia="en-AU"/>
              </w:rPr>
            </w:pPr>
            <w:r w:rsidRPr="005E5444">
              <w:rPr>
                <w:lang w:eastAsia="en-AU"/>
              </w:rPr>
              <w:t>3</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keepNext/>
              <w:rPr>
                <w:lang w:eastAsia="en-AU"/>
              </w:rPr>
            </w:pPr>
            <w:r w:rsidRPr="005E5444">
              <w:rPr>
                <w:lang w:eastAsia="en-AU"/>
              </w:rPr>
              <w:t>3</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2014</w:t>
            </w:r>
            <w:r>
              <w:noBreakHyphen/>
            </w:r>
            <w:r w:rsidRPr="005E5444">
              <w:t xml:space="preserve">15 </w:t>
            </w:r>
            <w:r>
              <w:t>target</w:t>
            </w:r>
            <w:r w:rsidRPr="005E5444">
              <w:t xml:space="preserve"> is higher</w:t>
            </w:r>
            <w:r>
              <w:t xml:space="preserve"> than the 2013</w:t>
            </w:r>
            <w:r>
              <w:noBreakHyphen/>
              <w:t>14 target</w:t>
            </w:r>
            <w:r w:rsidRPr="005E5444">
              <w:t xml:space="preserve"> due to the implementation of the </w:t>
            </w:r>
            <w:r w:rsidRPr="00BE7963">
              <w:rPr>
                <w:i w:val="0"/>
              </w:rPr>
              <w:t>Food and Agriculture into Asia</w:t>
            </w:r>
            <w:r w:rsidRPr="005E5444">
              <w:t xml:space="preserve"> Action Plan which will increase the number of strategies developed to overcome identified trade barriers.</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Value of external (non</w:t>
            </w:r>
            <w:r>
              <w:rPr>
                <w:lang w:eastAsia="en-AU"/>
              </w:rPr>
              <w:noBreakHyphen/>
            </w:r>
            <w:r w:rsidRPr="005E5444">
              <w:rPr>
                <w:lang w:eastAsia="en-AU"/>
              </w:rPr>
              <w:t>state) funding contribution to research projects that support productive agriculture</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Pr>
                <w:lang w:eastAsia="en-AU"/>
              </w:rPr>
              <w:t>$ m</w:t>
            </w:r>
            <w:r w:rsidRPr="005E5444">
              <w:rPr>
                <w:lang w:eastAsia="en-AU"/>
              </w:rPr>
              <w:t>illion</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36</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42</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36</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36.5</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5444">
              <w:t>This performance measure renames the 2013</w:t>
            </w:r>
            <w:r>
              <w:noBreakHyphen/>
            </w:r>
            <w:r w:rsidRPr="005E5444">
              <w:t>14 performance measure 'Value of external (non</w:t>
            </w:r>
            <w:r>
              <w:noBreakHyphen/>
            </w:r>
            <w:r w:rsidRPr="005E5444">
              <w:t xml:space="preserve">state) funding contribution to research projects that support productive, </w:t>
            </w:r>
            <w:proofErr w:type="gramStart"/>
            <w:r w:rsidRPr="005E5444">
              <w:t>profitable</w:t>
            </w:r>
            <w:proofErr w:type="gramEnd"/>
            <w:r w:rsidRPr="005E5444">
              <w:t xml:space="preserve"> and sustainable farming systems'</w:t>
            </w:r>
            <w:r>
              <w:t>.</w:t>
            </w:r>
            <w:r w:rsidRPr="005E5444">
              <w:t xml:space="preserve"> The measure </w:t>
            </w:r>
            <w:proofErr w:type="gramStart"/>
            <w:r w:rsidRPr="005E5444">
              <w:t>reports on the same activity as the previous measure</w:t>
            </w:r>
            <w:r>
              <w:t>,</w:t>
            </w:r>
            <w:r w:rsidRPr="005E5444">
              <w:t xml:space="preserve"> however</w:t>
            </w:r>
            <w:r>
              <w:t>,</w:t>
            </w:r>
            <w:r w:rsidRPr="005E5444">
              <w:t xml:space="preserve"> has</w:t>
            </w:r>
            <w:proofErr w:type="gramEnd"/>
            <w:r w:rsidRPr="005E5444">
              <w:t xml:space="preserve"> been amended to </w:t>
            </w:r>
            <w:r>
              <w:t>reflect the productivity focus.</w:t>
            </w:r>
          </w:p>
          <w:p w:rsidR="00A53D7D" w:rsidRPr="005E5444" w:rsidRDefault="00A53D7D" w:rsidP="005140B4">
            <w:pPr>
              <w:pStyle w:val="OGNotes"/>
            </w:pPr>
            <w:r w:rsidRPr="005E5444">
              <w:t>The 2013</w:t>
            </w:r>
            <w:r>
              <w:noBreakHyphen/>
            </w:r>
            <w:r w:rsidRPr="005E5444">
              <w:t xml:space="preserve">14 </w:t>
            </w:r>
            <w:r>
              <w:t xml:space="preserve">expected outcome </w:t>
            </w:r>
            <w:r w:rsidRPr="005E5444">
              <w:t>is higher than the 2013</w:t>
            </w:r>
            <w:r>
              <w:noBreakHyphen/>
            </w:r>
            <w:r w:rsidRPr="005E5444">
              <w:t xml:space="preserve">14 </w:t>
            </w:r>
            <w:r>
              <w:t>target</w:t>
            </w:r>
            <w:r w:rsidRPr="005E5444">
              <w:t xml:space="preserve"> due to current agreements in place with </w:t>
            </w:r>
            <w:r>
              <w:t>commercial and industry partners</w:t>
            </w:r>
            <w:r w:rsidRPr="005E5444">
              <w:t xml:space="preserve"> which have delivered additional commercial revenue for 2013</w:t>
            </w:r>
            <w:r>
              <w:noBreakHyphen/>
            </w:r>
            <w:r w:rsidRPr="005E5444">
              <w:t>14.</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Client satisfaction rating of agricultural productivity services</w:t>
            </w:r>
          </w:p>
        </w:tc>
        <w:tc>
          <w:tcPr>
            <w:tcW w:w="907" w:type="dxa"/>
            <w:tcBorders>
              <w:top w:val="nil"/>
              <w:left w:val="nil"/>
              <w:bottom w:val="nil"/>
              <w:right w:val="nil"/>
            </w:tcBorders>
            <w:shd w:val="clear" w:color="000000" w:fill="FFFFFF"/>
            <w:hideMark/>
          </w:tcPr>
          <w:p w:rsidR="00A53D7D" w:rsidRDefault="00A53D7D" w:rsidP="005140B4">
            <w:pPr>
              <w:pStyle w:val="OGUoM"/>
              <w:rPr>
                <w:lang w:eastAsia="en-AU"/>
              </w:rPr>
            </w:pPr>
            <w:r>
              <w:rPr>
                <w:lang w:eastAsia="en-AU"/>
              </w:rPr>
              <w:t>number</w:t>
            </w:r>
          </w:p>
          <w:p w:rsidR="00A53D7D" w:rsidRPr="005E5444" w:rsidRDefault="00A53D7D" w:rsidP="005140B4">
            <w:pPr>
              <w:pStyle w:val="OGUoM"/>
              <w:rPr>
                <w:lang w:eastAsia="en-AU"/>
              </w:rPr>
            </w:pPr>
            <w:r>
              <w:rPr>
                <w:lang w:eastAsia="en-AU"/>
              </w:rPr>
              <w:t>(1–10)</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&gt;</w:t>
            </w:r>
            <w:r>
              <w:rPr>
                <w:lang w:eastAsia="en-AU"/>
              </w:rPr>
              <w:t xml:space="preserve"> </w:t>
            </w:r>
            <w:r w:rsidRPr="005E5444">
              <w:rPr>
                <w:lang w:eastAsia="en-AU"/>
              </w:rPr>
              <w:t>8</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w:t>
            </w:r>
            <w:r>
              <w:t>his performance measure is proposed to replace</w:t>
            </w:r>
            <w:r w:rsidRPr="005E5444">
              <w:t xml:space="preserve"> the 2013</w:t>
            </w:r>
            <w:r>
              <w:noBreakHyphen/>
            </w:r>
            <w:r w:rsidRPr="005E5444">
              <w:t>14 performance measure 'Clients are satisfied that services are acc</w:t>
            </w:r>
            <w:r>
              <w:t>essible, timely and relevant'. It has been</w:t>
            </w:r>
            <w:r w:rsidRPr="005E5444">
              <w:t xml:space="preserve"> amended to reflect a new </w:t>
            </w:r>
            <w:r>
              <w:t>unit of measure, which will enable</w:t>
            </w:r>
            <w:r w:rsidRPr="005E5444">
              <w:t xml:space="preserve"> more frequent reporting of results.</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Satisfaction</w:t>
            </w:r>
            <w:r>
              <w:rPr>
                <w:lang w:eastAsia="en-AU"/>
              </w:rPr>
              <w:t xml:space="preserve"> rating</w:t>
            </w:r>
            <w:r w:rsidRPr="005E5444">
              <w:rPr>
                <w:lang w:eastAsia="en-AU"/>
              </w:rPr>
              <w:t xml:space="preserve"> of industry investors in agriculture productivity research and development</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Pr>
                <w:lang w:eastAsia="en-AU"/>
              </w:rPr>
              <w:t>n</w:t>
            </w:r>
            <w:r w:rsidRPr="005E5444">
              <w:rPr>
                <w:lang w:eastAsia="en-AU"/>
              </w:rPr>
              <w:t>umber (1</w:t>
            </w:r>
            <w:r>
              <w:rPr>
                <w:lang w:eastAsia="en-AU"/>
              </w:rPr>
              <w:t>–</w:t>
            </w:r>
            <w:r w:rsidRPr="005E5444">
              <w:rPr>
                <w:lang w:eastAsia="en-AU"/>
              </w:rPr>
              <w:t>5)</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&gt;</w:t>
            </w:r>
            <w:r>
              <w:rPr>
                <w:lang w:eastAsia="en-AU"/>
              </w:rPr>
              <w:t xml:space="preserve"> </w:t>
            </w:r>
            <w:r w:rsidRPr="005E5444">
              <w:rPr>
                <w:lang w:eastAsia="en-AU"/>
              </w:rPr>
              <w:t>3</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New performance measure for 2014</w:t>
            </w:r>
            <w:r>
              <w:noBreakHyphen/>
            </w:r>
            <w:r w:rsidRPr="005E5444">
              <w:t>15 to reflect the increased focus of research and development on the productivity of the dairy, grains, horticulture and beef and sheep industries and partnership arrangements with industry investors.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Provision of technical advice, diagnostic identification tests on pests and diseases including suspected exotics within agreed timeframes</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nil"/>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80</w:t>
            </w:r>
          </w:p>
        </w:tc>
        <w:tc>
          <w:tcPr>
            <w:tcW w:w="993"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80</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80</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83</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Research project milestones and reports completed on time</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80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85</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81</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5444">
              <w:t>This performance measure renames the 2013</w:t>
            </w:r>
            <w:r>
              <w:noBreakHyphen/>
            </w:r>
            <w:r w:rsidRPr="005E5444">
              <w:t>14 performance measure '</w:t>
            </w:r>
            <w:proofErr w:type="spellStart"/>
            <w:r w:rsidRPr="005E5444">
              <w:t>Agrifood</w:t>
            </w:r>
            <w:proofErr w:type="spellEnd"/>
            <w:r w:rsidRPr="005E5444">
              <w:t xml:space="preserve"> and natural resource management research and development project milestones and reports completed on tim</w:t>
            </w:r>
            <w:r>
              <w:t>e</w:t>
            </w:r>
            <w:r w:rsidRPr="005E5444">
              <w:t>'</w:t>
            </w:r>
            <w:r>
              <w:t>.</w:t>
            </w:r>
            <w:r w:rsidRPr="005E5444">
              <w:t xml:space="preserve"> The measure reports on the same activity as the previous measure</w:t>
            </w:r>
            <w:r>
              <w:t>,</w:t>
            </w:r>
            <w:r w:rsidRPr="005E5444">
              <w:t xml:space="preserve"> however</w:t>
            </w:r>
            <w:r>
              <w:t>,</w:t>
            </w:r>
            <w:r w:rsidRPr="005E5444">
              <w:t xml:space="preserve"> has been amended to reflect the increased emphasis on accelerating productivity growth in the dairy, grains, horticult</w:t>
            </w:r>
            <w:r>
              <w:t>ure and beef and sheep sectors.</w:t>
            </w:r>
          </w:p>
          <w:p w:rsidR="00A53D7D" w:rsidRPr="005E5444" w:rsidRDefault="00A53D7D" w:rsidP="005140B4">
            <w:pPr>
              <w:pStyle w:val="OGNotes"/>
            </w:pPr>
            <w:r w:rsidRPr="005E5444">
              <w:t>The 2013</w:t>
            </w:r>
            <w:r>
              <w:noBreakHyphen/>
            </w:r>
            <w:r w:rsidRPr="005E5444">
              <w:t xml:space="preserve">14 </w:t>
            </w:r>
            <w:r>
              <w:t xml:space="preserve">expected outcome </w:t>
            </w:r>
            <w:r w:rsidRPr="005E5444">
              <w:t>is higher than the 2013</w:t>
            </w:r>
            <w:r>
              <w:noBreakHyphen/>
            </w:r>
            <w:r w:rsidRPr="005E5444">
              <w:t xml:space="preserve">14 </w:t>
            </w:r>
            <w:r>
              <w:t>target</w:t>
            </w:r>
            <w:r w:rsidRPr="005E5444">
              <w:t xml:space="preserve"> due to </w:t>
            </w:r>
            <w:r>
              <w:t>a greater emphasis on milestone delivery.</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Total output cost</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w:t>
            </w:r>
            <w:r>
              <w:rPr>
                <w:lang w:eastAsia="en-AU"/>
              </w:rPr>
              <w:t xml:space="preserve"> m</w:t>
            </w:r>
            <w:r w:rsidRPr="005E5444">
              <w:rPr>
                <w:lang w:eastAsia="en-AU"/>
              </w:rPr>
              <w:t>illion</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Pr>
                <w:lang w:eastAsia="en-AU"/>
              </w:rPr>
              <w:t>328.3</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010DB7">
              <w:t>This output is one of three that has been disaggregated from the discontinued Development of Primary Industries output to provide greater clarity of expendit</w:t>
            </w:r>
            <w:r>
              <w:t>ure against portfolio outcomes.</w:t>
            </w:r>
            <w:r w:rsidRPr="00010DB7">
              <w:t xml:space="preserve"> As such, there is no historical output cost data available for this output.</w:t>
            </w:r>
          </w:p>
        </w:tc>
      </w:tr>
      <w:tr w:rsidR="00A53D7D" w:rsidRPr="005E5444" w:rsidTr="005140B4">
        <w:trPr>
          <w:cantSplit/>
        </w:trPr>
        <w:tc>
          <w:tcPr>
            <w:tcW w:w="7776" w:type="dxa"/>
            <w:gridSpan w:val="6"/>
            <w:tcBorders>
              <w:top w:val="single" w:sz="6" w:space="0" w:color="auto"/>
              <w:left w:val="nil"/>
              <w:bottom w:val="nil"/>
              <w:right w:val="nil"/>
            </w:tcBorders>
            <w:shd w:val="clear" w:color="auto" w:fill="auto"/>
            <w:vAlign w:val="bottom"/>
            <w:hideMark/>
          </w:tcPr>
          <w:p w:rsidR="00A53D7D" w:rsidRPr="005E5444" w:rsidRDefault="00A53D7D" w:rsidP="005140B4">
            <w:pPr>
              <w:pStyle w:val="OGHeading2"/>
              <w:rPr>
                <w:lang w:eastAsia="en-AU"/>
              </w:rPr>
            </w:pPr>
            <w:r w:rsidRPr="005E5444">
              <w:rPr>
                <w:lang w:eastAsia="en-AU"/>
              </w:rPr>
              <w:t>Biosecurity</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Text"/>
              <w:rPr>
                <w:lang w:eastAsia="en-AU"/>
              </w:rPr>
            </w:pPr>
            <w:r w:rsidRPr="005E5444">
              <w:rPr>
                <w:lang w:eastAsia="en-AU"/>
              </w:rPr>
              <w:t>This output delivers services that enable Victoria's primary industries to maintain access to markets. Through this output</w:t>
            </w:r>
            <w:r>
              <w:rPr>
                <w:lang w:eastAsia="en-AU"/>
              </w:rPr>
              <w:t>,</w:t>
            </w:r>
            <w:r w:rsidRPr="005E5444">
              <w:rPr>
                <w:lang w:eastAsia="en-AU"/>
              </w:rPr>
              <w:t xml:space="preserve"> the Department also works to minimise the impact of emergencies caused by biosecurity threats such as animal and plant diseases. This work protects natural and built environments from invasive plants and animals, provides assurance of minimal and effective chemical </w:t>
            </w:r>
            <w:proofErr w:type="gramStart"/>
            <w:r w:rsidRPr="005E5444">
              <w:rPr>
                <w:lang w:eastAsia="en-AU"/>
              </w:rPr>
              <w:t>use</w:t>
            </w:r>
            <w:proofErr w:type="gramEnd"/>
            <w:r w:rsidRPr="005E5444">
              <w:rPr>
                <w:lang w:eastAsia="en-AU"/>
              </w:rPr>
              <w:t xml:space="preserve"> and safeguards the welfare of animals.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Animal pest, disease and residue control programs maintained to ensure Victorian agricultural produce complies with food safety and biosecurity standards required to access markets</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nil"/>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5</w:t>
            </w:r>
          </w:p>
        </w:tc>
        <w:tc>
          <w:tcPr>
            <w:tcW w:w="993"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5</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5</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5</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Compliance with relevant industry standards for animal welfare</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25</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25</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25</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28</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Compliance with relevant international and national quality assurance standards by meeting certification authorities required performance audits on biosecurity programs</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95</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B1453E">
              <w:rPr>
                <w:lang w:eastAsia="en-AU"/>
              </w:rPr>
              <w:t>Known state</w:t>
            </w:r>
            <w:r>
              <w:rPr>
                <w:lang w:eastAsia="en-AU"/>
              </w:rPr>
              <w:noBreakHyphen/>
            </w:r>
            <w:r w:rsidRPr="00B1453E">
              <w:rPr>
                <w:lang w:eastAsia="en-AU"/>
              </w:rPr>
              <w:t>prohibited weed sites monitored and treated in line with the relevant weed action plan</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90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98</w:t>
            </w:r>
          </w:p>
        </w:tc>
      </w:tr>
      <w:tr w:rsidR="00A53D7D" w:rsidRPr="005E5444" w:rsidTr="005140B4">
        <w:trPr>
          <w:cantSplit/>
        </w:trPr>
        <w:tc>
          <w:tcPr>
            <w:tcW w:w="3155" w:type="dxa"/>
            <w:tcBorders>
              <w:top w:val="single" w:sz="6" w:space="0" w:color="auto"/>
              <w:left w:val="nil"/>
              <w:right w:val="nil"/>
            </w:tcBorders>
            <w:shd w:val="clear" w:color="000000" w:fill="FFFFFF"/>
            <w:hideMark/>
          </w:tcPr>
          <w:p w:rsidR="00A53D7D" w:rsidRPr="005E5444" w:rsidRDefault="00A53D7D" w:rsidP="005140B4">
            <w:pPr>
              <w:pStyle w:val="OGTabText"/>
              <w:rPr>
                <w:lang w:eastAsia="en-AU"/>
              </w:rPr>
            </w:pPr>
            <w:r w:rsidRPr="005E5444">
              <w:rPr>
                <w:lang w:eastAsia="en-AU"/>
              </w:rPr>
              <w:t>Participation in agreed national biosecurity, agriculture/veterinary chemical use and animal welfare programs</w:t>
            </w:r>
          </w:p>
        </w:tc>
        <w:tc>
          <w:tcPr>
            <w:tcW w:w="907" w:type="dxa"/>
            <w:tcBorders>
              <w:top w:val="single" w:sz="6" w:space="0" w:color="auto"/>
              <w:left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&gt;</w:t>
            </w:r>
            <w:r>
              <w:rPr>
                <w:lang w:eastAsia="en-AU"/>
              </w:rPr>
              <w:t xml:space="preserve"> </w:t>
            </w:r>
            <w:r w:rsidRPr="005E5444">
              <w:rPr>
                <w:lang w:eastAsia="en-AU"/>
              </w:rPr>
              <w:t>95</w:t>
            </w:r>
          </w:p>
        </w:tc>
        <w:tc>
          <w:tcPr>
            <w:tcW w:w="993" w:type="dxa"/>
            <w:tcBorders>
              <w:top w:val="single" w:sz="6" w:space="0" w:color="auto"/>
              <w:left w:val="nil"/>
              <w:right w:val="nil"/>
            </w:tcBorders>
            <w:shd w:val="clear" w:color="000000" w:fill="FFFFFF"/>
            <w:hideMark/>
          </w:tcPr>
          <w:p w:rsidR="00A53D7D" w:rsidRPr="005E5444" w:rsidRDefault="00A53D7D" w:rsidP="005140B4">
            <w:pPr>
              <w:pStyle w:val="OGTableofFigures"/>
              <w:rPr>
                <w:lang w:eastAsia="en-AU"/>
              </w:rPr>
            </w:pPr>
            <w:r w:rsidRPr="00133621">
              <w:rPr>
                <w:lang w:eastAsia="en-AU"/>
              </w:rPr>
              <w:t>&gt;95</w:t>
            </w:r>
          </w:p>
        </w:tc>
        <w:tc>
          <w:tcPr>
            <w:tcW w:w="907" w:type="dxa"/>
            <w:tcBorders>
              <w:top w:val="single" w:sz="6" w:space="0" w:color="auto"/>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&gt;95</w:t>
            </w:r>
          </w:p>
        </w:tc>
        <w:tc>
          <w:tcPr>
            <w:tcW w:w="907" w:type="dxa"/>
            <w:tcBorders>
              <w:top w:val="single" w:sz="6" w:space="0" w:color="auto"/>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Plant pest, disease and residue control programs maintained to ensure Victorian agricultural produce complies with food safety and biosecurity standards required to access markets</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6</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Properties inspected for invasive plant and animal priority species</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3</w:t>
            </w:r>
            <w:r>
              <w:rPr>
                <w:lang w:eastAsia="en-AU"/>
              </w:rPr>
              <w:t> </w:t>
            </w:r>
            <w:r w:rsidRPr="005E5444">
              <w:rPr>
                <w:lang w:eastAsia="en-AU"/>
              </w:rPr>
              <w:t>800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3</w:t>
            </w:r>
            <w:r>
              <w:rPr>
                <w:lang w:eastAsia="en-AU"/>
              </w:rPr>
              <w:t> </w:t>
            </w:r>
            <w:r w:rsidRPr="005E5444">
              <w:rPr>
                <w:lang w:eastAsia="en-AU"/>
              </w:rPr>
              <w:t>800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3</w:t>
            </w:r>
            <w:r>
              <w:rPr>
                <w:lang w:eastAsia="en-AU"/>
              </w:rPr>
              <w:t> </w:t>
            </w:r>
            <w:r w:rsidRPr="005E5444">
              <w:rPr>
                <w:lang w:eastAsia="en-AU"/>
              </w:rPr>
              <w:t>800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4</w:t>
            </w:r>
            <w:r>
              <w:rPr>
                <w:lang w:eastAsia="en-AU"/>
              </w:rPr>
              <w:t> </w:t>
            </w:r>
            <w:r w:rsidRPr="005E5444">
              <w:rPr>
                <w:lang w:eastAsia="en-AU"/>
              </w:rPr>
              <w:t>989</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E646BF">
            <w:pPr>
              <w:pStyle w:val="OGTabText"/>
              <w:keepNext/>
              <w:rPr>
                <w:i/>
                <w:iCs/>
                <w:lang w:eastAsia="en-AU"/>
              </w:rPr>
            </w:pPr>
            <w:r w:rsidRPr="005E5444">
              <w:rPr>
                <w:i/>
                <w:iCs/>
                <w:lang w:eastAsia="en-AU"/>
              </w:rPr>
              <w:t>Timeliness</w:t>
            </w:r>
          </w:p>
        </w:tc>
        <w:tc>
          <w:tcPr>
            <w:tcW w:w="907" w:type="dxa"/>
            <w:tcBorders>
              <w:top w:val="single" w:sz="6" w:space="0" w:color="auto"/>
              <w:left w:val="nil"/>
              <w:right w:val="nil"/>
            </w:tcBorders>
            <w:shd w:val="clear" w:color="auto" w:fill="auto"/>
            <w:vAlign w:val="bottom"/>
            <w:hideMark/>
          </w:tcPr>
          <w:p w:rsidR="00A53D7D" w:rsidRPr="005E5444" w:rsidRDefault="00A53D7D" w:rsidP="00E646BF">
            <w:pPr>
              <w:pStyle w:val="OGUoM"/>
              <w:keepNext/>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E646BF">
            <w:pPr>
              <w:pStyle w:val="OGTableofFigures"/>
              <w:keepNext/>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E646BF">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E646BF">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E646BF">
            <w:pPr>
              <w:pStyle w:val="OGTableofFigures"/>
              <w:keepNext/>
              <w:rPr>
                <w:lang w:eastAsia="en-AU"/>
              </w:rPr>
            </w:pPr>
          </w:p>
        </w:tc>
      </w:tr>
      <w:tr w:rsidR="00A53D7D" w:rsidRPr="008C4446" w:rsidTr="005140B4">
        <w:trPr>
          <w:cantSplit/>
        </w:trPr>
        <w:tc>
          <w:tcPr>
            <w:tcW w:w="3155" w:type="dxa"/>
            <w:tcBorders>
              <w:top w:val="nil"/>
              <w:left w:val="nil"/>
              <w:bottom w:val="single" w:sz="4" w:space="0" w:color="auto"/>
              <w:right w:val="nil"/>
            </w:tcBorders>
            <w:shd w:val="clear" w:color="000000" w:fill="FFFFFF"/>
            <w:hideMark/>
          </w:tcPr>
          <w:p w:rsidR="00A53D7D" w:rsidRPr="005E5444" w:rsidRDefault="00A53D7D" w:rsidP="00E646BF">
            <w:pPr>
              <w:pStyle w:val="OGTabText"/>
              <w:keepNext/>
              <w:rPr>
                <w:lang w:eastAsia="en-AU"/>
              </w:rPr>
            </w:pPr>
            <w:r w:rsidRPr="005E5444">
              <w:rPr>
                <w:lang w:eastAsia="en-AU"/>
              </w:rPr>
              <w:t>Response time to emergency animal pest, disease, residue and disaster incidents</w:t>
            </w:r>
          </w:p>
        </w:tc>
        <w:tc>
          <w:tcPr>
            <w:tcW w:w="907" w:type="dxa"/>
            <w:tcBorders>
              <w:top w:val="nil"/>
              <w:left w:val="nil"/>
              <w:bottom w:val="single" w:sz="4" w:space="0" w:color="auto"/>
              <w:right w:val="nil"/>
            </w:tcBorders>
            <w:shd w:val="clear" w:color="000000" w:fill="FFFFFF"/>
            <w:hideMark/>
          </w:tcPr>
          <w:p w:rsidR="00A53D7D" w:rsidRPr="005E5444" w:rsidRDefault="00A53D7D" w:rsidP="00E646BF">
            <w:pPr>
              <w:pStyle w:val="OGUoM"/>
              <w:keepNext/>
              <w:rPr>
                <w:lang w:eastAsia="en-AU"/>
              </w:rPr>
            </w:pPr>
            <w:r>
              <w:rPr>
                <w:lang w:eastAsia="en-AU"/>
              </w:rPr>
              <w:t>h</w:t>
            </w:r>
            <w:r w:rsidRPr="005E5444">
              <w:rPr>
                <w:lang w:eastAsia="en-AU"/>
              </w:rPr>
              <w:t>ours</w:t>
            </w:r>
          </w:p>
        </w:tc>
        <w:tc>
          <w:tcPr>
            <w:tcW w:w="907" w:type="dxa"/>
            <w:tcBorders>
              <w:top w:val="nil"/>
              <w:left w:val="nil"/>
              <w:bottom w:val="single" w:sz="4" w:space="0" w:color="auto"/>
              <w:right w:val="nil"/>
            </w:tcBorders>
            <w:shd w:val="clear" w:color="auto" w:fill="D9D9D9"/>
            <w:hideMark/>
          </w:tcPr>
          <w:p w:rsidR="00A53D7D" w:rsidRPr="005E5444" w:rsidRDefault="00A53D7D" w:rsidP="00E646BF">
            <w:pPr>
              <w:pStyle w:val="OGTableofFigures"/>
              <w:keepNext/>
              <w:rPr>
                <w:lang w:eastAsia="en-AU"/>
              </w:rPr>
            </w:pPr>
            <w:r w:rsidRPr="005E5444">
              <w:rPr>
                <w:lang w:eastAsia="en-AU"/>
              </w:rPr>
              <w:t>&lt;</w:t>
            </w:r>
            <w:r>
              <w:rPr>
                <w:lang w:eastAsia="en-AU"/>
              </w:rPr>
              <w:t xml:space="preserve"> </w:t>
            </w:r>
            <w:r w:rsidRPr="005E5444">
              <w:rPr>
                <w:lang w:eastAsia="en-AU"/>
              </w:rPr>
              <w:t>24</w:t>
            </w:r>
          </w:p>
        </w:tc>
        <w:tc>
          <w:tcPr>
            <w:tcW w:w="993" w:type="dxa"/>
            <w:tcBorders>
              <w:top w:val="nil"/>
              <w:left w:val="nil"/>
              <w:bottom w:val="single" w:sz="4" w:space="0" w:color="auto"/>
              <w:right w:val="nil"/>
            </w:tcBorders>
            <w:shd w:val="clear" w:color="000000" w:fill="FFFFFF"/>
            <w:hideMark/>
          </w:tcPr>
          <w:p w:rsidR="00A53D7D" w:rsidRPr="005E5444" w:rsidRDefault="00A53D7D" w:rsidP="00E646BF">
            <w:pPr>
              <w:pStyle w:val="OGTableofFigures"/>
              <w:keepNext/>
              <w:rPr>
                <w:lang w:eastAsia="en-AU"/>
              </w:rPr>
            </w:pPr>
            <w:r w:rsidRPr="008C4446">
              <w:rPr>
                <w:lang w:eastAsia="en-AU"/>
              </w:rPr>
              <w:t>&lt;</w:t>
            </w:r>
            <w:r>
              <w:rPr>
                <w:lang w:eastAsia="en-AU"/>
              </w:rPr>
              <w:t xml:space="preserve"> </w:t>
            </w:r>
            <w:r w:rsidRPr="008C4446">
              <w:rPr>
                <w:lang w:eastAsia="en-AU"/>
              </w:rPr>
              <w:t>24</w:t>
            </w:r>
          </w:p>
        </w:tc>
        <w:tc>
          <w:tcPr>
            <w:tcW w:w="907" w:type="dxa"/>
            <w:tcBorders>
              <w:top w:val="nil"/>
              <w:left w:val="nil"/>
              <w:bottom w:val="single" w:sz="4" w:space="0" w:color="auto"/>
              <w:right w:val="nil"/>
            </w:tcBorders>
            <w:shd w:val="clear" w:color="000000" w:fill="FFFFFF"/>
            <w:hideMark/>
          </w:tcPr>
          <w:p w:rsidR="00A53D7D" w:rsidRPr="005E5444" w:rsidRDefault="00A53D7D" w:rsidP="00E646BF">
            <w:pPr>
              <w:pStyle w:val="OGTableofFigures"/>
              <w:keepNext/>
              <w:rPr>
                <w:lang w:eastAsia="en-AU"/>
              </w:rPr>
            </w:pPr>
            <w:r w:rsidRPr="005E5444">
              <w:rPr>
                <w:lang w:eastAsia="en-AU"/>
              </w:rPr>
              <w:t>&lt;</w:t>
            </w:r>
            <w:r>
              <w:rPr>
                <w:lang w:eastAsia="en-AU"/>
              </w:rPr>
              <w:t xml:space="preserve"> </w:t>
            </w:r>
            <w:r w:rsidRPr="005E5444">
              <w:rPr>
                <w:lang w:eastAsia="en-AU"/>
              </w:rPr>
              <w:t>24</w:t>
            </w:r>
          </w:p>
        </w:tc>
        <w:tc>
          <w:tcPr>
            <w:tcW w:w="907" w:type="dxa"/>
            <w:tcBorders>
              <w:top w:val="nil"/>
              <w:left w:val="nil"/>
              <w:bottom w:val="single" w:sz="4" w:space="0" w:color="auto"/>
              <w:right w:val="nil"/>
            </w:tcBorders>
            <w:shd w:val="clear" w:color="000000" w:fill="FFFFFF"/>
            <w:hideMark/>
          </w:tcPr>
          <w:p w:rsidR="00A53D7D" w:rsidRPr="008C4446" w:rsidRDefault="00A53D7D" w:rsidP="00E646BF">
            <w:pPr>
              <w:pStyle w:val="OGTableofFigures"/>
              <w:keepNext/>
              <w:rPr>
                <w:lang w:eastAsia="en-AU"/>
              </w:rPr>
            </w:pPr>
            <w:r w:rsidRPr="008C4446">
              <w:rPr>
                <w:lang w:eastAsia="en-AU"/>
              </w:rPr>
              <w:t>&lt;</w:t>
            </w:r>
            <w:r>
              <w:rPr>
                <w:lang w:eastAsia="en-AU"/>
              </w:rPr>
              <w:t xml:space="preserve"> </w:t>
            </w:r>
            <w:r w:rsidRPr="008C4446">
              <w:rPr>
                <w:lang w:eastAsia="en-AU"/>
              </w:rPr>
              <w:t>24</w:t>
            </w:r>
          </w:p>
        </w:tc>
      </w:tr>
      <w:tr w:rsidR="00A53D7D" w:rsidRPr="005E5444" w:rsidTr="005140B4">
        <w:trPr>
          <w:cantSplit/>
        </w:trPr>
        <w:tc>
          <w:tcPr>
            <w:tcW w:w="3155" w:type="dxa"/>
            <w:tcBorders>
              <w:top w:val="single" w:sz="4" w:space="0" w:color="auto"/>
              <w:left w:val="nil"/>
              <w:right w:val="nil"/>
            </w:tcBorders>
            <w:shd w:val="clear" w:color="000000" w:fill="FFFFFF"/>
            <w:hideMark/>
          </w:tcPr>
          <w:p w:rsidR="00A53D7D" w:rsidRPr="005E5444" w:rsidRDefault="00A53D7D" w:rsidP="005140B4">
            <w:pPr>
              <w:pStyle w:val="OGTabText"/>
              <w:rPr>
                <w:lang w:eastAsia="en-AU"/>
              </w:rPr>
            </w:pPr>
            <w:r w:rsidRPr="005E5444">
              <w:rPr>
                <w:lang w:eastAsia="en-AU"/>
              </w:rPr>
              <w:t>Response time to emergency plant pest, disease, residue and disaster incidents</w:t>
            </w:r>
          </w:p>
        </w:tc>
        <w:tc>
          <w:tcPr>
            <w:tcW w:w="907" w:type="dxa"/>
            <w:tcBorders>
              <w:top w:val="single" w:sz="4" w:space="0" w:color="auto"/>
              <w:left w:val="nil"/>
              <w:right w:val="nil"/>
            </w:tcBorders>
            <w:shd w:val="clear" w:color="000000" w:fill="FFFFFF"/>
            <w:hideMark/>
          </w:tcPr>
          <w:p w:rsidR="00A53D7D" w:rsidRPr="005E5444" w:rsidRDefault="00A53D7D" w:rsidP="005140B4">
            <w:pPr>
              <w:pStyle w:val="OGUoM"/>
              <w:rPr>
                <w:lang w:eastAsia="en-AU"/>
              </w:rPr>
            </w:pPr>
            <w:r>
              <w:rPr>
                <w:lang w:eastAsia="en-AU"/>
              </w:rPr>
              <w:t>h</w:t>
            </w:r>
            <w:r w:rsidRPr="005E5444">
              <w:rPr>
                <w:lang w:eastAsia="en-AU"/>
              </w:rPr>
              <w:t>ours</w:t>
            </w:r>
          </w:p>
        </w:tc>
        <w:tc>
          <w:tcPr>
            <w:tcW w:w="907" w:type="dxa"/>
            <w:tcBorders>
              <w:top w:val="single" w:sz="4" w:space="0" w:color="auto"/>
              <w:left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&lt;</w:t>
            </w:r>
            <w:r>
              <w:rPr>
                <w:lang w:eastAsia="en-AU"/>
              </w:rPr>
              <w:t xml:space="preserve"> </w:t>
            </w:r>
            <w:r w:rsidRPr="005E5444">
              <w:rPr>
                <w:lang w:eastAsia="en-AU"/>
              </w:rPr>
              <w:t>24</w:t>
            </w:r>
          </w:p>
        </w:tc>
        <w:tc>
          <w:tcPr>
            <w:tcW w:w="993" w:type="dxa"/>
            <w:tcBorders>
              <w:top w:val="single" w:sz="4" w:space="0" w:color="auto"/>
              <w:left w:val="nil"/>
              <w:right w:val="nil"/>
            </w:tcBorders>
            <w:shd w:val="clear" w:color="000000" w:fill="FFFFFF"/>
            <w:hideMark/>
          </w:tcPr>
          <w:p w:rsidR="00A53D7D" w:rsidRPr="005E5444" w:rsidRDefault="00A53D7D" w:rsidP="005140B4">
            <w:pPr>
              <w:pStyle w:val="OGTableofFigures"/>
              <w:rPr>
                <w:lang w:eastAsia="en-AU"/>
              </w:rPr>
            </w:pPr>
            <w:r w:rsidRPr="00133621">
              <w:rPr>
                <w:lang w:eastAsia="en-AU"/>
              </w:rPr>
              <w:t>&lt;</w:t>
            </w:r>
            <w:r>
              <w:rPr>
                <w:lang w:eastAsia="en-AU"/>
              </w:rPr>
              <w:t xml:space="preserve"> </w:t>
            </w:r>
            <w:r w:rsidRPr="00133621">
              <w:rPr>
                <w:lang w:eastAsia="en-AU"/>
              </w:rPr>
              <w:t>24</w:t>
            </w:r>
          </w:p>
        </w:tc>
        <w:tc>
          <w:tcPr>
            <w:tcW w:w="907" w:type="dxa"/>
            <w:tcBorders>
              <w:top w:val="single" w:sz="4" w:space="0" w:color="auto"/>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&lt;</w:t>
            </w:r>
            <w:r>
              <w:rPr>
                <w:lang w:eastAsia="en-AU"/>
              </w:rPr>
              <w:t xml:space="preserve"> </w:t>
            </w:r>
            <w:r w:rsidRPr="005E5444">
              <w:rPr>
                <w:lang w:eastAsia="en-AU"/>
              </w:rPr>
              <w:t>24</w:t>
            </w:r>
          </w:p>
        </w:tc>
        <w:tc>
          <w:tcPr>
            <w:tcW w:w="907" w:type="dxa"/>
            <w:tcBorders>
              <w:top w:val="single" w:sz="4" w:space="0" w:color="auto"/>
              <w:left w:val="nil"/>
              <w:right w:val="nil"/>
            </w:tcBorders>
            <w:shd w:val="clear" w:color="000000" w:fill="FFFFFF"/>
            <w:hideMark/>
          </w:tcPr>
          <w:p w:rsidR="00A53D7D" w:rsidRPr="005E5444" w:rsidRDefault="00A53D7D" w:rsidP="005140B4">
            <w:pPr>
              <w:pStyle w:val="OGTableofFigures"/>
              <w:rPr>
                <w:lang w:eastAsia="en-AU"/>
              </w:rPr>
            </w:pPr>
            <w:r w:rsidRPr="00133621">
              <w:rPr>
                <w:lang w:eastAsia="en-AU"/>
              </w:rPr>
              <w:t>&lt;</w:t>
            </w:r>
            <w:r>
              <w:rPr>
                <w:lang w:eastAsia="en-AU"/>
              </w:rPr>
              <w:t xml:space="preserve"> </w:t>
            </w:r>
            <w:r w:rsidRPr="00133621">
              <w:rPr>
                <w:lang w:eastAsia="en-AU"/>
              </w:rPr>
              <w:t>24</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right w:val="nil"/>
            </w:tcBorders>
            <w:shd w:val="clear" w:color="000000" w:fill="FFFFFF"/>
            <w:hideMark/>
          </w:tcPr>
          <w:p w:rsidR="00A53D7D" w:rsidRPr="005E5444" w:rsidRDefault="00A53D7D" w:rsidP="005140B4">
            <w:pPr>
              <w:pStyle w:val="OGTabText"/>
              <w:rPr>
                <w:lang w:eastAsia="en-AU"/>
              </w:rPr>
            </w:pPr>
            <w:r w:rsidRPr="005E5444">
              <w:rPr>
                <w:lang w:eastAsia="en-AU"/>
              </w:rPr>
              <w:t>Total output cost</w:t>
            </w:r>
          </w:p>
        </w:tc>
        <w:tc>
          <w:tcPr>
            <w:tcW w:w="907" w:type="dxa"/>
            <w:tcBorders>
              <w:top w:val="nil"/>
              <w:left w:val="nil"/>
              <w:right w:val="nil"/>
            </w:tcBorders>
            <w:shd w:val="clear" w:color="000000" w:fill="FFFFFF"/>
            <w:hideMark/>
          </w:tcPr>
          <w:p w:rsidR="00A53D7D" w:rsidRPr="005E5444" w:rsidRDefault="00A53D7D" w:rsidP="005140B4">
            <w:pPr>
              <w:pStyle w:val="OGUoM"/>
              <w:rPr>
                <w:lang w:eastAsia="en-AU"/>
              </w:rPr>
            </w:pPr>
            <w:r w:rsidRPr="005E5444">
              <w:rPr>
                <w:lang w:eastAsia="en-AU"/>
              </w:rPr>
              <w:t>$</w:t>
            </w:r>
            <w:r>
              <w:rPr>
                <w:lang w:eastAsia="en-AU"/>
              </w:rPr>
              <w:t> m</w:t>
            </w:r>
            <w:r w:rsidRPr="005E5444">
              <w:rPr>
                <w:lang w:eastAsia="en-AU"/>
              </w:rPr>
              <w:t>illion</w:t>
            </w:r>
          </w:p>
        </w:tc>
        <w:tc>
          <w:tcPr>
            <w:tcW w:w="907" w:type="dxa"/>
            <w:tcBorders>
              <w:top w:val="nil"/>
              <w:left w:val="nil"/>
              <w:right w:val="nil"/>
            </w:tcBorders>
            <w:shd w:val="clear" w:color="auto" w:fill="D9D9D9"/>
            <w:hideMark/>
          </w:tcPr>
          <w:p w:rsidR="00A53D7D" w:rsidRPr="005E5444" w:rsidRDefault="00A53D7D" w:rsidP="005140B4">
            <w:pPr>
              <w:pStyle w:val="OGTableofFigures"/>
              <w:rPr>
                <w:lang w:eastAsia="en-AU"/>
              </w:rPr>
            </w:pPr>
            <w:r>
              <w:rPr>
                <w:lang w:eastAsia="en-AU"/>
              </w:rPr>
              <w:t>80.1</w:t>
            </w:r>
          </w:p>
        </w:tc>
        <w:tc>
          <w:tcPr>
            <w:tcW w:w="993" w:type="dxa"/>
            <w:tcBorders>
              <w:top w:val="nil"/>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12" w:space="0" w:color="auto"/>
              <w:right w:val="nil"/>
            </w:tcBorders>
            <w:shd w:val="clear" w:color="auto" w:fill="auto"/>
            <w:vAlign w:val="bottom"/>
            <w:hideMark/>
          </w:tcPr>
          <w:p w:rsidR="00A53D7D" w:rsidRPr="005E5444" w:rsidRDefault="00A53D7D" w:rsidP="005140B4">
            <w:pPr>
              <w:pStyle w:val="OGNotes"/>
            </w:pPr>
            <w:r w:rsidRPr="00010DB7">
              <w:t>This output is one of three that has been disaggregated from the discontinued Development of Primary Industries output to provide greater clarity of expendit</w:t>
            </w:r>
            <w:r>
              <w:t>ure against portfolio outcomes.</w:t>
            </w:r>
            <w:r w:rsidRPr="00010DB7">
              <w:t xml:space="preserve"> As such, there is no historical output cost data available for this output.</w:t>
            </w:r>
          </w:p>
        </w:tc>
      </w:tr>
    </w:tbl>
    <w:p w:rsidR="00A53D7D" w:rsidRDefault="00A53D7D" w:rsidP="005140B4">
      <w:pPr>
        <w:pStyle w:val="Source"/>
        <w:rPr>
          <w:lang w:eastAsia="en-AU"/>
        </w:rPr>
      </w:pPr>
      <w:r>
        <w:rPr>
          <w:lang w:eastAsia="en-AU"/>
        </w:rPr>
        <w:t>Source: Department of Environment and Primary Industries</w:t>
      </w:r>
      <w:r>
        <w:rPr>
          <w:lang w:eastAsia="en-AU"/>
        </w:rPr>
        <w:fldChar w:fldCharType="begin"/>
      </w:r>
      <w:r>
        <w:instrText xml:space="preserve"> XE "</w:instrText>
      </w:r>
      <w:r w:rsidRPr="00D023D2">
        <w:instrText>Department of Environment and Primary Industries:Create productive and competitive agricultural industries</w:instrText>
      </w:r>
      <w:r>
        <w:instrText xml:space="preserve">" \r "DEPICreate" </w:instrText>
      </w:r>
      <w:r>
        <w:rPr>
          <w:lang w:eastAsia="en-AU"/>
        </w:rPr>
        <w:fldChar w:fldCharType="end"/>
      </w:r>
      <w:r>
        <w:rPr>
          <w:lang w:eastAsia="en-AU"/>
        </w:rPr>
        <w:fldChar w:fldCharType="begin"/>
      </w:r>
      <w:r>
        <w:instrText xml:space="preserve"> XE "</w:instrText>
      </w:r>
      <w:r w:rsidRPr="00CC0C5F">
        <w:instrText>Create productive and competitive agricultural industries</w:instrText>
      </w:r>
      <w:r>
        <w:instrText xml:space="preserve">" \r "DEPICreate" </w:instrText>
      </w:r>
      <w:r>
        <w:rPr>
          <w:lang w:eastAsia="en-AU"/>
        </w:rPr>
        <w:fldChar w:fldCharType="end"/>
      </w:r>
    </w:p>
    <w:bookmarkEnd w:id="79"/>
    <w:p w:rsidR="00A53D7D" w:rsidRDefault="00A53D7D" w:rsidP="005140B4">
      <w:pPr>
        <w:rPr>
          <w:lang w:eastAsia="en-AU"/>
        </w:rPr>
      </w:pPr>
      <w:r>
        <w:rPr>
          <w:lang w:eastAsia="en-AU"/>
        </w:rPr>
        <w:br w:type="page"/>
      </w:r>
    </w:p>
    <w:p w:rsidR="00A53D7D" w:rsidRPr="005E5444" w:rsidRDefault="00A53D7D" w:rsidP="005140B4">
      <w:pPr>
        <w:pStyle w:val="OGHeading1"/>
        <w:rPr>
          <w:lang w:eastAsia="en-AU"/>
        </w:rPr>
      </w:pPr>
      <w:bookmarkStart w:id="80" w:name="DEPIEffective"/>
      <w:r>
        <w:rPr>
          <w:lang w:eastAsia="en-AU"/>
        </w:rPr>
        <w:t>Effective environmental and adaptation policy, investment and r</w:t>
      </w:r>
      <w:r w:rsidRPr="005E5444">
        <w:rPr>
          <w:lang w:eastAsia="en-AU"/>
        </w:rPr>
        <w:t>egulations</w:t>
      </w:r>
    </w:p>
    <w:p w:rsidR="00A53D7D" w:rsidRDefault="00A53D7D" w:rsidP="005140B4">
      <w:pPr>
        <w:pStyle w:val="OGText"/>
        <w:rPr>
          <w:lang w:eastAsia="en-AU"/>
        </w:rPr>
      </w:pPr>
      <w:r w:rsidRPr="005E5444">
        <w:rPr>
          <w:lang w:eastAsia="en-AU"/>
        </w:rPr>
        <w:t xml:space="preserve">This objective delivers support for local communities and </w:t>
      </w:r>
      <w:proofErr w:type="gramStart"/>
      <w:r w:rsidRPr="005E5444">
        <w:rPr>
          <w:lang w:eastAsia="en-AU"/>
        </w:rPr>
        <w:t>landholders engaged in environmental works, improves</w:t>
      </w:r>
      <w:proofErr w:type="gramEnd"/>
      <w:r w:rsidRPr="005E5444">
        <w:rPr>
          <w:lang w:eastAsia="en-AU"/>
        </w:rPr>
        <w:t xml:space="preserve"> the transparency and delivery of environmental regulation, provides effective governance and investment in environmental programs and provides effective policy for environmental ou</w:t>
      </w:r>
      <w:r>
        <w:rPr>
          <w:lang w:eastAsia="en-AU"/>
        </w:rPr>
        <w:t>tcomes and resource efficiency.</w:t>
      </w:r>
    </w:p>
    <w:p w:rsidR="00A53D7D" w:rsidRPr="005E5444" w:rsidRDefault="00A53D7D" w:rsidP="005140B4">
      <w:pPr>
        <w:pStyle w:val="OGText"/>
        <w:rPr>
          <w:lang w:eastAsia="en-AU"/>
        </w:rPr>
      </w:pPr>
      <w:r w:rsidRPr="005E5444">
        <w:rPr>
          <w:lang w:eastAsia="en-AU"/>
        </w:rPr>
        <w:t>The Department leads the development and implementation of strategic regulation and investment in environmental and natural resource programs, working with partners and local communities to deliver outcomes across Victoria. The Department also plays a key role in the development and implementation of regulatory frameworks established at the national level and ensures that Victorian frameworks align with these where appropriate.</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5140B4">
        <w:trPr>
          <w:cantSplit/>
        </w:trPr>
        <w:tc>
          <w:tcPr>
            <w:tcW w:w="7776" w:type="dxa"/>
            <w:gridSpan w:val="6"/>
            <w:tcBorders>
              <w:top w:val="nil"/>
              <w:left w:val="nil"/>
              <w:bottom w:val="nil"/>
              <w:right w:val="nil"/>
            </w:tcBorders>
            <w:shd w:val="clear" w:color="auto" w:fill="auto"/>
            <w:vAlign w:val="bottom"/>
            <w:hideMark/>
          </w:tcPr>
          <w:p w:rsidR="00A53D7D" w:rsidRPr="005E5444" w:rsidRDefault="00A53D7D" w:rsidP="005140B4">
            <w:pPr>
              <w:pStyle w:val="OGHeading2"/>
              <w:rPr>
                <w:lang w:eastAsia="en-AU"/>
              </w:rPr>
            </w:pPr>
            <w:r w:rsidRPr="005E5444">
              <w:rPr>
                <w:lang w:eastAsia="en-AU"/>
              </w:rPr>
              <w:t>Environmental Policy</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5E5444">
              <w:rPr>
                <w:lang w:eastAsia="en-AU"/>
              </w:rPr>
              <w:t>This output leads the development and implementation of strategic, whole</w:t>
            </w:r>
            <w:r>
              <w:rPr>
                <w:lang w:eastAsia="en-AU"/>
              </w:rPr>
              <w:t xml:space="preserve"> </w:t>
            </w:r>
            <w:r w:rsidRPr="005E5444">
              <w:rPr>
                <w:lang w:eastAsia="en-AU"/>
              </w:rPr>
              <w:t>of</w:t>
            </w:r>
            <w:r>
              <w:rPr>
                <w:lang w:eastAsia="en-AU"/>
              </w:rPr>
              <w:t xml:space="preserve"> </w:t>
            </w:r>
            <w:r w:rsidRPr="005E5444">
              <w:rPr>
                <w:lang w:eastAsia="en-AU"/>
              </w:rPr>
              <w:t>government environmental and adaptation policy. It provides responsive policy advice and direction to give effect to government priorities on waste, resource recovery and efficiency, ecosystem sustainability, adaptation and</w:t>
            </w:r>
            <w:r>
              <w:rPr>
                <w:lang w:eastAsia="en-AU"/>
              </w:rPr>
              <w:t xml:space="preserve"> carbon management.</w:t>
            </w:r>
          </w:p>
          <w:p w:rsidR="00A53D7D" w:rsidRPr="005E5444" w:rsidRDefault="00A53D7D" w:rsidP="005140B4">
            <w:pPr>
              <w:pStyle w:val="OGText"/>
              <w:rPr>
                <w:lang w:eastAsia="en-AU"/>
              </w:rPr>
            </w:pPr>
            <w:r w:rsidRPr="005E5444">
              <w:rPr>
                <w:lang w:eastAsia="en-AU"/>
              </w:rPr>
              <w:t>Through this output</w:t>
            </w:r>
            <w:r>
              <w:rPr>
                <w:lang w:eastAsia="en-AU"/>
              </w:rPr>
              <w:t>,</w:t>
            </w:r>
            <w:r w:rsidRPr="005E5444">
              <w:rPr>
                <w:lang w:eastAsia="en-AU"/>
              </w:rPr>
              <w:t xml:space="preserve"> the Department leads the modernisation of legislative, regulatory and governance arrangements in the environment portfolio and uses economic, research and scientific expertise to develop policy responses to harness Victoria's current and emerging sustainability opportunities.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Number of Victorian Adaptation Sustainability Partnership grant project evaluations and acquittals completed</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19</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20</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20</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20</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5444">
              <w:t>This performance measure renames the 2013</w:t>
            </w:r>
            <w:r>
              <w:noBreakHyphen/>
            </w:r>
            <w:r w:rsidRPr="005E5444">
              <w:t>14 performance measure 'Number of Victorian Local Sustainability Accord grant project evaluations and acquittals completed'. The measure reports on the same activity as the previo</w:t>
            </w:r>
            <w:r>
              <w:t>us measure and has been amended</w:t>
            </w:r>
            <w:r w:rsidRPr="005E5444">
              <w:t xml:space="preserve"> to reflect the revised name of the program title</w:t>
            </w:r>
            <w:r>
              <w:t>.</w:t>
            </w:r>
          </w:p>
          <w:p w:rsidR="00A53D7D" w:rsidRPr="005E5444" w:rsidRDefault="00A53D7D" w:rsidP="005140B4">
            <w:pPr>
              <w:pStyle w:val="OGNotes"/>
            </w:pPr>
            <w:r w:rsidRPr="005E5444">
              <w:t>The 2014</w:t>
            </w:r>
            <w:r>
              <w:noBreakHyphen/>
            </w:r>
            <w:r w:rsidRPr="005E5444">
              <w:t xml:space="preserve">15 </w:t>
            </w:r>
            <w:r>
              <w:t>target</w:t>
            </w:r>
            <w:r w:rsidRPr="005E5444">
              <w:t xml:space="preserve"> is lower than the 2013</w:t>
            </w:r>
            <w:r>
              <w:noBreakHyphen/>
              <w:t>14 target due to</w:t>
            </w:r>
            <w:r w:rsidRPr="005E5444">
              <w:t xml:space="preserve"> the majority of projects under the Victorian Adaptati</w:t>
            </w:r>
            <w:r>
              <w:t>on Sustainability Partnership b</w:t>
            </w:r>
            <w:r w:rsidRPr="005E5444">
              <w:t>e</w:t>
            </w:r>
            <w:r>
              <w:t>ing</w:t>
            </w:r>
            <w:r w:rsidRPr="005E5444">
              <w:t xml:space="preserve"> due for </w:t>
            </w:r>
            <w:r w:rsidRPr="008C4446">
              <w:t>completion in</w:t>
            </w:r>
            <w:r>
              <w:t xml:space="preserve"> the second half of</w:t>
            </w:r>
            <w:r w:rsidRPr="008C4446">
              <w:t xml:space="preserve"> 2015,</w:t>
            </w:r>
            <w:r w:rsidRPr="005E5444">
              <w:t xml:space="preserve"> therefore reducing the number of acquittals required.</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 xml:space="preserve">Percentage of Victorian Schools accredited in the </w:t>
            </w:r>
            <w:proofErr w:type="spellStart"/>
            <w:r w:rsidRPr="005E5444">
              <w:rPr>
                <w:lang w:eastAsia="en-AU"/>
              </w:rPr>
              <w:t>ResourceSmart</w:t>
            </w:r>
            <w:proofErr w:type="spellEnd"/>
            <w:r w:rsidRPr="005E5444">
              <w:rPr>
                <w:lang w:eastAsia="en-AU"/>
              </w:rPr>
              <w:t xml:space="preserve"> Schools program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46</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40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38</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35</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higher 2013</w:t>
            </w:r>
            <w:r>
              <w:noBreakHyphen/>
            </w:r>
            <w:r w:rsidRPr="005E5444">
              <w:t xml:space="preserve">14 </w:t>
            </w:r>
            <w:r>
              <w:t xml:space="preserve">expected outcome </w:t>
            </w:r>
            <w:r w:rsidRPr="005E5444">
              <w:t>and 2014</w:t>
            </w:r>
            <w:r>
              <w:noBreakHyphen/>
              <w:t>15 target are</w:t>
            </w:r>
            <w:r w:rsidRPr="005E5444">
              <w:t xml:space="preserve"> due to the success of the </w:t>
            </w:r>
            <w:proofErr w:type="spellStart"/>
            <w:r w:rsidRPr="005E5444">
              <w:t>ResourceSmart</w:t>
            </w:r>
            <w:proofErr w:type="spellEnd"/>
            <w:r w:rsidRPr="005E5444">
              <w:t xml:space="preserve"> Schools program and a higher rate of take up of the program.</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Completion of annual reporting and board appointment processes in accordance with legislation</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nil"/>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100</w:t>
            </w:r>
          </w:p>
        </w:tc>
        <w:tc>
          <w:tcPr>
            <w:tcW w:w="993"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Departmental stakeholder satisfaction with completed policy projects</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100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95</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higher 2013</w:t>
            </w:r>
            <w:r>
              <w:noBreakHyphen/>
            </w:r>
            <w:r w:rsidRPr="005E5444">
              <w:t xml:space="preserve">14 </w:t>
            </w:r>
            <w:r>
              <w:t xml:space="preserve">expected outcome </w:t>
            </w:r>
            <w:r w:rsidRPr="005E5444">
              <w:t>and 2014</w:t>
            </w:r>
            <w:r>
              <w:noBreakHyphen/>
            </w:r>
            <w:r w:rsidRPr="005E5444">
              <w:t xml:space="preserve">15 </w:t>
            </w:r>
            <w:r>
              <w:t>target reflect an increased focus on d</w:t>
            </w:r>
            <w:r w:rsidRPr="005E5444">
              <w:t>epartmental stakeholder satisfaction with completed policy projects.</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Departmental stakeholder satisfaction with technical economic analysis, advice and support</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100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95</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higher 2013</w:t>
            </w:r>
            <w:r>
              <w:noBreakHyphen/>
            </w:r>
            <w:r w:rsidRPr="005E5444">
              <w:t xml:space="preserve">14 </w:t>
            </w:r>
            <w:r>
              <w:t xml:space="preserve">expected outcome </w:t>
            </w:r>
            <w:r w:rsidRPr="005E5444">
              <w:t>and 2014</w:t>
            </w:r>
            <w:r>
              <w:noBreakHyphen/>
            </w:r>
            <w:r w:rsidRPr="005E5444">
              <w:t xml:space="preserve">15 </w:t>
            </w:r>
            <w:r>
              <w:t>target reflect an increased focus on d</w:t>
            </w:r>
            <w:r w:rsidRPr="005E5444">
              <w:t>epartmental stakeholder satisfaction with technical economic analysis, advice and support.</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right w:val="nil"/>
            </w:tcBorders>
            <w:shd w:val="clear" w:color="000000" w:fill="FFFFFF"/>
            <w:hideMark/>
          </w:tcPr>
          <w:p w:rsidR="00A53D7D" w:rsidRPr="005E5444" w:rsidRDefault="00A53D7D" w:rsidP="005140B4">
            <w:pPr>
              <w:pStyle w:val="OGTabText"/>
              <w:rPr>
                <w:lang w:eastAsia="en-AU"/>
              </w:rPr>
            </w:pPr>
            <w:r w:rsidRPr="005E5444">
              <w:rPr>
                <w:lang w:eastAsia="en-AU"/>
              </w:rPr>
              <w:t>Total output cost</w:t>
            </w:r>
          </w:p>
        </w:tc>
        <w:tc>
          <w:tcPr>
            <w:tcW w:w="907" w:type="dxa"/>
            <w:tcBorders>
              <w:top w:val="nil"/>
              <w:left w:val="nil"/>
              <w:right w:val="nil"/>
            </w:tcBorders>
            <w:shd w:val="clear" w:color="000000" w:fill="FFFFFF"/>
            <w:hideMark/>
          </w:tcPr>
          <w:p w:rsidR="00A53D7D" w:rsidRPr="005E5444" w:rsidRDefault="00A53D7D" w:rsidP="005140B4">
            <w:pPr>
              <w:pStyle w:val="OGUoM"/>
              <w:rPr>
                <w:lang w:eastAsia="en-AU"/>
              </w:rPr>
            </w:pPr>
            <w:r w:rsidRPr="005E5444">
              <w:rPr>
                <w:lang w:eastAsia="en-AU"/>
              </w:rPr>
              <w:t>$</w:t>
            </w:r>
            <w:r>
              <w:rPr>
                <w:lang w:eastAsia="en-AU"/>
              </w:rPr>
              <w:t> m</w:t>
            </w:r>
            <w:r w:rsidRPr="005E5444">
              <w:rPr>
                <w:lang w:eastAsia="en-AU"/>
              </w:rPr>
              <w:t>illion</w:t>
            </w:r>
          </w:p>
        </w:tc>
        <w:tc>
          <w:tcPr>
            <w:tcW w:w="907" w:type="dxa"/>
            <w:tcBorders>
              <w:top w:val="nil"/>
              <w:left w:val="nil"/>
              <w:right w:val="nil"/>
            </w:tcBorders>
            <w:shd w:val="clear" w:color="auto" w:fill="D9D9D9"/>
            <w:hideMark/>
          </w:tcPr>
          <w:p w:rsidR="00A53D7D" w:rsidRPr="005E5444" w:rsidRDefault="00A53D7D" w:rsidP="005140B4">
            <w:pPr>
              <w:pStyle w:val="OGTableofFigures"/>
              <w:rPr>
                <w:lang w:eastAsia="en-AU"/>
              </w:rPr>
            </w:pPr>
            <w:r>
              <w:rPr>
                <w:lang w:eastAsia="en-AU"/>
              </w:rPr>
              <w:t>32</w:t>
            </w:r>
          </w:p>
        </w:tc>
        <w:tc>
          <w:tcPr>
            <w:tcW w:w="993" w:type="dxa"/>
            <w:tcBorders>
              <w:top w:val="nil"/>
              <w:left w:val="nil"/>
              <w:right w:val="nil"/>
            </w:tcBorders>
            <w:shd w:val="clear" w:color="000000" w:fill="FFFFFF"/>
            <w:hideMark/>
          </w:tcPr>
          <w:p w:rsidR="00A53D7D" w:rsidRPr="005E5444" w:rsidRDefault="00A53D7D" w:rsidP="005140B4">
            <w:pPr>
              <w:pStyle w:val="OGTableofFigures"/>
              <w:rPr>
                <w:lang w:eastAsia="en-AU"/>
              </w:rPr>
            </w:pPr>
            <w:r>
              <w:rPr>
                <w:lang w:eastAsia="en-AU"/>
              </w:rPr>
              <w:t>51</w:t>
            </w:r>
          </w:p>
        </w:tc>
        <w:tc>
          <w:tcPr>
            <w:tcW w:w="907" w:type="dxa"/>
            <w:tcBorders>
              <w:top w:val="nil"/>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48.8</w:t>
            </w:r>
          </w:p>
        </w:tc>
        <w:tc>
          <w:tcPr>
            <w:tcW w:w="907" w:type="dxa"/>
            <w:tcBorders>
              <w:top w:val="nil"/>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47.7</w:t>
            </w:r>
          </w:p>
        </w:tc>
      </w:tr>
      <w:tr w:rsidR="00A53D7D" w:rsidRPr="005E5444" w:rsidTr="005140B4">
        <w:trPr>
          <w:cantSplit/>
        </w:trPr>
        <w:tc>
          <w:tcPr>
            <w:tcW w:w="7776" w:type="dxa"/>
            <w:gridSpan w:val="6"/>
            <w:tcBorders>
              <w:left w:val="nil"/>
              <w:bottom w:val="single" w:sz="4" w:space="0" w:color="auto"/>
              <w:right w:val="nil"/>
            </w:tcBorders>
            <w:shd w:val="clear" w:color="000000" w:fill="FFFFFF"/>
          </w:tcPr>
          <w:p w:rsidR="00A53D7D" w:rsidRPr="005E5444" w:rsidRDefault="00A53D7D" w:rsidP="005140B4">
            <w:pPr>
              <w:pStyle w:val="OGNotes"/>
            </w:pPr>
            <w:r>
              <w:t>The lower 2014</w:t>
            </w:r>
            <w:r>
              <w:noBreakHyphen/>
              <w:t>15 target</w:t>
            </w:r>
            <w:r w:rsidRPr="002073DE">
              <w:t xml:space="preserve"> primarily reflects the timi</w:t>
            </w:r>
            <w:r>
              <w:t>ng of grant payments under the Communities for N</w:t>
            </w:r>
            <w:r w:rsidRPr="002073DE">
              <w:t>ature and the Victorian Environmental Partnerships programs.</w:t>
            </w:r>
          </w:p>
        </w:tc>
      </w:tr>
      <w:tr w:rsidR="00A53D7D" w:rsidRPr="005E5444" w:rsidTr="005140B4">
        <w:trPr>
          <w:cantSplit/>
        </w:trPr>
        <w:tc>
          <w:tcPr>
            <w:tcW w:w="7776" w:type="dxa"/>
            <w:gridSpan w:val="6"/>
            <w:tcBorders>
              <w:top w:val="single" w:sz="4" w:space="0" w:color="auto"/>
              <w:left w:val="nil"/>
              <w:bottom w:val="nil"/>
              <w:right w:val="nil"/>
            </w:tcBorders>
            <w:shd w:val="clear" w:color="auto" w:fill="auto"/>
            <w:vAlign w:val="bottom"/>
            <w:hideMark/>
          </w:tcPr>
          <w:p w:rsidR="00A53D7D" w:rsidRPr="005E5444" w:rsidRDefault="00A53D7D" w:rsidP="005140B4">
            <w:pPr>
              <w:pStyle w:val="OGHeading2"/>
              <w:rPr>
                <w:lang w:eastAsia="en-AU"/>
              </w:rPr>
            </w:pPr>
            <w:r w:rsidRPr="005E5444">
              <w:rPr>
                <w:lang w:eastAsia="en-AU"/>
              </w:rPr>
              <w:t>Environmental Programs</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5E5444">
              <w:rPr>
                <w:lang w:eastAsia="en-AU"/>
              </w:rPr>
              <w:t xml:space="preserve">This output delivers investment, regulatory and research functions that support diverse and resilient natural ecosystems for a liveable, </w:t>
            </w:r>
            <w:proofErr w:type="gramStart"/>
            <w:r w:rsidRPr="005E5444">
              <w:rPr>
                <w:lang w:eastAsia="en-AU"/>
              </w:rPr>
              <w:t>susta</w:t>
            </w:r>
            <w:r>
              <w:rPr>
                <w:lang w:eastAsia="en-AU"/>
              </w:rPr>
              <w:t>inable</w:t>
            </w:r>
            <w:proofErr w:type="gramEnd"/>
            <w:r>
              <w:rPr>
                <w:lang w:eastAsia="en-AU"/>
              </w:rPr>
              <w:t xml:space="preserve"> and prosperous Victoria.</w:t>
            </w:r>
          </w:p>
          <w:p w:rsidR="00A53D7D" w:rsidRPr="005E5444" w:rsidRDefault="00A53D7D" w:rsidP="005140B4">
            <w:pPr>
              <w:pStyle w:val="OGText"/>
              <w:rPr>
                <w:lang w:eastAsia="en-AU"/>
              </w:rPr>
            </w:pPr>
            <w:r w:rsidRPr="005E5444">
              <w:rPr>
                <w:lang w:eastAsia="en-AU"/>
              </w:rPr>
              <w:t>Through this output the Department leads the development and implementation of strategic regulation and investment in environmental and natural resource programs, working with partners and local communities to deliver outcomes across Victoria. It also leads development of information systems and evidence</w:t>
            </w:r>
            <w:r>
              <w:rPr>
                <w:lang w:eastAsia="en-AU"/>
              </w:rPr>
              <w:noBreakHyphen/>
            </w:r>
            <w:r w:rsidRPr="005E5444">
              <w:rPr>
                <w:lang w:eastAsia="en-AU"/>
              </w:rPr>
              <w:t>based decision</w:t>
            </w:r>
            <w:r>
              <w:rPr>
                <w:lang w:eastAsia="en-AU"/>
              </w:rPr>
              <w:noBreakHyphen/>
            </w:r>
            <w:r w:rsidRPr="005E5444">
              <w:rPr>
                <w:lang w:eastAsia="en-AU"/>
              </w:rPr>
              <w:t>making tools that support the systematic identification and public reporting of environmental benefits.</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right w:val="nil"/>
            </w:tcBorders>
            <w:shd w:val="clear" w:color="000000" w:fill="FFFFFF"/>
            <w:hideMark/>
          </w:tcPr>
          <w:p w:rsidR="00A53D7D" w:rsidRPr="005E5444" w:rsidRDefault="00A53D7D" w:rsidP="005140B4">
            <w:pPr>
              <w:pStyle w:val="OGTabText"/>
              <w:rPr>
                <w:lang w:eastAsia="en-AU"/>
              </w:rPr>
            </w:pPr>
            <w:r w:rsidRPr="005E5444">
              <w:rPr>
                <w:lang w:eastAsia="en-AU"/>
              </w:rPr>
              <w:t>Area of revegetation protected or enhanced through DEPI</w:t>
            </w:r>
            <w:r>
              <w:rPr>
                <w:lang w:eastAsia="en-AU"/>
              </w:rPr>
              <w:noBreakHyphen/>
            </w:r>
            <w:r w:rsidRPr="005E5444">
              <w:rPr>
                <w:lang w:eastAsia="en-AU"/>
              </w:rPr>
              <w:t>supported Landcare activities</w:t>
            </w:r>
          </w:p>
        </w:tc>
        <w:tc>
          <w:tcPr>
            <w:tcW w:w="907" w:type="dxa"/>
            <w:tcBorders>
              <w:top w:val="nil"/>
              <w:left w:val="nil"/>
              <w:right w:val="nil"/>
            </w:tcBorders>
            <w:shd w:val="clear" w:color="000000" w:fill="FFFFFF"/>
            <w:hideMark/>
          </w:tcPr>
          <w:p w:rsidR="00A53D7D" w:rsidRPr="005E5444" w:rsidRDefault="00A53D7D" w:rsidP="005140B4">
            <w:pPr>
              <w:pStyle w:val="OGUoM"/>
              <w:rPr>
                <w:lang w:eastAsia="en-AU"/>
              </w:rPr>
            </w:pPr>
            <w:r>
              <w:rPr>
                <w:lang w:eastAsia="en-AU"/>
              </w:rPr>
              <w:t>h</w:t>
            </w:r>
            <w:r w:rsidRPr="005E5444">
              <w:rPr>
                <w:lang w:eastAsia="en-AU"/>
              </w:rPr>
              <w:t>ectares</w:t>
            </w:r>
          </w:p>
        </w:tc>
        <w:tc>
          <w:tcPr>
            <w:tcW w:w="907" w:type="dxa"/>
            <w:tcBorders>
              <w:top w:val="nil"/>
              <w:left w:val="nil"/>
              <w:right w:val="nil"/>
            </w:tcBorders>
            <w:shd w:val="clear" w:color="auto" w:fill="D9D9D9"/>
            <w:hideMark/>
          </w:tcPr>
          <w:p w:rsidR="00A53D7D" w:rsidRPr="008C4446" w:rsidRDefault="00A53D7D" w:rsidP="005140B4">
            <w:pPr>
              <w:pStyle w:val="OGTableofFigures"/>
              <w:rPr>
                <w:lang w:eastAsia="en-AU"/>
              </w:rPr>
            </w:pPr>
            <w:r w:rsidRPr="008C4446">
              <w:rPr>
                <w:lang w:eastAsia="en-AU"/>
              </w:rPr>
              <w:t>1</w:t>
            </w:r>
            <w:r>
              <w:rPr>
                <w:lang w:eastAsia="en-AU"/>
              </w:rPr>
              <w:t> </w:t>
            </w:r>
            <w:r w:rsidRPr="008C4446">
              <w:rPr>
                <w:lang w:eastAsia="en-AU"/>
              </w:rPr>
              <w:t>200</w:t>
            </w:r>
            <w:r>
              <w:rPr>
                <w:lang w:eastAsia="en-AU"/>
              </w:rPr>
              <w:t>–</w:t>
            </w:r>
            <w:r w:rsidRPr="008C4446">
              <w:rPr>
                <w:lang w:eastAsia="en-AU"/>
              </w:rPr>
              <w:t xml:space="preserve"> </w:t>
            </w:r>
          </w:p>
          <w:p w:rsidR="00A53D7D" w:rsidRPr="00023DBB" w:rsidRDefault="00A53D7D" w:rsidP="005140B4">
            <w:pPr>
              <w:pStyle w:val="OGTableofFigures"/>
              <w:rPr>
                <w:highlight w:val="yellow"/>
                <w:lang w:eastAsia="en-AU"/>
              </w:rPr>
            </w:pPr>
            <w:r w:rsidRPr="008C4446">
              <w:rPr>
                <w:lang w:eastAsia="en-AU"/>
              </w:rPr>
              <w:t>1</w:t>
            </w:r>
            <w:r>
              <w:rPr>
                <w:lang w:eastAsia="en-AU"/>
              </w:rPr>
              <w:t> </w:t>
            </w:r>
            <w:r w:rsidRPr="008C4446">
              <w:rPr>
                <w:lang w:eastAsia="en-AU"/>
              </w:rPr>
              <w:t>600</w:t>
            </w:r>
          </w:p>
        </w:tc>
        <w:tc>
          <w:tcPr>
            <w:tcW w:w="993" w:type="dxa"/>
            <w:tcBorders>
              <w:top w:val="nil"/>
              <w:left w:val="nil"/>
              <w:right w:val="nil"/>
            </w:tcBorders>
            <w:shd w:val="clear" w:color="000000" w:fill="FFFFFF"/>
            <w:hideMark/>
          </w:tcPr>
          <w:p w:rsidR="00A53D7D" w:rsidRPr="008C4446" w:rsidRDefault="00A53D7D" w:rsidP="005140B4">
            <w:pPr>
              <w:pStyle w:val="OGTableofFigures"/>
              <w:rPr>
                <w:lang w:eastAsia="en-AU"/>
              </w:rPr>
            </w:pPr>
            <w:r w:rsidRPr="008C4446">
              <w:rPr>
                <w:lang w:eastAsia="en-AU"/>
              </w:rPr>
              <w:t>1</w:t>
            </w:r>
            <w:r>
              <w:rPr>
                <w:lang w:eastAsia="en-AU"/>
              </w:rPr>
              <w:t> </w:t>
            </w:r>
            <w:r w:rsidRPr="008C4446">
              <w:rPr>
                <w:lang w:eastAsia="en-AU"/>
              </w:rPr>
              <w:t>200</w:t>
            </w:r>
            <w:r>
              <w:rPr>
                <w:lang w:eastAsia="en-AU"/>
              </w:rPr>
              <w:t>–</w:t>
            </w:r>
          </w:p>
          <w:p w:rsidR="00A53D7D" w:rsidRPr="008C4446" w:rsidRDefault="00A53D7D" w:rsidP="005140B4">
            <w:pPr>
              <w:pStyle w:val="OGTableofFigures"/>
              <w:rPr>
                <w:lang w:eastAsia="en-AU"/>
              </w:rPr>
            </w:pPr>
            <w:r w:rsidRPr="008C4446">
              <w:rPr>
                <w:lang w:eastAsia="en-AU"/>
              </w:rPr>
              <w:t>1</w:t>
            </w:r>
            <w:r>
              <w:rPr>
                <w:lang w:eastAsia="en-AU"/>
              </w:rPr>
              <w:t> </w:t>
            </w:r>
            <w:r w:rsidRPr="008C4446">
              <w:rPr>
                <w:lang w:eastAsia="en-AU"/>
              </w:rPr>
              <w:t>600</w:t>
            </w:r>
          </w:p>
        </w:tc>
        <w:tc>
          <w:tcPr>
            <w:tcW w:w="907" w:type="dxa"/>
            <w:tcBorders>
              <w:top w:val="nil"/>
              <w:left w:val="nil"/>
              <w:right w:val="nil"/>
            </w:tcBorders>
            <w:shd w:val="clear" w:color="000000" w:fill="FFFFFF"/>
            <w:hideMark/>
          </w:tcPr>
          <w:p w:rsidR="00A53D7D" w:rsidRPr="008C4446" w:rsidRDefault="00A53D7D" w:rsidP="005140B4">
            <w:pPr>
              <w:pStyle w:val="OGTableofFigures"/>
              <w:rPr>
                <w:lang w:eastAsia="en-AU"/>
              </w:rPr>
            </w:pPr>
            <w:r w:rsidRPr="008C4446">
              <w:rPr>
                <w:lang w:eastAsia="en-AU"/>
              </w:rPr>
              <w:t>1</w:t>
            </w:r>
            <w:r>
              <w:rPr>
                <w:lang w:eastAsia="en-AU"/>
              </w:rPr>
              <w:t> </w:t>
            </w:r>
            <w:r w:rsidRPr="008C4446">
              <w:rPr>
                <w:lang w:eastAsia="en-AU"/>
              </w:rPr>
              <w:t>200</w:t>
            </w:r>
            <w:r>
              <w:rPr>
                <w:lang w:eastAsia="en-AU"/>
              </w:rPr>
              <w:t>–</w:t>
            </w:r>
          </w:p>
          <w:p w:rsidR="00A53D7D" w:rsidRPr="008C4446" w:rsidRDefault="00A53D7D" w:rsidP="005140B4">
            <w:pPr>
              <w:pStyle w:val="OGTableofFigures"/>
              <w:rPr>
                <w:lang w:eastAsia="en-AU"/>
              </w:rPr>
            </w:pPr>
            <w:r w:rsidRPr="008C4446">
              <w:rPr>
                <w:lang w:eastAsia="en-AU"/>
              </w:rPr>
              <w:t>1</w:t>
            </w:r>
            <w:r>
              <w:rPr>
                <w:lang w:eastAsia="en-AU"/>
              </w:rPr>
              <w:t> </w:t>
            </w:r>
            <w:r w:rsidRPr="008C4446">
              <w:rPr>
                <w:lang w:eastAsia="en-AU"/>
              </w:rPr>
              <w:t>600</w:t>
            </w:r>
          </w:p>
        </w:tc>
        <w:tc>
          <w:tcPr>
            <w:tcW w:w="907" w:type="dxa"/>
            <w:tcBorders>
              <w:top w:val="nil"/>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Landcare members and community volunteers participating in Landcare activities</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81</w:t>
            </w:r>
            <w:r>
              <w:rPr>
                <w:lang w:eastAsia="en-AU"/>
              </w:rPr>
              <w:t> </w:t>
            </w:r>
            <w:r w:rsidRPr="005E5444">
              <w:rPr>
                <w:lang w:eastAsia="en-AU"/>
              </w:rPr>
              <w:t>000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81</w:t>
            </w:r>
            <w:r>
              <w:rPr>
                <w:lang w:eastAsia="en-AU"/>
              </w:rPr>
              <w:t> </w:t>
            </w:r>
            <w:r w:rsidRPr="005E5444">
              <w:rPr>
                <w:lang w:eastAsia="en-AU"/>
              </w:rPr>
              <w:t>000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81</w:t>
            </w:r>
            <w:r>
              <w:rPr>
                <w:lang w:eastAsia="en-AU"/>
              </w:rPr>
              <w:t> </w:t>
            </w:r>
            <w:r w:rsidRPr="005E5444">
              <w:rPr>
                <w:lang w:eastAsia="en-AU"/>
              </w:rPr>
              <w:t>000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81</w:t>
            </w:r>
            <w:r>
              <w:rPr>
                <w:lang w:eastAsia="en-AU"/>
              </w:rPr>
              <w:t> </w:t>
            </w:r>
            <w:r w:rsidRPr="005E5444">
              <w:rPr>
                <w:lang w:eastAsia="en-AU"/>
              </w:rPr>
              <w:t>000</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 xml:space="preserve">Native Vegetation Credit Trading Agreements (which produce potential offsets to clearing of native vegetation) signed through the </w:t>
            </w:r>
            <w:proofErr w:type="spellStart"/>
            <w:r w:rsidRPr="005E5444">
              <w:rPr>
                <w:lang w:eastAsia="en-AU"/>
              </w:rPr>
              <w:t>BushBroker</w:t>
            </w:r>
            <w:proofErr w:type="spellEnd"/>
            <w:r w:rsidRPr="005E5444">
              <w:rPr>
                <w:lang w:eastAsia="en-AU"/>
              </w:rPr>
              <w:t xml:space="preserve"> program</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60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75</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Presentations made and scientific publications in peer reviewed journals</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nil"/>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60</w:t>
            </w:r>
          </w:p>
        </w:tc>
        <w:tc>
          <w:tcPr>
            <w:tcW w:w="993"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60</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60</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60</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Planning referrals relating to native vegetation processed within statutory timeframes</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nil"/>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80</w:t>
            </w:r>
          </w:p>
        </w:tc>
        <w:tc>
          <w:tcPr>
            <w:tcW w:w="993"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80</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80</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75.8</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Wildlife Licence renewals processed by target dates</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96</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96</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96</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95</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right w:val="nil"/>
            </w:tcBorders>
            <w:shd w:val="clear" w:color="000000" w:fill="FFFFFF"/>
            <w:hideMark/>
          </w:tcPr>
          <w:p w:rsidR="00A53D7D" w:rsidRPr="005E5444" w:rsidRDefault="00A53D7D" w:rsidP="005140B4">
            <w:pPr>
              <w:pStyle w:val="OGTabText"/>
              <w:rPr>
                <w:lang w:eastAsia="en-AU"/>
              </w:rPr>
            </w:pPr>
            <w:r w:rsidRPr="005E5444">
              <w:rPr>
                <w:lang w:eastAsia="en-AU"/>
              </w:rPr>
              <w:t>Total output cost</w:t>
            </w:r>
          </w:p>
        </w:tc>
        <w:tc>
          <w:tcPr>
            <w:tcW w:w="907" w:type="dxa"/>
            <w:tcBorders>
              <w:top w:val="nil"/>
              <w:left w:val="nil"/>
              <w:right w:val="nil"/>
            </w:tcBorders>
            <w:shd w:val="clear" w:color="000000" w:fill="FFFFFF"/>
            <w:hideMark/>
          </w:tcPr>
          <w:p w:rsidR="00A53D7D" w:rsidRPr="005E5444" w:rsidRDefault="00A53D7D" w:rsidP="005140B4">
            <w:pPr>
              <w:pStyle w:val="OGUoM"/>
              <w:rPr>
                <w:lang w:eastAsia="en-AU"/>
              </w:rPr>
            </w:pPr>
            <w:r w:rsidRPr="005E5444">
              <w:rPr>
                <w:lang w:eastAsia="en-AU"/>
              </w:rPr>
              <w:t>$</w:t>
            </w:r>
            <w:r>
              <w:rPr>
                <w:lang w:eastAsia="en-AU"/>
              </w:rPr>
              <w:t> m</w:t>
            </w:r>
            <w:r w:rsidRPr="005E5444">
              <w:rPr>
                <w:lang w:eastAsia="en-AU"/>
              </w:rPr>
              <w:t>illion</w:t>
            </w:r>
          </w:p>
        </w:tc>
        <w:tc>
          <w:tcPr>
            <w:tcW w:w="907" w:type="dxa"/>
            <w:tcBorders>
              <w:top w:val="nil"/>
              <w:left w:val="nil"/>
              <w:right w:val="nil"/>
            </w:tcBorders>
            <w:shd w:val="clear" w:color="auto" w:fill="D9D9D9"/>
            <w:hideMark/>
          </w:tcPr>
          <w:p w:rsidR="00A53D7D" w:rsidRPr="005E5444" w:rsidRDefault="00A53D7D" w:rsidP="005140B4">
            <w:pPr>
              <w:pStyle w:val="OGTableofFigures"/>
              <w:rPr>
                <w:lang w:eastAsia="en-AU"/>
              </w:rPr>
            </w:pPr>
            <w:r>
              <w:rPr>
                <w:lang w:eastAsia="en-AU"/>
              </w:rPr>
              <w:t>81.3</w:t>
            </w:r>
          </w:p>
        </w:tc>
        <w:tc>
          <w:tcPr>
            <w:tcW w:w="993" w:type="dxa"/>
            <w:tcBorders>
              <w:top w:val="nil"/>
              <w:left w:val="nil"/>
              <w:right w:val="nil"/>
            </w:tcBorders>
            <w:shd w:val="clear" w:color="000000" w:fill="FFFFFF"/>
            <w:hideMark/>
          </w:tcPr>
          <w:p w:rsidR="00A53D7D" w:rsidRPr="005E5444" w:rsidRDefault="00A53D7D" w:rsidP="005140B4">
            <w:pPr>
              <w:pStyle w:val="OGTableofFigures"/>
              <w:rPr>
                <w:lang w:eastAsia="en-AU"/>
              </w:rPr>
            </w:pPr>
            <w:r>
              <w:rPr>
                <w:lang w:eastAsia="en-AU"/>
              </w:rPr>
              <w:t>127.4</w:t>
            </w:r>
          </w:p>
        </w:tc>
        <w:tc>
          <w:tcPr>
            <w:tcW w:w="907" w:type="dxa"/>
            <w:tcBorders>
              <w:top w:val="nil"/>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109.3</w:t>
            </w:r>
          </w:p>
        </w:tc>
        <w:tc>
          <w:tcPr>
            <w:tcW w:w="907" w:type="dxa"/>
            <w:tcBorders>
              <w:top w:val="nil"/>
              <w:left w:val="nil"/>
              <w:right w:val="nil"/>
            </w:tcBorders>
            <w:shd w:val="clear" w:color="000000" w:fill="FFFFFF"/>
            <w:hideMark/>
          </w:tcPr>
          <w:p w:rsidR="00A53D7D" w:rsidRPr="005E5444" w:rsidRDefault="00A53D7D" w:rsidP="005140B4">
            <w:pPr>
              <w:pStyle w:val="OGTableofFigures"/>
              <w:rPr>
                <w:lang w:eastAsia="en-AU"/>
              </w:rPr>
            </w:pPr>
            <w:proofErr w:type="spellStart"/>
            <w:r w:rsidRPr="005E5444">
              <w:rPr>
                <w:lang w:eastAsia="en-AU"/>
              </w:rPr>
              <w:t>na</w:t>
            </w:r>
            <w:proofErr w:type="spellEnd"/>
          </w:p>
        </w:tc>
      </w:tr>
      <w:tr w:rsidR="00A53D7D" w:rsidRPr="005E5444" w:rsidTr="005140B4">
        <w:trPr>
          <w:cantSplit/>
        </w:trPr>
        <w:tc>
          <w:tcPr>
            <w:tcW w:w="7776" w:type="dxa"/>
            <w:gridSpan w:val="6"/>
            <w:tcBorders>
              <w:left w:val="nil"/>
              <w:bottom w:val="single" w:sz="4" w:space="0" w:color="auto"/>
              <w:right w:val="nil"/>
            </w:tcBorders>
            <w:shd w:val="clear" w:color="000000" w:fill="FFFFFF"/>
          </w:tcPr>
          <w:p w:rsidR="00A53D7D" w:rsidRDefault="00A53D7D" w:rsidP="005140B4">
            <w:pPr>
              <w:pStyle w:val="OGNotes"/>
            </w:pPr>
            <w:r>
              <w:t>The lower 2014</w:t>
            </w:r>
            <w:r>
              <w:noBreakHyphen/>
              <w:t xml:space="preserve">15 target primarily reflects the transfer of responsibility for natural resource management from the Environmental Programs output to the Effective Water Management and Supply output in order to align service delivery outcomes. </w:t>
            </w:r>
          </w:p>
          <w:p w:rsidR="00A53D7D" w:rsidRPr="005E5444" w:rsidRDefault="00A53D7D" w:rsidP="005140B4">
            <w:pPr>
              <w:pStyle w:val="OGNotes"/>
            </w:pPr>
            <w:r>
              <w:t>The higher 2013</w:t>
            </w:r>
            <w:r>
              <w:noBreakHyphen/>
              <w:t>14 expected outcome is due to the timing of the finalisation of the agreement with the Commonwealth Government for the Caring for our Country initiative.</w:t>
            </w:r>
          </w:p>
        </w:tc>
      </w:tr>
      <w:tr w:rsidR="00A53D7D" w:rsidRPr="005E5444" w:rsidTr="005140B4">
        <w:trPr>
          <w:cantSplit/>
        </w:trPr>
        <w:tc>
          <w:tcPr>
            <w:tcW w:w="7776" w:type="dxa"/>
            <w:gridSpan w:val="6"/>
            <w:tcBorders>
              <w:top w:val="single" w:sz="4" w:space="0" w:color="auto"/>
              <w:left w:val="nil"/>
              <w:bottom w:val="nil"/>
              <w:right w:val="nil"/>
            </w:tcBorders>
            <w:shd w:val="clear" w:color="auto" w:fill="auto"/>
            <w:vAlign w:val="bottom"/>
            <w:hideMark/>
          </w:tcPr>
          <w:p w:rsidR="00A53D7D" w:rsidRPr="005E5444" w:rsidRDefault="00A53D7D" w:rsidP="005140B4">
            <w:pPr>
              <w:pStyle w:val="OGHeading2"/>
              <w:rPr>
                <w:lang w:eastAsia="en-AU"/>
              </w:rPr>
            </w:pPr>
            <w:r w:rsidRPr="005E5444">
              <w:rPr>
                <w:lang w:eastAsia="en-AU"/>
              </w:rPr>
              <w:t>Statutory Activities and Environment Protection</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5E5444">
              <w:rPr>
                <w:lang w:eastAsia="en-AU"/>
              </w:rPr>
              <w:t>This output protects and improves the environment to support a liveable and prosperous Victoria by effectively regulating pollution using statutory and non</w:t>
            </w:r>
            <w:r>
              <w:rPr>
                <w:lang w:eastAsia="en-AU"/>
              </w:rPr>
              <w:noBreakHyphen/>
            </w:r>
            <w:r w:rsidRPr="005E5444">
              <w:rPr>
                <w:lang w:eastAsia="en-AU"/>
              </w:rPr>
              <w:t xml:space="preserve">statutory tools, settings and enforcing environmental goals and standards, and undertaking monitoring and research. These activities deliver clean air, healthy waterways, safe land, less waste and minimal disturbances from noise and odour for Victorians. Through collaboration, </w:t>
            </w:r>
            <w:proofErr w:type="gramStart"/>
            <w:r w:rsidRPr="005E5444">
              <w:rPr>
                <w:lang w:eastAsia="en-AU"/>
              </w:rPr>
              <w:t>communication</w:t>
            </w:r>
            <w:proofErr w:type="gramEnd"/>
            <w:r w:rsidRPr="005E5444">
              <w:rPr>
                <w:lang w:eastAsia="en-AU"/>
              </w:rPr>
              <w:t xml:space="preserve"> and information programs, this output enables greater community involvement in</w:t>
            </w:r>
            <w:r>
              <w:rPr>
                <w:lang w:eastAsia="en-AU"/>
              </w:rPr>
              <w:t>,</w:t>
            </w:r>
            <w:r w:rsidRPr="005E5444">
              <w:rPr>
                <w:lang w:eastAsia="en-AU"/>
              </w:rPr>
              <w:t xml:space="preserve"> and own</w:t>
            </w:r>
            <w:r>
              <w:rPr>
                <w:lang w:eastAsia="en-AU"/>
              </w:rPr>
              <w:t>ership of, environmental issues.</w:t>
            </w:r>
          </w:p>
          <w:p w:rsidR="00A53D7D" w:rsidRPr="005E5444" w:rsidRDefault="00A53D7D" w:rsidP="005140B4">
            <w:pPr>
              <w:pStyle w:val="OGText"/>
              <w:rPr>
                <w:lang w:eastAsia="en-AU"/>
              </w:rPr>
            </w:pPr>
            <w:r w:rsidRPr="005E5444">
              <w:rPr>
                <w:lang w:eastAsia="en-AU"/>
              </w:rPr>
              <w:t xml:space="preserve">Delivering the best environmental outcomes for Victoria requires an understanding of and </w:t>
            </w:r>
            <w:r>
              <w:rPr>
                <w:lang w:eastAsia="en-AU"/>
              </w:rPr>
              <w:t xml:space="preserve">a </w:t>
            </w:r>
            <w:r w:rsidRPr="005E5444">
              <w:rPr>
                <w:lang w:eastAsia="en-AU"/>
              </w:rPr>
              <w:t>responsive approach to the changing environment. This output focuses on reducing local pollution problems, working with stakeholders to improve environmental outcomes</w:t>
            </w:r>
            <w:r>
              <w:rPr>
                <w:lang w:eastAsia="en-AU"/>
              </w:rPr>
              <w:t>,</w:t>
            </w:r>
            <w:r w:rsidRPr="005E5444">
              <w:rPr>
                <w:lang w:eastAsia="en-AU"/>
              </w:rPr>
              <w:t xml:space="preserve"> and using knowledge and science to underpin decision making and shape Victoria's environmental future.</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Environmental condition research reports issued, improvement tools, guidelines, policies, systems and plans completed and issued</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54</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60</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54</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63</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2013</w:t>
            </w:r>
            <w:r>
              <w:noBreakHyphen/>
            </w:r>
            <w:r w:rsidRPr="005E5444">
              <w:t xml:space="preserve">14 </w:t>
            </w:r>
            <w:r>
              <w:t xml:space="preserve">expected outcome </w:t>
            </w:r>
            <w:r w:rsidRPr="005E5444">
              <w:t>is higher than the 2013</w:t>
            </w:r>
            <w:r>
              <w:noBreakHyphen/>
            </w:r>
            <w:r w:rsidRPr="005E5444">
              <w:t xml:space="preserve">14 </w:t>
            </w:r>
            <w:r>
              <w:t>target</w:t>
            </w:r>
            <w:r w:rsidRPr="005E5444">
              <w:t xml:space="preserve"> due to a higher than expected number of publications produced from July to December 2013.</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keepNext/>
              <w:rPr>
                <w:lang w:eastAsia="en-AU"/>
              </w:rPr>
            </w:pPr>
            <w:r w:rsidRPr="005E5444">
              <w:rPr>
                <w:lang w:eastAsia="en-AU"/>
              </w:rPr>
              <w:t>Increase in EPA notices issued for illegal dumping of waste</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keepNext/>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keepNext/>
              <w:rPr>
                <w:lang w:eastAsia="en-AU"/>
              </w:rPr>
            </w:pPr>
            <w:r w:rsidRPr="005E5444">
              <w:rPr>
                <w:lang w:eastAsia="en-AU"/>
              </w:rPr>
              <w:t>60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keepNext/>
              <w:rPr>
                <w:lang w:eastAsia="en-AU"/>
              </w:rPr>
            </w:pPr>
            <w:r w:rsidRPr="005E5444">
              <w:rPr>
                <w:lang w:eastAsia="en-AU"/>
              </w:rPr>
              <w:t>80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keepNext/>
              <w:rPr>
                <w:lang w:eastAsia="en-AU"/>
              </w:rPr>
            </w:pPr>
            <w:r w:rsidRPr="005E5444">
              <w:rPr>
                <w:lang w:eastAsia="en-AU"/>
              </w:rPr>
              <w:t>52</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keepNext/>
              <w:rPr>
                <w:lang w:eastAsia="en-AU"/>
              </w:rPr>
            </w:pPr>
            <w:r w:rsidRPr="005E5444">
              <w:rPr>
                <w:lang w:eastAsia="en-AU"/>
              </w:rPr>
              <w:t>68</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5444">
              <w:t>The 2013</w:t>
            </w:r>
            <w:r>
              <w:noBreakHyphen/>
            </w:r>
            <w:r w:rsidRPr="005E5444">
              <w:t xml:space="preserve">14 </w:t>
            </w:r>
            <w:r>
              <w:t xml:space="preserve">expected outcome </w:t>
            </w:r>
            <w:r w:rsidRPr="005E5444">
              <w:t>is higher than the 2013</w:t>
            </w:r>
            <w:r>
              <w:noBreakHyphen/>
            </w:r>
            <w:r w:rsidRPr="005E5444">
              <w:t xml:space="preserve">14 </w:t>
            </w:r>
            <w:r>
              <w:t>target</w:t>
            </w:r>
            <w:r w:rsidRPr="005E5444">
              <w:t xml:space="preserve"> due to an increased focus on dumping of industrial and </w:t>
            </w:r>
            <w:r>
              <w:t>prescribed industrial waste</w:t>
            </w:r>
            <w:r w:rsidRPr="005E5444">
              <w:t>.</w:t>
            </w:r>
          </w:p>
          <w:p w:rsidR="00A53D7D" w:rsidRPr="005E5444" w:rsidRDefault="00A53D7D" w:rsidP="005140B4">
            <w:pPr>
              <w:pStyle w:val="OGNotes"/>
            </w:pPr>
            <w:r w:rsidRPr="005E5444">
              <w:t>The higher 2014</w:t>
            </w:r>
            <w:r>
              <w:noBreakHyphen/>
            </w:r>
            <w:r w:rsidRPr="005E5444">
              <w:t xml:space="preserve">15 </w:t>
            </w:r>
            <w:r>
              <w:t>target</w:t>
            </w:r>
            <w:r w:rsidRPr="005E5444">
              <w:t xml:space="preserve"> reflects analysis of past performance and </w:t>
            </w:r>
            <w:r>
              <w:t xml:space="preserve">the </w:t>
            </w:r>
            <w:r w:rsidRPr="005E5444">
              <w:t>E</w:t>
            </w:r>
            <w:r>
              <w:t>nvironment Protection Authority</w:t>
            </w:r>
            <w:r w:rsidRPr="005E5444">
              <w:t>'s expectations regarding its approach to tackling illegal dumping in 2014</w:t>
            </w:r>
            <w:r>
              <w:noBreakHyphen/>
            </w:r>
            <w:r w:rsidRPr="005E5444">
              <w:t>15.</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EPA prosecutions are successful, and conditions in enforceable undertakings</w:t>
            </w:r>
            <w:r>
              <w:rPr>
                <w:lang w:eastAsia="en-AU"/>
              </w:rPr>
              <w:t xml:space="preserve"> </w:t>
            </w:r>
            <w:r w:rsidRPr="005E5444">
              <w:rPr>
                <w:lang w:eastAsia="en-AU"/>
              </w:rPr>
              <w:t xml:space="preserve">(entered into under the </w:t>
            </w:r>
            <w:r w:rsidRPr="00643E2F">
              <w:rPr>
                <w:i/>
                <w:lang w:eastAsia="en-AU"/>
              </w:rPr>
              <w:t>Environment Protection Act 1970</w:t>
            </w:r>
            <w:r w:rsidRPr="005E5444">
              <w:rPr>
                <w:lang w:eastAsia="en-AU"/>
              </w:rPr>
              <w:t>) are focused on improving the environmental performance of the offer</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nil"/>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90</w:t>
            </w:r>
          </w:p>
        </w:tc>
        <w:tc>
          <w:tcPr>
            <w:tcW w:w="993"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90</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90</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Land audits submitted by EPA appointed auditors are reviewed to ensure compliance with statutory requirements and guidelines</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90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94</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Notices complied with by due date or escalation in line with Compliance and Enforcement policy</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90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95</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90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69</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2013</w:t>
            </w:r>
            <w:r>
              <w:noBreakHyphen/>
            </w:r>
            <w:r w:rsidRPr="005E5444">
              <w:t xml:space="preserve">14 </w:t>
            </w:r>
            <w:r>
              <w:t xml:space="preserve">expected outcome </w:t>
            </w:r>
            <w:r w:rsidRPr="005E5444">
              <w:t>is higher than the 2013</w:t>
            </w:r>
            <w:r>
              <w:noBreakHyphen/>
            </w:r>
            <w:r w:rsidRPr="005E5444">
              <w:t xml:space="preserve">14 </w:t>
            </w:r>
            <w:r>
              <w:t>target due to an increased emphasis on c</w:t>
            </w:r>
            <w:r w:rsidRPr="005E5444">
              <w:t>om</w:t>
            </w:r>
            <w:r>
              <w:t>pliance and enforcement in 2013</w:t>
            </w:r>
            <w:r>
              <w:noBreakHyphen/>
            </w:r>
            <w:r w:rsidRPr="005E5444">
              <w:t>14.</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When a pollution incident is reported to EPA and follow</w:t>
            </w:r>
            <w:r>
              <w:rPr>
                <w:lang w:eastAsia="en-AU"/>
              </w:rPr>
              <w:noBreakHyphen/>
            </w:r>
            <w:r w:rsidRPr="005E5444">
              <w:rPr>
                <w:lang w:eastAsia="en-AU"/>
              </w:rPr>
              <w:t>up contact is requested, the reporter receives this within three working days</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nil"/>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75</w:t>
            </w:r>
          </w:p>
        </w:tc>
        <w:tc>
          <w:tcPr>
            <w:tcW w:w="993"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75</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75</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Works approvals and licences completed within required statutory timelines</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96</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96</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96</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91</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Total output cost</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w:t>
            </w:r>
            <w:r>
              <w:rPr>
                <w:lang w:eastAsia="en-AU"/>
              </w:rPr>
              <w:t> m</w:t>
            </w:r>
            <w:r w:rsidRPr="005E5444">
              <w:rPr>
                <w:lang w:eastAsia="en-AU"/>
              </w:rPr>
              <w:t>illion</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Pr>
                <w:lang w:eastAsia="en-AU"/>
              </w:rPr>
              <w:t>131.5</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Pr>
                <w:lang w:eastAsia="en-AU"/>
              </w:rPr>
              <w:t>142</w:t>
            </w:r>
            <w:r w:rsidR="00D418A8">
              <w:rPr>
                <w:lang w:eastAsia="en-AU"/>
              </w:rPr>
              <w:t>.0</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138.1</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139.1</w:t>
            </w:r>
          </w:p>
        </w:tc>
      </w:tr>
      <w:tr w:rsidR="00A53D7D" w:rsidRPr="005E5444" w:rsidTr="005140B4">
        <w:trPr>
          <w:cantSplit/>
        </w:trPr>
        <w:tc>
          <w:tcPr>
            <w:tcW w:w="7776" w:type="dxa"/>
            <w:gridSpan w:val="6"/>
            <w:tcBorders>
              <w:top w:val="nil"/>
              <w:left w:val="nil"/>
              <w:bottom w:val="single" w:sz="12" w:space="0" w:color="auto"/>
              <w:right w:val="nil"/>
            </w:tcBorders>
            <w:shd w:val="clear" w:color="000000" w:fill="FFFFFF"/>
          </w:tcPr>
          <w:p w:rsidR="00A53D7D" w:rsidRPr="005E5444" w:rsidRDefault="00A53D7D" w:rsidP="005140B4">
            <w:pPr>
              <w:pStyle w:val="OGNotes"/>
            </w:pPr>
            <w:r w:rsidRPr="002073DE">
              <w:t>The lower 2014</w:t>
            </w:r>
            <w:r>
              <w:noBreakHyphen/>
            </w:r>
            <w:r w:rsidRPr="002073DE">
              <w:t xml:space="preserve">15 </w:t>
            </w:r>
            <w:r>
              <w:t>target</w:t>
            </w:r>
            <w:r w:rsidRPr="002073DE">
              <w:t xml:space="preserve"> is due to the timing of payments from the Environment Protection Fund.</w:t>
            </w:r>
          </w:p>
        </w:tc>
      </w:tr>
    </w:tbl>
    <w:p w:rsidR="00A53D7D" w:rsidRDefault="00A53D7D" w:rsidP="005140B4">
      <w:pPr>
        <w:pStyle w:val="Source"/>
        <w:rPr>
          <w:lang w:eastAsia="en-AU"/>
        </w:rPr>
      </w:pPr>
      <w:r>
        <w:rPr>
          <w:lang w:eastAsia="en-AU"/>
        </w:rPr>
        <w:t>Source: Department of Environment and Primary Industries</w:t>
      </w:r>
      <w:r>
        <w:rPr>
          <w:lang w:eastAsia="en-AU"/>
        </w:rPr>
        <w:fldChar w:fldCharType="begin"/>
      </w:r>
      <w:r>
        <w:instrText xml:space="preserve"> XE "</w:instrText>
      </w:r>
      <w:r w:rsidRPr="00A2420E">
        <w:rPr>
          <w:lang w:eastAsia="en-AU"/>
        </w:rPr>
        <w:instrText>Department of Environment and Primary Industries</w:instrText>
      </w:r>
      <w:r w:rsidRPr="00A2420E">
        <w:instrText>:Effective environmental and adaptation policy, investment and regulations</w:instrText>
      </w:r>
      <w:r>
        <w:instrText xml:space="preserve">" \r "DEPIEffective" </w:instrText>
      </w:r>
      <w:r>
        <w:rPr>
          <w:lang w:eastAsia="en-AU"/>
        </w:rPr>
        <w:fldChar w:fldCharType="end"/>
      </w:r>
      <w:r>
        <w:rPr>
          <w:lang w:eastAsia="en-AU"/>
        </w:rPr>
        <w:fldChar w:fldCharType="begin"/>
      </w:r>
      <w:r>
        <w:instrText xml:space="preserve"> XE "</w:instrText>
      </w:r>
      <w:r w:rsidRPr="00CC0C5F">
        <w:rPr>
          <w:lang w:eastAsia="en-AU"/>
        </w:rPr>
        <w:instrText>Effective environmental and adaptation policy, investment and regulations</w:instrText>
      </w:r>
      <w:r>
        <w:instrText xml:space="preserve">" \r "DEPIEffective" </w:instrText>
      </w:r>
      <w:r>
        <w:rPr>
          <w:lang w:eastAsia="en-AU"/>
        </w:rPr>
        <w:fldChar w:fldCharType="end"/>
      </w:r>
    </w:p>
    <w:bookmarkEnd w:id="80"/>
    <w:p w:rsidR="00A53D7D" w:rsidRDefault="00A53D7D" w:rsidP="005140B4">
      <w:pPr>
        <w:rPr>
          <w:lang w:eastAsia="en-AU"/>
        </w:rPr>
      </w:pPr>
      <w:r>
        <w:rPr>
          <w:lang w:eastAsia="en-AU"/>
        </w:rPr>
        <w:br w:type="page"/>
      </w:r>
    </w:p>
    <w:p w:rsidR="00A53D7D" w:rsidRPr="005E5444" w:rsidRDefault="00A53D7D" w:rsidP="005140B4">
      <w:pPr>
        <w:pStyle w:val="OGHeading1"/>
        <w:rPr>
          <w:lang w:eastAsia="en-AU"/>
        </w:rPr>
      </w:pPr>
      <w:bookmarkStart w:id="81" w:name="DEPIManagement"/>
      <w:r w:rsidRPr="005E5444">
        <w:rPr>
          <w:lang w:eastAsia="en-AU"/>
        </w:rPr>
        <w:t xml:space="preserve">Effective management of water resources to meet future urban, </w:t>
      </w:r>
      <w:proofErr w:type="gramStart"/>
      <w:r w:rsidRPr="005E5444">
        <w:rPr>
          <w:lang w:eastAsia="en-AU"/>
        </w:rPr>
        <w:t>rural</w:t>
      </w:r>
      <w:proofErr w:type="gramEnd"/>
      <w:r w:rsidRPr="005E5444">
        <w:rPr>
          <w:lang w:eastAsia="en-AU"/>
        </w:rPr>
        <w:t xml:space="preserve"> and environmental needs</w:t>
      </w:r>
    </w:p>
    <w:p w:rsidR="00A53D7D" w:rsidRDefault="00A53D7D" w:rsidP="005140B4">
      <w:pPr>
        <w:pStyle w:val="OGText"/>
        <w:rPr>
          <w:lang w:eastAsia="en-AU"/>
        </w:rPr>
      </w:pPr>
      <w:r w:rsidRPr="005E5444">
        <w:rPr>
          <w:lang w:eastAsia="en-AU"/>
        </w:rPr>
        <w:t>This objective increases the efficiency of supply and use of water in cities and towns</w:t>
      </w:r>
      <w:r>
        <w:rPr>
          <w:lang w:eastAsia="en-AU"/>
        </w:rPr>
        <w:t>,</w:t>
      </w:r>
      <w:r w:rsidRPr="005E5444">
        <w:rPr>
          <w:lang w:eastAsia="en-AU"/>
        </w:rPr>
        <w:t xml:space="preserve"> and improves environmental conditions and waterways to ensure Victoria has a safe, </w:t>
      </w:r>
      <w:proofErr w:type="gramStart"/>
      <w:r w:rsidRPr="005E5444">
        <w:rPr>
          <w:lang w:eastAsia="en-AU"/>
        </w:rPr>
        <w:t>reliable</w:t>
      </w:r>
      <w:proofErr w:type="gramEnd"/>
      <w:r w:rsidRPr="005E5444">
        <w:rPr>
          <w:lang w:eastAsia="en-AU"/>
        </w:rPr>
        <w:t xml:space="preserve"> and effective supply of water to meet future urban, rural and environmental needs.</w:t>
      </w:r>
    </w:p>
    <w:p w:rsidR="00A53D7D" w:rsidRPr="005E5444" w:rsidRDefault="00A53D7D" w:rsidP="005140B4">
      <w:pPr>
        <w:pStyle w:val="OGText"/>
        <w:rPr>
          <w:lang w:eastAsia="en-AU"/>
        </w:rPr>
      </w:pPr>
      <w:r w:rsidRPr="005E5444">
        <w:rPr>
          <w:lang w:eastAsia="en-AU"/>
        </w:rPr>
        <w:t xml:space="preserve">The Department works in partnership with water authorities, catchment management authorities, government agencies, </w:t>
      </w:r>
      <w:proofErr w:type="gramStart"/>
      <w:r w:rsidRPr="005E5444">
        <w:rPr>
          <w:lang w:eastAsia="en-AU"/>
        </w:rPr>
        <w:t>industry</w:t>
      </w:r>
      <w:proofErr w:type="gramEnd"/>
      <w:r w:rsidRPr="005E5444">
        <w:rPr>
          <w:lang w:eastAsia="en-AU"/>
        </w:rPr>
        <w:t xml:space="preserve"> and the community to deliver effective water management and allocation</w:t>
      </w:r>
      <w:r>
        <w:rPr>
          <w:lang w:eastAsia="en-AU"/>
        </w:rPr>
        <w:t>,</w:t>
      </w:r>
      <w:r w:rsidRPr="005E5444">
        <w:rPr>
          <w:lang w:eastAsia="en-AU"/>
        </w:rPr>
        <w:t xml:space="preserve"> and healthy and productive water systems.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5140B4">
        <w:trPr>
          <w:cantSplit/>
        </w:trPr>
        <w:tc>
          <w:tcPr>
            <w:tcW w:w="7776" w:type="dxa"/>
            <w:gridSpan w:val="6"/>
            <w:tcBorders>
              <w:top w:val="nil"/>
              <w:left w:val="nil"/>
              <w:bottom w:val="nil"/>
              <w:right w:val="nil"/>
            </w:tcBorders>
            <w:shd w:val="clear" w:color="auto" w:fill="auto"/>
            <w:vAlign w:val="bottom"/>
            <w:hideMark/>
          </w:tcPr>
          <w:p w:rsidR="00A53D7D" w:rsidRPr="005E5444" w:rsidRDefault="00A53D7D" w:rsidP="005140B4">
            <w:pPr>
              <w:pStyle w:val="OGHeading2"/>
              <w:rPr>
                <w:lang w:eastAsia="en-AU"/>
              </w:rPr>
            </w:pPr>
            <w:r w:rsidRPr="005E5444">
              <w:rPr>
                <w:lang w:eastAsia="en-AU"/>
              </w:rPr>
              <w:t>Effective Water Management and Supply</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5E5444">
              <w:rPr>
                <w:lang w:eastAsia="en-AU"/>
              </w:rPr>
              <w:t xml:space="preserve">This output develops policies, provides </w:t>
            </w:r>
            <w:r>
              <w:rPr>
                <w:lang w:eastAsia="en-AU"/>
              </w:rPr>
              <w:t xml:space="preserve">strategic advice, and oversees </w:t>
            </w:r>
            <w:r w:rsidRPr="005E5444">
              <w:rPr>
                <w:lang w:eastAsia="en-AU"/>
              </w:rPr>
              <w:t>regulatory systems and institutional arrangements to drive the effective management and efficient use of Victoria's water resources. This includes integrated water cycle management, water reuse and recycling, ground and surface water, water industry reform, governance and performance oversight, sustainable irrigation, river health and the availability of information to e</w:t>
            </w:r>
            <w:r>
              <w:rPr>
                <w:lang w:eastAsia="en-AU"/>
              </w:rPr>
              <w:t>nable informed decision</w:t>
            </w:r>
            <w:r>
              <w:rPr>
                <w:lang w:eastAsia="en-AU"/>
              </w:rPr>
              <w:noBreakHyphen/>
              <w:t>making.</w:t>
            </w:r>
          </w:p>
          <w:p w:rsidR="00A53D7D" w:rsidRPr="005E5444" w:rsidRDefault="00A53D7D" w:rsidP="005140B4">
            <w:pPr>
              <w:pStyle w:val="OGText"/>
              <w:rPr>
                <w:lang w:eastAsia="en-AU"/>
              </w:rPr>
            </w:pPr>
            <w:r w:rsidRPr="005E5444">
              <w:rPr>
                <w:lang w:eastAsia="en-AU"/>
              </w:rPr>
              <w:t>Through this output</w:t>
            </w:r>
            <w:r>
              <w:rPr>
                <w:lang w:eastAsia="en-AU"/>
              </w:rPr>
              <w:t>,</w:t>
            </w:r>
            <w:r w:rsidRPr="005E5444">
              <w:rPr>
                <w:lang w:eastAsia="en-AU"/>
              </w:rPr>
              <w:t xml:space="preserve"> the Department is working to ensure a safe, </w:t>
            </w:r>
            <w:proofErr w:type="gramStart"/>
            <w:r w:rsidRPr="005E5444">
              <w:rPr>
                <w:lang w:eastAsia="en-AU"/>
              </w:rPr>
              <w:t>reliable</w:t>
            </w:r>
            <w:proofErr w:type="gramEnd"/>
            <w:r w:rsidRPr="005E5444">
              <w:rPr>
                <w:lang w:eastAsia="en-AU"/>
              </w:rPr>
              <w:t xml:space="preserve"> and effective supply of wa</w:t>
            </w:r>
            <w:r>
              <w:rPr>
                <w:lang w:eastAsia="en-AU"/>
              </w:rPr>
              <w:t>ter to meet future urban, rural</w:t>
            </w:r>
            <w:r w:rsidRPr="005E5444">
              <w:rPr>
                <w:lang w:eastAsia="en-AU"/>
              </w:rPr>
              <w:t xml:space="preserve"> and environmental needs.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Area of waterway vegetation works undertaken to improve the health and resilience of waterways</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Pr>
                <w:lang w:eastAsia="en-AU"/>
              </w:rPr>
              <w:t>h</w:t>
            </w:r>
            <w:r w:rsidRPr="005E5444">
              <w:rPr>
                <w:lang w:eastAsia="en-AU"/>
              </w:rPr>
              <w:t>ectares</w:t>
            </w:r>
          </w:p>
        </w:tc>
        <w:tc>
          <w:tcPr>
            <w:tcW w:w="907" w:type="dxa"/>
            <w:tcBorders>
              <w:top w:val="nil"/>
              <w:left w:val="nil"/>
              <w:bottom w:val="nil"/>
              <w:right w:val="nil"/>
            </w:tcBorders>
            <w:shd w:val="clear" w:color="auto" w:fill="D9D9D9"/>
            <w:hideMark/>
          </w:tcPr>
          <w:p w:rsidR="00A53D7D" w:rsidRDefault="00A53D7D" w:rsidP="005140B4">
            <w:pPr>
              <w:pStyle w:val="OGTableofFigures"/>
              <w:rPr>
                <w:lang w:eastAsia="en-AU"/>
              </w:rPr>
            </w:pPr>
            <w:r>
              <w:rPr>
                <w:lang w:eastAsia="en-AU"/>
              </w:rPr>
              <w:t>1 </w:t>
            </w:r>
            <w:r w:rsidRPr="005E5444">
              <w:rPr>
                <w:lang w:eastAsia="en-AU"/>
              </w:rPr>
              <w:t>800</w:t>
            </w:r>
            <w:r>
              <w:rPr>
                <w:lang w:eastAsia="en-AU"/>
              </w:rPr>
              <w:t>–</w:t>
            </w:r>
          </w:p>
          <w:p w:rsidR="00A53D7D" w:rsidRPr="005E5444" w:rsidRDefault="00A53D7D" w:rsidP="005140B4">
            <w:pPr>
              <w:pStyle w:val="OGTableofFigures"/>
              <w:rPr>
                <w:lang w:eastAsia="en-AU"/>
              </w:rPr>
            </w:pPr>
            <w:r>
              <w:rPr>
                <w:lang w:eastAsia="en-AU"/>
              </w:rPr>
              <w:t>2 00</w:t>
            </w:r>
            <w:r w:rsidRPr="005E5444">
              <w:rPr>
                <w:lang w:eastAsia="en-AU"/>
              </w:rPr>
              <w:t>0</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500</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850</w:t>
            </w:r>
            <w:r>
              <w:rPr>
                <w:lang w:eastAsia="en-AU"/>
              </w:rPr>
              <w:t>–</w:t>
            </w:r>
            <w:r w:rsidRPr="005E5444">
              <w:rPr>
                <w:lang w:eastAsia="en-AU"/>
              </w:rPr>
              <w:t>1</w:t>
            </w:r>
            <w:r>
              <w:rPr>
                <w:lang w:eastAsia="en-AU"/>
              </w:rPr>
              <w:t> </w:t>
            </w:r>
            <w:r w:rsidRPr="005E5444">
              <w:rPr>
                <w:lang w:eastAsia="en-AU"/>
              </w:rPr>
              <w:t>100</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5444">
              <w:t>The 2013</w:t>
            </w:r>
            <w:r>
              <w:noBreakHyphen/>
            </w:r>
            <w:r w:rsidRPr="005E5444">
              <w:t xml:space="preserve">14 </w:t>
            </w:r>
            <w:r>
              <w:t xml:space="preserve">expected outcome </w:t>
            </w:r>
            <w:r w:rsidRPr="005E5444">
              <w:t>is higher than the 2013</w:t>
            </w:r>
            <w:r>
              <w:noBreakHyphen/>
              <w:t>14 target due to</w:t>
            </w:r>
            <w:r w:rsidRPr="005E5444">
              <w:t xml:space="preserve"> milder weather conditions which increased output delivery, particularly for key projects in Wimmera and Gi</w:t>
            </w:r>
            <w:r>
              <w:t>ppsland in the first half of the year</w:t>
            </w:r>
            <w:r w:rsidRPr="005E5444">
              <w:t>.</w:t>
            </w:r>
          </w:p>
          <w:p w:rsidR="00A53D7D" w:rsidRPr="005E5444" w:rsidRDefault="00A53D7D" w:rsidP="005140B4">
            <w:pPr>
              <w:pStyle w:val="OGNotes"/>
            </w:pPr>
            <w:r w:rsidRPr="005E5444">
              <w:t>The 2014</w:t>
            </w:r>
            <w:r>
              <w:noBreakHyphen/>
            </w:r>
            <w:r w:rsidRPr="005E5444">
              <w:t xml:space="preserve">15 </w:t>
            </w:r>
            <w:r>
              <w:t>target</w:t>
            </w:r>
            <w:r w:rsidRPr="005E5444">
              <w:t xml:space="preserve"> is higher than the 2013</w:t>
            </w:r>
            <w:r>
              <w:noBreakHyphen/>
            </w:r>
            <w:r w:rsidRPr="005E5444">
              <w:t xml:space="preserve">14 </w:t>
            </w:r>
            <w:r>
              <w:t>target</w:t>
            </w:r>
            <w:r w:rsidRPr="005E5444">
              <w:t xml:space="preserve"> due to the expected completion of works as part of the Securing Priority Waterways </w:t>
            </w:r>
            <w:proofErr w:type="spellStart"/>
            <w:r w:rsidRPr="005E5444">
              <w:t>Onground</w:t>
            </w:r>
            <w:proofErr w:type="spellEnd"/>
            <w:r w:rsidRPr="005E5444">
              <w:t xml:space="preserve"> Works initiative.</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Compliance with the Murray Darling Basin Agreement to maintain a balance in the Salinity Register such that the total of salinity credits is in excess of, or equal to, the total of salinity debits</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&gt;</w:t>
            </w:r>
            <w:r>
              <w:rPr>
                <w:lang w:eastAsia="en-AU"/>
              </w:rPr>
              <w:t xml:space="preserve"> </w:t>
            </w:r>
            <w:r w:rsidRPr="005E5444">
              <w:rPr>
                <w:lang w:eastAsia="en-AU"/>
              </w:rPr>
              <w:t>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27.4</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&gt;</w:t>
            </w:r>
            <w:r>
              <w:rPr>
                <w:lang w:eastAsia="en-AU"/>
              </w:rPr>
              <w:t xml:space="preserve"> </w:t>
            </w:r>
            <w:r w:rsidRPr="005E5444">
              <w:rPr>
                <w:lang w:eastAsia="en-AU"/>
              </w:rPr>
              <w:t>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27.5</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Corporate plans submitted by Catchment Managemen</w:t>
            </w:r>
            <w:r>
              <w:rPr>
                <w:lang w:eastAsia="en-AU"/>
              </w:rPr>
              <w:t>t Authorities are aligned with m</w:t>
            </w:r>
            <w:r w:rsidRPr="005E5444">
              <w:rPr>
                <w:lang w:eastAsia="en-AU"/>
              </w:rPr>
              <w:t>inisterial guidelines and template, and meet the requirement of relevant Acts</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100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This performance measure is transferred directly from the 2013</w:t>
            </w:r>
            <w:r>
              <w:noBreakHyphen/>
            </w:r>
            <w:r w:rsidRPr="005E5444">
              <w:t xml:space="preserve">14 Environmental Programs </w:t>
            </w:r>
            <w:r>
              <w:t xml:space="preserve">output as a result of machinery of </w:t>
            </w:r>
            <w:r w:rsidRPr="005E5444">
              <w:t>government changes</w:t>
            </w:r>
            <w:r>
              <w:t>.</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Cumulative water savings (permanent reduction in irrigation distribution system delivery losses) realised through water recovery projects</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Pr>
                <w:lang w:eastAsia="en-AU"/>
              </w:rPr>
              <w:t>mega l</w:t>
            </w:r>
            <w:r w:rsidRPr="005E5444">
              <w:rPr>
                <w:lang w:eastAsia="en-AU"/>
              </w:rPr>
              <w:t>itres</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679</w:t>
            </w:r>
            <w:r>
              <w:rPr>
                <w:lang w:eastAsia="en-AU"/>
              </w:rPr>
              <w:t> </w:t>
            </w:r>
            <w:r w:rsidRPr="005E5444">
              <w:rPr>
                <w:lang w:eastAsia="en-AU"/>
              </w:rPr>
              <w:t>600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638</w:t>
            </w:r>
            <w:r>
              <w:rPr>
                <w:lang w:eastAsia="en-AU"/>
              </w:rPr>
              <w:t> </w:t>
            </w:r>
            <w:r w:rsidRPr="005E5444">
              <w:rPr>
                <w:lang w:eastAsia="en-AU"/>
              </w:rPr>
              <w:t>600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707</w:t>
            </w:r>
            <w:r>
              <w:rPr>
                <w:lang w:eastAsia="en-AU"/>
              </w:rPr>
              <w:t> </w:t>
            </w:r>
            <w:r w:rsidRPr="005E5444">
              <w:rPr>
                <w:lang w:eastAsia="en-AU"/>
              </w:rPr>
              <w:t>241</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626</w:t>
            </w:r>
            <w:r>
              <w:rPr>
                <w:lang w:eastAsia="en-AU"/>
              </w:rPr>
              <w:t> </w:t>
            </w:r>
            <w:r w:rsidRPr="005E5444">
              <w:rPr>
                <w:lang w:eastAsia="en-AU"/>
              </w:rPr>
              <w:t>400</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2013</w:t>
            </w:r>
            <w:r>
              <w:noBreakHyphen/>
            </w:r>
            <w:r w:rsidRPr="005E5444">
              <w:t xml:space="preserve">14 </w:t>
            </w:r>
            <w:r>
              <w:t xml:space="preserve">expected outcome </w:t>
            </w:r>
            <w:r w:rsidRPr="005E5444">
              <w:t>and the 2014</w:t>
            </w:r>
            <w:r>
              <w:noBreakHyphen/>
              <w:t>15 target are</w:t>
            </w:r>
            <w:r w:rsidRPr="005E5444">
              <w:t xml:space="preserve"> lower than the 2013</w:t>
            </w:r>
            <w:r>
              <w:noBreakHyphen/>
            </w:r>
            <w:r w:rsidRPr="005E5444">
              <w:t xml:space="preserve">14 </w:t>
            </w:r>
            <w:r>
              <w:t>target</w:t>
            </w:r>
            <w:r w:rsidRPr="005E5444">
              <w:t xml:space="preserve"> as a result of </w:t>
            </w:r>
            <w:r>
              <w:t>the extension of Stage 1 milestone timeframes (from 2013</w:t>
            </w:r>
            <w:r>
              <w:noBreakHyphen/>
              <w:t>2018) to align with Stage 2. The reporting methodology was subsequently revised to better reflect these changes. The water recovery target for both Stage 1 and Stage 2 of the Connections Project remains the same.</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Melbourne's Water Future Actions implemented</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35</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This performance measure</w:t>
            </w:r>
            <w:r>
              <w:t xml:space="preserve"> is proposed to replace</w:t>
            </w:r>
            <w:r w:rsidRPr="005E5444">
              <w:t xml:space="preserve"> the 2013</w:t>
            </w:r>
            <w:r>
              <w:noBreakHyphen/>
              <w:t>14 performance measure</w:t>
            </w:r>
            <w:r w:rsidRPr="005E5444">
              <w:t xml:space="preserve"> 'Living Victoria Program recommendations implemented'. </w:t>
            </w:r>
            <w:r>
              <w:t>It</w:t>
            </w:r>
            <w:r w:rsidRPr="005E5444">
              <w:t xml:space="preserve"> has been amended to refine the former measure and reflect the release of Living Victoria's Melbourne's Water Future policy in December 2013.</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Number of people engaged to increase the knowledge/capacity of water management</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Default="00A53D7D" w:rsidP="005140B4">
            <w:pPr>
              <w:pStyle w:val="OGTableofFigures"/>
              <w:rPr>
                <w:lang w:eastAsia="en-AU"/>
              </w:rPr>
            </w:pPr>
            <w:r w:rsidRPr="005E5444">
              <w:rPr>
                <w:lang w:eastAsia="en-AU"/>
              </w:rPr>
              <w:t>1</w:t>
            </w:r>
            <w:r>
              <w:rPr>
                <w:lang w:eastAsia="en-AU"/>
              </w:rPr>
              <w:t> </w:t>
            </w:r>
            <w:r w:rsidRPr="005E5444">
              <w:rPr>
                <w:lang w:eastAsia="en-AU"/>
              </w:rPr>
              <w:t>000</w:t>
            </w:r>
            <w:r>
              <w:rPr>
                <w:lang w:eastAsia="en-AU"/>
              </w:rPr>
              <w:t>–</w:t>
            </w:r>
          </w:p>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200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w:t>
            </w:r>
            <w:r>
              <w:t>his performance measure is proposed to replace</w:t>
            </w:r>
            <w:r w:rsidRPr="005E5444">
              <w:t xml:space="preserve"> the 2013</w:t>
            </w:r>
            <w:r>
              <w:noBreakHyphen/>
              <w:t>14 performance measure</w:t>
            </w:r>
            <w:r w:rsidRPr="005E5444">
              <w:t xml:space="preserve"> 'Number of community groups engaged to increase the knowledge/cap</w:t>
            </w:r>
            <w:r>
              <w:t xml:space="preserve">acity of water management'. It </w:t>
            </w:r>
            <w:r w:rsidRPr="005E5444">
              <w:t>has been amended due to a change in data capture methods at engagement events and for increased clarity.</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 xml:space="preserve">Number of sites where works have been undertaken to improve </w:t>
            </w:r>
            <w:proofErr w:type="spellStart"/>
            <w:r w:rsidRPr="005E5444">
              <w:rPr>
                <w:lang w:eastAsia="en-AU"/>
              </w:rPr>
              <w:t>instream</w:t>
            </w:r>
            <w:proofErr w:type="spellEnd"/>
            <w:r w:rsidRPr="005E5444">
              <w:rPr>
                <w:lang w:eastAsia="en-AU"/>
              </w:rPr>
              <w:t xml:space="preserve"> health</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40</w:t>
            </w:r>
            <w:r>
              <w:rPr>
                <w:lang w:eastAsia="en-AU"/>
              </w:rPr>
              <w:t>–</w:t>
            </w:r>
            <w:r w:rsidRPr="005E5444">
              <w:rPr>
                <w:lang w:eastAsia="en-AU"/>
              </w:rPr>
              <w:t>47</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t>This performance measure i</w:t>
            </w:r>
            <w:r w:rsidRPr="005E5444">
              <w:t>s</w:t>
            </w:r>
            <w:r>
              <w:t xml:space="preserve"> proposed to replace</w:t>
            </w:r>
            <w:r w:rsidRPr="005E5444">
              <w:t xml:space="preserve"> the 2013</w:t>
            </w:r>
            <w:r>
              <w:noBreakHyphen/>
              <w:t>14 performance measure</w:t>
            </w:r>
            <w:r w:rsidRPr="005E5444">
              <w:t xml:space="preserve"> 'Length of rivers where works have been undertaken to improve </w:t>
            </w:r>
            <w:proofErr w:type="spellStart"/>
            <w:r w:rsidRPr="005E5444">
              <w:t>i</w:t>
            </w:r>
            <w:r>
              <w:t>nstream</w:t>
            </w:r>
            <w:proofErr w:type="spellEnd"/>
            <w:r>
              <w:t xml:space="preserve"> health'. It</w:t>
            </w:r>
            <w:r w:rsidRPr="005E5444">
              <w:t xml:space="preserve"> has been amended for increased clarity.</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Number of sites with environmental water managed to meet environmental objectives</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53</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65</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53</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2013</w:t>
            </w:r>
            <w:r>
              <w:noBreakHyphen/>
            </w:r>
            <w:r w:rsidRPr="005E5444">
              <w:t xml:space="preserve">14 </w:t>
            </w:r>
            <w:r>
              <w:t xml:space="preserve">expected outcome </w:t>
            </w:r>
            <w:r w:rsidRPr="005E5444">
              <w:t>is higher than the 2013</w:t>
            </w:r>
            <w:r>
              <w:noBreakHyphen/>
              <w:t>14 target due to</w:t>
            </w:r>
            <w:r w:rsidRPr="005E5444">
              <w:t xml:space="preserve"> favourable seasonal conditions.</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Other Victorian retail water entitlements (including licences to take and use water and other miscellaneous entitlements) recorded in the water register</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83</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77</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77</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73.6</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higher 2014</w:t>
            </w:r>
            <w:r>
              <w:noBreakHyphen/>
            </w:r>
            <w:r w:rsidRPr="005E5444">
              <w:t xml:space="preserve">15 </w:t>
            </w:r>
            <w:r>
              <w:t>target</w:t>
            </w:r>
            <w:r w:rsidRPr="005E5444">
              <w:t xml:space="preserve"> reflects the cumulative nature of the measure.</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Rebates approved for small business</w:t>
            </w:r>
            <w:r>
              <w:rPr>
                <w:lang w:eastAsia="en-AU"/>
              </w:rPr>
              <w:t>es</w:t>
            </w:r>
            <w:r w:rsidRPr="005E5444">
              <w:rPr>
                <w:lang w:eastAsia="en-AU"/>
              </w:rPr>
              <w:t xml:space="preserve"> for improved water efficiency</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500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500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500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690</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Pr>
                <w:lang w:eastAsia="en-AU"/>
              </w:rPr>
              <w:t>Rebates approved f</w:t>
            </w:r>
            <w:r w:rsidRPr="005E5444">
              <w:rPr>
                <w:lang w:eastAsia="en-AU"/>
              </w:rPr>
              <w:t>o</w:t>
            </w:r>
            <w:r>
              <w:rPr>
                <w:lang w:eastAsia="en-AU"/>
              </w:rPr>
              <w:t>r</w:t>
            </w:r>
            <w:r w:rsidRPr="005E5444">
              <w:rPr>
                <w:lang w:eastAsia="en-AU"/>
              </w:rPr>
              <w:t xml:space="preserve"> households for improved water efficiency in the house and garden</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18</w:t>
            </w:r>
            <w:r>
              <w:rPr>
                <w:lang w:eastAsia="en-AU"/>
              </w:rPr>
              <w:t> </w:t>
            </w:r>
            <w:r w:rsidRPr="005E5444">
              <w:rPr>
                <w:lang w:eastAsia="en-AU"/>
              </w:rPr>
              <w:t>000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18</w:t>
            </w:r>
            <w:r>
              <w:rPr>
                <w:lang w:eastAsia="en-AU"/>
              </w:rPr>
              <w:t> </w:t>
            </w:r>
            <w:r w:rsidRPr="005E5444">
              <w:rPr>
                <w:lang w:eastAsia="en-AU"/>
              </w:rPr>
              <w:t>000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18</w:t>
            </w:r>
            <w:r>
              <w:rPr>
                <w:lang w:eastAsia="en-AU"/>
              </w:rPr>
              <w:t> </w:t>
            </w:r>
            <w:r w:rsidRPr="005E5444">
              <w:rPr>
                <w:lang w:eastAsia="en-AU"/>
              </w:rPr>
              <w:t>000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16</w:t>
            </w:r>
            <w:r>
              <w:rPr>
                <w:lang w:eastAsia="en-AU"/>
              </w:rPr>
              <w:t> </w:t>
            </w:r>
            <w:r w:rsidRPr="005E5444">
              <w:rPr>
                <w:lang w:eastAsia="en-AU"/>
              </w:rPr>
              <w:t>200</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Victorian water shares (entitlements to a share of water in large rural storages)</w:t>
            </w:r>
            <w:r>
              <w:rPr>
                <w:lang w:eastAsia="en-AU"/>
              </w:rPr>
              <w:t xml:space="preserve"> </w:t>
            </w:r>
            <w:r w:rsidRPr="005E5444">
              <w:rPr>
                <w:lang w:eastAsia="en-AU"/>
              </w:rPr>
              <w:t>recorded in the water register</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Water information products delivered for greater accountability in sustainable water resource management</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5</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5</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5</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5</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Bulk water entitlements/environmental entitlements being complied with to ensure security of supply, environmental flows and compliance with caps</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nil"/>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100</w:t>
            </w:r>
          </w:p>
        </w:tc>
        <w:tc>
          <w:tcPr>
            <w:tcW w:w="993"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Catchment Management Authority corporate plans submitted to the Minister by the prescribed date</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10</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This performance measure is transferred directly from the 2013</w:t>
            </w:r>
            <w:r>
              <w:noBreakHyphen/>
            </w:r>
            <w:r w:rsidRPr="005E5444">
              <w:t xml:space="preserve">14 Environmental Programs </w:t>
            </w:r>
            <w:r>
              <w:t xml:space="preserve">output as a result of machinery of </w:t>
            </w:r>
            <w:r w:rsidRPr="005E5444">
              <w:t>government changes.</w:t>
            </w:r>
          </w:p>
        </w:tc>
      </w:tr>
      <w:tr w:rsidR="00A53D7D" w:rsidRPr="005E5444" w:rsidTr="005140B4">
        <w:trPr>
          <w:cantSplit/>
        </w:trPr>
        <w:tc>
          <w:tcPr>
            <w:tcW w:w="3155" w:type="dxa"/>
            <w:tcBorders>
              <w:top w:val="single" w:sz="6" w:space="0" w:color="auto"/>
              <w:left w:val="nil"/>
              <w:bottom w:val="single" w:sz="4"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 xml:space="preserve">Statutory obligations of Water Corporations complied with, including annual reports and audits, corporate plans, and exercises under the </w:t>
            </w:r>
            <w:r w:rsidRPr="00643E2F">
              <w:rPr>
                <w:i/>
                <w:lang w:eastAsia="en-AU"/>
              </w:rPr>
              <w:t>Terrorism (Community Protection) Act 2003</w:t>
            </w:r>
          </w:p>
        </w:tc>
        <w:tc>
          <w:tcPr>
            <w:tcW w:w="907" w:type="dxa"/>
            <w:tcBorders>
              <w:top w:val="single" w:sz="6" w:space="0" w:color="auto"/>
              <w:left w:val="nil"/>
              <w:bottom w:val="single" w:sz="4"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single" w:sz="4"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100</w:t>
            </w:r>
          </w:p>
        </w:tc>
        <w:tc>
          <w:tcPr>
            <w:tcW w:w="993" w:type="dxa"/>
            <w:tcBorders>
              <w:top w:val="single" w:sz="6" w:space="0" w:color="auto"/>
              <w:left w:val="nil"/>
              <w:bottom w:val="single" w:sz="4"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single" w:sz="6" w:space="0" w:color="auto"/>
              <w:left w:val="nil"/>
              <w:bottom w:val="single" w:sz="4"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single" w:sz="6" w:space="0" w:color="auto"/>
              <w:left w:val="nil"/>
              <w:bottom w:val="single" w:sz="4"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r>
      <w:tr w:rsidR="00A53D7D" w:rsidRPr="005E5444" w:rsidTr="005140B4">
        <w:trPr>
          <w:cantSplit/>
        </w:trPr>
        <w:tc>
          <w:tcPr>
            <w:tcW w:w="3155" w:type="dxa"/>
            <w:tcBorders>
              <w:top w:val="single" w:sz="4"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Cost</w:t>
            </w:r>
          </w:p>
        </w:tc>
        <w:tc>
          <w:tcPr>
            <w:tcW w:w="907" w:type="dxa"/>
            <w:tcBorders>
              <w:top w:val="single" w:sz="4"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4"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4"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4"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4"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Total output cost</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w:t>
            </w:r>
            <w:r>
              <w:rPr>
                <w:lang w:eastAsia="en-AU"/>
              </w:rPr>
              <w:t> m</w:t>
            </w:r>
            <w:r w:rsidRPr="005E5444">
              <w:rPr>
                <w:lang w:eastAsia="en-AU"/>
              </w:rPr>
              <w:t>illion</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Pr>
                <w:lang w:eastAsia="en-AU"/>
              </w:rPr>
              <w:t>452.8</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Pr>
                <w:lang w:eastAsia="en-AU"/>
              </w:rPr>
              <w:t>371.5</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343.7</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261.7</w:t>
            </w:r>
          </w:p>
        </w:tc>
      </w:tr>
      <w:tr w:rsidR="00A53D7D" w:rsidRPr="005E5444" w:rsidTr="005140B4">
        <w:trPr>
          <w:cantSplit/>
        </w:trPr>
        <w:tc>
          <w:tcPr>
            <w:tcW w:w="7776" w:type="dxa"/>
            <w:gridSpan w:val="6"/>
            <w:tcBorders>
              <w:top w:val="nil"/>
              <w:left w:val="nil"/>
              <w:bottom w:val="single" w:sz="12" w:space="0" w:color="auto"/>
              <w:right w:val="nil"/>
            </w:tcBorders>
            <w:shd w:val="clear" w:color="000000" w:fill="FFFFFF"/>
          </w:tcPr>
          <w:p w:rsidR="00A53D7D" w:rsidRDefault="00A53D7D" w:rsidP="005140B4">
            <w:pPr>
              <w:pStyle w:val="OGNotes"/>
            </w:pPr>
            <w:r>
              <w:t>The higher 2014</w:t>
            </w:r>
            <w:r>
              <w:noBreakHyphen/>
              <w:t xml:space="preserve">15 target primarily reflects additional government investment provided in the </w:t>
            </w:r>
            <w:r w:rsidRPr="00E3748D">
              <w:rPr>
                <w:i w:val="0"/>
              </w:rPr>
              <w:t>2014</w:t>
            </w:r>
            <w:r w:rsidRPr="00E3748D">
              <w:rPr>
                <w:i w:val="0"/>
              </w:rPr>
              <w:noBreakHyphen/>
              <w:t>15 Budget</w:t>
            </w:r>
            <w:r>
              <w:t xml:space="preserve"> for the rural water management and implementing the Government’s commitment to flood enquiries initiatives and service realignment due to machinery of government changes. </w:t>
            </w:r>
          </w:p>
          <w:p w:rsidR="00A53D7D" w:rsidRPr="005E5444" w:rsidRDefault="00A53D7D" w:rsidP="005140B4">
            <w:pPr>
              <w:pStyle w:val="OGNotes"/>
            </w:pPr>
            <w:r>
              <w:t>The higher 2013</w:t>
            </w:r>
            <w:r>
              <w:noBreakHyphen/>
              <w:t>14 expected outcome is due to new projects funded by the Commonwealth in 2013</w:t>
            </w:r>
            <w:r>
              <w:noBreakHyphen/>
              <w:t>14 including the Victorian farm modernisation project and the Murray</w:t>
            </w:r>
            <w:r>
              <w:noBreakHyphen/>
              <w:t>Darling Basin implementation plan.</w:t>
            </w:r>
          </w:p>
        </w:tc>
      </w:tr>
    </w:tbl>
    <w:p w:rsidR="00A53D7D" w:rsidRDefault="00A53D7D" w:rsidP="005140B4">
      <w:pPr>
        <w:pStyle w:val="Source"/>
        <w:rPr>
          <w:lang w:eastAsia="en-AU"/>
        </w:rPr>
      </w:pPr>
      <w:r>
        <w:rPr>
          <w:lang w:eastAsia="en-AU"/>
        </w:rPr>
        <w:t>Source: Department of Environment and Primary Industries</w:t>
      </w:r>
      <w:r>
        <w:rPr>
          <w:lang w:eastAsia="en-AU"/>
        </w:rPr>
        <w:fldChar w:fldCharType="begin"/>
      </w:r>
      <w:r>
        <w:instrText xml:space="preserve"> XE "</w:instrText>
      </w:r>
      <w:r w:rsidRPr="009B1CCD">
        <w:rPr>
          <w:lang w:eastAsia="en-AU"/>
        </w:rPr>
        <w:instrText>Department of Environment and Primary Industries</w:instrText>
      </w:r>
      <w:r w:rsidRPr="009B1CCD">
        <w:instrText>:Effective management of water resources to meet future urban, rural and environmental needs</w:instrText>
      </w:r>
      <w:r>
        <w:instrText xml:space="preserve">" \r "DEPIManagement" </w:instrText>
      </w:r>
      <w:r>
        <w:rPr>
          <w:lang w:eastAsia="en-AU"/>
        </w:rPr>
        <w:fldChar w:fldCharType="end"/>
      </w:r>
      <w:r>
        <w:rPr>
          <w:lang w:eastAsia="en-AU"/>
        </w:rPr>
        <w:fldChar w:fldCharType="begin"/>
      </w:r>
      <w:r>
        <w:instrText xml:space="preserve"> XE "</w:instrText>
      </w:r>
      <w:r w:rsidRPr="00CC0C5F">
        <w:rPr>
          <w:lang w:eastAsia="en-AU"/>
        </w:rPr>
        <w:instrText>Effective management of water resources to meet future urban, rural and environmental needs</w:instrText>
      </w:r>
      <w:r>
        <w:instrText xml:space="preserve">" \r "DEPIManagement" </w:instrText>
      </w:r>
      <w:r>
        <w:rPr>
          <w:lang w:eastAsia="en-AU"/>
        </w:rPr>
        <w:fldChar w:fldCharType="end"/>
      </w:r>
    </w:p>
    <w:bookmarkEnd w:id="81"/>
    <w:p w:rsidR="00A53D7D" w:rsidRDefault="00A53D7D" w:rsidP="005140B4">
      <w:pPr>
        <w:rPr>
          <w:lang w:eastAsia="en-AU"/>
        </w:rPr>
      </w:pPr>
      <w:r>
        <w:rPr>
          <w:lang w:eastAsia="en-AU"/>
        </w:rPr>
        <w:br w:type="page"/>
      </w:r>
    </w:p>
    <w:p w:rsidR="00A53D7D" w:rsidRPr="005E5444" w:rsidRDefault="00A53D7D" w:rsidP="005140B4">
      <w:pPr>
        <w:pStyle w:val="OGHeading1"/>
        <w:rPr>
          <w:lang w:eastAsia="en-AU"/>
        </w:rPr>
      </w:pPr>
      <w:bookmarkStart w:id="82" w:name="DEPIReduced"/>
      <w:r w:rsidRPr="005E5444">
        <w:rPr>
          <w:lang w:eastAsia="en-AU"/>
        </w:rPr>
        <w:t>Reduced impact of major bushfires and other emergencies on people, infrastructure and the environment</w:t>
      </w:r>
    </w:p>
    <w:p w:rsidR="00A53D7D" w:rsidRDefault="00A53D7D" w:rsidP="005140B4">
      <w:pPr>
        <w:pStyle w:val="OGText"/>
        <w:rPr>
          <w:lang w:eastAsia="en-AU"/>
        </w:rPr>
      </w:pPr>
      <w:r w:rsidRPr="005E5444">
        <w:rPr>
          <w:lang w:eastAsia="en-AU"/>
        </w:rPr>
        <w:t>This objective delivers a risk</w:t>
      </w:r>
      <w:r>
        <w:rPr>
          <w:lang w:eastAsia="en-AU"/>
        </w:rPr>
        <w:noBreakHyphen/>
      </w:r>
      <w:r w:rsidRPr="005E5444">
        <w:rPr>
          <w:lang w:eastAsia="en-AU"/>
        </w:rPr>
        <w:t>based approach to preparing for and responding to fire and non</w:t>
      </w:r>
      <w:r>
        <w:rPr>
          <w:lang w:eastAsia="en-AU"/>
        </w:rPr>
        <w:noBreakHyphen/>
      </w:r>
      <w:r w:rsidRPr="005E5444">
        <w:rPr>
          <w:lang w:eastAsia="en-AU"/>
        </w:rPr>
        <w:t xml:space="preserve">fire emergency events to reduce the impact of emergency events on people, </w:t>
      </w:r>
      <w:proofErr w:type="gramStart"/>
      <w:r w:rsidRPr="005E5444">
        <w:rPr>
          <w:lang w:eastAsia="en-AU"/>
        </w:rPr>
        <w:t>infrastructure</w:t>
      </w:r>
      <w:proofErr w:type="gramEnd"/>
      <w:r w:rsidRPr="005E5444">
        <w:rPr>
          <w:lang w:eastAsia="en-AU"/>
        </w:rPr>
        <w:t xml:space="preserve"> and the environment.</w:t>
      </w:r>
    </w:p>
    <w:p w:rsidR="00A53D7D" w:rsidRDefault="00A53D7D" w:rsidP="005140B4">
      <w:pPr>
        <w:pStyle w:val="OGText"/>
        <w:rPr>
          <w:lang w:eastAsia="en-AU"/>
        </w:rPr>
      </w:pPr>
      <w:r w:rsidRPr="005E5444">
        <w:rPr>
          <w:lang w:eastAsia="en-AU"/>
        </w:rPr>
        <w:t>The Department works with its agency partners and the community to further improve preparation and response to bushfire and other emergencies and implement new systems to support an all</w:t>
      </w:r>
      <w:r>
        <w:rPr>
          <w:lang w:eastAsia="en-AU"/>
        </w:rPr>
        <w:noBreakHyphen/>
      </w:r>
      <w:r w:rsidRPr="005E5444">
        <w:rPr>
          <w:lang w:eastAsia="en-AU"/>
        </w:rPr>
        <w:t>hazards approach to emergency management.</w:t>
      </w:r>
    </w:p>
    <w:p w:rsidR="00A53D7D" w:rsidRDefault="00A53D7D" w:rsidP="005140B4">
      <w:pPr>
        <w:pStyle w:val="OGText"/>
        <w:rPr>
          <w:lang w:eastAsia="en-AU"/>
        </w:rPr>
      </w:pPr>
      <w:r w:rsidRPr="005E5444">
        <w:rPr>
          <w:lang w:eastAsia="en-AU"/>
        </w:rPr>
        <w:t xml:space="preserve">The Department is developing new management processes, implementing an improved training and accreditation framework, enhancing information technology and communications systems and command and control arrangements. The Department will continue to provide a skilled, professional, </w:t>
      </w:r>
      <w:proofErr w:type="gramStart"/>
      <w:r w:rsidRPr="005E5444">
        <w:rPr>
          <w:lang w:eastAsia="en-AU"/>
        </w:rPr>
        <w:t>experienced</w:t>
      </w:r>
      <w:proofErr w:type="gramEnd"/>
      <w:r w:rsidRPr="005E5444">
        <w:rPr>
          <w:lang w:eastAsia="en-AU"/>
        </w:rPr>
        <w:t xml:space="preserve"> and dedicated workforce that delivers fire and emergency management capability across Victoria.</w:t>
      </w:r>
    </w:p>
    <w:p w:rsidR="00A53D7D" w:rsidRPr="005E5444" w:rsidRDefault="00A53D7D" w:rsidP="005140B4">
      <w:pPr>
        <w:pStyle w:val="OGText"/>
        <w:rPr>
          <w:lang w:eastAsia="en-AU"/>
        </w:rPr>
      </w:pPr>
      <w:r w:rsidRPr="005E5444">
        <w:rPr>
          <w:lang w:eastAsia="en-AU"/>
        </w:rPr>
        <w:t>This objective contributes to the delivery of the Government's response to the recommendations of the 2009 Victorian Bushfires Royal Commission and the implementation of the Victorian Government's emergency management reforms.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5140B4">
        <w:trPr>
          <w:cantSplit/>
        </w:trPr>
        <w:tc>
          <w:tcPr>
            <w:tcW w:w="7776" w:type="dxa"/>
            <w:gridSpan w:val="6"/>
            <w:tcBorders>
              <w:top w:val="nil"/>
              <w:left w:val="nil"/>
              <w:bottom w:val="nil"/>
              <w:right w:val="nil"/>
            </w:tcBorders>
            <w:shd w:val="clear" w:color="auto" w:fill="auto"/>
            <w:vAlign w:val="bottom"/>
            <w:hideMark/>
          </w:tcPr>
          <w:p w:rsidR="00A53D7D" w:rsidRPr="005E5444" w:rsidRDefault="00A53D7D" w:rsidP="005140B4">
            <w:pPr>
              <w:pStyle w:val="OGHeading2"/>
              <w:rPr>
                <w:lang w:eastAsia="en-AU"/>
              </w:rPr>
            </w:pPr>
            <w:r w:rsidRPr="005E5444">
              <w:rPr>
                <w:lang w:eastAsia="en-AU"/>
              </w:rPr>
              <w:t>Fire and Emergency Management</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5E5444">
              <w:rPr>
                <w:lang w:eastAsia="en-AU"/>
              </w:rPr>
              <w:t xml:space="preserve">This output covers activities under an integrated management framework, for the effective planning and management of fire and other emergencies to reduce the impact of major bushfires and other emergencies on people, </w:t>
            </w:r>
            <w:proofErr w:type="gramStart"/>
            <w:r w:rsidRPr="005E5444">
              <w:rPr>
                <w:lang w:eastAsia="en-AU"/>
              </w:rPr>
              <w:t>infrastructure</w:t>
            </w:r>
            <w:proofErr w:type="gramEnd"/>
            <w:r w:rsidRPr="005E5444">
              <w:rPr>
                <w:lang w:eastAsia="en-AU"/>
              </w:rPr>
              <w:t xml:space="preserve"> and the environment.</w:t>
            </w:r>
          </w:p>
          <w:p w:rsidR="00A53D7D" w:rsidRPr="005E5444" w:rsidRDefault="00A53D7D" w:rsidP="005140B4">
            <w:pPr>
              <w:pStyle w:val="OGText"/>
              <w:rPr>
                <w:lang w:eastAsia="en-AU"/>
              </w:rPr>
            </w:pPr>
            <w:r w:rsidRPr="005E5444">
              <w:rPr>
                <w:lang w:eastAsia="en-AU"/>
              </w:rPr>
              <w:t>Through this output, the Department delivers a planned burning program to reduce bushfire risk to people, property and the environment; engages with the community; ensures its workforce is effectively trained and prepared; and maintains a road network capable of facilitating fire and emergency related activities</w:t>
            </w:r>
            <w:r>
              <w:rPr>
                <w:lang w:eastAsia="en-AU"/>
              </w:rPr>
              <w:t>,</w:t>
            </w:r>
            <w:r w:rsidRPr="005E5444">
              <w:rPr>
                <w:lang w:eastAsia="en-AU"/>
              </w:rPr>
              <w:t xml:space="preserve"> and providing access to tourists, the general </w:t>
            </w:r>
            <w:proofErr w:type="gramStart"/>
            <w:r w:rsidRPr="005E5444">
              <w:rPr>
                <w:lang w:eastAsia="en-AU"/>
              </w:rPr>
              <w:t>public</w:t>
            </w:r>
            <w:proofErr w:type="gramEnd"/>
            <w:r w:rsidRPr="005E5444">
              <w:rPr>
                <w:lang w:eastAsia="en-AU"/>
              </w:rPr>
              <w:t xml:space="preserve"> and the timber industry.</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Bushfire fuel management completed to protect key assets</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Pr>
                <w:lang w:eastAsia="en-AU"/>
              </w:rPr>
              <w:t>h</w:t>
            </w:r>
            <w:r w:rsidRPr="005E5444">
              <w:rPr>
                <w:lang w:eastAsia="en-AU"/>
              </w:rPr>
              <w:t>ectares (000)</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275</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260</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260</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255</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5444">
              <w:t>This performance measure renames the 2013</w:t>
            </w:r>
            <w:r>
              <w:noBreakHyphen/>
            </w:r>
            <w:r w:rsidRPr="005E5444">
              <w:t>14 perfo</w:t>
            </w:r>
            <w:r>
              <w:t>rmance measure</w:t>
            </w:r>
            <w:r w:rsidRPr="005E5444">
              <w:t xml:space="preserve"> 'Fuel reduction burning completed to protect key assets'. The measure </w:t>
            </w:r>
            <w:proofErr w:type="gramStart"/>
            <w:r w:rsidRPr="005E5444">
              <w:t>reports on the same a</w:t>
            </w:r>
            <w:r>
              <w:t xml:space="preserve">ctivity as the previous measure, </w:t>
            </w:r>
            <w:r w:rsidRPr="005E5444">
              <w:t>however</w:t>
            </w:r>
            <w:r>
              <w:t>,</w:t>
            </w:r>
            <w:r w:rsidRPr="005E5444">
              <w:t xml:space="preserve"> has</w:t>
            </w:r>
            <w:proofErr w:type="gramEnd"/>
            <w:r w:rsidRPr="005E5444">
              <w:t xml:space="preserve"> been</w:t>
            </w:r>
            <w:r>
              <w:t xml:space="preserve"> amended for increased clarity.</w:t>
            </w:r>
          </w:p>
          <w:p w:rsidR="00A53D7D" w:rsidRPr="005E5444" w:rsidRDefault="00A53D7D" w:rsidP="005140B4">
            <w:pPr>
              <w:pStyle w:val="OGNotes"/>
            </w:pPr>
            <w:r w:rsidRPr="005E5444">
              <w:t>The 2014</w:t>
            </w:r>
            <w:r>
              <w:noBreakHyphen/>
            </w:r>
            <w:r w:rsidRPr="005E5444">
              <w:t xml:space="preserve">15 </w:t>
            </w:r>
            <w:r>
              <w:t>target</w:t>
            </w:r>
            <w:r w:rsidRPr="005E5444">
              <w:t xml:space="preserve"> is higher than the 2013</w:t>
            </w:r>
            <w:r>
              <w:noBreakHyphen/>
            </w:r>
            <w:r w:rsidRPr="005E5444">
              <w:t xml:space="preserve">14 </w:t>
            </w:r>
            <w:r>
              <w:t>target</w:t>
            </w:r>
            <w:r w:rsidRPr="005E5444">
              <w:t xml:space="preserve"> due to additional funding provided as part of the 2013</w:t>
            </w:r>
            <w:r>
              <w:noBreakHyphen/>
            </w:r>
            <w:r w:rsidRPr="005E5444">
              <w:t>14 Budget</w:t>
            </w:r>
            <w:r>
              <w:t xml:space="preserve"> to achieve a higher hectare count in 2014</w:t>
            </w:r>
            <w:r>
              <w:noBreakHyphen/>
              <w:t>15</w:t>
            </w:r>
            <w:r w:rsidRPr="005E5444">
              <w:t>.</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keepNext/>
              <w:rPr>
                <w:lang w:eastAsia="en-AU"/>
              </w:rPr>
            </w:pPr>
            <w:r w:rsidRPr="005E5444">
              <w:rPr>
                <w:lang w:eastAsia="en-AU"/>
              </w:rPr>
              <w:t xml:space="preserve">Community engagement plans developed and implemented in accordance with the </w:t>
            </w:r>
            <w:proofErr w:type="spellStart"/>
            <w:r w:rsidRPr="005E5444">
              <w:rPr>
                <w:lang w:eastAsia="en-AU"/>
              </w:rPr>
              <w:t>statewide</w:t>
            </w:r>
            <w:proofErr w:type="spellEnd"/>
            <w:r w:rsidRPr="005E5444">
              <w:rPr>
                <w:lang w:eastAsia="en-AU"/>
              </w:rPr>
              <w:t xml:space="preserve"> strategy for bushfire management engagement</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keepNext/>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keepNext/>
              <w:rPr>
                <w:lang w:eastAsia="en-AU"/>
              </w:rPr>
            </w:pPr>
            <w:r w:rsidRPr="005E5444">
              <w:rPr>
                <w:lang w:eastAsia="en-AU"/>
              </w:rPr>
              <w:t>6</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keepNext/>
              <w:rPr>
                <w:lang w:eastAsia="en-AU"/>
              </w:rPr>
            </w:pPr>
            <w:r w:rsidRPr="005E5444">
              <w:rPr>
                <w:lang w:eastAsia="en-AU"/>
              </w:rPr>
              <w:t>6</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keepNext/>
              <w:rPr>
                <w:lang w:eastAsia="en-AU"/>
              </w:rPr>
            </w:pPr>
            <w:r w:rsidRPr="005E5444">
              <w:rPr>
                <w:lang w:eastAsia="en-AU"/>
              </w:rPr>
              <w:t>6</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keepNext/>
              <w:rPr>
                <w:lang w:eastAsia="en-AU"/>
              </w:rPr>
            </w:pPr>
            <w:r w:rsidRPr="005E5444">
              <w:rPr>
                <w:lang w:eastAsia="en-AU"/>
              </w:rPr>
              <w:t>6</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This performance measure renames the 2013</w:t>
            </w:r>
            <w:r>
              <w:noBreakHyphen/>
            </w:r>
            <w:r w:rsidRPr="005E5444">
              <w:t>14 performa</w:t>
            </w:r>
            <w:r>
              <w:t>nce measure</w:t>
            </w:r>
            <w:r w:rsidRPr="005E5444">
              <w:t xml:space="preserve"> 'Community engagement plans developed and implemented in response to social research findings on community consultation needs of the Planned Burning Program'. The measure </w:t>
            </w:r>
            <w:proofErr w:type="gramStart"/>
            <w:r w:rsidRPr="005E5444">
              <w:t>reports on the same activity as the previous measure</w:t>
            </w:r>
            <w:r>
              <w:t>,</w:t>
            </w:r>
            <w:r w:rsidRPr="005E5444">
              <w:t xml:space="preserve"> however</w:t>
            </w:r>
            <w:r>
              <w:t>,</w:t>
            </w:r>
            <w:r w:rsidRPr="005E5444">
              <w:t xml:space="preserve"> has</w:t>
            </w:r>
            <w:proofErr w:type="gramEnd"/>
            <w:r w:rsidRPr="005E5444">
              <w:t xml:space="preserve"> been amended for increased clarity.</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Personnel with accreditation in a fire and emergency management role</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1 800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1 900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1 800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1 903</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5444">
              <w:t>This performance measure renames the 2013</w:t>
            </w:r>
            <w:r>
              <w:noBreakHyphen/>
            </w:r>
            <w:r w:rsidRPr="005E5444">
              <w:t xml:space="preserve">14 performance measure of 'Personnel with accreditation in a fire role'. The measure </w:t>
            </w:r>
            <w:proofErr w:type="gramStart"/>
            <w:r w:rsidRPr="005E5444">
              <w:t>reports on the same activity as the previous measure</w:t>
            </w:r>
            <w:r>
              <w:t>,</w:t>
            </w:r>
            <w:r w:rsidRPr="005E5444">
              <w:t xml:space="preserve"> however</w:t>
            </w:r>
            <w:r>
              <w:t>,</w:t>
            </w:r>
            <w:r w:rsidRPr="005E5444">
              <w:t xml:space="preserve"> has</w:t>
            </w:r>
            <w:proofErr w:type="gramEnd"/>
            <w:r w:rsidRPr="005E5444">
              <w:t xml:space="preserve"> been amended for</w:t>
            </w:r>
            <w:r>
              <w:t xml:space="preserve"> increased clarity.</w:t>
            </w:r>
          </w:p>
          <w:p w:rsidR="00A53D7D" w:rsidRPr="005E5444" w:rsidRDefault="00A53D7D" w:rsidP="005140B4">
            <w:pPr>
              <w:pStyle w:val="OGNotes"/>
            </w:pPr>
            <w:r w:rsidRPr="005E5444">
              <w:t>The 2013</w:t>
            </w:r>
            <w:r>
              <w:noBreakHyphen/>
            </w:r>
            <w:r w:rsidRPr="005E5444">
              <w:t xml:space="preserve">14 </w:t>
            </w:r>
            <w:r>
              <w:t xml:space="preserve">expected outcome </w:t>
            </w:r>
            <w:r w:rsidRPr="005E5444">
              <w:t>is higher than the 2013</w:t>
            </w:r>
            <w:r>
              <w:noBreakHyphen/>
            </w:r>
            <w:r w:rsidRPr="005E5444">
              <w:t xml:space="preserve">14 </w:t>
            </w:r>
            <w:r>
              <w:t>target due to weather conditions</w:t>
            </w:r>
            <w:r w:rsidRPr="005E5444">
              <w:t xml:space="preserve"> resulting in a higher than anticipated number of people with accreditation required to perform a fire and emergency management role.</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State forests roads (Category 1) and bridges (on Category 1 roads) with documented inspections and/or maintenance programs to meet regulatory obligations</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100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This</w:t>
            </w:r>
            <w:r>
              <w:t xml:space="preserve"> performance measure is proposed to consolidate</w:t>
            </w:r>
            <w:r w:rsidRPr="005E5444">
              <w:t xml:space="preserve"> the 2013</w:t>
            </w:r>
            <w:r>
              <w:noBreakHyphen/>
              <w:t>14 performance measures</w:t>
            </w:r>
            <w:r w:rsidRPr="005E5444">
              <w:t xml:space="preserve"> 'State forests bridges (on Category 1 roads) with documented inspections to meet regulatory obligations' and 'State forests roads (Category 1) with documented inspection and maintenance programs to meet regulatory obligatio</w:t>
            </w:r>
            <w:r>
              <w:t>ns' into a new measure for 2014</w:t>
            </w:r>
            <w:r>
              <w:noBreakHyphen/>
            </w:r>
            <w:r w:rsidRPr="005E5444">
              <w:t xml:space="preserve">15. </w:t>
            </w:r>
            <w:r>
              <w:t>It measures the same activity as the previously separate measures.</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Strategic engagement forums held to enhance stakeholder and community understanding of bushfire management</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12</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11</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12</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10</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5444">
              <w:t>This performance measure renames the 2013</w:t>
            </w:r>
            <w:r>
              <w:noBreakHyphen/>
              <w:t>14 performance measure</w:t>
            </w:r>
            <w:r w:rsidRPr="005E5444">
              <w:t xml:space="preserve"> 'Strategic engagement forums held to enhance community understanding and sustain support for the Planned Burning Program'. The measure </w:t>
            </w:r>
            <w:proofErr w:type="gramStart"/>
            <w:r w:rsidRPr="005E5444">
              <w:t>reports on the same activity as the previous measure</w:t>
            </w:r>
            <w:r>
              <w:t>,</w:t>
            </w:r>
            <w:r w:rsidRPr="005E5444">
              <w:t xml:space="preserve"> however</w:t>
            </w:r>
            <w:r>
              <w:t>,</w:t>
            </w:r>
            <w:r w:rsidRPr="005E5444">
              <w:t xml:space="preserve"> has</w:t>
            </w:r>
            <w:proofErr w:type="gramEnd"/>
            <w:r w:rsidRPr="005E5444">
              <w:t xml:space="preserve"> been</w:t>
            </w:r>
            <w:r>
              <w:t xml:space="preserve"> amended for increased clarity.</w:t>
            </w:r>
          </w:p>
          <w:p w:rsidR="00A53D7D" w:rsidRPr="005E5444" w:rsidRDefault="00A53D7D" w:rsidP="005140B4">
            <w:pPr>
              <w:pStyle w:val="OGNotes"/>
            </w:pPr>
            <w:r w:rsidRPr="005E5444">
              <w:t>The 2013</w:t>
            </w:r>
            <w:r>
              <w:noBreakHyphen/>
            </w:r>
            <w:r w:rsidRPr="005E5444">
              <w:t xml:space="preserve">14 </w:t>
            </w:r>
            <w:r>
              <w:t xml:space="preserve">expected outcome </w:t>
            </w:r>
            <w:r w:rsidRPr="005E5444">
              <w:t>is lower than the 2013</w:t>
            </w:r>
            <w:r>
              <w:noBreakHyphen/>
              <w:t>14 target due to</w:t>
            </w:r>
            <w:r w:rsidRPr="005E5444">
              <w:t xml:space="preserve"> an increase in community awareness and understanding of bushfire management and a change in the community demand to other engagement activities related to bushfire control operations.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Agreed DEPI emergency management obligations met on time and to standard</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100</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New performance measure for 2014</w:t>
            </w:r>
            <w:r>
              <w:noBreakHyphen/>
            </w:r>
            <w:r w:rsidRPr="005E5444">
              <w:t>15 to reflect government priorities regarding fire and emergency management.</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 xml:space="preserve">Fire controlled at less than </w:t>
            </w:r>
            <w:r>
              <w:rPr>
                <w:lang w:eastAsia="en-AU"/>
              </w:rPr>
              <w:t>5 </w:t>
            </w:r>
            <w:r w:rsidRPr="005E5444">
              <w:rPr>
                <w:lang w:eastAsia="en-AU"/>
              </w:rPr>
              <w:t>hectares to suppress fires before</w:t>
            </w:r>
            <w:r>
              <w:rPr>
                <w:lang w:eastAsia="en-AU"/>
              </w:rPr>
              <w:t> </w:t>
            </w:r>
            <w:r w:rsidRPr="005E5444">
              <w:rPr>
                <w:lang w:eastAsia="en-AU"/>
              </w:rPr>
              <w:t>they become established, minimising impact</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80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80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80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79</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Personnel accredited to serve in a senior capacity (level 2 or 3) in a fire and emergency management</w:t>
            </w:r>
            <w:r>
              <w:rPr>
                <w:lang w:eastAsia="en-AU"/>
              </w:rPr>
              <w:t xml:space="preserve"> </w:t>
            </w:r>
            <w:r w:rsidRPr="005E5444">
              <w:rPr>
                <w:lang w:eastAsia="en-AU"/>
              </w:rPr>
              <w:t>role</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300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300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300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276</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This performance measure renames the 2013</w:t>
            </w:r>
            <w:r>
              <w:noBreakHyphen/>
              <w:t>14 performance measure</w:t>
            </w:r>
            <w:r w:rsidRPr="005E5444">
              <w:t xml:space="preserve"> 'Personnel accredited to serve in a senior capacity (level 2 or 3) in a fire role'. The measure </w:t>
            </w:r>
            <w:proofErr w:type="gramStart"/>
            <w:r w:rsidRPr="005E5444">
              <w:t>reports on the same activity as the previous measure</w:t>
            </w:r>
            <w:r>
              <w:t>,</w:t>
            </w:r>
            <w:r w:rsidRPr="005E5444">
              <w:t xml:space="preserve"> however</w:t>
            </w:r>
            <w:r>
              <w:t>,</w:t>
            </w:r>
            <w:r w:rsidRPr="005E5444">
              <w:t xml:space="preserve"> has</w:t>
            </w:r>
            <w:proofErr w:type="gramEnd"/>
            <w:r w:rsidRPr="005E5444">
              <w:t xml:space="preserve"> been amended for increased clarity.</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Assessment of model of cover completed prior to fire season to assess resources available and requirement for the upcoming fire season</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Pr>
                <w:lang w:eastAsia="en-AU"/>
              </w:rPr>
              <w:t>d</w:t>
            </w:r>
            <w:r w:rsidRPr="005E5444">
              <w:rPr>
                <w:lang w:eastAsia="en-AU"/>
              </w:rPr>
              <w:t>ate</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Dec</w:t>
            </w:r>
            <w:r>
              <w:rPr>
                <w:lang w:eastAsia="en-AU"/>
              </w:rPr>
              <w:noBreakHyphen/>
            </w:r>
            <w:r w:rsidRPr="005E5444">
              <w:rPr>
                <w:lang w:eastAsia="en-AU"/>
              </w:rPr>
              <w:t>14</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Dec</w:t>
            </w:r>
            <w:r>
              <w:rPr>
                <w:lang w:eastAsia="en-AU"/>
              </w:rPr>
              <w:noBreakHyphen/>
            </w:r>
            <w:r w:rsidRPr="005E5444">
              <w:rPr>
                <w:lang w:eastAsia="en-AU"/>
              </w:rPr>
              <w:t>13</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Dec</w:t>
            </w:r>
            <w:r>
              <w:rPr>
                <w:lang w:eastAsia="en-AU"/>
              </w:rPr>
              <w:noBreakHyphen/>
            </w:r>
            <w:r w:rsidRPr="005E5444">
              <w:rPr>
                <w:lang w:eastAsia="en-AU"/>
              </w:rPr>
              <w:t>13</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Feb</w:t>
            </w:r>
            <w:r>
              <w:rPr>
                <w:lang w:eastAsia="en-AU"/>
              </w:rPr>
              <w:noBreakHyphen/>
            </w:r>
            <w:r w:rsidRPr="005E5444">
              <w:rPr>
                <w:lang w:eastAsia="en-AU"/>
              </w:rPr>
              <w:t>13</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 xml:space="preserve">As requested by </w:t>
            </w:r>
            <w:r>
              <w:t xml:space="preserve">the </w:t>
            </w:r>
            <w:r w:rsidRPr="005E5444">
              <w:t>P</w:t>
            </w:r>
            <w:r>
              <w:t xml:space="preserve">ublic </w:t>
            </w:r>
            <w:r w:rsidRPr="005E5444">
              <w:t>A</w:t>
            </w:r>
            <w:r>
              <w:t xml:space="preserve">ccounts and </w:t>
            </w:r>
            <w:r w:rsidRPr="005E5444">
              <w:t>E</w:t>
            </w:r>
            <w:r>
              <w:t xml:space="preserve">stimates </w:t>
            </w:r>
            <w:r w:rsidRPr="005E5444">
              <w:t>C</w:t>
            </w:r>
            <w:r>
              <w:t>ommittee</w:t>
            </w:r>
            <w:r w:rsidRPr="005E5444">
              <w:t>, this performance measure has been reinstated.</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District fire operations plans completed</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Pr>
                <w:lang w:eastAsia="en-AU"/>
              </w:rPr>
              <w:t>d</w:t>
            </w:r>
            <w:r w:rsidRPr="005E5444">
              <w:rPr>
                <w:lang w:eastAsia="en-AU"/>
              </w:rPr>
              <w:t>ate</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Oct</w:t>
            </w:r>
            <w:r>
              <w:rPr>
                <w:lang w:eastAsia="en-AU"/>
              </w:rPr>
              <w:noBreakHyphen/>
            </w:r>
            <w:r w:rsidRPr="005E5444">
              <w:rPr>
                <w:lang w:eastAsia="en-AU"/>
              </w:rPr>
              <w:t>14</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Oct</w:t>
            </w:r>
            <w:r>
              <w:rPr>
                <w:lang w:eastAsia="en-AU"/>
              </w:rPr>
              <w:noBreakHyphen/>
            </w:r>
            <w:r w:rsidRPr="005E5444">
              <w:rPr>
                <w:lang w:eastAsia="en-AU"/>
              </w:rPr>
              <w:t>13</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Oct</w:t>
            </w:r>
            <w:r>
              <w:rPr>
                <w:lang w:eastAsia="en-AU"/>
              </w:rPr>
              <w:noBreakHyphen/>
            </w:r>
            <w:r w:rsidRPr="005E5444">
              <w:rPr>
                <w:lang w:eastAsia="en-AU"/>
              </w:rPr>
              <w:t>13</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Oct</w:t>
            </w:r>
            <w:r>
              <w:rPr>
                <w:lang w:eastAsia="en-AU"/>
              </w:rPr>
              <w:noBreakHyphen/>
            </w:r>
            <w:r w:rsidRPr="005E5444">
              <w:rPr>
                <w:lang w:eastAsia="en-AU"/>
              </w:rPr>
              <w:t>12</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Fires controlled at First Attack to suppress fires before they become established, minimising impact</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80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80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80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76</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Readiness and response plans completed prior to fire season</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Pr>
                <w:lang w:eastAsia="en-AU"/>
              </w:rPr>
              <w:t>d</w:t>
            </w:r>
            <w:r w:rsidRPr="005E5444">
              <w:rPr>
                <w:lang w:eastAsia="en-AU"/>
              </w:rPr>
              <w:t>ate</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Dec</w:t>
            </w:r>
            <w:r>
              <w:rPr>
                <w:lang w:eastAsia="en-AU"/>
              </w:rPr>
              <w:noBreakHyphen/>
            </w:r>
            <w:r w:rsidRPr="005E5444">
              <w:rPr>
                <w:lang w:eastAsia="en-AU"/>
              </w:rPr>
              <w:t>14</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Dec</w:t>
            </w:r>
            <w:r>
              <w:rPr>
                <w:lang w:eastAsia="en-AU"/>
              </w:rPr>
              <w:noBreakHyphen/>
            </w:r>
            <w:r w:rsidRPr="005E5444">
              <w:rPr>
                <w:lang w:eastAsia="en-AU"/>
              </w:rPr>
              <w:t>13</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Dec</w:t>
            </w:r>
            <w:r>
              <w:rPr>
                <w:lang w:eastAsia="en-AU"/>
              </w:rPr>
              <w:noBreakHyphen/>
            </w:r>
            <w:r w:rsidRPr="005E5444">
              <w:rPr>
                <w:lang w:eastAsia="en-AU"/>
              </w:rPr>
              <w:t>13</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Dec</w:t>
            </w:r>
            <w:r>
              <w:rPr>
                <w:lang w:eastAsia="en-AU"/>
              </w:rPr>
              <w:noBreakHyphen/>
            </w:r>
            <w:r w:rsidRPr="005E5444">
              <w:rPr>
                <w:lang w:eastAsia="en-AU"/>
              </w:rPr>
              <w:t>12</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Total output cost</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w:t>
            </w:r>
            <w:r>
              <w:rPr>
                <w:lang w:eastAsia="en-AU"/>
              </w:rPr>
              <w:t> m</w:t>
            </w:r>
            <w:r w:rsidRPr="005E5444">
              <w:rPr>
                <w:lang w:eastAsia="en-AU"/>
              </w:rPr>
              <w:t>illion</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Pr>
                <w:lang w:eastAsia="en-AU"/>
              </w:rPr>
              <w:t>357.6</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Pr>
                <w:lang w:eastAsia="en-AU"/>
              </w:rPr>
              <w:t>334.7</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338.7</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383.5</w:t>
            </w:r>
          </w:p>
        </w:tc>
      </w:tr>
      <w:tr w:rsidR="00A53D7D" w:rsidRPr="005E5444" w:rsidTr="005140B4">
        <w:trPr>
          <w:cantSplit/>
        </w:trPr>
        <w:tc>
          <w:tcPr>
            <w:tcW w:w="7776" w:type="dxa"/>
            <w:gridSpan w:val="6"/>
            <w:tcBorders>
              <w:top w:val="nil"/>
              <w:left w:val="nil"/>
              <w:bottom w:val="single" w:sz="12" w:space="0" w:color="auto"/>
              <w:right w:val="nil"/>
            </w:tcBorders>
            <w:shd w:val="clear" w:color="000000" w:fill="FFFFFF"/>
          </w:tcPr>
          <w:p w:rsidR="00A53D7D" w:rsidRPr="005E5444" w:rsidRDefault="00A53D7D" w:rsidP="005140B4">
            <w:pPr>
              <w:pStyle w:val="OGNotes"/>
            </w:pPr>
            <w:r w:rsidRPr="008C070A">
              <w:t>The higher 2014</w:t>
            </w:r>
            <w:r>
              <w:noBreakHyphen/>
            </w:r>
            <w:r w:rsidRPr="008C070A">
              <w:t xml:space="preserve">15 Budget primarily reflects additional </w:t>
            </w:r>
            <w:r>
              <w:t>G</w:t>
            </w:r>
            <w:r w:rsidRPr="008C070A">
              <w:t>overnment investment provided in the 2014</w:t>
            </w:r>
            <w:r>
              <w:noBreakHyphen/>
            </w:r>
            <w:r w:rsidRPr="008C070A">
              <w:t>15 Budget for the preformed incident management teams and planned burning initiatives.</w:t>
            </w:r>
          </w:p>
        </w:tc>
      </w:tr>
    </w:tbl>
    <w:p w:rsidR="00A53D7D" w:rsidRDefault="00A53D7D" w:rsidP="005140B4">
      <w:pPr>
        <w:pStyle w:val="Source"/>
        <w:rPr>
          <w:lang w:eastAsia="en-AU"/>
        </w:rPr>
      </w:pPr>
      <w:r>
        <w:rPr>
          <w:lang w:eastAsia="en-AU"/>
        </w:rPr>
        <w:t>Source: Department of Environment and Primary Industries</w:t>
      </w:r>
      <w:r>
        <w:rPr>
          <w:lang w:eastAsia="en-AU"/>
        </w:rPr>
        <w:fldChar w:fldCharType="begin"/>
      </w:r>
      <w:r>
        <w:instrText xml:space="preserve"> XE "</w:instrText>
      </w:r>
      <w:r w:rsidRPr="004E5022">
        <w:rPr>
          <w:lang w:eastAsia="en-AU"/>
        </w:rPr>
        <w:instrText>Department of Environment and Primary Industries</w:instrText>
      </w:r>
      <w:r w:rsidRPr="004E5022">
        <w:instrText>:Reduced impact of major bushfires and other emergencies on people, infrastructure and the environment</w:instrText>
      </w:r>
      <w:r>
        <w:instrText xml:space="preserve">" \r "DEPIReduced" </w:instrText>
      </w:r>
      <w:r>
        <w:rPr>
          <w:lang w:eastAsia="en-AU"/>
        </w:rPr>
        <w:fldChar w:fldCharType="end"/>
      </w:r>
      <w:r>
        <w:rPr>
          <w:lang w:eastAsia="en-AU"/>
        </w:rPr>
        <w:fldChar w:fldCharType="begin"/>
      </w:r>
      <w:r>
        <w:instrText xml:space="preserve"> XE "</w:instrText>
      </w:r>
      <w:r w:rsidRPr="00CC0C5F">
        <w:rPr>
          <w:lang w:eastAsia="en-AU"/>
        </w:rPr>
        <w:instrText>Reduced impact of major bushfires and other emergencies on people, infrastructure and the environment</w:instrText>
      </w:r>
      <w:r>
        <w:instrText xml:space="preserve">" \r "DEPIReduced" </w:instrText>
      </w:r>
      <w:r>
        <w:rPr>
          <w:lang w:eastAsia="en-AU"/>
        </w:rPr>
        <w:fldChar w:fldCharType="end"/>
      </w:r>
    </w:p>
    <w:bookmarkEnd w:id="82"/>
    <w:p w:rsidR="00A53D7D" w:rsidRDefault="00A53D7D" w:rsidP="005140B4">
      <w:pPr>
        <w:rPr>
          <w:lang w:eastAsia="en-AU"/>
        </w:rPr>
      </w:pPr>
      <w:r>
        <w:rPr>
          <w:lang w:eastAsia="en-AU"/>
        </w:rPr>
        <w:br w:type="page"/>
      </w:r>
    </w:p>
    <w:p w:rsidR="00A53D7D" w:rsidRPr="005E5444" w:rsidRDefault="00A53D7D" w:rsidP="005140B4">
      <w:pPr>
        <w:pStyle w:val="OGHeading1"/>
        <w:rPr>
          <w:lang w:eastAsia="en-AU"/>
        </w:rPr>
      </w:pPr>
      <w:bookmarkStart w:id="83" w:name="DEPISustain"/>
      <w:r>
        <w:rPr>
          <w:lang w:eastAsia="en-AU"/>
        </w:rPr>
        <w:t>Sustainably manage fish and f</w:t>
      </w:r>
      <w:r w:rsidRPr="005E5444">
        <w:rPr>
          <w:lang w:eastAsia="en-AU"/>
        </w:rPr>
        <w:t xml:space="preserve">orest </w:t>
      </w:r>
      <w:r>
        <w:rPr>
          <w:lang w:eastAsia="en-AU"/>
        </w:rPr>
        <w:t>r</w:t>
      </w:r>
      <w:r w:rsidRPr="005E5444">
        <w:rPr>
          <w:lang w:eastAsia="en-AU"/>
        </w:rPr>
        <w:t>esources</w:t>
      </w:r>
    </w:p>
    <w:p w:rsidR="00A53D7D" w:rsidRDefault="00A53D7D" w:rsidP="005140B4">
      <w:pPr>
        <w:pStyle w:val="OGText"/>
        <w:rPr>
          <w:lang w:eastAsia="en-AU"/>
        </w:rPr>
      </w:pPr>
      <w:r w:rsidRPr="005E5444">
        <w:rPr>
          <w:lang w:eastAsia="en-AU"/>
        </w:rPr>
        <w:t>This objective supports the efficient and sustainable allocation and responsible management of fisheries and forest resources for current and future use.</w:t>
      </w:r>
    </w:p>
    <w:p w:rsidR="00A53D7D" w:rsidRPr="005E5444" w:rsidRDefault="00A53D7D" w:rsidP="005140B4">
      <w:pPr>
        <w:pStyle w:val="OGText"/>
        <w:rPr>
          <w:lang w:eastAsia="en-AU"/>
        </w:rPr>
      </w:pPr>
      <w:r w:rsidRPr="005E5444">
        <w:rPr>
          <w:lang w:eastAsia="en-AU"/>
        </w:rPr>
        <w:t>This objective delivers programs and services designed and delivered to fulfil the statutory responsibilities assigned to the Minister for Agriculture and Food Security and Secretary of the Department of Environment and Primary Industries as the regulator of these areas.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5140B4">
        <w:trPr>
          <w:cantSplit/>
        </w:trPr>
        <w:tc>
          <w:tcPr>
            <w:tcW w:w="7776" w:type="dxa"/>
            <w:gridSpan w:val="6"/>
            <w:tcBorders>
              <w:top w:val="nil"/>
              <w:left w:val="nil"/>
              <w:bottom w:val="nil"/>
              <w:right w:val="nil"/>
            </w:tcBorders>
            <w:shd w:val="clear" w:color="auto" w:fill="auto"/>
            <w:vAlign w:val="bottom"/>
            <w:hideMark/>
          </w:tcPr>
          <w:p w:rsidR="00A53D7D" w:rsidRPr="005E5444" w:rsidRDefault="00A53D7D" w:rsidP="005140B4">
            <w:pPr>
              <w:pStyle w:val="OGHeading2"/>
              <w:rPr>
                <w:lang w:eastAsia="en-AU"/>
              </w:rPr>
            </w:pPr>
            <w:r w:rsidRPr="005E5444">
              <w:rPr>
                <w:lang w:eastAsia="en-AU"/>
              </w:rPr>
              <w:t>Sustainably Manage Fish and Forest Resources</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5E5444">
              <w:rPr>
                <w:lang w:eastAsia="en-AU"/>
              </w:rPr>
              <w:t xml:space="preserve">This output delivers a range of legislation, regulation, science, education, enforcement and resource management activities and services to ensure fish and forest resources are managed responsibly for </w:t>
            </w:r>
            <w:r>
              <w:rPr>
                <w:lang w:eastAsia="en-AU"/>
              </w:rPr>
              <w:t>current and future generations.</w:t>
            </w:r>
          </w:p>
          <w:p w:rsidR="00A53D7D" w:rsidRPr="005E5444" w:rsidRDefault="00A53D7D" w:rsidP="005140B4">
            <w:pPr>
              <w:pStyle w:val="OGText"/>
              <w:rPr>
                <w:lang w:eastAsia="en-AU"/>
              </w:rPr>
            </w:pPr>
            <w:r w:rsidRPr="005E5444">
              <w:rPr>
                <w:lang w:eastAsia="en-AU"/>
              </w:rPr>
              <w:t xml:space="preserve">Through engagement with stakeholders in the fisheries and forestry sectors, other government agencies and the community, the Department works to implement relevant and effective programs that aim to support increased production value, encourage stewardship and </w:t>
            </w:r>
            <w:proofErr w:type="gramStart"/>
            <w:r w:rsidRPr="005E5444">
              <w:rPr>
                <w:lang w:eastAsia="en-AU"/>
              </w:rPr>
              <w:t>investment</w:t>
            </w:r>
            <w:proofErr w:type="gramEnd"/>
            <w:r w:rsidRPr="005E5444">
              <w:rPr>
                <w:lang w:eastAsia="en-AU"/>
              </w:rPr>
              <w:t xml:space="preserve"> and improve government service provision.</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Complete stock assessment for key quota managed fish species</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nil"/>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3</w:t>
            </w:r>
          </w:p>
        </w:tc>
        <w:tc>
          <w:tcPr>
            <w:tcW w:w="993"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3</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3</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Complete total allowable commercial catch setting processes for key quota managed fish species</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3</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3</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3</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Detect, disrupt and dismantle serious or organised fisheries criminal entities (individuals or groups)</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4</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4</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4</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4</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Develop, implement and review overarching fisheries compliance strategy</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1</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Enhance levels of community participation in achieving fisheries compliance through calls to the 13FISH reporting line</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500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500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500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642</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Key fisheries managed in accordance with best practice management plans</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5</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4</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5</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2013</w:t>
            </w:r>
            <w:r>
              <w:noBreakHyphen/>
            </w:r>
            <w:r w:rsidRPr="005E5444">
              <w:t xml:space="preserve">14 </w:t>
            </w:r>
            <w:r>
              <w:t xml:space="preserve">expected outcome </w:t>
            </w:r>
            <w:r w:rsidRPr="005E5444">
              <w:t>is lower than the 2013</w:t>
            </w:r>
            <w:r>
              <w:noBreakHyphen/>
            </w:r>
            <w:r w:rsidRPr="005E5444">
              <w:t xml:space="preserve">14 </w:t>
            </w:r>
            <w:r>
              <w:t>target</w:t>
            </w:r>
            <w:r w:rsidRPr="005E5444">
              <w:t xml:space="preserve"> </w:t>
            </w:r>
            <w:r>
              <w:t>due to the need to develop new m</w:t>
            </w:r>
            <w:r w:rsidRPr="005E5444">
              <w:t>inist</w:t>
            </w:r>
            <w:r>
              <w:t>erial guidelines for preparing fishery management p</w:t>
            </w:r>
            <w:r w:rsidRPr="005E5444">
              <w:t>lans before revising or developing any further plans.</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Pr>
                <w:lang w:eastAsia="en-AU"/>
              </w:rPr>
              <w:t>Minimum number of u</w:t>
            </w:r>
            <w:r w:rsidRPr="005E5444">
              <w:rPr>
                <w:lang w:eastAsia="en-AU"/>
              </w:rPr>
              <w:t>niform</w:t>
            </w:r>
            <w:r>
              <w:rPr>
                <w:lang w:eastAsia="en-AU"/>
              </w:rPr>
              <w:t>ed fisheries o</w:t>
            </w:r>
            <w:r w:rsidRPr="005E5444">
              <w:rPr>
                <w:lang w:eastAsia="en-AU"/>
              </w:rPr>
              <w:t>fficers maintaining operational coverage for priority fishing activity periods, as defined by the Compliance Strategic Assessment</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17</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17</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17</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17</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 xml:space="preserve">Number of native and </w:t>
            </w:r>
            <w:proofErr w:type="spellStart"/>
            <w:r w:rsidRPr="005E5444">
              <w:rPr>
                <w:lang w:eastAsia="en-AU"/>
              </w:rPr>
              <w:t>salmonid</w:t>
            </w:r>
            <w:proofErr w:type="spellEnd"/>
            <w:r w:rsidRPr="005E5444">
              <w:rPr>
                <w:lang w:eastAsia="en-AU"/>
              </w:rPr>
              <w:t xml:space="preserve"> fish stocked</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Pr>
                <w:lang w:eastAsia="en-AU"/>
              </w:rPr>
              <w:t>n</w:t>
            </w:r>
            <w:r w:rsidRPr="005E5444">
              <w:rPr>
                <w:lang w:eastAsia="en-AU"/>
              </w:rPr>
              <w:t>umber (000)</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340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340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340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340</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 xml:space="preserve">Key statutory obligations relevant to </w:t>
            </w:r>
            <w:proofErr w:type="spellStart"/>
            <w:r w:rsidRPr="005E5444">
              <w:rPr>
                <w:lang w:eastAsia="en-AU"/>
              </w:rPr>
              <w:t>VicForests</w:t>
            </w:r>
            <w:proofErr w:type="spellEnd"/>
            <w:r w:rsidRPr="005E5444">
              <w:rPr>
                <w:lang w:eastAsia="en-AU"/>
              </w:rPr>
              <w:t xml:space="preserve"> and the Game Management Authority complied with (tabling annual reports, audits, corporate plans and board appointments)</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100</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New performance measure for 2014</w:t>
            </w:r>
            <w:r>
              <w:noBreakHyphen/>
            </w:r>
            <w:r w:rsidRPr="005E5444">
              <w:t>15 to assess entity governance in the forestry program and the Game Management Authority.</w:t>
            </w:r>
            <w:r>
              <w:t xml:space="preserve"> This measure replaces the discontinued 2013</w:t>
            </w:r>
            <w:r>
              <w:noBreakHyphen/>
              <w:t xml:space="preserve">14 performance measure ‘Game licence applications, renewals, and amendments processed within 15 business days of receipt’. </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Text"/>
              <w:rPr>
                <w:i/>
                <w:iCs/>
                <w:lang w:eastAsia="en-AU"/>
              </w:rPr>
            </w:pPr>
            <w:r w:rsidRPr="005E5444">
              <w:rPr>
                <w:i/>
                <w:iCs/>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Fisheries cost recovery levies reviewed and set prior to 1 April annually</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100</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New performance measure for 2014</w:t>
            </w:r>
            <w:r>
              <w:noBreakHyphen/>
            </w:r>
            <w:r w:rsidRPr="005E5444">
              <w:t>15 to assess an aspect of regulatory efficiency in the fisheries program.</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right w:val="nil"/>
            </w:tcBorders>
            <w:shd w:val="clear" w:color="000000" w:fill="FFFFFF"/>
            <w:hideMark/>
          </w:tcPr>
          <w:p w:rsidR="00A53D7D" w:rsidRPr="005E5444" w:rsidRDefault="00A53D7D" w:rsidP="005140B4">
            <w:pPr>
              <w:pStyle w:val="OGTabText"/>
              <w:rPr>
                <w:lang w:eastAsia="en-AU"/>
              </w:rPr>
            </w:pPr>
            <w:r w:rsidRPr="005E5444">
              <w:rPr>
                <w:lang w:eastAsia="en-AU"/>
              </w:rPr>
              <w:t>Total output cost</w:t>
            </w:r>
          </w:p>
        </w:tc>
        <w:tc>
          <w:tcPr>
            <w:tcW w:w="907" w:type="dxa"/>
            <w:tcBorders>
              <w:top w:val="nil"/>
              <w:left w:val="nil"/>
              <w:right w:val="nil"/>
            </w:tcBorders>
            <w:shd w:val="clear" w:color="000000" w:fill="FFFFFF"/>
            <w:hideMark/>
          </w:tcPr>
          <w:p w:rsidR="00A53D7D" w:rsidRPr="005E5444" w:rsidRDefault="00A53D7D" w:rsidP="005140B4">
            <w:pPr>
              <w:pStyle w:val="OGUoM"/>
              <w:rPr>
                <w:lang w:eastAsia="en-AU"/>
              </w:rPr>
            </w:pPr>
            <w:r w:rsidRPr="005E5444">
              <w:rPr>
                <w:lang w:eastAsia="en-AU"/>
              </w:rPr>
              <w:t>$</w:t>
            </w:r>
            <w:r>
              <w:rPr>
                <w:lang w:eastAsia="en-AU"/>
              </w:rPr>
              <w:t> m</w:t>
            </w:r>
            <w:r w:rsidRPr="005E5444">
              <w:rPr>
                <w:lang w:eastAsia="en-AU"/>
              </w:rPr>
              <w:t>illion</w:t>
            </w:r>
          </w:p>
        </w:tc>
        <w:tc>
          <w:tcPr>
            <w:tcW w:w="907" w:type="dxa"/>
            <w:tcBorders>
              <w:top w:val="nil"/>
              <w:left w:val="nil"/>
              <w:right w:val="nil"/>
            </w:tcBorders>
            <w:shd w:val="clear" w:color="auto" w:fill="D9D9D9"/>
            <w:hideMark/>
          </w:tcPr>
          <w:p w:rsidR="00A53D7D" w:rsidRPr="005E5444" w:rsidRDefault="00A53D7D" w:rsidP="005140B4">
            <w:pPr>
              <w:pStyle w:val="OGTableofFigures"/>
              <w:rPr>
                <w:lang w:eastAsia="en-AU"/>
              </w:rPr>
            </w:pPr>
            <w:r>
              <w:rPr>
                <w:lang w:eastAsia="en-AU"/>
              </w:rPr>
              <w:t>72</w:t>
            </w:r>
          </w:p>
        </w:tc>
        <w:tc>
          <w:tcPr>
            <w:tcW w:w="993" w:type="dxa"/>
            <w:tcBorders>
              <w:top w:val="nil"/>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c>
          <w:tcPr>
            <w:tcW w:w="907" w:type="dxa"/>
            <w:tcBorders>
              <w:top w:val="nil"/>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nm</w:t>
            </w:r>
          </w:p>
        </w:tc>
      </w:tr>
      <w:tr w:rsidR="00A53D7D" w:rsidRPr="005E5444" w:rsidTr="005140B4">
        <w:trPr>
          <w:cantSplit/>
        </w:trPr>
        <w:tc>
          <w:tcPr>
            <w:tcW w:w="7776" w:type="dxa"/>
            <w:gridSpan w:val="6"/>
            <w:tcBorders>
              <w:top w:val="nil"/>
              <w:left w:val="nil"/>
              <w:bottom w:val="single" w:sz="12" w:space="0" w:color="auto"/>
              <w:right w:val="nil"/>
            </w:tcBorders>
            <w:shd w:val="clear" w:color="auto" w:fill="auto"/>
            <w:vAlign w:val="bottom"/>
            <w:hideMark/>
          </w:tcPr>
          <w:p w:rsidR="00A53D7D" w:rsidRPr="005E5444" w:rsidRDefault="00A53D7D" w:rsidP="005140B4">
            <w:pPr>
              <w:pStyle w:val="OGNotes"/>
            </w:pPr>
            <w:r w:rsidRPr="00010DB7">
              <w:t>This output is one of three that has been disaggregated from the discontinued Development of Primary Industries output to provide greater clarity of expenditure against portfolio outcomes.</w:t>
            </w:r>
            <w:r>
              <w:t xml:space="preserve"> </w:t>
            </w:r>
            <w:r w:rsidRPr="00010DB7">
              <w:t>As such, there is no historical output cost data available for this output.</w:t>
            </w:r>
          </w:p>
        </w:tc>
      </w:tr>
    </w:tbl>
    <w:p w:rsidR="00A53D7D" w:rsidRDefault="00A53D7D" w:rsidP="005140B4">
      <w:pPr>
        <w:pStyle w:val="Source"/>
        <w:rPr>
          <w:lang w:eastAsia="en-AU"/>
        </w:rPr>
      </w:pPr>
      <w:r>
        <w:rPr>
          <w:lang w:eastAsia="en-AU"/>
        </w:rPr>
        <w:t>Source: Department of Environment and Primary Industries</w:t>
      </w:r>
      <w:r>
        <w:rPr>
          <w:lang w:eastAsia="en-AU"/>
        </w:rPr>
        <w:fldChar w:fldCharType="begin"/>
      </w:r>
      <w:r>
        <w:instrText xml:space="preserve"> XE "</w:instrText>
      </w:r>
      <w:r w:rsidRPr="00946334">
        <w:rPr>
          <w:lang w:eastAsia="en-AU"/>
        </w:rPr>
        <w:instrText>Department of Environment and Primary Industries</w:instrText>
      </w:r>
      <w:r w:rsidRPr="00946334">
        <w:instrText>:Sustainably manage fish and forest resources</w:instrText>
      </w:r>
      <w:r>
        <w:instrText xml:space="preserve">" \r "DEPISustain" </w:instrText>
      </w:r>
      <w:r>
        <w:rPr>
          <w:lang w:eastAsia="en-AU"/>
        </w:rPr>
        <w:fldChar w:fldCharType="end"/>
      </w:r>
      <w:r>
        <w:rPr>
          <w:lang w:eastAsia="en-AU"/>
        </w:rPr>
        <w:fldChar w:fldCharType="begin"/>
      </w:r>
      <w:r>
        <w:instrText xml:space="preserve"> XE "</w:instrText>
      </w:r>
      <w:r w:rsidRPr="00CC0C5F">
        <w:rPr>
          <w:lang w:eastAsia="en-AU"/>
        </w:rPr>
        <w:instrText>Sustainably manage fish and forest resources</w:instrText>
      </w:r>
      <w:r>
        <w:instrText xml:space="preserve">" \r "DEPISustain" </w:instrText>
      </w:r>
      <w:r>
        <w:rPr>
          <w:lang w:eastAsia="en-AU"/>
        </w:rPr>
        <w:fldChar w:fldCharType="end"/>
      </w:r>
    </w:p>
    <w:bookmarkEnd w:id="83"/>
    <w:p w:rsidR="00A53D7D" w:rsidRDefault="00A53D7D" w:rsidP="005140B4">
      <w:pPr>
        <w:rPr>
          <w:lang w:eastAsia="en-AU"/>
        </w:rPr>
      </w:pPr>
      <w:r>
        <w:rPr>
          <w:lang w:eastAsia="en-AU"/>
        </w:rPr>
        <w:br w:type="page"/>
      </w:r>
    </w:p>
    <w:p w:rsidR="00A53D7D" w:rsidRPr="005E5444" w:rsidRDefault="00A53D7D" w:rsidP="005140B4">
      <w:pPr>
        <w:pStyle w:val="OGHeading1"/>
        <w:rPr>
          <w:lang w:eastAsia="en-AU"/>
        </w:rPr>
      </w:pPr>
      <w:bookmarkStart w:id="84" w:name="DEPICommun"/>
      <w:r w:rsidRPr="005E5444">
        <w:rPr>
          <w:lang w:eastAsia="en-AU"/>
        </w:rPr>
        <w:t>The community benefits from effective management of Victoria's land assets</w:t>
      </w:r>
    </w:p>
    <w:p w:rsidR="00A53D7D" w:rsidRDefault="00A53D7D" w:rsidP="005140B4">
      <w:pPr>
        <w:pStyle w:val="OGText"/>
        <w:rPr>
          <w:lang w:eastAsia="en-AU"/>
        </w:rPr>
      </w:pPr>
      <w:r w:rsidRPr="005E5444">
        <w:rPr>
          <w:lang w:eastAsia="en-AU"/>
        </w:rPr>
        <w:t xml:space="preserve">This objective delivers effective management and governance of Victoria's public land estate so it can continue to provide social, </w:t>
      </w:r>
      <w:proofErr w:type="gramStart"/>
      <w:r w:rsidRPr="005E5444">
        <w:rPr>
          <w:lang w:eastAsia="en-AU"/>
        </w:rPr>
        <w:t>economic</w:t>
      </w:r>
      <w:proofErr w:type="gramEnd"/>
      <w:r w:rsidRPr="005E5444">
        <w:rPr>
          <w:lang w:eastAsia="en-AU"/>
        </w:rPr>
        <w:t xml:space="preserve"> and environmental benefits for all Victorians.</w:t>
      </w:r>
    </w:p>
    <w:p w:rsidR="00A53D7D" w:rsidRPr="005E5444" w:rsidRDefault="00A53D7D" w:rsidP="005140B4">
      <w:pPr>
        <w:pStyle w:val="OGText"/>
        <w:rPr>
          <w:lang w:eastAsia="en-AU"/>
        </w:rPr>
      </w:pPr>
      <w:r w:rsidRPr="005E5444">
        <w:rPr>
          <w:lang w:eastAsia="en-AU"/>
        </w:rPr>
        <w:t>The Department works with statutory agencies, committees and local government to ensure that land is productive and is used in a sustainable manner, infrastructure on public land and in coastal environments is appropriate and well managed, the condition of marine, coastal and estuarine environments is protected, maintained and improved</w:t>
      </w:r>
      <w:r>
        <w:rPr>
          <w:lang w:eastAsia="en-AU"/>
        </w:rPr>
        <w:t>,</w:t>
      </w:r>
      <w:r w:rsidRPr="005E5444">
        <w:rPr>
          <w:lang w:eastAsia="en-AU"/>
        </w:rPr>
        <w:t xml:space="preserve"> and that key biodiversity assets, priority habitats and ecological processes are healthy and secure</w:t>
      </w:r>
      <w:r>
        <w:rPr>
          <w:lang w:eastAsia="en-AU"/>
        </w:rPr>
        <w:t>.</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5140B4">
        <w:trPr>
          <w:cantSplit/>
        </w:trPr>
        <w:tc>
          <w:tcPr>
            <w:tcW w:w="7776" w:type="dxa"/>
            <w:gridSpan w:val="6"/>
            <w:tcBorders>
              <w:top w:val="nil"/>
              <w:left w:val="nil"/>
              <w:bottom w:val="nil"/>
              <w:right w:val="nil"/>
            </w:tcBorders>
            <w:shd w:val="clear" w:color="auto" w:fill="auto"/>
            <w:vAlign w:val="bottom"/>
            <w:hideMark/>
          </w:tcPr>
          <w:p w:rsidR="00A53D7D" w:rsidRPr="005E5444" w:rsidRDefault="00A53D7D" w:rsidP="005140B4">
            <w:pPr>
              <w:pStyle w:val="OGHeading2"/>
              <w:rPr>
                <w:lang w:eastAsia="en-AU"/>
              </w:rPr>
            </w:pPr>
            <w:r w:rsidRPr="005E5444">
              <w:rPr>
                <w:lang w:eastAsia="en-AU"/>
              </w:rPr>
              <w:t>Management of Forests, Parks and Public Land</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5E5444">
              <w:rPr>
                <w:lang w:eastAsia="en-AU"/>
              </w:rPr>
              <w:t xml:space="preserve">This output provides for the improved stewardship of Victoria's public land estate including forests, parks, </w:t>
            </w:r>
            <w:proofErr w:type="gramStart"/>
            <w:r w:rsidRPr="005E5444">
              <w:rPr>
                <w:lang w:eastAsia="en-AU"/>
              </w:rPr>
              <w:t>coasts</w:t>
            </w:r>
            <w:proofErr w:type="gramEnd"/>
            <w:r w:rsidRPr="005E5444">
              <w:rPr>
                <w:lang w:eastAsia="en-AU"/>
              </w:rPr>
              <w:t xml:space="preserve"> and Crown land reserves. Through this output, the Department manages the development and protection of natural, cultural and community assets for the enjoyment and sustainable use by all Victorians.</w:t>
            </w:r>
          </w:p>
          <w:p w:rsidR="00A53D7D" w:rsidRPr="005E5444" w:rsidRDefault="00A53D7D" w:rsidP="005140B4">
            <w:pPr>
              <w:pStyle w:val="OGText"/>
              <w:rPr>
                <w:lang w:eastAsia="en-AU"/>
              </w:rPr>
            </w:pPr>
            <w:r w:rsidRPr="005E5444">
              <w:rPr>
                <w:lang w:eastAsia="en-AU"/>
              </w:rPr>
              <w:t xml:space="preserve">The Department works to ensure natural, </w:t>
            </w:r>
            <w:proofErr w:type="gramStart"/>
            <w:r w:rsidRPr="005E5444">
              <w:rPr>
                <w:lang w:eastAsia="en-AU"/>
              </w:rPr>
              <w:t>built</w:t>
            </w:r>
            <w:proofErr w:type="gramEnd"/>
            <w:r w:rsidRPr="005E5444">
              <w:rPr>
                <w:lang w:eastAsia="en-AU"/>
              </w:rPr>
              <w:t xml:space="preserve"> and historic assets are managed responsibly, and incorporates management of public land in partnership with statutory agencies, committees and local government.</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Crown land leases directly managed by the Department of Environment and Primary Industries</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nil"/>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684</w:t>
            </w:r>
          </w:p>
        </w:tc>
        <w:tc>
          <w:tcPr>
            <w:tcW w:w="993"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684</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684</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704</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Crown land licenses directly managed by the Department of Environment and Primary Industries</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Pr>
                <w:lang w:eastAsia="en-AU"/>
              </w:rPr>
              <w:t>n</w:t>
            </w:r>
            <w:r w:rsidRPr="005E5444">
              <w:rPr>
                <w:lang w:eastAsia="en-AU"/>
              </w:rPr>
              <w:t>umber (000)</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43</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43</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43</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44</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Maps generated on Land Channel</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19</w:t>
            </w:r>
            <w:r>
              <w:rPr>
                <w:lang w:eastAsia="en-AU"/>
              </w:rPr>
              <w:t> </w:t>
            </w:r>
            <w:r w:rsidRPr="005E5444">
              <w:rPr>
                <w:lang w:eastAsia="en-AU"/>
              </w:rPr>
              <w:t>000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19</w:t>
            </w:r>
            <w:r>
              <w:rPr>
                <w:lang w:eastAsia="en-AU"/>
              </w:rPr>
              <w:t> </w:t>
            </w:r>
            <w:r w:rsidRPr="005E5444">
              <w:rPr>
                <w:lang w:eastAsia="en-AU"/>
              </w:rPr>
              <w:t>000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19</w:t>
            </w:r>
            <w:r>
              <w:rPr>
                <w:lang w:eastAsia="en-AU"/>
              </w:rPr>
              <w:t> </w:t>
            </w:r>
            <w:r w:rsidRPr="005E5444">
              <w:rPr>
                <w:lang w:eastAsia="en-AU"/>
              </w:rPr>
              <w:t>000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19</w:t>
            </w:r>
            <w:r>
              <w:rPr>
                <w:lang w:eastAsia="en-AU"/>
              </w:rPr>
              <w:t> </w:t>
            </w:r>
            <w:r w:rsidRPr="005E5444">
              <w:rPr>
                <w:lang w:eastAsia="en-AU"/>
              </w:rPr>
              <w:t>000</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 xml:space="preserve">Number of activities undertaken by </w:t>
            </w:r>
            <w:proofErr w:type="spellStart"/>
            <w:r w:rsidRPr="005E5444">
              <w:rPr>
                <w:lang w:eastAsia="en-AU"/>
              </w:rPr>
              <w:t>Coastcare</w:t>
            </w:r>
            <w:proofErr w:type="spellEnd"/>
            <w:r w:rsidRPr="005E5444">
              <w:rPr>
                <w:lang w:eastAsia="en-AU"/>
              </w:rPr>
              <w:t xml:space="preserve"> Victoria participants</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600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600</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Number of hectares treated to minimise the impact of pest plants, pest animals and overabundant native animals in parks managed by Parks Victoria</w:t>
            </w:r>
          </w:p>
        </w:tc>
        <w:tc>
          <w:tcPr>
            <w:tcW w:w="907" w:type="dxa"/>
            <w:tcBorders>
              <w:top w:val="single" w:sz="6" w:space="0" w:color="auto"/>
              <w:left w:val="nil"/>
              <w:bottom w:val="nil"/>
              <w:right w:val="nil"/>
            </w:tcBorders>
            <w:shd w:val="clear" w:color="000000" w:fill="FFFFFF"/>
            <w:hideMark/>
          </w:tcPr>
          <w:p w:rsidR="00A53D7D" w:rsidRDefault="00A53D7D" w:rsidP="005140B4">
            <w:pPr>
              <w:pStyle w:val="OGUoM"/>
              <w:rPr>
                <w:lang w:eastAsia="en-AU"/>
              </w:rPr>
            </w:pPr>
            <w:r>
              <w:rPr>
                <w:lang w:eastAsia="en-AU"/>
              </w:rPr>
              <w:t>hectares</w:t>
            </w:r>
          </w:p>
          <w:p w:rsidR="00A53D7D" w:rsidRPr="005E5444" w:rsidRDefault="00A53D7D" w:rsidP="005140B4">
            <w:pPr>
              <w:pStyle w:val="OGUoM"/>
              <w:rPr>
                <w:lang w:eastAsia="en-AU"/>
              </w:rPr>
            </w:pPr>
            <w:r>
              <w:rPr>
                <w:lang w:eastAsia="en-AU"/>
              </w:rPr>
              <w:t>(000)</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w:t>
            </w:r>
            <w:r>
              <w:rPr>
                <w:lang w:eastAsia="en-AU"/>
              </w:rPr>
              <w:t> 100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Pr>
                <w:lang w:eastAsia="en-AU"/>
              </w:rPr>
              <w:t>1 200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Pr>
                <w:lang w:eastAsia="en-AU"/>
              </w:rPr>
              <w:t>1 200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Pr>
                <w:lang w:eastAsia="en-AU"/>
              </w:rPr>
              <w:t>1 300</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2014</w:t>
            </w:r>
            <w:r>
              <w:noBreakHyphen/>
            </w:r>
            <w:r w:rsidRPr="005E5444">
              <w:t xml:space="preserve">15 </w:t>
            </w:r>
            <w:r>
              <w:t>target</w:t>
            </w:r>
            <w:r w:rsidRPr="005E5444">
              <w:t xml:space="preserve"> is lower than the 2013</w:t>
            </w:r>
            <w:r>
              <w:noBreakHyphen/>
            </w:r>
            <w:r w:rsidRPr="005E5444">
              <w:t xml:space="preserve">14 </w:t>
            </w:r>
            <w:r>
              <w:t>target</w:t>
            </w:r>
            <w:r w:rsidRPr="005E5444">
              <w:t xml:space="preserve"> due to the completion of the River Red Gum</w:t>
            </w:r>
            <w:r>
              <w:t>s</w:t>
            </w:r>
            <w:r w:rsidRPr="005E5444">
              <w:t xml:space="preserve"> program.</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Number of visits to Parks Victoria managed estate</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Pr>
                <w:lang w:eastAsia="en-AU"/>
              </w:rPr>
              <w:t>n</w:t>
            </w:r>
            <w:r w:rsidRPr="005E5444">
              <w:rPr>
                <w:lang w:eastAsia="en-AU"/>
              </w:rPr>
              <w:t>umber (million)</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93</w:t>
            </w:r>
            <w:r>
              <w:rPr>
                <w:lang w:eastAsia="en-AU"/>
              </w:rPr>
              <w:t>–</w:t>
            </w:r>
            <w:r w:rsidRPr="005E5444">
              <w:rPr>
                <w:lang w:eastAsia="en-AU"/>
              </w:rPr>
              <w:t>97</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95.6</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88</w:t>
            </w:r>
            <w:r>
              <w:rPr>
                <w:lang w:eastAsia="en-AU"/>
              </w:rPr>
              <w:t>–</w:t>
            </w:r>
            <w:r w:rsidRPr="005E5444">
              <w:rPr>
                <w:lang w:eastAsia="en-AU"/>
              </w:rPr>
              <w:t>92</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96</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higher 2013</w:t>
            </w:r>
            <w:r>
              <w:noBreakHyphen/>
            </w:r>
            <w:r w:rsidRPr="005E5444">
              <w:t xml:space="preserve">14 </w:t>
            </w:r>
            <w:r>
              <w:t xml:space="preserve">expected outcome </w:t>
            </w:r>
            <w:r w:rsidRPr="005E5444">
              <w:t>and 2014</w:t>
            </w:r>
            <w:r>
              <w:noBreakHyphen/>
            </w:r>
            <w:r w:rsidRPr="005E5444">
              <w:t xml:space="preserve">15 </w:t>
            </w:r>
            <w:r>
              <w:t>target</w:t>
            </w:r>
            <w:r w:rsidRPr="005E5444">
              <w:t xml:space="preserve"> reflect an overall increase in visitation to Victoria's parks and bays resulting fr</w:t>
            </w:r>
            <w:r>
              <w:t>om the G</w:t>
            </w:r>
            <w:r w:rsidRPr="005E5444">
              <w:t>overnment's emphasis on Healthy Parks, Healthy People.</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Reports generated on Land Channel</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800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800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800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w:t>
            </w:r>
            <w:r>
              <w:rPr>
                <w:lang w:eastAsia="en-AU"/>
              </w:rPr>
              <w:t> </w:t>
            </w:r>
            <w:r w:rsidRPr="005E5444">
              <w:rPr>
                <w:lang w:eastAsia="en-AU"/>
              </w:rPr>
              <w:t>800</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Threatened native species and communities for which specifically targeted conservation measures are in place at Royal Botanic Gardens</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number</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6</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lower 2014</w:t>
            </w:r>
            <w:r>
              <w:noBreakHyphen/>
            </w:r>
            <w:r w:rsidRPr="005E5444">
              <w:t xml:space="preserve">15 </w:t>
            </w:r>
            <w:r>
              <w:t>target</w:t>
            </w:r>
            <w:r w:rsidRPr="005E5444">
              <w:t xml:space="preserve"> reflects a re</w:t>
            </w:r>
            <w:r>
              <w:noBreakHyphen/>
              <w:t>focu</w:t>
            </w:r>
            <w:r w:rsidRPr="005E5444">
              <w:t>sing of the program's activities towards the most critically threatened native species and communities</w:t>
            </w:r>
            <w:r>
              <w:t>.</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Total area of estate managed by Parks Victoria</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Pr>
                <w:lang w:eastAsia="en-AU"/>
              </w:rPr>
              <w:t>h</w:t>
            </w:r>
            <w:r w:rsidRPr="005E5444">
              <w:rPr>
                <w:lang w:eastAsia="en-AU"/>
              </w:rPr>
              <w:t>ectares (000)</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4</w:t>
            </w:r>
            <w:r>
              <w:rPr>
                <w:lang w:eastAsia="en-AU"/>
              </w:rPr>
              <w:t> </w:t>
            </w:r>
            <w:r w:rsidRPr="005E5444">
              <w:rPr>
                <w:lang w:eastAsia="en-AU"/>
              </w:rPr>
              <w:t>106</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4</w:t>
            </w:r>
            <w:r>
              <w:rPr>
                <w:lang w:eastAsia="en-AU"/>
              </w:rPr>
              <w:t> </w:t>
            </w:r>
            <w:r w:rsidRPr="005E5444">
              <w:rPr>
                <w:lang w:eastAsia="en-AU"/>
              </w:rPr>
              <w:t>106</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4</w:t>
            </w:r>
            <w:r>
              <w:rPr>
                <w:lang w:eastAsia="en-AU"/>
              </w:rPr>
              <w:t> </w:t>
            </w:r>
            <w:r w:rsidRPr="005E5444">
              <w:rPr>
                <w:lang w:eastAsia="en-AU"/>
              </w:rPr>
              <w:t>086</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4</w:t>
            </w:r>
            <w:r>
              <w:rPr>
                <w:lang w:eastAsia="en-AU"/>
              </w:rPr>
              <w:t> </w:t>
            </w:r>
            <w:r w:rsidRPr="005E5444">
              <w:rPr>
                <w:lang w:eastAsia="en-AU"/>
              </w:rPr>
              <w:t>116</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5444">
              <w:t>The higher 2013</w:t>
            </w:r>
            <w:r>
              <w:noBreakHyphen/>
            </w:r>
            <w:r w:rsidRPr="005E5444">
              <w:t xml:space="preserve">14 </w:t>
            </w:r>
            <w:r>
              <w:t xml:space="preserve">expected outcome </w:t>
            </w:r>
            <w:r w:rsidRPr="005E5444">
              <w:t>reflects additional land acquisitions for the parks estate during 2013</w:t>
            </w:r>
            <w:r>
              <w:noBreakHyphen/>
            </w:r>
            <w:r w:rsidRPr="005E5444">
              <w:t xml:space="preserve">14. </w:t>
            </w:r>
          </w:p>
          <w:p w:rsidR="00A53D7D" w:rsidRPr="005E5444" w:rsidRDefault="00A53D7D" w:rsidP="005140B4">
            <w:pPr>
              <w:pStyle w:val="OGNotes"/>
            </w:pPr>
            <w:r w:rsidRPr="005E5444">
              <w:t>The higher 2014</w:t>
            </w:r>
            <w:r>
              <w:noBreakHyphen/>
            </w:r>
            <w:r w:rsidRPr="005E5444">
              <w:t xml:space="preserve">15 </w:t>
            </w:r>
            <w:r>
              <w:t>target</w:t>
            </w:r>
            <w:r w:rsidRPr="005E5444">
              <w:t xml:space="preserve"> reflects the cumulative nature of the measure.</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Visitors to Zoos Victoria at Melbourne, Werribee and Healesville</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Pr>
                <w:lang w:eastAsia="en-AU"/>
              </w:rPr>
              <w:t>n</w:t>
            </w:r>
            <w:r w:rsidRPr="005E5444">
              <w:rPr>
                <w:lang w:eastAsia="en-AU"/>
              </w:rPr>
              <w:t>umber (million)</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1.95</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1.95</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1.89</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2</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higher 2013</w:t>
            </w:r>
            <w:r>
              <w:noBreakHyphen/>
            </w:r>
            <w:r w:rsidRPr="005E5444">
              <w:t xml:space="preserve">14 </w:t>
            </w:r>
            <w:r>
              <w:t xml:space="preserve">expected outcome </w:t>
            </w:r>
            <w:r w:rsidRPr="005E5444">
              <w:t>and 2014</w:t>
            </w:r>
            <w:r>
              <w:noBreakHyphen/>
            </w:r>
            <w:r w:rsidRPr="005E5444">
              <w:t xml:space="preserve">15 </w:t>
            </w:r>
            <w:r>
              <w:t>target</w:t>
            </w:r>
            <w:r w:rsidRPr="005E5444">
              <w:t xml:space="preserve"> reflect the birth of the Asian Elephant and the opening of the new Lemur Island exhibit.</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 xml:space="preserve">Audited </w:t>
            </w:r>
            <w:proofErr w:type="spellStart"/>
            <w:r w:rsidRPr="005E5444">
              <w:rPr>
                <w:lang w:eastAsia="en-AU"/>
              </w:rPr>
              <w:t>Vicmap</w:t>
            </w:r>
            <w:proofErr w:type="spellEnd"/>
            <w:r w:rsidRPr="005E5444">
              <w:rPr>
                <w:lang w:eastAsia="en-AU"/>
              </w:rPr>
              <w:t xml:space="preserve"> digital map base not requiring correction</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nil"/>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97</w:t>
            </w:r>
          </w:p>
        </w:tc>
        <w:tc>
          <w:tcPr>
            <w:tcW w:w="993"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97</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97</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97</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Bay assets rated in average to excellent condition</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70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70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65</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66</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higher 2013</w:t>
            </w:r>
            <w:r>
              <w:noBreakHyphen/>
            </w:r>
            <w:r w:rsidRPr="005E5444">
              <w:t xml:space="preserve">14 </w:t>
            </w:r>
            <w:r>
              <w:t xml:space="preserve">expected outcome </w:t>
            </w:r>
            <w:r w:rsidRPr="005E5444">
              <w:t>and 2014</w:t>
            </w:r>
            <w:r>
              <w:noBreakHyphen/>
            </w:r>
            <w:r w:rsidRPr="005E5444">
              <w:t xml:space="preserve">15 </w:t>
            </w:r>
            <w:r>
              <w:t>target</w:t>
            </w:r>
            <w:r w:rsidRPr="005E5444">
              <w:t xml:space="preserve"> reflect an increased focus</w:t>
            </w:r>
            <w:r>
              <w:t xml:space="preserve"> on renewing bay assets in 2013</w:t>
            </w:r>
            <w:r>
              <w:noBreakHyphen/>
            </w:r>
            <w:r w:rsidRPr="005E5444">
              <w:t>14.</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Foreshore protection assets around Port Phillip and Western Port Bays rated as 'good' to 'very good' condition</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55</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50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55</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lower 2013</w:t>
            </w:r>
            <w:r>
              <w:noBreakHyphen/>
            </w:r>
            <w:r w:rsidRPr="005E5444">
              <w:t xml:space="preserve">14 </w:t>
            </w:r>
            <w:r>
              <w:t xml:space="preserve">expected outcome </w:t>
            </w:r>
            <w:r w:rsidRPr="005E5444">
              <w:t>and 2014</w:t>
            </w:r>
            <w:r>
              <w:noBreakHyphen/>
            </w:r>
            <w:r w:rsidRPr="005E5444">
              <w:t xml:space="preserve">15 </w:t>
            </w:r>
            <w:r>
              <w:t>target</w:t>
            </w:r>
            <w:r w:rsidRPr="005E5444">
              <w:t xml:space="preserve"> reflect the age of the asset base, with more assets reaching the end of their useful life.</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Level of compliance with environmental regulatory framework for commercial timber operations as required by the Forest Audit Program</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90</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90</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90</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Park assets rated in average to excellent condition</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83</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83</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80.3</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higher 2013</w:t>
            </w:r>
            <w:r>
              <w:noBreakHyphen/>
            </w:r>
            <w:r w:rsidRPr="005E5444">
              <w:t xml:space="preserve">14 </w:t>
            </w:r>
            <w:r>
              <w:t xml:space="preserve">expected outcome </w:t>
            </w:r>
            <w:r w:rsidRPr="005E5444">
              <w:t>and 2014</w:t>
            </w:r>
            <w:r>
              <w:noBreakHyphen/>
            </w:r>
            <w:r w:rsidRPr="005E5444">
              <w:t xml:space="preserve">15 </w:t>
            </w:r>
            <w:r>
              <w:t>target</w:t>
            </w:r>
            <w:r w:rsidRPr="005E5444">
              <w:t xml:space="preserve"> reflect the replacement and renewal of a number of assets following flooding events.</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Publicly elected Committees of Management that have a current statutory appointment</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95</w:t>
            </w:r>
          </w:p>
        </w:tc>
        <w:tc>
          <w:tcPr>
            <w:tcW w:w="993"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95</w:t>
            </w:r>
          </w:p>
        </w:tc>
      </w:tr>
      <w:tr w:rsidR="00A53D7D" w:rsidRPr="005E5444" w:rsidTr="005140B4">
        <w:trPr>
          <w:cantSplit/>
        </w:trPr>
        <w:tc>
          <w:tcPr>
            <w:tcW w:w="3155" w:type="dxa"/>
            <w:tcBorders>
              <w:top w:val="single" w:sz="6" w:space="0" w:color="auto"/>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Recreational facilities in state forests with a life expectancy greater than five years</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bottom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60</w:t>
            </w:r>
          </w:p>
        </w:tc>
        <w:tc>
          <w:tcPr>
            <w:tcW w:w="993"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54</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70</w:t>
            </w:r>
          </w:p>
        </w:tc>
        <w:tc>
          <w:tcPr>
            <w:tcW w:w="907" w:type="dxa"/>
            <w:tcBorders>
              <w:top w:val="single" w:sz="6" w:space="0" w:color="auto"/>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72</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5E5444">
              <w:t>The lower 2013</w:t>
            </w:r>
            <w:r>
              <w:noBreakHyphen/>
            </w:r>
            <w:r w:rsidRPr="005E5444">
              <w:t xml:space="preserve">14 </w:t>
            </w:r>
            <w:r>
              <w:t xml:space="preserve">expected outcome </w:t>
            </w:r>
            <w:r w:rsidRPr="005E5444">
              <w:t>and 2014</w:t>
            </w:r>
            <w:r>
              <w:noBreakHyphen/>
            </w:r>
            <w:r w:rsidRPr="005E5444">
              <w:t xml:space="preserve">15 </w:t>
            </w:r>
            <w:r>
              <w:t>target</w:t>
            </w:r>
            <w:r w:rsidRPr="005E5444">
              <w:t xml:space="preserve"> reflect the age of the asset base, with more facilities reaching the end of their useful life.</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5E5444">
              <w:rPr>
                <w:lang w:eastAsia="en-AU"/>
              </w:rPr>
              <w:t>Rent reviews of Crown land leases undertaken within specified time frames</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nil"/>
              <w:left w:val="nil"/>
              <w:bottom w:val="single" w:sz="6" w:space="0" w:color="auto"/>
              <w:right w:val="nil"/>
            </w:tcBorders>
            <w:shd w:val="clear" w:color="auto" w:fill="D9D9D9"/>
            <w:hideMark/>
          </w:tcPr>
          <w:p w:rsidR="00A53D7D" w:rsidRPr="005E5444" w:rsidRDefault="00A53D7D" w:rsidP="005140B4">
            <w:pPr>
              <w:pStyle w:val="OGTableofFigures"/>
              <w:rPr>
                <w:lang w:eastAsia="en-AU"/>
              </w:rPr>
            </w:pPr>
            <w:r w:rsidRPr="005E5444">
              <w:rPr>
                <w:lang w:eastAsia="en-AU"/>
              </w:rPr>
              <w:t>95</w:t>
            </w:r>
          </w:p>
        </w:tc>
        <w:tc>
          <w:tcPr>
            <w:tcW w:w="993"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95</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95</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TableofFigures"/>
              <w:rPr>
                <w:lang w:eastAsia="en-AU"/>
              </w:rPr>
            </w:pPr>
            <w:r w:rsidRPr="005E5444">
              <w:rPr>
                <w:lang w:eastAsia="en-AU"/>
              </w:rPr>
              <w:t>100</w:t>
            </w:r>
          </w:p>
        </w:tc>
      </w:tr>
      <w:tr w:rsidR="00A53D7D" w:rsidRPr="005E5444" w:rsidTr="005140B4">
        <w:trPr>
          <w:cantSplit/>
        </w:trPr>
        <w:tc>
          <w:tcPr>
            <w:tcW w:w="3155" w:type="dxa"/>
            <w:tcBorders>
              <w:top w:val="single" w:sz="6" w:space="0" w:color="auto"/>
              <w:left w:val="nil"/>
              <w:right w:val="nil"/>
            </w:tcBorders>
            <w:shd w:val="clear" w:color="000000" w:fill="FFFFFF"/>
            <w:hideMark/>
          </w:tcPr>
          <w:p w:rsidR="00A53D7D" w:rsidRPr="005E5444" w:rsidRDefault="00A53D7D" w:rsidP="005140B4">
            <w:pPr>
              <w:pStyle w:val="OGTabText"/>
              <w:rPr>
                <w:lang w:eastAsia="en-AU"/>
              </w:rPr>
            </w:pPr>
            <w:r w:rsidRPr="005E5444">
              <w:rPr>
                <w:lang w:eastAsia="en-AU"/>
              </w:rPr>
              <w:t xml:space="preserve">Update transactions for the </w:t>
            </w:r>
            <w:proofErr w:type="spellStart"/>
            <w:r w:rsidRPr="005E5444">
              <w:rPr>
                <w:lang w:eastAsia="en-AU"/>
              </w:rPr>
              <w:t>Vicmap</w:t>
            </w:r>
            <w:proofErr w:type="spellEnd"/>
            <w:r w:rsidRPr="005E5444">
              <w:rPr>
                <w:lang w:eastAsia="en-AU"/>
              </w:rPr>
              <w:t xml:space="preserve"> digital map base processed within the required timeframes</w:t>
            </w:r>
          </w:p>
        </w:tc>
        <w:tc>
          <w:tcPr>
            <w:tcW w:w="907" w:type="dxa"/>
            <w:tcBorders>
              <w:top w:val="single" w:sz="6" w:space="0" w:color="auto"/>
              <w:left w:val="nil"/>
              <w:right w:val="nil"/>
            </w:tcBorders>
            <w:shd w:val="clear" w:color="000000" w:fill="FFFFFF"/>
            <w:hideMark/>
          </w:tcPr>
          <w:p w:rsidR="00A53D7D" w:rsidRPr="005E5444" w:rsidRDefault="00A53D7D" w:rsidP="005140B4">
            <w:pPr>
              <w:pStyle w:val="OGUoM"/>
              <w:rPr>
                <w:lang w:eastAsia="en-AU"/>
              </w:rPr>
            </w:pPr>
            <w:r w:rsidRPr="005E5444">
              <w:rPr>
                <w:lang w:eastAsia="en-AU"/>
              </w:rPr>
              <w:t>per cent</w:t>
            </w:r>
          </w:p>
        </w:tc>
        <w:tc>
          <w:tcPr>
            <w:tcW w:w="907" w:type="dxa"/>
            <w:tcBorders>
              <w:top w:val="single" w:sz="6" w:space="0" w:color="auto"/>
              <w:left w:val="nil"/>
              <w:right w:val="nil"/>
            </w:tcBorders>
            <w:shd w:val="clear" w:color="auto" w:fill="D9D9D9"/>
            <w:hideMark/>
          </w:tcPr>
          <w:p w:rsidR="00A53D7D" w:rsidRPr="005E5444" w:rsidRDefault="00A53D7D" w:rsidP="005140B4">
            <w:pPr>
              <w:pStyle w:val="OGTableofFigures"/>
              <w:rPr>
                <w:lang w:eastAsia="en-AU"/>
              </w:rPr>
            </w:pPr>
            <w:r w:rsidRPr="005E5444">
              <w:rPr>
                <w:lang w:eastAsia="en-AU"/>
              </w:rPr>
              <w:t>98</w:t>
            </w:r>
          </w:p>
        </w:tc>
        <w:tc>
          <w:tcPr>
            <w:tcW w:w="993" w:type="dxa"/>
            <w:tcBorders>
              <w:top w:val="single" w:sz="6" w:space="0" w:color="auto"/>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98</w:t>
            </w:r>
          </w:p>
        </w:tc>
        <w:tc>
          <w:tcPr>
            <w:tcW w:w="907" w:type="dxa"/>
            <w:tcBorders>
              <w:top w:val="single" w:sz="6" w:space="0" w:color="auto"/>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98</w:t>
            </w:r>
          </w:p>
        </w:tc>
        <w:tc>
          <w:tcPr>
            <w:tcW w:w="907" w:type="dxa"/>
            <w:tcBorders>
              <w:top w:val="single" w:sz="6" w:space="0" w:color="auto"/>
              <w:left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98</w:t>
            </w:r>
          </w:p>
        </w:tc>
      </w:tr>
      <w:tr w:rsidR="00A53D7D" w:rsidRPr="005E5444" w:rsidTr="005140B4">
        <w:trPr>
          <w:cantSplit/>
        </w:trPr>
        <w:tc>
          <w:tcPr>
            <w:tcW w:w="3155" w:type="dxa"/>
            <w:tcBorders>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Cost</w:t>
            </w:r>
          </w:p>
        </w:tc>
        <w:tc>
          <w:tcPr>
            <w:tcW w:w="907" w:type="dxa"/>
            <w:tcBorders>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hideMark/>
          </w:tcPr>
          <w:p w:rsidR="00A53D7D" w:rsidRPr="005E5444" w:rsidRDefault="00A53D7D" w:rsidP="005140B4">
            <w:pPr>
              <w:pStyle w:val="OGTabText"/>
              <w:rPr>
                <w:lang w:eastAsia="en-AU"/>
              </w:rPr>
            </w:pPr>
            <w:r w:rsidRPr="005E5444">
              <w:rPr>
                <w:lang w:eastAsia="en-AU"/>
              </w:rPr>
              <w:t>Total output cost</w:t>
            </w:r>
          </w:p>
        </w:tc>
        <w:tc>
          <w:tcPr>
            <w:tcW w:w="907" w:type="dxa"/>
            <w:tcBorders>
              <w:top w:val="nil"/>
              <w:left w:val="nil"/>
              <w:bottom w:val="nil"/>
              <w:right w:val="nil"/>
            </w:tcBorders>
            <w:shd w:val="clear" w:color="000000" w:fill="FFFFFF"/>
            <w:hideMark/>
          </w:tcPr>
          <w:p w:rsidR="00A53D7D" w:rsidRPr="005E5444" w:rsidRDefault="00A53D7D" w:rsidP="005140B4">
            <w:pPr>
              <w:pStyle w:val="OGUoM"/>
              <w:rPr>
                <w:lang w:eastAsia="en-AU"/>
              </w:rPr>
            </w:pPr>
            <w:r w:rsidRPr="005E5444">
              <w:rPr>
                <w:lang w:eastAsia="en-AU"/>
              </w:rPr>
              <w:t>$</w:t>
            </w:r>
            <w:r>
              <w:rPr>
                <w:lang w:eastAsia="en-AU"/>
              </w:rPr>
              <w:t> m</w:t>
            </w:r>
            <w:r w:rsidRPr="005E5444">
              <w:rPr>
                <w:lang w:eastAsia="en-AU"/>
              </w:rPr>
              <w:t>illion</w:t>
            </w:r>
          </w:p>
        </w:tc>
        <w:tc>
          <w:tcPr>
            <w:tcW w:w="907" w:type="dxa"/>
            <w:tcBorders>
              <w:top w:val="nil"/>
              <w:left w:val="nil"/>
              <w:bottom w:val="nil"/>
              <w:right w:val="nil"/>
            </w:tcBorders>
            <w:shd w:val="clear" w:color="auto" w:fill="D9D9D9"/>
            <w:hideMark/>
          </w:tcPr>
          <w:p w:rsidR="00A53D7D" w:rsidRPr="005E5444" w:rsidRDefault="00A53D7D" w:rsidP="005140B4">
            <w:pPr>
              <w:pStyle w:val="OGTableofFigures"/>
              <w:rPr>
                <w:lang w:eastAsia="en-AU"/>
              </w:rPr>
            </w:pPr>
            <w:r>
              <w:rPr>
                <w:lang w:eastAsia="en-AU"/>
              </w:rPr>
              <w:t>290.9</w:t>
            </w:r>
          </w:p>
        </w:tc>
        <w:tc>
          <w:tcPr>
            <w:tcW w:w="993"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Pr>
                <w:lang w:eastAsia="en-AU"/>
              </w:rPr>
              <w:t>307.5</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300.6</w:t>
            </w:r>
          </w:p>
        </w:tc>
        <w:tc>
          <w:tcPr>
            <w:tcW w:w="907" w:type="dxa"/>
            <w:tcBorders>
              <w:top w:val="nil"/>
              <w:left w:val="nil"/>
              <w:bottom w:val="nil"/>
              <w:right w:val="nil"/>
            </w:tcBorders>
            <w:shd w:val="clear" w:color="000000" w:fill="FFFFFF"/>
            <w:hideMark/>
          </w:tcPr>
          <w:p w:rsidR="00A53D7D" w:rsidRPr="005E5444" w:rsidRDefault="00A53D7D" w:rsidP="005140B4">
            <w:pPr>
              <w:pStyle w:val="OGTableofFigures"/>
              <w:rPr>
                <w:lang w:eastAsia="en-AU"/>
              </w:rPr>
            </w:pPr>
            <w:r w:rsidRPr="005E5444">
              <w:rPr>
                <w:lang w:eastAsia="en-AU"/>
              </w:rPr>
              <w:t>308.9</w:t>
            </w:r>
          </w:p>
        </w:tc>
      </w:tr>
      <w:tr w:rsidR="00A53D7D" w:rsidRPr="005E5444" w:rsidTr="005140B4">
        <w:trPr>
          <w:cantSplit/>
        </w:trPr>
        <w:tc>
          <w:tcPr>
            <w:tcW w:w="7776" w:type="dxa"/>
            <w:gridSpan w:val="6"/>
            <w:tcBorders>
              <w:top w:val="nil"/>
              <w:left w:val="nil"/>
              <w:bottom w:val="single" w:sz="12" w:space="0" w:color="auto"/>
              <w:right w:val="nil"/>
            </w:tcBorders>
            <w:shd w:val="clear" w:color="000000" w:fill="FFFFFF"/>
          </w:tcPr>
          <w:p w:rsidR="00A53D7D" w:rsidRDefault="00A53D7D" w:rsidP="005140B4">
            <w:pPr>
              <w:pStyle w:val="OGNotes"/>
            </w:pPr>
            <w:r>
              <w:t xml:space="preserve">Management of Forests, </w:t>
            </w:r>
            <w:proofErr w:type="gramStart"/>
            <w:r>
              <w:t>Parks</w:t>
            </w:r>
            <w:proofErr w:type="gramEnd"/>
            <w:r>
              <w:t xml:space="preserve"> and Public Land consolidates the 2013</w:t>
            </w:r>
            <w:r>
              <w:noBreakHyphen/>
              <w:t xml:space="preserve">14 outputs Forests and Parks and Public Land. </w:t>
            </w:r>
          </w:p>
          <w:p w:rsidR="00A53D7D" w:rsidRDefault="00A53D7D" w:rsidP="005140B4">
            <w:pPr>
              <w:pStyle w:val="OGNotes"/>
            </w:pPr>
            <w:r>
              <w:t>The 2013</w:t>
            </w:r>
            <w:r>
              <w:noBreakHyphen/>
              <w:t>14 expected outcome and 2013</w:t>
            </w:r>
            <w:r>
              <w:noBreakHyphen/>
              <w:t>14 target represent the addition of the 2013</w:t>
            </w:r>
            <w:r>
              <w:noBreakHyphen/>
              <w:t xml:space="preserve">14 figures for the outputs Forest and Parks and Public Land. </w:t>
            </w:r>
          </w:p>
          <w:p w:rsidR="00A53D7D" w:rsidRPr="005E5444" w:rsidRDefault="00A53D7D" w:rsidP="005140B4">
            <w:pPr>
              <w:pStyle w:val="OGNotes"/>
            </w:pPr>
            <w:r>
              <w:t>The lower 2014</w:t>
            </w:r>
            <w:r>
              <w:noBreakHyphen/>
              <w:t>15 target is due to the timing of payments from the Parks and Reserve Trust.</w:t>
            </w:r>
          </w:p>
        </w:tc>
      </w:tr>
    </w:tbl>
    <w:p w:rsidR="00A53D7D" w:rsidRDefault="00A53D7D" w:rsidP="005140B4">
      <w:pPr>
        <w:pStyle w:val="Source"/>
      </w:pPr>
      <w:r>
        <w:t>Source: Department of Environment and Primary Industries</w:t>
      </w:r>
      <w:r>
        <w:fldChar w:fldCharType="begin"/>
      </w:r>
      <w:r>
        <w:instrText xml:space="preserve"> XE "</w:instrText>
      </w:r>
      <w:r w:rsidRPr="00404FCB">
        <w:rPr>
          <w:lang w:eastAsia="en-AU"/>
        </w:rPr>
        <w:instrText>Department of Environment and Primary Industries</w:instrText>
      </w:r>
      <w:r w:rsidRPr="00404FCB">
        <w:instrText>:The community benefits from effective management of Victoria's land assets</w:instrText>
      </w:r>
      <w:r>
        <w:instrText xml:space="preserve">" \r "DEPICommun" </w:instrText>
      </w:r>
      <w:r>
        <w:fldChar w:fldCharType="end"/>
      </w:r>
      <w:r>
        <w:fldChar w:fldCharType="begin"/>
      </w:r>
      <w:r>
        <w:instrText xml:space="preserve"> XE "</w:instrText>
      </w:r>
      <w:r w:rsidRPr="00CC0C5F">
        <w:rPr>
          <w:lang w:eastAsia="en-AU"/>
        </w:rPr>
        <w:instrText>Community benefits from effective management of Victoria's land assets</w:instrText>
      </w:r>
      <w:r>
        <w:instrText xml:space="preserve">" \r "DEPICommun" </w:instrText>
      </w:r>
      <w:r>
        <w:fldChar w:fldCharType="end"/>
      </w:r>
    </w:p>
    <w:bookmarkEnd w:id="84"/>
    <w:p w:rsidR="00A53D7D" w:rsidRDefault="00A53D7D" w:rsidP="005140B4"/>
    <w:p w:rsidR="00A53D7D" w:rsidRDefault="00A53D7D" w:rsidP="00497606"/>
    <w:p w:rsidR="00A53D7D" w:rsidRDefault="00A53D7D" w:rsidP="004463C6">
      <w:pPr>
        <w:sectPr w:rsidR="00A53D7D" w:rsidSect="00CD2017">
          <w:footerReference w:type="even" r:id="rId25"/>
          <w:footerReference w:type="default" r:id="rId26"/>
          <w:pgSz w:w="9979" w:h="14181" w:code="138"/>
          <w:pgMar w:top="1140" w:right="1140" w:bottom="1140" w:left="1140" w:header="720" w:footer="431" w:gutter="0"/>
          <w:cols w:space="708"/>
          <w:docGrid w:linePitch="360"/>
        </w:sectPr>
      </w:pPr>
    </w:p>
    <w:p w:rsidR="00A53D7D" w:rsidRDefault="00A53D7D" w:rsidP="005140B4">
      <w:pPr>
        <w:pStyle w:val="Heading1"/>
      </w:pPr>
      <w:bookmarkStart w:id="85" w:name="_Toc386364077"/>
      <w:bookmarkStart w:id="86" w:name="_Toc386541218"/>
      <w:bookmarkStart w:id="87" w:name="_Toc407116910"/>
      <w:r>
        <w:t>Department of Health</w:t>
      </w:r>
      <w:bookmarkEnd w:id="85"/>
      <w:bookmarkEnd w:id="86"/>
      <w:bookmarkEnd w:id="87"/>
    </w:p>
    <w:p w:rsidR="00A53D7D" w:rsidRDefault="00A53D7D" w:rsidP="005140B4">
      <w:pPr>
        <w:pStyle w:val="Heading2"/>
      </w:pPr>
      <w:r>
        <w:t>Ministerial portfolios</w:t>
      </w:r>
    </w:p>
    <w:p w:rsidR="00A53D7D" w:rsidRDefault="00A53D7D" w:rsidP="005140B4">
      <w:r w:rsidRPr="002D7069">
        <w:t xml:space="preserve">The Department supports the ministerial portfolios of health, mental </w:t>
      </w:r>
      <w:proofErr w:type="gramStart"/>
      <w:r w:rsidRPr="002D7069">
        <w:t>health</w:t>
      </w:r>
      <w:proofErr w:type="gramEnd"/>
      <w:r w:rsidRPr="002D7069">
        <w:t xml:space="preserve"> and ageing.</w:t>
      </w:r>
    </w:p>
    <w:p w:rsidR="00A53D7D" w:rsidRDefault="00A53D7D" w:rsidP="005140B4">
      <w:pPr>
        <w:pStyle w:val="Heading2"/>
      </w:pPr>
      <w:r>
        <w:t>Departmental mission statement</w:t>
      </w:r>
    </w:p>
    <w:p w:rsidR="00A53D7D" w:rsidRDefault="00A53D7D" w:rsidP="005140B4">
      <w:proofErr w:type="gramStart"/>
      <w:r>
        <w:t>To achieve the best health and wellbeing for all Victorians.</w:t>
      </w:r>
      <w:proofErr w:type="gramEnd"/>
    </w:p>
    <w:p w:rsidR="00A53D7D" w:rsidRDefault="00A53D7D" w:rsidP="005140B4">
      <w:r>
        <w:t xml:space="preserve">Together with our service partners and the community, the Department provides leadership to the health system through planning, policy, </w:t>
      </w:r>
      <w:proofErr w:type="gramStart"/>
      <w:r>
        <w:t>funding</w:t>
      </w:r>
      <w:proofErr w:type="gramEnd"/>
      <w:r>
        <w:t xml:space="preserve"> and regulation of health care activity to facilitate improvements in health system sustainability and health outcomes for Victorians. The Department provides funding for:</w:t>
      </w:r>
    </w:p>
    <w:p w:rsidR="00A53D7D" w:rsidRDefault="00A53D7D" w:rsidP="005140B4">
      <w:pPr>
        <w:pStyle w:val="BulletText"/>
      </w:pPr>
      <w:r>
        <w:t>health care services provided through the public hospital system, community health services, ambulance services, dental services, public mental health and drug and alcohol services;</w:t>
      </w:r>
    </w:p>
    <w:p w:rsidR="00A53D7D" w:rsidRDefault="00A53D7D" w:rsidP="005140B4">
      <w:pPr>
        <w:pStyle w:val="BulletText"/>
      </w:pPr>
      <w:r>
        <w:t>home, residential and community care for older people, and other assistance to enable older people to live productive and independent lives; and</w:t>
      </w:r>
    </w:p>
    <w:p w:rsidR="00A53D7D" w:rsidRDefault="00A53D7D" w:rsidP="005140B4">
      <w:pPr>
        <w:pStyle w:val="BulletText"/>
      </w:pPr>
      <w:proofErr w:type="gramStart"/>
      <w:r>
        <w:t>health</w:t>
      </w:r>
      <w:proofErr w:type="gramEnd"/>
      <w:r>
        <w:t xml:space="preserve"> promotion and protection through emergency management activity, monitoring risks to public health and related preventative, education and regulatory services.</w:t>
      </w:r>
    </w:p>
    <w:p w:rsidR="00A53D7D" w:rsidRDefault="00A53D7D" w:rsidP="005140B4">
      <w:pPr>
        <w:pStyle w:val="Heading2"/>
      </w:pPr>
      <w:r>
        <w:t>Departmental objectives, indicators and outputs</w:t>
      </w:r>
    </w:p>
    <w:p w:rsidR="00A53D7D" w:rsidRDefault="00A53D7D" w:rsidP="005140B4">
      <w:pPr>
        <w:keepNext/>
      </w:pPr>
      <w:r w:rsidRPr="002D7069">
        <w:t xml:space="preserve">The Department’s objectives, </w:t>
      </w:r>
      <w:proofErr w:type="gramStart"/>
      <w:r w:rsidRPr="002D7069">
        <w:t>indicators</w:t>
      </w:r>
      <w:proofErr w:type="gramEnd"/>
      <w:r w:rsidRPr="002D7069">
        <w:t xml:space="preserve"> and linked outputs are:</w:t>
      </w:r>
    </w:p>
    <w:tbl>
      <w:tblPr>
        <w:tblW w:w="5000" w:type="pct"/>
        <w:tblInd w:w="29" w:type="dxa"/>
        <w:tblLayout w:type="fixed"/>
        <w:tblCellMar>
          <w:top w:w="45" w:type="dxa"/>
          <w:left w:w="43" w:type="dxa"/>
          <w:right w:w="43" w:type="dxa"/>
        </w:tblCellMar>
        <w:tblLook w:val="01E0" w:firstRow="1" w:lastRow="1" w:firstColumn="1" w:lastColumn="1" w:noHBand="0" w:noVBand="0"/>
      </w:tblPr>
      <w:tblGrid>
        <w:gridCol w:w="2593"/>
        <w:gridCol w:w="2596"/>
        <w:gridCol w:w="2596"/>
      </w:tblGrid>
      <w:tr w:rsidR="00A53D7D" w:rsidRPr="000E650F" w:rsidTr="005140B4">
        <w:trPr>
          <w:cantSplit/>
          <w:tblHeader/>
        </w:trPr>
        <w:tc>
          <w:tcPr>
            <w:tcW w:w="2595" w:type="dxa"/>
            <w:tcBorders>
              <w:top w:val="single" w:sz="6" w:space="0" w:color="auto"/>
              <w:left w:val="single" w:sz="6" w:space="0" w:color="auto"/>
              <w:bottom w:val="single" w:sz="4" w:space="0" w:color="auto"/>
            </w:tcBorders>
            <w:shd w:val="clear" w:color="auto" w:fill="000000"/>
          </w:tcPr>
          <w:p w:rsidR="00A53D7D" w:rsidRPr="000E650F" w:rsidRDefault="00A53D7D" w:rsidP="005140B4">
            <w:pPr>
              <w:pStyle w:val="Tabletextheadingleft"/>
              <w:spacing w:after="80"/>
              <w:rPr>
                <w:lang w:eastAsia="en-AU"/>
              </w:rPr>
            </w:pPr>
            <w:r w:rsidRPr="000E650F">
              <w:rPr>
                <w:lang w:eastAsia="en-AU"/>
              </w:rPr>
              <w:t>Departmental objectives</w:t>
            </w:r>
          </w:p>
        </w:tc>
        <w:tc>
          <w:tcPr>
            <w:tcW w:w="2597" w:type="dxa"/>
            <w:tcBorders>
              <w:top w:val="single" w:sz="6" w:space="0" w:color="auto"/>
              <w:bottom w:val="single" w:sz="4" w:space="0" w:color="auto"/>
            </w:tcBorders>
            <w:shd w:val="clear" w:color="auto" w:fill="000000"/>
          </w:tcPr>
          <w:p w:rsidR="00A53D7D" w:rsidRPr="000E650F" w:rsidRDefault="00A53D7D" w:rsidP="005140B4">
            <w:pPr>
              <w:pStyle w:val="Tabletextheadingleft"/>
              <w:spacing w:after="80"/>
              <w:rPr>
                <w:lang w:eastAsia="en-AU"/>
              </w:rPr>
            </w:pPr>
            <w:r w:rsidRPr="000E650F">
              <w:rPr>
                <w:lang w:eastAsia="en-AU"/>
              </w:rPr>
              <w:t>Indicators</w:t>
            </w:r>
          </w:p>
        </w:tc>
        <w:tc>
          <w:tcPr>
            <w:tcW w:w="2597" w:type="dxa"/>
            <w:tcBorders>
              <w:top w:val="single" w:sz="6" w:space="0" w:color="auto"/>
              <w:bottom w:val="single" w:sz="4" w:space="0" w:color="auto"/>
              <w:right w:val="single" w:sz="6" w:space="0" w:color="auto"/>
            </w:tcBorders>
            <w:shd w:val="clear" w:color="auto" w:fill="000000"/>
          </w:tcPr>
          <w:p w:rsidR="00A53D7D" w:rsidRPr="000E650F" w:rsidRDefault="00A53D7D" w:rsidP="005140B4">
            <w:pPr>
              <w:pStyle w:val="Tabletextheadingleft"/>
              <w:spacing w:after="80"/>
              <w:rPr>
                <w:lang w:eastAsia="en-AU"/>
              </w:rPr>
            </w:pPr>
            <w:r w:rsidRPr="000E650F">
              <w:rPr>
                <w:lang w:eastAsia="en-AU"/>
              </w:rPr>
              <w:t>Outputs</w:t>
            </w:r>
          </w:p>
        </w:tc>
      </w:tr>
      <w:tr w:rsidR="00A53D7D" w:rsidRPr="000E650F" w:rsidTr="005140B4">
        <w:trPr>
          <w:cantSplit/>
        </w:trPr>
        <w:tc>
          <w:tcPr>
            <w:tcW w:w="2595" w:type="dxa"/>
            <w:tcBorders>
              <w:top w:val="single" w:sz="4" w:space="0" w:color="auto"/>
              <w:bottom w:val="single" w:sz="6" w:space="0" w:color="auto"/>
            </w:tcBorders>
            <w:shd w:val="clear" w:color="auto" w:fill="auto"/>
          </w:tcPr>
          <w:p w:rsidR="00A53D7D" w:rsidRPr="006048BC" w:rsidRDefault="00A53D7D" w:rsidP="005140B4">
            <w:pPr>
              <w:pStyle w:val="Tabletext"/>
              <w:ind w:left="0" w:firstLine="0"/>
            </w:pPr>
            <w:r w:rsidRPr="006048BC">
              <w:t>Reduce preventable disease and protect the community from public health hazards</w:t>
            </w:r>
          </w:p>
        </w:tc>
        <w:tc>
          <w:tcPr>
            <w:tcW w:w="2597" w:type="dxa"/>
            <w:tcBorders>
              <w:top w:val="single" w:sz="4" w:space="0" w:color="auto"/>
              <w:bottom w:val="single" w:sz="6" w:space="0" w:color="auto"/>
            </w:tcBorders>
            <w:shd w:val="clear" w:color="auto" w:fill="auto"/>
          </w:tcPr>
          <w:p w:rsidR="00A53D7D" w:rsidRPr="006048BC" w:rsidRDefault="00A53D7D" w:rsidP="005140B4">
            <w:pPr>
              <w:pStyle w:val="Tabletext"/>
              <w:ind w:left="0" w:firstLine="0"/>
            </w:pPr>
            <w:r w:rsidRPr="006048BC">
              <w:t>The prevalence of select chronic disease risk factors is reduced</w:t>
            </w:r>
          </w:p>
          <w:p w:rsidR="00A53D7D" w:rsidRPr="006048BC" w:rsidRDefault="00A53D7D" w:rsidP="005140B4">
            <w:pPr>
              <w:pStyle w:val="Tabletext"/>
              <w:ind w:left="0" w:firstLine="0"/>
            </w:pPr>
            <w:r w:rsidRPr="006048BC">
              <w:t>Differences in health and social outcomes for disadvantaged groups are reduced</w:t>
            </w:r>
          </w:p>
          <w:p w:rsidR="00A53D7D" w:rsidRPr="006048BC" w:rsidRDefault="00A53D7D" w:rsidP="005140B4">
            <w:pPr>
              <w:pStyle w:val="Tabletext"/>
              <w:ind w:left="0" w:firstLine="0"/>
            </w:pPr>
            <w:r w:rsidRPr="006048BC">
              <w:t>Immunisation rates for vaccine preventable illness improve or compare favourably to other jurisdictions</w:t>
            </w:r>
          </w:p>
        </w:tc>
        <w:tc>
          <w:tcPr>
            <w:tcW w:w="2597" w:type="dxa"/>
            <w:tcBorders>
              <w:top w:val="single" w:sz="4" w:space="0" w:color="auto"/>
              <w:bottom w:val="single" w:sz="6" w:space="0" w:color="auto"/>
            </w:tcBorders>
          </w:tcPr>
          <w:p w:rsidR="00A53D7D" w:rsidRDefault="00A53D7D" w:rsidP="005140B4">
            <w:pPr>
              <w:pStyle w:val="Tabletext"/>
              <w:ind w:left="0" w:firstLine="0"/>
            </w:pPr>
            <w:r>
              <w:t>Acute Health Services</w:t>
            </w:r>
          </w:p>
          <w:p w:rsidR="00A53D7D" w:rsidRDefault="00A53D7D" w:rsidP="005140B4">
            <w:pPr>
              <w:pStyle w:val="Tabletext"/>
              <w:ind w:left="0" w:firstLine="0"/>
            </w:pPr>
            <w:r w:rsidRPr="006048BC">
              <w:t xml:space="preserve">Ambulance Services </w:t>
            </w:r>
          </w:p>
          <w:p w:rsidR="00A53D7D" w:rsidRPr="006048BC" w:rsidRDefault="00A53D7D" w:rsidP="005140B4">
            <w:pPr>
              <w:pStyle w:val="Tabletext"/>
              <w:ind w:left="0" w:firstLine="0"/>
            </w:pPr>
            <w:r w:rsidRPr="006048BC">
              <w:t>Mental Health</w:t>
            </w:r>
          </w:p>
          <w:p w:rsidR="00A53D7D" w:rsidRDefault="00A53D7D" w:rsidP="005140B4">
            <w:pPr>
              <w:pStyle w:val="Tabletext"/>
              <w:ind w:left="0" w:firstLine="0"/>
            </w:pPr>
            <w:r>
              <w:t>Ageing, Aged and Home Care</w:t>
            </w:r>
          </w:p>
          <w:p w:rsidR="00A53D7D" w:rsidRPr="006048BC" w:rsidRDefault="00A53D7D" w:rsidP="005140B4">
            <w:pPr>
              <w:pStyle w:val="Tabletext"/>
              <w:ind w:left="0" w:firstLine="0"/>
            </w:pPr>
            <w:r w:rsidRPr="006048BC">
              <w:t>Primary, Community and</w:t>
            </w:r>
          </w:p>
          <w:p w:rsidR="00A53D7D" w:rsidRPr="006048BC" w:rsidRDefault="00A53D7D" w:rsidP="005140B4">
            <w:pPr>
              <w:pStyle w:val="Tabletext"/>
              <w:ind w:left="0" w:firstLine="0"/>
            </w:pPr>
            <w:r w:rsidRPr="006048BC">
              <w:t>Dental Health</w:t>
            </w:r>
          </w:p>
          <w:p w:rsidR="00A53D7D" w:rsidRDefault="00A53D7D" w:rsidP="005140B4">
            <w:pPr>
              <w:pStyle w:val="Tabletext"/>
              <w:ind w:left="0" w:firstLine="0"/>
            </w:pPr>
            <w:r>
              <w:t>Small Rural Services</w:t>
            </w:r>
          </w:p>
          <w:p w:rsidR="00A53D7D" w:rsidRPr="006048BC" w:rsidRDefault="00A53D7D" w:rsidP="005140B4">
            <w:pPr>
              <w:pStyle w:val="Tabletext"/>
              <w:ind w:left="0" w:firstLine="0"/>
            </w:pPr>
            <w:r w:rsidRPr="006048BC">
              <w:t>Public Health</w:t>
            </w:r>
          </w:p>
          <w:p w:rsidR="00A53D7D" w:rsidRPr="006048BC" w:rsidRDefault="00A53D7D" w:rsidP="005140B4">
            <w:pPr>
              <w:pStyle w:val="Tabletext"/>
              <w:ind w:left="0" w:firstLine="0"/>
            </w:pPr>
            <w:r w:rsidRPr="006048BC">
              <w:t>Drugs Services</w:t>
            </w:r>
          </w:p>
        </w:tc>
      </w:tr>
      <w:tr w:rsidR="00A53D7D" w:rsidRPr="000E650F" w:rsidTr="005140B4">
        <w:trPr>
          <w:cantSplit/>
        </w:trPr>
        <w:tc>
          <w:tcPr>
            <w:tcW w:w="2595" w:type="dxa"/>
            <w:tcBorders>
              <w:top w:val="single" w:sz="6" w:space="0" w:color="auto"/>
              <w:bottom w:val="single" w:sz="6" w:space="0" w:color="auto"/>
            </w:tcBorders>
            <w:shd w:val="clear" w:color="auto" w:fill="auto"/>
          </w:tcPr>
          <w:p w:rsidR="00A53D7D" w:rsidRPr="006048BC" w:rsidRDefault="00A53D7D" w:rsidP="005140B4">
            <w:pPr>
              <w:pStyle w:val="Tabletext"/>
              <w:ind w:left="0" w:firstLine="0"/>
            </w:pPr>
            <w:r w:rsidRPr="006048BC">
              <w:t>Improve the quality, effectiveness and efficiency of health</w:t>
            </w:r>
            <w:r>
              <w:t xml:space="preserve"> </w:t>
            </w:r>
            <w:r w:rsidRPr="006048BC">
              <w:t>care services for Victorians</w:t>
            </w:r>
          </w:p>
        </w:tc>
        <w:tc>
          <w:tcPr>
            <w:tcW w:w="2597" w:type="dxa"/>
            <w:tcBorders>
              <w:top w:val="single" w:sz="6" w:space="0" w:color="auto"/>
              <w:bottom w:val="single" w:sz="6" w:space="0" w:color="auto"/>
            </w:tcBorders>
            <w:shd w:val="clear" w:color="auto" w:fill="auto"/>
          </w:tcPr>
          <w:p w:rsidR="00A53D7D" w:rsidRPr="006048BC" w:rsidRDefault="00A53D7D" w:rsidP="005140B4">
            <w:pPr>
              <w:pStyle w:val="Tabletext"/>
              <w:ind w:left="0" w:firstLine="0"/>
            </w:pPr>
            <w:r w:rsidRPr="006048BC">
              <w:t>Health service performance outcomes meet or exceed agreed performance benchmarks</w:t>
            </w:r>
          </w:p>
          <w:p w:rsidR="00A53D7D" w:rsidRPr="006048BC" w:rsidRDefault="00A53D7D" w:rsidP="005140B4">
            <w:pPr>
              <w:pStyle w:val="Tabletext"/>
              <w:ind w:left="0" w:firstLine="0"/>
            </w:pPr>
            <w:r w:rsidRPr="006048BC">
              <w:t>More people are treated within out of hospital care settings</w:t>
            </w:r>
          </w:p>
          <w:p w:rsidR="00A53D7D" w:rsidRPr="006048BC" w:rsidRDefault="00A53D7D" w:rsidP="005140B4">
            <w:pPr>
              <w:pStyle w:val="Tabletext"/>
              <w:ind w:left="0" w:firstLine="0"/>
            </w:pPr>
            <w:r w:rsidRPr="006048BC">
              <w:t>Fewer people are dying prematurely</w:t>
            </w:r>
          </w:p>
          <w:p w:rsidR="00A53D7D" w:rsidRPr="006048BC" w:rsidRDefault="00A53D7D" w:rsidP="005140B4">
            <w:pPr>
              <w:pStyle w:val="Tabletext"/>
              <w:ind w:left="0" w:firstLine="0"/>
            </w:pPr>
            <w:r w:rsidRPr="006048BC">
              <w:t>Patient/consumer experience demonstrates improvement in service</w:t>
            </w:r>
            <w:r>
              <w:noBreakHyphen/>
            </w:r>
            <w:r w:rsidRPr="006048BC">
              <w:t>level engagement and individual care</w:t>
            </w:r>
          </w:p>
        </w:tc>
        <w:tc>
          <w:tcPr>
            <w:tcW w:w="2597" w:type="dxa"/>
            <w:tcBorders>
              <w:top w:val="single" w:sz="6" w:space="0" w:color="auto"/>
              <w:bottom w:val="single" w:sz="6" w:space="0" w:color="auto"/>
            </w:tcBorders>
          </w:tcPr>
          <w:p w:rsidR="00A53D7D" w:rsidRDefault="00A53D7D" w:rsidP="005140B4">
            <w:pPr>
              <w:pStyle w:val="Tabletext"/>
              <w:ind w:left="0" w:firstLine="0"/>
            </w:pPr>
            <w:r>
              <w:t>Acute Health Services</w:t>
            </w:r>
          </w:p>
          <w:p w:rsidR="00A53D7D" w:rsidRDefault="00A53D7D" w:rsidP="005140B4">
            <w:pPr>
              <w:pStyle w:val="Tabletext"/>
              <w:ind w:left="0" w:firstLine="0"/>
            </w:pPr>
            <w:r w:rsidRPr="006048BC">
              <w:t xml:space="preserve">Ambulance Services </w:t>
            </w:r>
          </w:p>
          <w:p w:rsidR="00A53D7D" w:rsidRPr="006048BC" w:rsidRDefault="00A53D7D" w:rsidP="005140B4">
            <w:pPr>
              <w:pStyle w:val="Tabletext"/>
              <w:ind w:left="0" w:firstLine="0"/>
            </w:pPr>
            <w:r w:rsidRPr="006048BC">
              <w:t>Mental Health</w:t>
            </w:r>
          </w:p>
          <w:p w:rsidR="00A53D7D" w:rsidRDefault="00A53D7D" w:rsidP="005140B4">
            <w:pPr>
              <w:pStyle w:val="Tabletext"/>
              <w:ind w:left="0" w:firstLine="0"/>
            </w:pPr>
            <w:r>
              <w:t>Ageing, Aged and Home Care</w:t>
            </w:r>
          </w:p>
          <w:p w:rsidR="00A53D7D" w:rsidRPr="006048BC" w:rsidRDefault="00A53D7D" w:rsidP="005140B4">
            <w:pPr>
              <w:pStyle w:val="Tabletext"/>
              <w:ind w:left="0" w:firstLine="0"/>
            </w:pPr>
            <w:r w:rsidRPr="006048BC">
              <w:t>Primary, Community and</w:t>
            </w:r>
          </w:p>
          <w:p w:rsidR="00A53D7D" w:rsidRPr="006048BC" w:rsidRDefault="00A53D7D" w:rsidP="005140B4">
            <w:pPr>
              <w:pStyle w:val="Tabletext"/>
              <w:ind w:left="0" w:firstLine="0"/>
            </w:pPr>
            <w:r w:rsidRPr="006048BC">
              <w:t>Dental Health</w:t>
            </w:r>
          </w:p>
          <w:p w:rsidR="00A53D7D" w:rsidRDefault="00A53D7D" w:rsidP="005140B4">
            <w:pPr>
              <w:pStyle w:val="Tabletext"/>
              <w:ind w:left="0" w:firstLine="0"/>
            </w:pPr>
            <w:r>
              <w:t>Small Rural Services</w:t>
            </w:r>
          </w:p>
          <w:p w:rsidR="00A53D7D" w:rsidRPr="006048BC" w:rsidRDefault="00A53D7D" w:rsidP="005140B4">
            <w:pPr>
              <w:pStyle w:val="Tabletext"/>
              <w:ind w:left="0" w:firstLine="0"/>
            </w:pPr>
            <w:r w:rsidRPr="006048BC">
              <w:t>Public Health</w:t>
            </w:r>
          </w:p>
          <w:p w:rsidR="00A53D7D" w:rsidRPr="006048BC" w:rsidRDefault="00A53D7D" w:rsidP="005140B4">
            <w:pPr>
              <w:pStyle w:val="Tabletext"/>
              <w:ind w:left="0" w:firstLine="0"/>
            </w:pPr>
            <w:r w:rsidRPr="006048BC">
              <w:t>Drugs Services</w:t>
            </w:r>
          </w:p>
        </w:tc>
      </w:tr>
      <w:tr w:rsidR="00A53D7D" w:rsidRPr="000E650F" w:rsidTr="005140B4">
        <w:trPr>
          <w:cantSplit/>
        </w:trPr>
        <w:tc>
          <w:tcPr>
            <w:tcW w:w="2595" w:type="dxa"/>
            <w:tcBorders>
              <w:top w:val="single" w:sz="6" w:space="0" w:color="auto"/>
              <w:bottom w:val="single" w:sz="12" w:space="0" w:color="auto"/>
            </w:tcBorders>
            <w:shd w:val="clear" w:color="auto" w:fill="auto"/>
          </w:tcPr>
          <w:p w:rsidR="00A53D7D" w:rsidRPr="006048BC" w:rsidRDefault="00A53D7D" w:rsidP="005140B4">
            <w:pPr>
              <w:pStyle w:val="Tabletext"/>
              <w:ind w:left="0" w:firstLine="0"/>
            </w:pPr>
            <w:r w:rsidRPr="006048BC">
              <w:t>Increase the financial sustainability and productivity of the health system</w:t>
            </w:r>
          </w:p>
        </w:tc>
        <w:tc>
          <w:tcPr>
            <w:tcW w:w="2597" w:type="dxa"/>
            <w:tcBorders>
              <w:top w:val="single" w:sz="6" w:space="0" w:color="auto"/>
              <w:bottom w:val="single" w:sz="12" w:space="0" w:color="auto"/>
            </w:tcBorders>
            <w:shd w:val="clear" w:color="auto" w:fill="auto"/>
          </w:tcPr>
          <w:p w:rsidR="00A53D7D" w:rsidRPr="006048BC" w:rsidRDefault="00A53D7D" w:rsidP="005140B4">
            <w:pPr>
              <w:pStyle w:val="Tabletext"/>
              <w:ind w:left="0" w:firstLine="0"/>
            </w:pPr>
            <w:r w:rsidRPr="006048BC">
              <w:t>Victoria derives greater value from its health investments</w:t>
            </w:r>
          </w:p>
        </w:tc>
        <w:tc>
          <w:tcPr>
            <w:tcW w:w="2597" w:type="dxa"/>
            <w:tcBorders>
              <w:top w:val="single" w:sz="6" w:space="0" w:color="auto"/>
              <w:bottom w:val="single" w:sz="12" w:space="0" w:color="auto"/>
            </w:tcBorders>
          </w:tcPr>
          <w:p w:rsidR="00A53D7D" w:rsidRDefault="00A53D7D" w:rsidP="005140B4">
            <w:pPr>
              <w:pStyle w:val="Tabletext"/>
              <w:ind w:left="0" w:firstLine="0"/>
            </w:pPr>
            <w:r>
              <w:t>Acute Health Services</w:t>
            </w:r>
          </w:p>
          <w:p w:rsidR="00A53D7D" w:rsidRDefault="00A53D7D" w:rsidP="005140B4">
            <w:pPr>
              <w:pStyle w:val="Tabletext"/>
              <w:ind w:left="0" w:firstLine="0"/>
            </w:pPr>
            <w:r w:rsidRPr="006048BC">
              <w:t xml:space="preserve">Ambulance Services </w:t>
            </w:r>
          </w:p>
          <w:p w:rsidR="00A53D7D" w:rsidRPr="006048BC" w:rsidRDefault="00A53D7D" w:rsidP="005140B4">
            <w:pPr>
              <w:pStyle w:val="Tabletext"/>
              <w:ind w:left="0" w:firstLine="0"/>
            </w:pPr>
            <w:r w:rsidRPr="006048BC">
              <w:t>Mental Health</w:t>
            </w:r>
          </w:p>
          <w:p w:rsidR="00A53D7D" w:rsidRDefault="00A53D7D" w:rsidP="005140B4">
            <w:pPr>
              <w:pStyle w:val="Tabletext"/>
              <w:ind w:left="0" w:firstLine="0"/>
            </w:pPr>
            <w:r>
              <w:t>Ageing, Aged and Home Care</w:t>
            </w:r>
          </w:p>
          <w:p w:rsidR="00A53D7D" w:rsidRPr="006048BC" w:rsidRDefault="00A53D7D" w:rsidP="005140B4">
            <w:pPr>
              <w:pStyle w:val="Tabletext"/>
              <w:ind w:left="0" w:firstLine="0"/>
            </w:pPr>
            <w:r w:rsidRPr="006048BC">
              <w:t>Primary, Community and</w:t>
            </w:r>
          </w:p>
          <w:p w:rsidR="00A53D7D" w:rsidRPr="006048BC" w:rsidRDefault="00A53D7D" w:rsidP="005140B4">
            <w:pPr>
              <w:pStyle w:val="Tabletext"/>
              <w:ind w:left="0" w:firstLine="0"/>
            </w:pPr>
            <w:r w:rsidRPr="006048BC">
              <w:t>Dental Health</w:t>
            </w:r>
          </w:p>
          <w:p w:rsidR="00A53D7D" w:rsidRDefault="00A53D7D" w:rsidP="005140B4">
            <w:pPr>
              <w:pStyle w:val="Tabletext"/>
              <w:ind w:left="0" w:firstLine="0"/>
            </w:pPr>
            <w:r w:rsidRPr="006048BC">
              <w:t xml:space="preserve">Small Rural Services </w:t>
            </w:r>
          </w:p>
          <w:p w:rsidR="00A53D7D" w:rsidRPr="006048BC" w:rsidRDefault="00A53D7D" w:rsidP="005140B4">
            <w:pPr>
              <w:pStyle w:val="Tabletext"/>
              <w:ind w:left="0" w:firstLine="0"/>
            </w:pPr>
            <w:r w:rsidRPr="006048BC">
              <w:t>Public Health</w:t>
            </w:r>
          </w:p>
          <w:p w:rsidR="00A53D7D" w:rsidRPr="006048BC" w:rsidRDefault="00A53D7D" w:rsidP="005140B4">
            <w:pPr>
              <w:pStyle w:val="Tabletext"/>
              <w:ind w:left="0" w:firstLine="0"/>
            </w:pPr>
            <w:r w:rsidRPr="006048BC">
              <w:t>Drugs Services</w:t>
            </w:r>
          </w:p>
        </w:tc>
      </w:tr>
    </w:tbl>
    <w:p w:rsidR="00A53D7D" w:rsidRDefault="00A53D7D" w:rsidP="005140B4">
      <w:pPr>
        <w:pStyle w:val="Source"/>
      </w:pPr>
      <w:r w:rsidRPr="002D7069">
        <w:t>Source: Department of Health</w:t>
      </w:r>
    </w:p>
    <w:p w:rsidR="00A53D7D" w:rsidRDefault="00A53D7D" w:rsidP="005140B4">
      <w:r>
        <w:t>Each output group contributes to the achievement of each of the Department’s objectives. This approach reflects the Department’s intent to build a health system that is integrated and responsive to the changing needs of the community.</w:t>
      </w:r>
    </w:p>
    <w:p w:rsidR="00A53D7D" w:rsidRDefault="00A53D7D" w:rsidP="005140B4">
      <w:r>
        <w:t xml:space="preserve">To achieve these service objectives, the Department will focus on implementing the Government’s reform priorities outlined in the </w:t>
      </w:r>
      <w:r>
        <w:rPr>
          <w:i/>
        </w:rPr>
        <w:t>Victorian Health Priorities Framework 2012</w:t>
      </w:r>
      <w:r>
        <w:rPr>
          <w:i/>
        </w:rPr>
        <w:noBreakHyphen/>
        <w:t>2022:</w:t>
      </w:r>
    </w:p>
    <w:p w:rsidR="00A53D7D" w:rsidRDefault="00A53D7D" w:rsidP="005140B4">
      <w:pPr>
        <w:pStyle w:val="BulletText"/>
      </w:pPr>
      <w:r>
        <w:t>developing a system that is responsive to people’s needs;</w:t>
      </w:r>
    </w:p>
    <w:p w:rsidR="00A53D7D" w:rsidRDefault="00A53D7D" w:rsidP="005140B4">
      <w:pPr>
        <w:pStyle w:val="BulletText"/>
      </w:pPr>
      <w:r>
        <w:t>improving every Victorian’s health status and experiences;</w:t>
      </w:r>
    </w:p>
    <w:p w:rsidR="00A53D7D" w:rsidRDefault="00A53D7D" w:rsidP="005140B4">
      <w:pPr>
        <w:pStyle w:val="BulletText"/>
      </w:pPr>
      <w:r>
        <w:t>expanding service, workforce and system capacity;</w:t>
      </w:r>
    </w:p>
    <w:p w:rsidR="00A53D7D" w:rsidRDefault="00A53D7D" w:rsidP="005140B4">
      <w:pPr>
        <w:pStyle w:val="BulletText"/>
      </w:pPr>
      <w:r>
        <w:t>increasing the system’s financial sustainability and productivity;</w:t>
      </w:r>
    </w:p>
    <w:p w:rsidR="00A53D7D" w:rsidRDefault="00A53D7D" w:rsidP="005140B4">
      <w:pPr>
        <w:pStyle w:val="BulletText"/>
      </w:pPr>
      <w:r>
        <w:t>implementing continuous improvements and innovation;</w:t>
      </w:r>
    </w:p>
    <w:p w:rsidR="00A53D7D" w:rsidRDefault="00A53D7D" w:rsidP="005140B4">
      <w:pPr>
        <w:pStyle w:val="BulletText"/>
      </w:pPr>
      <w:r>
        <w:t>increasing accountability and transparency; and</w:t>
      </w:r>
    </w:p>
    <w:p w:rsidR="00A53D7D" w:rsidRDefault="00A53D7D" w:rsidP="005140B4">
      <w:pPr>
        <w:pStyle w:val="BulletText"/>
      </w:pPr>
      <w:proofErr w:type="gramStart"/>
      <w:r>
        <w:t>making</w:t>
      </w:r>
      <w:proofErr w:type="gramEnd"/>
      <w:r>
        <w:t xml:space="preserve"> better use of e</w:t>
      </w:r>
      <w:r>
        <w:noBreakHyphen/>
        <w:t>health and communications technology.</w:t>
      </w:r>
    </w:p>
    <w:p w:rsidR="00A53D7D" w:rsidRDefault="00A53D7D" w:rsidP="005140B4"/>
    <w:p w:rsidR="00A53D7D" w:rsidRDefault="00A53D7D">
      <w:pPr>
        <w:spacing w:after="0"/>
        <w:rPr>
          <w:rFonts w:ascii="Calibri" w:hAnsi="Calibri"/>
          <w:b/>
          <w:kern w:val="28"/>
          <w:sz w:val="26"/>
          <w:szCs w:val="22"/>
        </w:rPr>
      </w:pPr>
      <w:r>
        <w:br w:type="page"/>
      </w:r>
    </w:p>
    <w:p w:rsidR="00A53D7D" w:rsidRDefault="00A53D7D" w:rsidP="005140B4">
      <w:pPr>
        <w:pStyle w:val="Heading2"/>
      </w:pPr>
      <w:r>
        <w:t>Changes to the output structure</w:t>
      </w:r>
    </w:p>
    <w:p w:rsidR="00A53D7D" w:rsidRDefault="00A53D7D" w:rsidP="005140B4">
      <w:r>
        <w:t>The Department has made no changes to its output structure for 2014</w:t>
      </w:r>
      <w:r>
        <w:noBreakHyphen/>
        <w:t>15.</w:t>
      </w:r>
    </w:p>
    <w:p w:rsidR="00A53D7D" w:rsidRPr="00763473" w:rsidRDefault="00A53D7D" w:rsidP="005140B4">
      <w:r>
        <w:t>Table 2.8 summarises the Department’s total output cost.</w:t>
      </w:r>
    </w:p>
    <w:p w:rsidR="00A53D7D" w:rsidRDefault="00A53D7D" w:rsidP="005140B4">
      <w:pPr>
        <w:pStyle w:val="Tableheading"/>
      </w:pPr>
      <w:r>
        <w:t>Table 2.8:</w:t>
      </w:r>
      <w:r>
        <w:tab/>
        <w:t>Output summary</w:t>
      </w:r>
    </w:p>
    <w:p w:rsidR="00A53D7D" w:rsidRPr="00075E21" w:rsidRDefault="00A53D7D" w:rsidP="005140B4">
      <w:pPr>
        <w:pStyle w:val="million"/>
        <w:rPr>
          <w:b/>
          <w:bCs/>
          <w:sz w:val="15"/>
          <w:lang w:val="en-US"/>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570"/>
        <w:gridCol w:w="1003"/>
        <w:gridCol w:w="1003"/>
        <w:gridCol w:w="1031"/>
        <w:gridCol w:w="1169"/>
      </w:tblGrid>
      <w:tr w:rsidR="00A53D7D" w:rsidRPr="00075E21" w:rsidTr="005140B4">
        <w:tc>
          <w:tcPr>
            <w:tcW w:w="3570" w:type="dxa"/>
            <w:tcBorders>
              <w:top w:val="single" w:sz="4" w:space="0" w:color="auto"/>
              <w:left w:val="single" w:sz="4" w:space="0" w:color="auto"/>
              <w:bottom w:val="nil"/>
              <w:right w:val="nil"/>
            </w:tcBorders>
            <w:shd w:val="clear" w:color="auto" w:fill="000000"/>
          </w:tcPr>
          <w:p w:rsidR="00A53D7D" w:rsidRPr="00075E21" w:rsidRDefault="00A53D7D" w:rsidP="005140B4">
            <w:pPr>
              <w:pStyle w:val="Tabletext"/>
              <w:rPr>
                <w:rFonts w:eastAsiaTheme="minorEastAsia"/>
                <w:lang w:eastAsia="en-AU"/>
              </w:rPr>
            </w:pPr>
          </w:p>
        </w:tc>
        <w:tc>
          <w:tcPr>
            <w:tcW w:w="1003" w:type="dxa"/>
            <w:tcBorders>
              <w:top w:val="single" w:sz="4" w:space="0" w:color="auto"/>
              <w:left w:val="nil"/>
              <w:bottom w:val="nil"/>
              <w:right w:val="nil"/>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2013-14</w:t>
            </w:r>
          </w:p>
        </w:tc>
        <w:tc>
          <w:tcPr>
            <w:tcW w:w="1003" w:type="dxa"/>
            <w:tcBorders>
              <w:top w:val="single" w:sz="4" w:space="0" w:color="auto"/>
              <w:left w:val="nil"/>
              <w:bottom w:val="nil"/>
              <w:right w:val="nil"/>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2013-14</w:t>
            </w:r>
          </w:p>
        </w:tc>
        <w:tc>
          <w:tcPr>
            <w:tcW w:w="1031" w:type="dxa"/>
            <w:tcBorders>
              <w:top w:val="single" w:sz="4" w:space="0" w:color="auto"/>
              <w:left w:val="nil"/>
              <w:bottom w:val="nil"/>
              <w:right w:val="nil"/>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2014-15</w:t>
            </w:r>
          </w:p>
        </w:tc>
        <w:tc>
          <w:tcPr>
            <w:tcW w:w="1169" w:type="dxa"/>
            <w:tcBorders>
              <w:top w:val="single" w:sz="4" w:space="0" w:color="auto"/>
              <w:left w:val="nil"/>
              <w:bottom w:val="nil"/>
              <w:right w:val="single" w:sz="4" w:space="0" w:color="auto"/>
            </w:tcBorders>
            <w:shd w:val="clear" w:color="auto" w:fill="000000"/>
          </w:tcPr>
          <w:p w:rsidR="00A53D7D" w:rsidRPr="00075E21" w:rsidRDefault="00A53D7D" w:rsidP="005140B4">
            <w:pPr>
              <w:pStyle w:val="Tabletextheading"/>
              <w:rPr>
                <w:rFonts w:eastAsiaTheme="minorEastAsia"/>
                <w:vertAlign w:val="superscript"/>
                <w:lang w:eastAsia="en-AU"/>
              </w:rPr>
            </w:pPr>
            <w:r w:rsidRPr="00075E21">
              <w:rPr>
                <w:rFonts w:eastAsiaTheme="minorEastAsia"/>
                <w:lang w:eastAsia="en-AU"/>
              </w:rPr>
              <w:t>Variation</w:t>
            </w:r>
            <w:r w:rsidRPr="00075E21">
              <w:rPr>
                <w:rFonts w:eastAsiaTheme="minorEastAsia"/>
                <w:vertAlign w:val="superscript"/>
                <w:lang w:eastAsia="en-AU"/>
              </w:rPr>
              <w:t>(a) (b)</w:t>
            </w:r>
          </w:p>
        </w:tc>
      </w:tr>
      <w:tr w:rsidR="00A53D7D" w:rsidRPr="00075E21" w:rsidTr="005140B4">
        <w:tc>
          <w:tcPr>
            <w:tcW w:w="3570" w:type="dxa"/>
            <w:tcBorders>
              <w:top w:val="nil"/>
              <w:left w:val="single" w:sz="4" w:space="0" w:color="auto"/>
              <w:bottom w:val="single" w:sz="4" w:space="0" w:color="auto"/>
              <w:right w:val="nil"/>
            </w:tcBorders>
            <w:shd w:val="clear" w:color="auto" w:fill="000000"/>
          </w:tcPr>
          <w:p w:rsidR="00A53D7D" w:rsidRPr="00075E21" w:rsidRDefault="00A53D7D" w:rsidP="005140B4">
            <w:pPr>
              <w:pStyle w:val="Tabletext"/>
              <w:rPr>
                <w:rFonts w:eastAsiaTheme="minorEastAsia"/>
                <w:lang w:eastAsia="en-AU"/>
              </w:rPr>
            </w:pPr>
          </w:p>
        </w:tc>
        <w:tc>
          <w:tcPr>
            <w:tcW w:w="1003" w:type="dxa"/>
            <w:tcBorders>
              <w:top w:val="nil"/>
              <w:left w:val="nil"/>
              <w:bottom w:val="single" w:sz="4" w:space="0" w:color="auto"/>
              <w:right w:val="nil"/>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Budget</w:t>
            </w:r>
          </w:p>
        </w:tc>
        <w:tc>
          <w:tcPr>
            <w:tcW w:w="1003" w:type="dxa"/>
            <w:tcBorders>
              <w:top w:val="nil"/>
              <w:left w:val="nil"/>
              <w:bottom w:val="single" w:sz="4" w:space="0" w:color="auto"/>
              <w:right w:val="nil"/>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Revised</w:t>
            </w:r>
          </w:p>
        </w:tc>
        <w:tc>
          <w:tcPr>
            <w:tcW w:w="1031" w:type="dxa"/>
            <w:tcBorders>
              <w:top w:val="nil"/>
              <w:left w:val="nil"/>
              <w:bottom w:val="single" w:sz="4" w:space="0" w:color="auto"/>
              <w:right w:val="nil"/>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Budget</w:t>
            </w:r>
          </w:p>
        </w:tc>
        <w:tc>
          <w:tcPr>
            <w:tcW w:w="1169" w:type="dxa"/>
            <w:tcBorders>
              <w:top w:val="nil"/>
              <w:left w:val="nil"/>
              <w:bottom w:val="single" w:sz="4" w:space="0" w:color="auto"/>
              <w:right w:val="single" w:sz="4" w:space="0" w:color="auto"/>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w:t>
            </w:r>
          </w:p>
        </w:tc>
      </w:tr>
      <w:tr w:rsidR="00A53D7D" w:rsidRPr="00075E21" w:rsidTr="005140B4">
        <w:tc>
          <w:tcPr>
            <w:tcW w:w="3570" w:type="dxa"/>
            <w:tcBorders>
              <w:top w:val="nil"/>
              <w:left w:val="nil"/>
              <w:bottom w:val="nil"/>
              <w:right w:val="nil"/>
            </w:tcBorders>
          </w:tcPr>
          <w:p w:rsidR="00A53D7D" w:rsidRPr="00075E21" w:rsidRDefault="00A53D7D" w:rsidP="005140B4">
            <w:pPr>
              <w:pStyle w:val="Tabletext"/>
              <w:rPr>
                <w:rFonts w:eastAsiaTheme="minorEastAsia"/>
                <w:color w:val="000000"/>
                <w:vertAlign w:val="superscript"/>
                <w:lang w:eastAsia="en-AU"/>
              </w:rPr>
            </w:pPr>
            <w:r w:rsidRPr="00075E21">
              <w:rPr>
                <w:rFonts w:eastAsiaTheme="minorEastAsia"/>
                <w:color w:val="000000"/>
                <w:lang w:eastAsia="en-AU"/>
              </w:rPr>
              <w:t xml:space="preserve">Acute Health Services </w:t>
            </w:r>
            <w:r w:rsidRPr="00075E21">
              <w:rPr>
                <w:rFonts w:eastAsiaTheme="minorEastAsia"/>
                <w:color w:val="000000"/>
                <w:vertAlign w:val="superscript"/>
                <w:lang w:eastAsia="en-AU"/>
              </w:rPr>
              <w:t>(c)</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9 836.0</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9 830.3</w:t>
            </w:r>
          </w:p>
        </w:tc>
        <w:tc>
          <w:tcPr>
            <w:tcW w:w="1031"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10 275.3</w:t>
            </w:r>
          </w:p>
        </w:tc>
        <w:tc>
          <w:tcPr>
            <w:tcW w:w="1169"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4.5</w:t>
            </w:r>
          </w:p>
        </w:tc>
      </w:tr>
      <w:tr w:rsidR="00A53D7D" w:rsidRPr="00075E21" w:rsidTr="005140B4">
        <w:tc>
          <w:tcPr>
            <w:tcW w:w="3570" w:type="dxa"/>
            <w:tcBorders>
              <w:top w:val="nil"/>
              <w:left w:val="nil"/>
              <w:bottom w:val="nil"/>
              <w:right w:val="nil"/>
            </w:tcBorders>
          </w:tcPr>
          <w:p w:rsidR="00A53D7D" w:rsidRPr="00075E21" w:rsidRDefault="00A53D7D" w:rsidP="005140B4">
            <w:pPr>
              <w:pStyle w:val="Tabletext"/>
              <w:rPr>
                <w:rFonts w:eastAsiaTheme="minorEastAsia"/>
                <w:color w:val="000000"/>
                <w:vertAlign w:val="superscript"/>
                <w:lang w:eastAsia="en-AU"/>
              </w:rPr>
            </w:pPr>
            <w:r w:rsidRPr="00075E21">
              <w:rPr>
                <w:rFonts w:eastAsiaTheme="minorEastAsia"/>
                <w:color w:val="000000"/>
                <w:lang w:eastAsia="en-AU"/>
              </w:rPr>
              <w:t xml:space="preserve">Ambulance Services </w:t>
            </w:r>
            <w:r w:rsidRPr="00075E21">
              <w:rPr>
                <w:rFonts w:eastAsiaTheme="minorEastAsia"/>
                <w:color w:val="000000"/>
                <w:vertAlign w:val="superscript"/>
                <w:lang w:eastAsia="en-AU"/>
              </w:rPr>
              <w:t>(d)</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661.9</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 xml:space="preserve"> 658.5</w:t>
            </w:r>
          </w:p>
        </w:tc>
        <w:tc>
          <w:tcPr>
            <w:tcW w:w="1031"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 xml:space="preserve"> 696.5</w:t>
            </w:r>
          </w:p>
        </w:tc>
        <w:tc>
          <w:tcPr>
            <w:tcW w:w="1169"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5.2</w:t>
            </w:r>
          </w:p>
        </w:tc>
      </w:tr>
      <w:tr w:rsidR="00A53D7D" w:rsidRPr="00075E21" w:rsidTr="005140B4">
        <w:tc>
          <w:tcPr>
            <w:tcW w:w="3570" w:type="dxa"/>
            <w:tcBorders>
              <w:top w:val="nil"/>
              <w:left w:val="nil"/>
              <w:bottom w:val="nil"/>
              <w:right w:val="nil"/>
            </w:tcBorders>
          </w:tcPr>
          <w:p w:rsidR="00A53D7D" w:rsidRPr="00075E21" w:rsidRDefault="00A53D7D" w:rsidP="005140B4">
            <w:pPr>
              <w:pStyle w:val="Tabletext"/>
              <w:rPr>
                <w:rFonts w:eastAsiaTheme="minorEastAsia"/>
                <w:color w:val="000000"/>
                <w:vertAlign w:val="superscript"/>
                <w:lang w:eastAsia="en-AU"/>
              </w:rPr>
            </w:pPr>
            <w:r w:rsidRPr="00075E21">
              <w:rPr>
                <w:rFonts w:eastAsiaTheme="minorEastAsia"/>
                <w:color w:val="000000"/>
                <w:lang w:eastAsia="en-AU"/>
              </w:rPr>
              <w:t xml:space="preserve">Mental Health </w:t>
            </w:r>
            <w:r w:rsidRPr="00075E21">
              <w:rPr>
                <w:rFonts w:eastAsiaTheme="minorEastAsia"/>
                <w:color w:val="000000"/>
                <w:vertAlign w:val="superscript"/>
                <w:lang w:eastAsia="en-AU"/>
              </w:rPr>
              <w:t>(e)</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1 203.2</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1 168.2</w:t>
            </w:r>
          </w:p>
        </w:tc>
        <w:tc>
          <w:tcPr>
            <w:tcW w:w="1031"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1 260.6</w:t>
            </w:r>
          </w:p>
        </w:tc>
        <w:tc>
          <w:tcPr>
            <w:tcW w:w="1169"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4.8</w:t>
            </w:r>
          </w:p>
        </w:tc>
      </w:tr>
      <w:tr w:rsidR="00A53D7D" w:rsidRPr="00075E21" w:rsidTr="005140B4">
        <w:tc>
          <w:tcPr>
            <w:tcW w:w="3570" w:type="dxa"/>
            <w:tcBorders>
              <w:top w:val="nil"/>
              <w:left w:val="nil"/>
              <w:bottom w:val="nil"/>
              <w:right w:val="nil"/>
            </w:tcBorders>
          </w:tcPr>
          <w:p w:rsidR="00A53D7D" w:rsidRPr="00075E21" w:rsidRDefault="00A53D7D" w:rsidP="005140B4">
            <w:pPr>
              <w:pStyle w:val="Tabletext"/>
              <w:rPr>
                <w:rFonts w:eastAsiaTheme="minorEastAsia"/>
                <w:color w:val="000000"/>
                <w:vertAlign w:val="superscript"/>
                <w:lang w:eastAsia="en-AU"/>
              </w:rPr>
            </w:pPr>
            <w:r w:rsidRPr="00075E21">
              <w:rPr>
                <w:rFonts w:eastAsiaTheme="minorEastAsia"/>
                <w:color w:val="000000"/>
                <w:lang w:eastAsia="en-AU"/>
              </w:rPr>
              <w:t xml:space="preserve">Ageing, Aged and Home Care </w:t>
            </w:r>
            <w:r w:rsidRPr="00075E21">
              <w:rPr>
                <w:rFonts w:eastAsiaTheme="minorEastAsia"/>
                <w:color w:val="000000"/>
                <w:vertAlign w:val="superscript"/>
                <w:lang w:eastAsia="en-AU"/>
              </w:rPr>
              <w:t>(f)</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1 216.1</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1 206.0</w:t>
            </w:r>
          </w:p>
        </w:tc>
        <w:tc>
          <w:tcPr>
            <w:tcW w:w="1031"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1 203.7</w:t>
            </w:r>
          </w:p>
        </w:tc>
        <w:tc>
          <w:tcPr>
            <w:tcW w:w="1169"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-1.0</w:t>
            </w:r>
          </w:p>
        </w:tc>
      </w:tr>
      <w:tr w:rsidR="00A53D7D" w:rsidRPr="00075E21" w:rsidTr="005140B4">
        <w:tc>
          <w:tcPr>
            <w:tcW w:w="3570" w:type="dxa"/>
            <w:tcBorders>
              <w:top w:val="nil"/>
              <w:left w:val="nil"/>
              <w:bottom w:val="nil"/>
              <w:right w:val="nil"/>
            </w:tcBorders>
          </w:tcPr>
          <w:p w:rsidR="00A53D7D" w:rsidRPr="00075E21" w:rsidRDefault="00A53D7D" w:rsidP="005140B4">
            <w:pPr>
              <w:pStyle w:val="Tabletext"/>
              <w:rPr>
                <w:rFonts w:eastAsiaTheme="minorEastAsia"/>
                <w:color w:val="000000"/>
                <w:vertAlign w:val="superscript"/>
                <w:lang w:eastAsia="en-AU"/>
              </w:rPr>
            </w:pPr>
            <w:r w:rsidRPr="00075E21">
              <w:rPr>
                <w:rFonts w:eastAsiaTheme="minorEastAsia"/>
                <w:color w:val="000000"/>
                <w:lang w:eastAsia="en-AU"/>
              </w:rPr>
              <w:t xml:space="preserve">Primary, Community and Dental Health </w:t>
            </w:r>
            <w:r w:rsidRPr="00075E21">
              <w:rPr>
                <w:rFonts w:eastAsiaTheme="minorEastAsia"/>
                <w:color w:val="000000"/>
                <w:vertAlign w:val="superscript"/>
                <w:lang w:eastAsia="en-AU"/>
              </w:rPr>
              <w:t>(g)</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420.9</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 xml:space="preserve"> 476.0</w:t>
            </w:r>
          </w:p>
        </w:tc>
        <w:tc>
          <w:tcPr>
            <w:tcW w:w="1031"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 xml:space="preserve"> 462.3</w:t>
            </w:r>
          </w:p>
        </w:tc>
        <w:tc>
          <w:tcPr>
            <w:tcW w:w="1169"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9.8</w:t>
            </w:r>
          </w:p>
        </w:tc>
      </w:tr>
      <w:tr w:rsidR="00A53D7D" w:rsidRPr="00075E21" w:rsidTr="005140B4">
        <w:tc>
          <w:tcPr>
            <w:tcW w:w="3570" w:type="dxa"/>
            <w:tcBorders>
              <w:top w:val="nil"/>
              <w:left w:val="nil"/>
              <w:bottom w:val="nil"/>
              <w:right w:val="nil"/>
            </w:tcBorders>
          </w:tcPr>
          <w:p w:rsidR="00A53D7D" w:rsidRPr="00075E21" w:rsidRDefault="00A53D7D" w:rsidP="005140B4">
            <w:pPr>
              <w:pStyle w:val="Tabletext"/>
              <w:rPr>
                <w:rFonts w:eastAsiaTheme="minorEastAsia"/>
                <w:color w:val="000000"/>
                <w:lang w:eastAsia="en-AU"/>
              </w:rPr>
            </w:pPr>
            <w:r w:rsidRPr="00075E21">
              <w:rPr>
                <w:rFonts w:eastAsiaTheme="minorEastAsia"/>
                <w:color w:val="000000"/>
                <w:lang w:eastAsia="en-AU"/>
              </w:rPr>
              <w:t>Small Rural Services</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534.0</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 xml:space="preserve"> 548.6</w:t>
            </w:r>
          </w:p>
        </w:tc>
        <w:tc>
          <w:tcPr>
            <w:tcW w:w="1031"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 xml:space="preserve"> 560.2</w:t>
            </w:r>
          </w:p>
        </w:tc>
        <w:tc>
          <w:tcPr>
            <w:tcW w:w="1169"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4.9</w:t>
            </w:r>
          </w:p>
        </w:tc>
      </w:tr>
      <w:tr w:rsidR="00A53D7D" w:rsidRPr="00075E21" w:rsidTr="005140B4">
        <w:tc>
          <w:tcPr>
            <w:tcW w:w="3570" w:type="dxa"/>
            <w:tcBorders>
              <w:top w:val="nil"/>
              <w:left w:val="nil"/>
              <w:bottom w:val="nil"/>
              <w:right w:val="nil"/>
            </w:tcBorders>
          </w:tcPr>
          <w:p w:rsidR="00A53D7D" w:rsidRPr="00075E21" w:rsidRDefault="00A53D7D" w:rsidP="005140B4">
            <w:pPr>
              <w:pStyle w:val="Tabletext"/>
              <w:rPr>
                <w:rFonts w:eastAsiaTheme="minorEastAsia"/>
                <w:color w:val="000000"/>
                <w:vertAlign w:val="superscript"/>
                <w:lang w:eastAsia="en-AU"/>
              </w:rPr>
            </w:pPr>
            <w:r w:rsidRPr="00075E21">
              <w:rPr>
                <w:rFonts w:eastAsiaTheme="minorEastAsia"/>
                <w:color w:val="000000"/>
                <w:lang w:eastAsia="en-AU"/>
              </w:rPr>
              <w:t xml:space="preserve">Public Health </w:t>
            </w:r>
            <w:r w:rsidRPr="00075E21">
              <w:rPr>
                <w:rFonts w:eastAsiaTheme="minorEastAsia"/>
                <w:color w:val="000000"/>
                <w:vertAlign w:val="superscript"/>
                <w:lang w:eastAsia="en-AU"/>
              </w:rPr>
              <w:t>(h)</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319.3</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 xml:space="preserve"> 313.3</w:t>
            </w:r>
          </w:p>
        </w:tc>
        <w:tc>
          <w:tcPr>
            <w:tcW w:w="1031"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 xml:space="preserve"> 328.8</w:t>
            </w:r>
          </w:p>
        </w:tc>
        <w:tc>
          <w:tcPr>
            <w:tcW w:w="1169"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3.0</w:t>
            </w:r>
          </w:p>
        </w:tc>
      </w:tr>
      <w:tr w:rsidR="00A53D7D" w:rsidRPr="00075E21" w:rsidTr="005140B4">
        <w:tc>
          <w:tcPr>
            <w:tcW w:w="3570" w:type="dxa"/>
            <w:tcBorders>
              <w:top w:val="nil"/>
              <w:left w:val="nil"/>
              <w:bottom w:val="nil"/>
              <w:right w:val="nil"/>
            </w:tcBorders>
          </w:tcPr>
          <w:p w:rsidR="00A53D7D" w:rsidRPr="00075E21" w:rsidRDefault="00A53D7D" w:rsidP="005140B4">
            <w:pPr>
              <w:pStyle w:val="Tabletext"/>
              <w:rPr>
                <w:rFonts w:eastAsiaTheme="minorEastAsia"/>
                <w:color w:val="000000"/>
                <w:lang w:eastAsia="en-AU"/>
              </w:rPr>
            </w:pPr>
            <w:r w:rsidRPr="00075E21">
              <w:rPr>
                <w:rFonts w:eastAsiaTheme="minorEastAsia"/>
                <w:color w:val="000000"/>
                <w:lang w:eastAsia="en-AU"/>
              </w:rPr>
              <w:t>Drugs Services</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153.5</w:t>
            </w:r>
          </w:p>
        </w:tc>
        <w:tc>
          <w:tcPr>
            <w:tcW w:w="1003"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 xml:space="preserve"> 155.7</w:t>
            </w:r>
          </w:p>
        </w:tc>
        <w:tc>
          <w:tcPr>
            <w:tcW w:w="1031"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 xml:space="preserve"> 165.1</w:t>
            </w:r>
          </w:p>
        </w:tc>
        <w:tc>
          <w:tcPr>
            <w:tcW w:w="1169" w:type="dxa"/>
            <w:tcBorders>
              <w:top w:val="nil"/>
              <w:left w:val="nil"/>
              <w:bottom w:val="nil"/>
              <w:right w:val="nil"/>
            </w:tcBorders>
          </w:tcPr>
          <w:p w:rsidR="00A53D7D" w:rsidRPr="00075E21" w:rsidRDefault="00A53D7D" w:rsidP="005140B4">
            <w:pPr>
              <w:pStyle w:val="TableofFigures"/>
              <w:rPr>
                <w:rFonts w:eastAsiaTheme="minorEastAsia"/>
                <w:color w:val="000000"/>
                <w:lang w:eastAsia="en-AU"/>
              </w:rPr>
            </w:pPr>
            <w:r w:rsidRPr="00075E21">
              <w:rPr>
                <w:rFonts w:eastAsiaTheme="minorEastAsia"/>
                <w:color w:val="000000"/>
                <w:lang w:eastAsia="en-AU"/>
              </w:rPr>
              <w:t>7.6</w:t>
            </w:r>
          </w:p>
        </w:tc>
      </w:tr>
      <w:tr w:rsidR="00A53D7D" w:rsidRPr="00075E21" w:rsidTr="005140B4">
        <w:tc>
          <w:tcPr>
            <w:tcW w:w="3570" w:type="dxa"/>
            <w:tcBorders>
              <w:top w:val="single" w:sz="6" w:space="0" w:color="auto"/>
              <w:left w:val="nil"/>
              <w:bottom w:val="single" w:sz="12" w:space="0" w:color="auto"/>
              <w:right w:val="nil"/>
            </w:tcBorders>
          </w:tcPr>
          <w:p w:rsidR="00A53D7D" w:rsidRPr="00075E21" w:rsidRDefault="00A53D7D" w:rsidP="005140B4">
            <w:pPr>
              <w:pStyle w:val="Tabletext"/>
              <w:rPr>
                <w:rFonts w:eastAsiaTheme="minorEastAsia"/>
                <w:b/>
                <w:bCs/>
                <w:color w:val="000000"/>
                <w:lang w:eastAsia="en-AU"/>
              </w:rPr>
            </w:pPr>
            <w:r w:rsidRPr="00075E21">
              <w:rPr>
                <w:rFonts w:eastAsiaTheme="minorEastAsia"/>
                <w:b/>
                <w:bCs/>
                <w:color w:val="000000"/>
                <w:lang w:eastAsia="en-AU"/>
              </w:rPr>
              <w:t>Total</w:t>
            </w:r>
          </w:p>
        </w:tc>
        <w:tc>
          <w:tcPr>
            <w:tcW w:w="1003" w:type="dxa"/>
            <w:tcBorders>
              <w:top w:val="single" w:sz="6" w:space="0" w:color="auto"/>
              <w:left w:val="nil"/>
              <w:bottom w:val="single" w:sz="12" w:space="0" w:color="auto"/>
              <w:right w:val="nil"/>
            </w:tcBorders>
          </w:tcPr>
          <w:p w:rsidR="00A53D7D" w:rsidRPr="00075E21" w:rsidRDefault="00A53D7D" w:rsidP="005140B4">
            <w:pPr>
              <w:pStyle w:val="TableofFigures"/>
              <w:rPr>
                <w:rFonts w:eastAsiaTheme="minorEastAsia"/>
                <w:b/>
                <w:bCs/>
                <w:color w:val="000000"/>
                <w:lang w:eastAsia="en-AU"/>
              </w:rPr>
            </w:pPr>
            <w:r w:rsidRPr="00075E21">
              <w:rPr>
                <w:rFonts w:eastAsiaTheme="minorEastAsia"/>
                <w:b/>
                <w:bCs/>
                <w:color w:val="000000"/>
                <w:lang w:eastAsia="en-AU"/>
              </w:rPr>
              <w:t>14 344.9</w:t>
            </w:r>
          </w:p>
        </w:tc>
        <w:tc>
          <w:tcPr>
            <w:tcW w:w="1003" w:type="dxa"/>
            <w:tcBorders>
              <w:top w:val="single" w:sz="6" w:space="0" w:color="auto"/>
              <w:left w:val="nil"/>
              <w:bottom w:val="single" w:sz="12" w:space="0" w:color="auto"/>
              <w:right w:val="nil"/>
            </w:tcBorders>
          </w:tcPr>
          <w:p w:rsidR="00A53D7D" w:rsidRPr="00075E21" w:rsidRDefault="00A53D7D" w:rsidP="005140B4">
            <w:pPr>
              <w:pStyle w:val="TableofFigures"/>
              <w:rPr>
                <w:rFonts w:eastAsiaTheme="minorEastAsia"/>
                <w:b/>
                <w:bCs/>
                <w:color w:val="000000"/>
                <w:lang w:eastAsia="en-AU"/>
              </w:rPr>
            </w:pPr>
            <w:r w:rsidRPr="00075E21">
              <w:rPr>
                <w:rFonts w:eastAsiaTheme="minorEastAsia"/>
                <w:b/>
                <w:bCs/>
                <w:color w:val="000000"/>
                <w:lang w:eastAsia="en-AU"/>
              </w:rPr>
              <w:t>14 356.6</w:t>
            </w:r>
          </w:p>
        </w:tc>
        <w:tc>
          <w:tcPr>
            <w:tcW w:w="1031" w:type="dxa"/>
            <w:tcBorders>
              <w:top w:val="single" w:sz="6" w:space="0" w:color="auto"/>
              <w:left w:val="nil"/>
              <w:bottom w:val="single" w:sz="12" w:space="0" w:color="auto"/>
              <w:right w:val="nil"/>
            </w:tcBorders>
          </w:tcPr>
          <w:p w:rsidR="00A53D7D" w:rsidRPr="00075E21" w:rsidRDefault="00A53D7D" w:rsidP="005140B4">
            <w:pPr>
              <w:pStyle w:val="TableofFigures"/>
              <w:rPr>
                <w:rFonts w:eastAsiaTheme="minorEastAsia"/>
                <w:b/>
                <w:bCs/>
                <w:color w:val="000000"/>
                <w:lang w:eastAsia="en-AU"/>
              </w:rPr>
            </w:pPr>
            <w:r w:rsidRPr="00075E21">
              <w:rPr>
                <w:rFonts w:eastAsiaTheme="minorEastAsia"/>
                <w:b/>
                <w:bCs/>
                <w:color w:val="000000"/>
                <w:lang w:eastAsia="en-AU"/>
              </w:rPr>
              <w:t>14 952.5</w:t>
            </w:r>
          </w:p>
        </w:tc>
        <w:tc>
          <w:tcPr>
            <w:tcW w:w="1169" w:type="dxa"/>
            <w:tcBorders>
              <w:top w:val="single" w:sz="6" w:space="0" w:color="auto"/>
              <w:left w:val="nil"/>
              <w:bottom w:val="single" w:sz="12" w:space="0" w:color="auto"/>
              <w:right w:val="nil"/>
            </w:tcBorders>
          </w:tcPr>
          <w:p w:rsidR="00A53D7D" w:rsidRPr="00075E21" w:rsidRDefault="00A53D7D" w:rsidP="005140B4">
            <w:pPr>
              <w:pStyle w:val="TableofFigures"/>
              <w:rPr>
                <w:rFonts w:eastAsiaTheme="minorEastAsia"/>
                <w:b/>
                <w:color w:val="000000"/>
                <w:lang w:eastAsia="en-AU"/>
              </w:rPr>
            </w:pPr>
            <w:r w:rsidRPr="00075E21">
              <w:rPr>
                <w:rFonts w:eastAsiaTheme="minorEastAsia"/>
                <w:b/>
                <w:color w:val="000000"/>
                <w:lang w:eastAsia="en-AU"/>
              </w:rPr>
              <w:t>4.2</w:t>
            </w:r>
          </w:p>
        </w:tc>
      </w:tr>
    </w:tbl>
    <w:p w:rsidR="00A53D7D" w:rsidRDefault="00A53D7D" w:rsidP="005140B4">
      <w:pPr>
        <w:pStyle w:val="Source"/>
      </w:pPr>
      <w:r>
        <w:t xml:space="preserve">Source: Department of Health </w:t>
      </w:r>
      <w:r>
        <w:fldChar w:fldCharType="begin"/>
      </w:r>
      <w:r>
        <w:instrText xml:space="preserve"> XE "</w:instrText>
      </w:r>
      <w:r w:rsidRPr="00B15ECE">
        <w:instrText xml:space="preserve">Department of </w:instrText>
      </w:r>
      <w:r>
        <w:instrText>Health</w:instrText>
      </w:r>
      <w:r w:rsidRPr="00B15ECE">
        <w:instrText>:Output summary</w:instrText>
      </w:r>
      <w:r>
        <w:instrText xml:space="preserve">" </w:instrText>
      </w:r>
      <w:r>
        <w:fldChar w:fldCharType="end"/>
      </w:r>
    </w:p>
    <w:p w:rsidR="00A53D7D" w:rsidRPr="00EE56ED" w:rsidRDefault="00A53D7D" w:rsidP="005140B4">
      <w:pPr>
        <w:pStyle w:val="Notes"/>
      </w:pPr>
      <w:r w:rsidRPr="00EE56ED">
        <w:t>Note</w:t>
      </w:r>
      <w:r>
        <w:t>s</w:t>
      </w:r>
      <w:r w:rsidRPr="00EE56ED">
        <w:t>:</w:t>
      </w:r>
    </w:p>
    <w:p w:rsidR="00A53D7D" w:rsidRPr="00DA674D" w:rsidRDefault="00A53D7D" w:rsidP="005140B4">
      <w:pPr>
        <w:pStyle w:val="Notes"/>
      </w:pPr>
      <w:r w:rsidRPr="00DA674D">
        <w:t>(a)</w:t>
      </w:r>
      <w:r w:rsidRPr="00DA674D">
        <w:tab/>
        <w:t>Variation between 2013</w:t>
      </w:r>
      <w:r>
        <w:noBreakHyphen/>
      </w:r>
      <w:r w:rsidRPr="00DA674D">
        <w:t>14 budget and 2014</w:t>
      </w:r>
      <w:r>
        <w:noBreakHyphen/>
      </w:r>
      <w:r w:rsidRPr="00DA674D">
        <w:t>15 budget.</w:t>
      </w:r>
    </w:p>
    <w:p w:rsidR="00A53D7D" w:rsidRPr="00DA674D" w:rsidRDefault="00A53D7D" w:rsidP="005140B4">
      <w:pPr>
        <w:pStyle w:val="Notes"/>
      </w:pPr>
      <w:r w:rsidRPr="00DA674D">
        <w:t>(b)</w:t>
      </w:r>
      <w:r w:rsidRPr="00DA674D">
        <w:tab/>
        <w:t>The movement in the Department of Health’s 2014</w:t>
      </w:r>
      <w:r>
        <w:noBreakHyphen/>
      </w:r>
      <w:r w:rsidRPr="00DA674D">
        <w:t>15 budget compared with the 2013</w:t>
      </w:r>
      <w:r>
        <w:noBreakHyphen/>
      </w:r>
      <w:r w:rsidRPr="00DA674D">
        <w:t>14 budget are primarily due to:</w:t>
      </w:r>
    </w:p>
    <w:p w:rsidR="00A53D7D" w:rsidRDefault="00A53D7D" w:rsidP="005140B4">
      <w:pPr>
        <w:pStyle w:val="NotesDash"/>
      </w:pPr>
      <w:r>
        <w:t>funding provided for G</w:t>
      </w:r>
      <w:r w:rsidRPr="00EE56ED">
        <w:t>overnment policy commitments including the full</w:t>
      </w:r>
      <w:r>
        <w:noBreakHyphen/>
      </w:r>
      <w:r w:rsidRPr="00EE56ED">
        <w:t>year effect of initiative funding announced in previous years budgets;</w:t>
      </w:r>
    </w:p>
    <w:p w:rsidR="00A53D7D" w:rsidRDefault="00A53D7D" w:rsidP="005140B4">
      <w:pPr>
        <w:pStyle w:val="NotesDash"/>
      </w:pPr>
      <w:r w:rsidRPr="00EE56ED">
        <w:t>output price increases arising from price escalation for anticipated cost increases;</w:t>
      </w:r>
    </w:p>
    <w:p w:rsidR="00A53D7D" w:rsidRDefault="00A53D7D" w:rsidP="005140B4">
      <w:pPr>
        <w:pStyle w:val="NotesDash"/>
      </w:pPr>
      <w:r w:rsidRPr="00EE56ED">
        <w:t>output price increases for depreciation and capital asset charge costs associated with the approved asset investment program for 2014</w:t>
      </w:r>
      <w:r>
        <w:noBreakHyphen/>
      </w:r>
      <w:r w:rsidRPr="00EE56ED">
        <w:t>15;</w:t>
      </w:r>
    </w:p>
    <w:p w:rsidR="00A53D7D" w:rsidRDefault="00A53D7D" w:rsidP="005140B4">
      <w:pPr>
        <w:pStyle w:val="NotesDash"/>
      </w:pPr>
      <w:r w:rsidRPr="00EE56ED">
        <w:t xml:space="preserve">output price decreases arising from Government savings announced in </w:t>
      </w:r>
      <w:r w:rsidRPr="00065ECC">
        <w:rPr>
          <w:i w:val="0"/>
        </w:rPr>
        <w:t>2013</w:t>
      </w:r>
      <w:r w:rsidRPr="00065ECC">
        <w:rPr>
          <w:i w:val="0"/>
        </w:rPr>
        <w:noBreakHyphen/>
        <w:t>14 Budget Update</w:t>
      </w:r>
      <w:r w:rsidRPr="00EE56ED">
        <w:t xml:space="preserve"> and the full</w:t>
      </w:r>
      <w:r>
        <w:noBreakHyphen/>
      </w:r>
      <w:r w:rsidRPr="00EE56ED">
        <w:t>year effect of efficiencies announced in previous years budgets</w:t>
      </w:r>
      <w:r>
        <w:t>; and</w:t>
      </w:r>
    </w:p>
    <w:p w:rsidR="00A53D7D" w:rsidRPr="00EE56ED" w:rsidRDefault="00A53D7D" w:rsidP="005140B4">
      <w:pPr>
        <w:pStyle w:val="NotesDash"/>
      </w:pPr>
      <w:proofErr w:type="gramStart"/>
      <w:r>
        <w:t>changes</w:t>
      </w:r>
      <w:proofErr w:type="gramEnd"/>
      <w:r>
        <w:t xml:space="preserve"> to </w:t>
      </w:r>
      <w:r w:rsidRPr="00EE56ED">
        <w:t xml:space="preserve">Commonwealth funding </w:t>
      </w:r>
      <w:r>
        <w:t xml:space="preserve">across </w:t>
      </w:r>
      <w:r w:rsidRPr="00EE56ED">
        <w:t>a number of programs</w:t>
      </w:r>
      <w:r>
        <w:t>.</w:t>
      </w:r>
    </w:p>
    <w:p w:rsidR="00A53D7D" w:rsidRPr="00C2343E" w:rsidRDefault="00A53D7D" w:rsidP="005140B4">
      <w:pPr>
        <w:pStyle w:val="Notes"/>
      </w:pPr>
      <w:r w:rsidRPr="00C2343E">
        <w:t>(c)</w:t>
      </w:r>
      <w:r w:rsidRPr="00C2343E">
        <w:tab/>
        <w:t>2014</w:t>
      </w:r>
      <w:r>
        <w:noBreakHyphen/>
      </w:r>
      <w:r w:rsidRPr="00C2343E">
        <w:t>15 budget reflects funding for implementation of policy initiatives announced in previous and current budgets.</w:t>
      </w:r>
    </w:p>
    <w:p w:rsidR="00A53D7D" w:rsidRPr="00C2343E" w:rsidRDefault="00A53D7D" w:rsidP="005140B4">
      <w:pPr>
        <w:pStyle w:val="Notes"/>
      </w:pPr>
      <w:r w:rsidRPr="00C2343E">
        <w:t>(d</w:t>
      </w:r>
      <w:r>
        <w:t>)</w:t>
      </w:r>
      <w:r w:rsidRPr="00C2343E">
        <w:tab/>
        <w:t>The higher 2014</w:t>
      </w:r>
      <w:r>
        <w:noBreakHyphen/>
      </w:r>
      <w:r w:rsidRPr="00C2343E">
        <w:t xml:space="preserve">15 budget reflects funding for implementation of policy initiatives announced in the previous and current budgets. </w:t>
      </w:r>
    </w:p>
    <w:p w:rsidR="00A53D7D" w:rsidRPr="00C2343E" w:rsidRDefault="00A53D7D" w:rsidP="005140B4">
      <w:pPr>
        <w:pStyle w:val="Notes"/>
      </w:pPr>
      <w:r w:rsidRPr="00C2343E">
        <w:t>(e)</w:t>
      </w:r>
      <w:r w:rsidRPr="00C2343E">
        <w:tab/>
        <w:t>The higher 2014</w:t>
      </w:r>
      <w:r>
        <w:noBreakHyphen/>
      </w:r>
      <w:r w:rsidRPr="00C2343E">
        <w:t>15 budget reflects the impact of the social and community services pay equity case and funding for implementation of policy initiatives announced in previous and current budgets and increased contributions from membership. The 2013</w:t>
      </w:r>
      <w:r>
        <w:noBreakHyphen/>
      </w:r>
      <w:r w:rsidRPr="00C2343E">
        <w:t>14 expected outcome reflects a decrease in Commonwealth funding for the Expanding Early Psychosis Prevention and Intervention Centre Models and changes in carryover.</w:t>
      </w:r>
    </w:p>
    <w:p w:rsidR="00A53D7D" w:rsidRPr="00C2343E" w:rsidRDefault="00A53D7D" w:rsidP="005140B4">
      <w:pPr>
        <w:pStyle w:val="Notes"/>
      </w:pPr>
      <w:r w:rsidRPr="00C2343E">
        <w:t xml:space="preserve">(f) </w:t>
      </w:r>
      <w:r w:rsidRPr="00C2343E">
        <w:tab/>
        <w:t>The lower 2014</w:t>
      </w:r>
      <w:r>
        <w:noBreakHyphen/>
      </w:r>
      <w:r w:rsidRPr="00C2343E">
        <w:t>15 budget reflects changes to Residents and Nursing Home contributions and the impact of previously announced changes.</w:t>
      </w:r>
    </w:p>
    <w:p w:rsidR="00A53D7D" w:rsidRPr="00C2343E" w:rsidRDefault="00A53D7D" w:rsidP="005140B4">
      <w:pPr>
        <w:pStyle w:val="Notes"/>
      </w:pPr>
      <w:r w:rsidRPr="00C2343E">
        <w:t xml:space="preserve">(g) </w:t>
      </w:r>
      <w:r w:rsidRPr="00C2343E">
        <w:tab/>
        <w:t>2014</w:t>
      </w:r>
      <w:r>
        <w:noBreakHyphen/>
      </w:r>
      <w:r w:rsidRPr="00C2343E">
        <w:t>15 budget reflects increase in funding for implementation of policy initiatives announced in this budget and the impact of the social and community services pay equity case, along with changes to Commonwealth funding.</w:t>
      </w:r>
    </w:p>
    <w:p w:rsidR="00A53D7D" w:rsidRPr="00C2343E" w:rsidRDefault="00A53D7D" w:rsidP="005140B4">
      <w:pPr>
        <w:pStyle w:val="Notes"/>
      </w:pPr>
      <w:r w:rsidRPr="00C2343E">
        <w:t xml:space="preserve">(h) </w:t>
      </w:r>
      <w:r w:rsidRPr="00C2343E">
        <w:tab/>
        <w:t>2014</w:t>
      </w:r>
      <w:r>
        <w:noBreakHyphen/>
      </w:r>
      <w:r w:rsidRPr="00C2343E">
        <w:t>15 budget reflects adjustments to the National Partnership Agreement on Essential Vaccines.</w:t>
      </w:r>
    </w:p>
    <w:p w:rsidR="00A53D7D" w:rsidRDefault="00A53D7D" w:rsidP="005140B4">
      <w:pPr>
        <w:pStyle w:val="Heading2"/>
      </w:pPr>
      <w:r>
        <w:t>Amounts available</w:t>
      </w:r>
    </w:p>
    <w:p w:rsidR="00A53D7D" w:rsidRDefault="00A53D7D" w:rsidP="005140B4">
      <w:r>
        <w:t>The following tables detail the amounts available to the Department from Parliamentary authority and income generated through transactions.</w:t>
      </w:r>
    </w:p>
    <w:p w:rsidR="00A53D7D" w:rsidRDefault="00A53D7D" w:rsidP="005140B4">
      <w:r>
        <w:t>Table 2.9 outlines the Department’s income from transactions and Table 2.10 summarises the sources of Parliamentary authority available to the Department to fund the provision of outputs, additions to net asset base and payments made on behalf of the State.</w:t>
      </w:r>
    </w:p>
    <w:p w:rsidR="00A53D7D" w:rsidRDefault="00A53D7D">
      <w:pPr>
        <w:spacing w:after="0"/>
        <w:rPr>
          <w:rFonts w:ascii="Calibri" w:hAnsi="Calibri"/>
          <w:b/>
        </w:rPr>
      </w:pPr>
      <w:r>
        <w:br w:type="page"/>
      </w:r>
    </w:p>
    <w:p w:rsidR="00A53D7D" w:rsidRDefault="00A53D7D" w:rsidP="005140B4">
      <w:pPr>
        <w:pStyle w:val="Tableheading"/>
      </w:pPr>
      <w:r>
        <w:t>Table 2.9:</w:t>
      </w:r>
      <w:r>
        <w:tab/>
        <w:t xml:space="preserve">Income from transactions </w:t>
      </w:r>
    </w:p>
    <w:p w:rsidR="00A53D7D" w:rsidRPr="00075E21"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075E21" w:rsidTr="005140B4">
        <w:tc>
          <w:tcPr>
            <w:tcW w:w="3801" w:type="dxa"/>
            <w:tcBorders>
              <w:top w:val="single" w:sz="4" w:space="0" w:color="auto"/>
              <w:left w:val="single" w:sz="4" w:space="0" w:color="auto"/>
              <w:bottom w:val="nil"/>
              <w:right w:val="nil"/>
            </w:tcBorders>
            <w:shd w:val="clear" w:color="auto" w:fill="000000"/>
          </w:tcPr>
          <w:p w:rsidR="00A53D7D" w:rsidRPr="00075E21" w:rsidRDefault="00A53D7D" w:rsidP="005140B4">
            <w:pPr>
              <w:pStyle w:val="Tabletext"/>
              <w:rPr>
                <w:rFonts w:eastAsiaTheme="minorEastAsia"/>
                <w:lang w:eastAsia="en-AU"/>
              </w:rPr>
            </w:pPr>
            <w:r w:rsidRPr="00075E21">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2012-13</w:t>
            </w:r>
          </w:p>
        </w:tc>
        <w:tc>
          <w:tcPr>
            <w:tcW w:w="993" w:type="dxa"/>
            <w:tcBorders>
              <w:top w:val="single" w:sz="4" w:space="0" w:color="auto"/>
              <w:left w:val="nil"/>
              <w:bottom w:val="nil"/>
              <w:right w:val="nil"/>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2013-14</w:t>
            </w:r>
          </w:p>
        </w:tc>
        <w:tc>
          <w:tcPr>
            <w:tcW w:w="993" w:type="dxa"/>
            <w:tcBorders>
              <w:top w:val="single" w:sz="4" w:space="0" w:color="auto"/>
              <w:left w:val="nil"/>
              <w:bottom w:val="nil"/>
              <w:right w:val="single" w:sz="4" w:space="0" w:color="auto"/>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2014-15</w:t>
            </w:r>
          </w:p>
        </w:tc>
      </w:tr>
      <w:tr w:rsidR="00A53D7D" w:rsidRPr="00075E21" w:rsidTr="005140B4">
        <w:tc>
          <w:tcPr>
            <w:tcW w:w="3801" w:type="dxa"/>
            <w:tcBorders>
              <w:top w:val="nil"/>
              <w:left w:val="single" w:sz="4" w:space="0" w:color="auto"/>
              <w:bottom w:val="single" w:sz="4" w:space="0" w:color="auto"/>
              <w:right w:val="nil"/>
            </w:tcBorders>
            <w:shd w:val="clear" w:color="auto" w:fill="000000"/>
          </w:tcPr>
          <w:p w:rsidR="00A53D7D" w:rsidRPr="00075E21" w:rsidRDefault="00A53D7D" w:rsidP="005140B4">
            <w:pPr>
              <w:pStyle w:val="Tabletext"/>
              <w:rPr>
                <w:rFonts w:eastAsiaTheme="minorEastAsia"/>
                <w:lang w:eastAsia="en-AU"/>
              </w:rPr>
            </w:pPr>
            <w:r w:rsidRPr="00075E21">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Actual</w:t>
            </w:r>
          </w:p>
        </w:tc>
        <w:tc>
          <w:tcPr>
            <w:tcW w:w="993" w:type="dxa"/>
            <w:tcBorders>
              <w:top w:val="nil"/>
              <w:left w:val="nil"/>
              <w:bottom w:val="single" w:sz="4" w:space="0" w:color="auto"/>
              <w:right w:val="nil"/>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 xml:space="preserve">Budget </w:t>
            </w:r>
          </w:p>
        </w:tc>
        <w:tc>
          <w:tcPr>
            <w:tcW w:w="993" w:type="dxa"/>
            <w:tcBorders>
              <w:top w:val="nil"/>
              <w:left w:val="nil"/>
              <w:bottom w:val="single" w:sz="4" w:space="0" w:color="auto"/>
              <w:right w:val="nil"/>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Revised</w:t>
            </w:r>
          </w:p>
        </w:tc>
        <w:tc>
          <w:tcPr>
            <w:tcW w:w="993" w:type="dxa"/>
            <w:tcBorders>
              <w:top w:val="nil"/>
              <w:left w:val="nil"/>
              <w:bottom w:val="single" w:sz="4" w:space="0" w:color="auto"/>
              <w:right w:val="single" w:sz="4" w:space="0" w:color="auto"/>
            </w:tcBorders>
            <w:shd w:val="clear" w:color="auto" w:fill="000000"/>
          </w:tcPr>
          <w:p w:rsidR="00A53D7D" w:rsidRPr="00075E21" w:rsidRDefault="00A53D7D" w:rsidP="005140B4">
            <w:pPr>
              <w:pStyle w:val="Tabletextheading"/>
              <w:rPr>
                <w:rFonts w:eastAsiaTheme="minorEastAsia"/>
                <w:lang w:eastAsia="en-AU"/>
              </w:rPr>
            </w:pPr>
            <w:r w:rsidRPr="00075E21">
              <w:rPr>
                <w:rFonts w:eastAsiaTheme="minorEastAsia"/>
                <w:lang w:eastAsia="en-AU"/>
              </w:rPr>
              <w:t>Budget</w:t>
            </w:r>
          </w:p>
        </w:tc>
      </w:tr>
      <w:tr w:rsidR="00A53D7D" w:rsidRPr="00075E21" w:rsidTr="005140B4">
        <w:tc>
          <w:tcPr>
            <w:tcW w:w="3801" w:type="dxa"/>
            <w:tcBorders>
              <w:top w:val="single" w:sz="4" w:space="0" w:color="auto"/>
              <w:left w:val="nil"/>
              <w:bottom w:val="nil"/>
              <w:right w:val="nil"/>
            </w:tcBorders>
          </w:tcPr>
          <w:p w:rsidR="00A53D7D" w:rsidRPr="00075E21" w:rsidRDefault="00A53D7D" w:rsidP="005140B4">
            <w:pPr>
              <w:pStyle w:val="Tabletext"/>
              <w:rPr>
                <w:rFonts w:eastAsiaTheme="minorEastAsia"/>
                <w:lang w:eastAsia="en-AU"/>
              </w:rPr>
            </w:pPr>
            <w:r w:rsidRPr="00075E21">
              <w:rPr>
                <w:rFonts w:eastAsiaTheme="minorEastAsia"/>
                <w:lang w:eastAsia="en-AU"/>
              </w:rPr>
              <w:t>Output appropriations</w:t>
            </w:r>
          </w:p>
        </w:tc>
        <w:tc>
          <w:tcPr>
            <w:tcW w:w="993" w:type="dxa"/>
            <w:tcBorders>
              <w:top w:val="single" w:sz="4" w:space="0" w:color="auto"/>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8 552.8</w:t>
            </w:r>
          </w:p>
        </w:tc>
        <w:tc>
          <w:tcPr>
            <w:tcW w:w="993" w:type="dxa"/>
            <w:tcBorders>
              <w:top w:val="single" w:sz="4" w:space="0" w:color="auto"/>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7 967.1</w:t>
            </w:r>
          </w:p>
        </w:tc>
        <w:tc>
          <w:tcPr>
            <w:tcW w:w="993" w:type="dxa"/>
            <w:tcBorders>
              <w:top w:val="single" w:sz="4" w:space="0" w:color="auto"/>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7 948.5</w:t>
            </w:r>
          </w:p>
        </w:tc>
        <w:tc>
          <w:tcPr>
            <w:tcW w:w="993" w:type="dxa"/>
            <w:tcBorders>
              <w:top w:val="single" w:sz="4" w:space="0" w:color="auto"/>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8 348.3</w:t>
            </w:r>
          </w:p>
        </w:tc>
      </w:tr>
      <w:tr w:rsidR="00A53D7D" w:rsidRPr="00075E21" w:rsidTr="005140B4">
        <w:tc>
          <w:tcPr>
            <w:tcW w:w="3801" w:type="dxa"/>
            <w:tcBorders>
              <w:top w:val="nil"/>
              <w:left w:val="nil"/>
              <w:bottom w:val="nil"/>
              <w:right w:val="nil"/>
            </w:tcBorders>
          </w:tcPr>
          <w:p w:rsidR="00A53D7D" w:rsidRPr="00075E21" w:rsidRDefault="00A53D7D" w:rsidP="005140B4">
            <w:pPr>
              <w:pStyle w:val="Tabletext"/>
              <w:rPr>
                <w:rFonts w:eastAsiaTheme="minorEastAsia"/>
                <w:lang w:eastAsia="en-AU"/>
              </w:rPr>
            </w:pPr>
            <w:r w:rsidRPr="00075E21">
              <w:rPr>
                <w:rFonts w:eastAsiaTheme="minorEastAsia"/>
                <w:lang w:eastAsia="en-AU"/>
              </w:rPr>
              <w:t>Special appropriations</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1 219.4</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1 356.1</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1 505.9</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1 192.7</w:t>
            </w:r>
          </w:p>
        </w:tc>
      </w:tr>
      <w:tr w:rsidR="00A53D7D" w:rsidRPr="00075E21" w:rsidTr="005140B4">
        <w:tc>
          <w:tcPr>
            <w:tcW w:w="3801" w:type="dxa"/>
            <w:tcBorders>
              <w:top w:val="nil"/>
              <w:left w:val="nil"/>
              <w:bottom w:val="nil"/>
              <w:right w:val="nil"/>
            </w:tcBorders>
          </w:tcPr>
          <w:p w:rsidR="00A53D7D" w:rsidRPr="00075E21" w:rsidRDefault="00A53D7D" w:rsidP="005140B4">
            <w:pPr>
              <w:pStyle w:val="Tabletext"/>
              <w:rPr>
                <w:rFonts w:eastAsiaTheme="minorEastAsia"/>
                <w:lang w:eastAsia="en-AU"/>
              </w:rPr>
            </w:pPr>
            <w:r w:rsidRPr="00075E21">
              <w:rPr>
                <w:rFonts w:eastAsiaTheme="minorEastAsia"/>
                <w:lang w:eastAsia="en-AU"/>
              </w:rPr>
              <w:t>Interest</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 xml:space="preserve"> 74.4</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 xml:space="preserve"> 67.8</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 xml:space="preserve"> 67.8</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 xml:space="preserve"> 67.8</w:t>
            </w:r>
          </w:p>
        </w:tc>
      </w:tr>
      <w:tr w:rsidR="00A53D7D" w:rsidRPr="00075E21" w:rsidTr="005140B4">
        <w:tc>
          <w:tcPr>
            <w:tcW w:w="3801" w:type="dxa"/>
            <w:tcBorders>
              <w:top w:val="nil"/>
              <w:left w:val="nil"/>
              <w:bottom w:val="nil"/>
              <w:right w:val="nil"/>
            </w:tcBorders>
          </w:tcPr>
          <w:p w:rsidR="00A53D7D" w:rsidRPr="00075E21" w:rsidRDefault="00A53D7D" w:rsidP="005140B4">
            <w:pPr>
              <w:pStyle w:val="Tabletext"/>
              <w:rPr>
                <w:rFonts w:eastAsiaTheme="minorEastAsia"/>
                <w:lang w:eastAsia="en-AU"/>
              </w:rPr>
            </w:pPr>
            <w:r w:rsidRPr="00075E21">
              <w:rPr>
                <w:rFonts w:eastAsiaTheme="minorEastAsia"/>
                <w:lang w:eastAsia="en-AU"/>
              </w:rPr>
              <w:t>Sale of goods and services</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1 615.9</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1 638.8</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1 638.8</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1 693.5</w:t>
            </w:r>
          </w:p>
        </w:tc>
      </w:tr>
      <w:tr w:rsidR="00A53D7D" w:rsidRPr="00075E21" w:rsidTr="005140B4">
        <w:tc>
          <w:tcPr>
            <w:tcW w:w="3801" w:type="dxa"/>
            <w:tcBorders>
              <w:top w:val="nil"/>
              <w:left w:val="nil"/>
              <w:bottom w:val="nil"/>
              <w:right w:val="nil"/>
            </w:tcBorders>
          </w:tcPr>
          <w:p w:rsidR="00A53D7D" w:rsidRPr="00075E21" w:rsidRDefault="00A53D7D" w:rsidP="005140B4">
            <w:pPr>
              <w:pStyle w:val="Tabletext"/>
              <w:rPr>
                <w:rFonts w:eastAsiaTheme="minorEastAsia"/>
                <w:lang w:eastAsia="en-AU"/>
              </w:rPr>
            </w:pPr>
            <w:r w:rsidRPr="00075E21">
              <w:rPr>
                <w:rFonts w:eastAsiaTheme="minorEastAsia"/>
                <w:lang w:eastAsia="en-AU"/>
              </w:rPr>
              <w:t>Grants</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3 072.4</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4 179.4</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4 168.0</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4 487.3</w:t>
            </w:r>
          </w:p>
        </w:tc>
      </w:tr>
      <w:tr w:rsidR="00A53D7D" w:rsidRPr="00075E21" w:rsidTr="005140B4">
        <w:tc>
          <w:tcPr>
            <w:tcW w:w="3801" w:type="dxa"/>
            <w:tcBorders>
              <w:top w:val="nil"/>
              <w:left w:val="nil"/>
              <w:bottom w:val="nil"/>
              <w:right w:val="nil"/>
            </w:tcBorders>
          </w:tcPr>
          <w:p w:rsidR="00A53D7D" w:rsidRPr="00075E21" w:rsidRDefault="00A53D7D" w:rsidP="005140B4">
            <w:pPr>
              <w:pStyle w:val="Tabletext"/>
              <w:rPr>
                <w:rFonts w:eastAsiaTheme="minorEastAsia"/>
                <w:lang w:eastAsia="en-AU"/>
              </w:rPr>
            </w:pPr>
            <w:r w:rsidRPr="00075E21">
              <w:rPr>
                <w:rFonts w:eastAsiaTheme="minorEastAsia"/>
                <w:lang w:eastAsia="en-AU"/>
              </w:rPr>
              <w:t>Fair value of assets and services received free of charge or for nominal consideration</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 xml:space="preserve"> 16.1</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w:t>
            </w:r>
          </w:p>
        </w:tc>
      </w:tr>
      <w:tr w:rsidR="00A53D7D" w:rsidRPr="00075E21" w:rsidTr="005140B4">
        <w:tc>
          <w:tcPr>
            <w:tcW w:w="3801" w:type="dxa"/>
            <w:tcBorders>
              <w:top w:val="nil"/>
              <w:left w:val="nil"/>
              <w:bottom w:val="nil"/>
              <w:right w:val="nil"/>
            </w:tcBorders>
          </w:tcPr>
          <w:p w:rsidR="00A53D7D" w:rsidRPr="00075E21" w:rsidRDefault="00A53D7D" w:rsidP="005140B4">
            <w:pPr>
              <w:pStyle w:val="Tabletext"/>
              <w:rPr>
                <w:rFonts w:eastAsiaTheme="minorEastAsia"/>
                <w:lang w:eastAsia="en-AU"/>
              </w:rPr>
            </w:pPr>
            <w:r w:rsidRPr="00075E21">
              <w:rPr>
                <w:rFonts w:eastAsiaTheme="minorEastAsia"/>
                <w:lang w:eastAsia="en-AU"/>
              </w:rPr>
              <w:t>Other income</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 xml:space="preserve"> 445.2</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 xml:space="preserve"> 394.0</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 xml:space="preserve"> 396.9</w:t>
            </w:r>
          </w:p>
        </w:tc>
        <w:tc>
          <w:tcPr>
            <w:tcW w:w="993" w:type="dxa"/>
            <w:tcBorders>
              <w:top w:val="nil"/>
              <w:left w:val="nil"/>
              <w:bottom w:val="nil"/>
              <w:right w:val="nil"/>
            </w:tcBorders>
          </w:tcPr>
          <w:p w:rsidR="00A53D7D" w:rsidRPr="00075E21" w:rsidRDefault="00A53D7D" w:rsidP="005140B4">
            <w:pPr>
              <w:pStyle w:val="TableofFigures"/>
              <w:rPr>
                <w:rFonts w:eastAsiaTheme="minorEastAsia"/>
                <w:lang w:eastAsia="en-AU"/>
              </w:rPr>
            </w:pPr>
            <w:r w:rsidRPr="00075E21">
              <w:rPr>
                <w:rFonts w:eastAsiaTheme="minorEastAsia"/>
                <w:lang w:eastAsia="en-AU"/>
              </w:rPr>
              <w:t xml:space="preserve"> 395.8</w:t>
            </w:r>
          </w:p>
        </w:tc>
      </w:tr>
      <w:tr w:rsidR="00A53D7D" w:rsidRPr="00075E21" w:rsidTr="005140B4">
        <w:tc>
          <w:tcPr>
            <w:tcW w:w="3801" w:type="dxa"/>
            <w:tcBorders>
              <w:top w:val="single" w:sz="6" w:space="0" w:color="auto"/>
              <w:left w:val="nil"/>
              <w:bottom w:val="single" w:sz="12" w:space="0" w:color="auto"/>
              <w:right w:val="nil"/>
            </w:tcBorders>
          </w:tcPr>
          <w:p w:rsidR="00A53D7D" w:rsidRPr="00075E21" w:rsidRDefault="00A53D7D" w:rsidP="005140B4">
            <w:pPr>
              <w:pStyle w:val="Tabletext"/>
              <w:rPr>
                <w:rFonts w:eastAsiaTheme="minorEastAsia"/>
                <w:b/>
                <w:bCs/>
                <w:lang w:eastAsia="en-AU"/>
              </w:rPr>
            </w:pPr>
            <w:r w:rsidRPr="00075E21">
              <w:rPr>
                <w:rFonts w:eastAsiaTheme="minorEastAsia"/>
                <w:b/>
                <w:bCs/>
                <w:lang w:eastAsia="en-AU"/>
              </w:rPr>
              <w:t>Total income from transactions</w:t>
            </w:r>
          </w:p>
        </w:tc>
        <w:tc>
          <w:tcPr>
            <w:tcW w:w="993" w:type="dxa"/>
            <w:tcBorders>
              <w:top w:val="single" w:sz="6" w:space="0" w:color="auto"/>
              <w:left w:val="nil"/>
              <w:bottom w:val="single" w:sz="12" w:space="0" w:color="auto"/>
              <w:right w:val="nil"/>
            </w:tcBorders>
          </w:tcPr>
          <w:p w:rsidR="00A53D7D" w:rsidRPr="00075E21" w:rsidRDefault="00A53D7D" w:rsidP="005140B4">
            <w:pPr>
              <w:pStyle w:val="TableofFigures"/>
              <w:rPr>
                <w:rFonts w:eastAsiaTheme="minorEastAsia"/>
                <w:b/>
                <w:bCs/>
                <w:lang w:eastAsia="en-AU"/>
              </w:rPr>
            </w:pPr>
            <w:r w:rsidRPr="00075E21">
              <w:rPr>
                <w:rFonts w:eastAsiaTheme="minorEastAsia"/>
                <w:b/>
                <w:bCs/>
                <w:lang w:eastAsia="en-AU"/>
              </w:rPr>
              <w:t>14 996.4</w:t>
            </w:r>
          </w:p>
        </w:tc>
        <w:tc>
          <w:tcPr>
            <w:tcW w:w="993" w:type="dxa"/>
            <w:tcBorders>
              <w:top w:val="single" w:sz="6" w:space="0" w:color="auto"/>
              <w:left w:val="nil"/>
              <w:bottom w:val="single" w:sz="12" w:space="0" w:color="auto"/>
              <w:right w:val="nil"/>
            </w:tcBorders>
          </w:tcPr>
          <w:p w:rsidR="00A53D7D" w:rsidRPr="00075E21" w:rsidRDefault="00A53D7D" w:rsidP="005140B4">
            <w:pPr>
              <w:pStyle w:val="TableofFigures"/>
              <w:rPr>
                <w:rFonts w:eastAsiaTheme="minorEastAsia"/>
                <w:b/>
                <w:bCs/>
                <w:lang w:eastAsia="en-AU"/>
              </w:rPr>
            </w:pPr>
            <w:r w:rsidRPr="00075E21">
              <w:rPr>
                <w:rFonts w:eastAsiaTheme="minorEastAsia"/>
                <w:b/>
                <w:bCs/>
                <w:lang w:eastAsia="en-AU"/>
              </w:rPr>
              <w:t>15 603.2</w:t>
            </w:r>
          </w:p>
        </w:tc>
        <w:tc>
          <w:tcPr>
            <w:tcW w:w="993" w:type="dxa"/>
            <w:tcBorders>
              <w:top w:val="single" w:sz="6" w:space="0" w:color="auto"/>
              <w:left w:val="nil"/>
              <w:bottom w:val="single" w:sz="12" w:space="0" w:color="auto"/>
              <w:right w:val="nil"/>
            </w:tcBorders>
          </w:tcPr>
          <w:p w:rsidR="00A53D7D" w:rsidRPr="00075E21" w:rsidRDefault="00A53D7D" w:rsidP="005140B4">
            <w:pPr>
              <w:pStyle w:val="TableofFigures"/>
              <w:rPr>
                <w:rFonts w:eastAsiaTheme="minorEastAsia"/>
                <w:b/>
                <w:bCs/>
                <w:lang w:eastAsia="en-AU"/>
              </w:rPr>
            </w:pPr>
            <w:r w:rsidRPr="00075E21">
              <w:rPr>
                <w:rFonts w:eastAsiaTheme="minorEastAsia"/>
                <w:b/>
                <w:bCs/>
                <w:lang w:eastAsia="en-AU"/>
              </w:rPr>
              <w:t>15 725.9</w:t>
            </w:r>
          </w:p>
        </w:tc>
        <w:tc>
          <w:tcPr>
            <w:tcW w:w="993" w:type="dxa"/>
            <w:tcBorders>
              <w:top w:val="single" w:sz="6" w:space="0" w:color="auto"/>
              <w:left w:val="nil"/>
              <w:bottom w:val="single" w:sz="12" w:space="0" w:color="auto"/>
              <w:right w:val="nil"/>
            </w:tcBorders>
          </w:tcPr>
          <w:p w:rsidR="00A53D7D" w:rsidRPr="00075E21" w:rsidRDefault="00A53D7D" w:rsidP="005140B4">
            <w:pPr>
              <w:pStyle w:val="TableofFigures"/>
              <w:rPr>
                <w:rFonts w:eastAsiaTheme="minorEastAsia"/>
                <w:b/>
                <w:bCs/>
                <w:lang w:eastAsia="en-AU"/>
              </w:rPr>
            </w:pPr>
            <w:r w:rsidRPr="00075E21">
              <w:rPr>
                <w:rFonts w:eastAsiaTheme="minorEastAsia"/>
                <w:b/>
                <w:bCs/>
                <w:lang w:eastAsia="en-AU"/>
              </w:rPr>
              <w:t>16 185.5</w:t>
            </w:r>
          </w:p>
        </w:tc>
      </w:tr>
    </w:tbl>
    <w:p w:rsidR="00A53D7D" w:rsidRDefault="00A53D7D" w:rsidP="005140B4">
      <w:pPr>
        <w:pStyle w:val="Source"/>
      </w:pPr>
      <w:r>
        <w:t xml:space="preserve">Source: Departments of Health and Treasury and Finance </w:t>
      </w:r>
      <w:r>
        <w:fldChar w:fldCharType="begin"/>
      </w:r>
      <w:r>
        <w:instrText xml:space="preserve"> XE "Department of Health</w:instrText>
      </w:r>
      <w:r w:rsidRPr="00C642EA">
        <w:instrText>:Income from transactions</w:instrText>
      </w:r>
      <w:r>
        <w:instrText xml:space="preserve">" </w:instrText>
      </w:r>
      <w:r>
        <w:fldChar w:fldCharType="end"/>
      </w:r>
    </w:p>
    <w:p w:rsidR="00035582" w:rsidRPr="00035582" w:rsidRDefault="00035582" w:rsidP="00035582">
      <w:pPr>
        <w:pStyle w:val="Notes"/>
      </w:pPr>
    </w:p>
    <w:p w:rsidR="00A53D7D" w:rsidRDefault="00A53D7D" w:rsidP="005140B4">
      <w:pPr>
        <w:pStyle w:val="Tableheading"/>
      </w:pPr>
      <w:r>
        <w:t>Table 2.10:</w:t>
      </w:r>
      <w:r>
        <w:tab/>
        <w:t xml:space="preserve">Parliamentary authority for resources </w:t>
      </w:r>
    </w:p>
    <w:p w:rsidR="00A53D7D" w:rsidRPr="00262EC6"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53D7D" w:rsidRPr="00262EC6" w:rsidTr="005140B4">
        <w:tc>
          <w:tcPr>
            <w:tcW w:w="4665" w:type="dxa"/>
            <w:tcBorders>
              <w:top w:val="single" w:sz="4" w:space="0" w:color="auto"/>
              <w:left w:val="single" w:sz="4" w:space="0" w:color="auto"/>
              <w:bottom w:val="nil"/>
              <w:right w:val="nil"/>
            </w:tcBorders>
            <w:shd w:val="clear" w:color="auto" w:fill="000000"/>
          </w:tcPr>
          <w:p w:rsidR="00A53D7D" w:rsidRPr="00262EC6" w:rsidRDefault="00A53D7D" w:rsidP="005140B4">
            <w:pPr>
              <w:pStyle w:val="Tabletext"/>
              <w:rPr>
                <w:rFonts w:eastAsiaTheme="minorEastAsia"/>
                <w:lang w:eastAsia="en-AU"/>
              </w:rPr>
            </w:pPr>
            <w:r w:rsidRPr="00262EC6">
              <w:rPr>
                <w:rFonts w:eastAsiaTheme="minorEastAsia"/>
                <w:lang w:eastAsia="en-AU"/>
              </w:rPr>
              <w:t xml:space="preserve"> </w:t>
            </w:r>
          </w:p>
        </w:tc>
        <w:tc>
          <w:tcPr>
            <w:tcW w:w="1036" w:type="dxa"/>
            <w:tcBorders>
              <w:top w:val="single" w:sz="4" w:space="0" w:color="auto"/>
              <w:left w:val="nil"/>
              <w:bottom w:val="nil"/>
              <w:right w:val="nil"/>
            </w:tcBorders>
            <w:shd w:val="clear" w:color="auto" w:fill="000000"/>
          </w:tcPr>
          <w:p w:rsidR="00A53D7D" w:rsidRPr="00262EC6" w:rsidRDefault="00A53D7D" w:rsidP="005140B4">
            <w:pPr>
              <w:pStyle w:val="Tabletextheading"/>
              <w:rPr>
                <w:rFonts w:eastAsiaTheme="minorEastAsia"/>
                <w:lang w:eastAsia="en-AU"/>
              </w:rPr>
            </w:pPr>
            <w:r w:rsidRPr="00262EC6">
              <w:rPr>
                <w:rFonts w:eastAsiaTheme="minorEastAsia"/>
                <w:lang w:eastAsia="en-AU"/>
              </w:rPr>
              <w:t>2013-14</w:t>
            </w:r>
          </w:p>
        </w:tc>
        <w:tc>
          <w:tcPr>
            <w:tcW w:w="1036" w:type="dxa"/>
            <w:tcBorders>
              <w:top w:val="single" w:sz="4" w:space="0" w:color="auto"/>
              <w:left w:val="nil"/>
              <w:bottom w:val="nil"/>
              <w:right w:val="nil"/>
            </w:tcBorders>
            <w:shd w:val="clear" w:color="auto" w:fill="000000"/>
          </w:tcPr>
          <w:p w:rsidR="00A53D7D" w:rsidRPr="00262EC6" w:rsidRDefault="00A53D7D" w:rsidP="005140B4">
            <w:pPr>
              <w:pStyle w:val="Tabletextheading"/>
              <w:rPr>
                <w:rFonts w:eastAsiaTheme="minorEastAsia"/>
                <w:lang w:eastAsia="en-AU"/>
              </w:rPr>
            </w:pPr>
            <w:r w:rsidRPr="00262EC6">
              <w:rPr>
                <w:rFonts w:eastAsiaTheme="minorEastAsia"/>
                <w:lang w:eastAsia="en-AU"/>
              </w:rPr>
              <w:t>2013-14</w:t>
            </w:r>
          </w:p>
        </w:tc>
        <w:tc>
          <w:tcPr>
            <w:tcW w:w="1036" w:type="dxa"/>
            <w:tcBorders>
              <w:top w:val="single" w:sz="4" w:space="0" w:color="auto"/>
              <w:left w:val="nil"/>
              <w:bottom w:val="nil"/>
              <w:right w:val="single" w:sz="4" w:space="0" w:color="auto"/>
            </w:tcBorders>
            <w:shd w:val="clear" w:color="auto" w:fill="000000"/>
          </w:tcPr>
          <w:p w:rsidR="00A53D7D" w:rsidRPr="00262EC6" w:rsidRDefault="00A53D7D" w:rsidP="005140B4">
            <w:pPr>
              <w:pStyle w:val="Tabletextheading"/>
              <w:rPr>
                <w:rFonts w:eastAsiaTheme="minorEastAsia"/>
                <w:lang w:eastAsia="en-AU"/>
              </w:rPr>
            </w:pPr>
            <w:r w:rsidRPr="00262EC6">
              <w:rPr>
                <w:rFonts w:eastAsiaTheme="minorEastAsia"/>
                <w:lang w:eastAsia="en-AU"/>
              </w:rPr>
              <w:t>2014-15</w:t>
            </w:r>
          </w:p>
        </w:tc>
      </w:tr>
      <w:tr w:rsidR="00A53D7D" w:rsidRPr="00262EC6" w:rsidTr="005140B4">
        <w:tc>
          <w:tcPr>
            <w:tcW w:w="4665" w:type="dxa"/>
            <w:tcBorders>
              <w:top w:val="nil"/>
              <w:left w:val="single" w:sz="4" w:space="0" w:color="auto"/>
              <w:bottom w:val="single" w:sz="4" w:space="0" w:color="auto"/>
              <w:right w:val="nil"/>
            </w:tcBorders>
            <w:shd w:val="clear" w:color="auto" w:fill="000000"/>
          </w:tcPr>
          <w:p w:rsidR="00A53D7D" w:rsidRPr="00262EC6" w:rsidRDefault="00A53D7D" w:rsidP="005140B4">
            <w:pPr>
              <w:pStyle w:val="Tabletext"/>
              <w:rPr>
                <w:rFonts w:eastAsiaTheme="minorEastAsia"/>
                <w:lang w:eastAsia="en-AU"/>
              </w:rPr>
            </w:pPr>
            <w:r w:rsidRPr="00262EC6">
              <w:rPr>
                <w:rFonts w:eastAsiaTheme="minorEastAsia"/>
                <w:lang w:eastAsia="en-AU"/>
              </w:rPr>
              <w:t xml:space="preserve"> </w:t>
            </w:r>
          </w:p>
        </w:tc>
        <w:tc>
          <w:tcPr>
            <w:tcW w:w="1036" w:type="dxa"/>
            <w:tcBorders>
              <w:top w:val="nil"/>
              <w:left w:val="nil"/>
              <w:bottom w:val="single" w:sz="4" w:space="0" w:color="auto"/>
              <w:right w:val="nil"/>
            </w:tcBorders>
            <w:shd w:val="clear" w:color="auto" w:fill="000000"/>
          </w:tcPr>
          <w:p w:rsidR="00A53D7D" w:rsidRPr="00262EC6" w:rsidRDefault="00A53D7D" w:rsidP="005140B4">
            <w:pPr>
              <w:pStyle w:val="Tabletextheading"/>
              <w:rPr>
                <w:rFonts w:eastAsiaTheme="minorEastAsia"/>
                <w:lang w:eastAsia="en-AU"/>
              </w:rPr>
            </w:pPr>
            <w:r w:rsidRPr="00262EC6">
              <w:rPr>
                <w:rFonts w:eastAsiaTheme="minorEastAsia"/>
                <w:lang w:eastAsia="en-AU"/>
              </w:rPr>
              <w:t>Budget</w:t>
            </w:r>
          </w:p>
        </w:tc>
        <w:tc>
          <w:tcPr>
            <w:tcW w:w="1036" w:type="dxa"/>
            <w:tcBorders>
              <w:top w:val="nil"/>
              <w:left w:val="nil"/>
              <w:bottom w:val="single" w:sz="4" w:space="0" w:color="auto"/>
              <w:right w:val="nil"/>
            </w:tcBorders>
            <w:shd w:val="clear" w:color="auto" w:fill="000000"/>
          </w:tcPr>
          <w:p w:rsidR="00A53D7D" w:rsidRPr="00262EC6" w:rsidRDefault="00A53D7D" w:rsidP="005140B4">
            <w:pPr>
              <w:pStyle w:val="Tabletextheading"/>
              <w:rPr>
                <w:rFonts w:eastAsiaTheme="minorEastAsia"/>
                <w:lang w:eastAsia="en-AU"/>
              </w:rPr>
            </w:pPr>
            <w:r w:rsidRPr="00262EC6">
              <w:rPr>
                <w:rFonts w:eastAsiaTheme="minorEastAsia"/>
                <w:lang w:eastAsia="en-AU"/>
              </w:rPr>
              <w:t>Revised</w:t>
            </w:r>
          </w:p>
        </w:tc>
        <w:tc>
          <w:tcPr>
            <w:tcW w:w="1036" w:type="dxa"/>
            <w:tcBorders>
              <w:top w:val="nil"/>
              <w:left w:val="nil"/>
              <w:bottom w:val="single" w:sz="4" w:space="0" w:color="auto"/>
              <w:right w:val="single" w:sz="4" w:space="0" w:color="auto"/>
            </w:tcBorders>
            <w:shd w:val="clear" w:color="auto" w:fill="000000"/>
          </w:tcPr>
          <w:p w:rsidR="00A53D7D" w:rsidRPr="00262EC6" w:rsidRDefault="00A53D7D" w:rsidP="005140B4">
            <w:pPr>
              <w:pStyle w:val="Tabletextheading"/>
              <w:rPr>
                <w:rFonts w:eastAsiaTheme="minorEastAsia"/>
                <w:lang w:eastAsia="en-AU"/>
              </w:rPr>
            </w:pPr>
            <w:r w:rsidRPr="00262EC6">
              <w:rPr>
                <w:rFonts w:eastAsiaTheme="minorEastAsia"/>
                <w:lang w:eastAsia="en-AU"/>
              </w:rPr>
              <w:t>Budget</w:t>
            </w:r>
          </w:p>
        </w:tc>
      </w:tr>
      <w:tr w:rsidR="00A53D7D" w:rsidRPr="00262EC6" w:rsidTr="005140B4">
        <w:tc>
          <w:tcPr>
            <w:tcW w:w="4665" w:type="dxa"/>
            <w:tcBorders>
              <w:top w:val="single" w:sz="4" w:space="0" w:color="auto"/>
              <w:left w:val="nil"/>
              <w:bottom w:val="nil"/>
              <w:right w:val="nil"/>
            </w:tcBorders>
            <w:shd w:val="solid" w:color="FFFFFF" w:fill="auto"/>
          </w:tcPr>
          <w:p w:rsidR="00A53D7D" w:rsidRPr="00262EC6" w:rsidRDefault="00A53D7D" w:rsidP="005140B4">
            <w:pPr>
              <w:pStyle w:val="Tabletext"/>
              <w:rPr>
                <w:rFonts w:eastAsiaTheme="minorEastAsia"/>
                <w:b/>
                <w:bCs/>
                <w:lang w:eastAsia="en-AU"/>
              </w:rPr>
            </w:pPr>
            <w:r w:rsidRPr="00262EC6">
              <w:rPr>
                <w:rFonts w:eastAsiaTheme="minorEastAsia"/>
                <w:b/>
                <w:bCs/>
                <w:lang w:eastAsia="en-AU"/>
              </w:rPr>
              <w:t>Annual appropriations</w:t>
            </w:r>
          </w:p>
        </w:tc>
        <w:tc>
          <w:tcPr>
            <w:tcW w:w="1036" w:type="dxa"/>
            <w:tcBorders>
              <w:top w:val="single" w:sz="4" w:space="0" w:color="auto"/>
              <w:left w:val="nil"/>
              <w:bottom w:val="nil"/>
              <w:right w:val="nil"/>
            </w:tcBorders>
            <w:shd w:val="solid" w:color="FFFFFF" w:fill="auto"/>
          </w:tcPr>
          <w:p w:rsidR="00A53D7D" w:rsidRPr="00262EC6" w:rsidRDefault="00A53D7D" w:rsidP="005140B4">
            <w:pPr>
              <w:pStyle w:val="TableofFigures"/>
              <w:rPr>
                <w:rFonts w:eastAsiaTheme="minorEastAsia"/>
                <w:b/>
                <w:bCs/>
                <w:lang w:eastAsia="en-AU"/>
              </w:rPr>
            </w:pPr>
            <w:r w:rsidRPr="00262EC6">
              <w:rPr>
                <w:rFonts w:eastAsiaTheme="minorEastAsia"/>
                <w:b/>
                <w:bCs/>
                <w:lang w:eastAsia="en-AU"/>
              </w:rPr>
              <w:t>7 273.5</w:t>
            </w:r>
          </w:p>
        </w:tc>
        <w:tc>
          <w:tcPr>
            <w:tcW w:w="1036" w:type="dxa"/>
            <w:tcBorders>
              <w:top w:val="single" w:sz="4" w:space="0" w:color="auto"/>
              <w:left w:val="nil"/>
              <w:bottom w:val="nil"/>
              <w:right w:val="nil"/>
            </w:tcBorders>
            <w:shd w:val="solid" w:color="FFFFFF" w:fill="auto"/>
          </w:tcPr>
          <w:p w:rsidR="00A53D7D" w:rsidRPr="00262EC6" w:rsidRDefault="00A53D7D" w:rsidP="005140B4">
            <w:pPr>
              <w:pStyle w:val="TableofFigures"/>
              <w:rPr>
                <w:rFonts w:eastAsiaTheme="minorEastAsia"/>
                <w:b/>
                <w:bCs/>
                <w:lang w:eastAsia="en-AU"/>
              </w:rPr>
            </w:pPr>
            <w:r w:rsidRPr="00262EC6">
              <w:rPr>
                <w:rFonts w:eastAsiaTheme="minorEastAsia"/>
                <w:b/>
                <w:bCs/>
                <w:lang w:eastAsia="en-AU"/>
              </w:rPr>
              <w:t>7 035.2</w:t>
            </w:r>
          </w:p>
        </w:tc>
        <w:tc>
          <w:tcPr>
            <w:tcW w:w="1036" w:type="dxa"/>
            <w:tcBorders>
              <w:top w:val="single" w:sz="4" w:space="0" w:color="auto"/>
              <w:left w:val="nil"/>
              <w:bottom w:val="nil"/>
              <w:right w:val="nil"/>
            </w:tcBorders>
            <w:shd w:val="solid" w:color="FFFFFF" w:fill="auto"/>
          </w:tcPr>
          <w:p w:rsidR="00A53D7D" w:rsidRPr="00262EC6" w:rsidRDefault="00A53D7D" w:rsidP="005140B4">
            <w:pPr>
              <w:pStyle w:val="TableofFigures"/>
              <w:rPr>
                <w:rFonts w:eastAsiaTheme="minorEastAsia"/>
                <w:b/>
                <w:bCs/>
                <w:lang w:eastAsia="en-AU"/>
              </w:rPr>
            </w:pPr>
            <w:r w:rsidRPr="00262EC6">
              <w:rPr>
                <w:rFonts w:eastAsiaTheme="minorEastAsia"/>
                <w:b/>
                <w:bCs/>
                <w:lang w:eastAsia="en-AU"/>
              </w:rPr>
              <w:t>7 587.1</w:t>
            </w:r>
          </w:p>
        </w:tc>
      </w:tr>
      <w:tr w:rsidR="00A53D7D" w:rsidRPr="00262EC6" w:rsidTr="005140B4">
        <w:tc>
          <w:tcPr>
            <w:tcW w:w="4665" w:type="dxa"/>
            <w:tcBorders>
              <w:top w:val="nil"/>
              <w:left w:val="nil"/>
              <w:bottom w:val="nil"/>
              <w:right w:val="nil"/>
            </w:tcBorders>
            <w:shd w:val="solid" w:color="FFFFFF" w:fill="auto"/>
          </w:tcPr>
          <w:p w:rsidR="00A53D7D" w:rsidRPr="00262EC6" w:rsidRDefault="00A53D7D" w:rsidP="005140B4">
            <w:pPr>
              <w:pStyle w:val="Tabletext"/>
              <w:rPr>
                <w:rFonts w:eastAsiaTheme="minorEastAsia"/>
                <w:lang w:eastAsia="en-AU"/>
              </w:rPr>
            </w:pPr>
            <w:r w:rsidRPr="00262EC6">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6 978.4</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6 924.4</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7 498.2</w:t>
            </w:r>
          </w:p>
        </w:tc>
      </w:tr>
      <w:tr w:rsidR="00A53D7D" w:rsidRPr="00262EC6" w:rsidTr="005140B4">
        <w:tc>
          <w:tcPr>
            <w:tcW w:w="4665" w:type="dxa"/>
            <w:tcBorders>
              <w:top w:val="nil"/>
              <w:left w:val="nil"/>
              <w:bottom w:val="nil"/>
              <w:right w:val="nil"/>
            </w:tcBorders>
            <w:shd w:val="solid" w:color="FFFFFF" w:fill="auto"/>
          </w:tcPr>
          <w:p w:rsidR="00A53D7D" w:rsidRPr="00262EC6" w:rsidRDefault="00A53D7D" w:rsidP="005140B4">
            <w:pPr>
              <w:pStyle w:val="Tabletext"/>
              <w:rPr>
                <w:rFonts w:eastAsiaTheme="minorEastAsia"/>
                <w:lang w:eastAsia="en-AU"/>
              </w:rPr>
            </w:pPr>
            <w:r w:rsidRPr="00262EC6">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 xml:space="preserve"> 295.1</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 xml:space="preserve"> 110.8</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 xml:space="preserve"> 88.9</w:t>
            </w:r>
          </w:p>
        </w:tc>
      </w:tr>
      <w:tr w:rsidR="00A53D7D" w:rsidRPr="00262EC6" w:rsidTr="005140B4">
        <w:tc>
          <w:tcPr>
            <w:tcW w:w="4665" w:type="dxa"/>
            <w:tcBorders>
              <w:top w:val="nil"/>
              <w:left w:val="nil"/>
              <w:bottom w:val="nil"/>
              <w:right w:val="nil"/>
            </w:tcBorders>
            <w:shd w:val="solid" w:color="FFFFFF" w:fill="auto"/>
          </w:tcPr>
          <w:p w:rsidR="00A53D7D" w:rsidRPr="00262EC6" w:rsidRDefault="00A53D7D" w:rsidP="005140B4">
            <w:pPr>
              <w:pStyle w:val="Tabletext"/>
              <w:rPr>
                <w:rFonts w:eastAsiaTheme="minorEastAsia"/>
                <w:lang w:eastAsia="en-AU"/>
              </w:rPr>
            </w:pPr>
            <w:r w:rsidRPr="00262EC6">
              <w:rPr>
                <w:rFonts w:eastAsiaTheme="minorEastAsia"/>
                <w:lang w:eastAsia="en-AU"/>
              </w:rPr>
              <w:t>Receipts credited to appropriations</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cs="Calibri"/>
                <w:lang w:eastAsia="en-AU"/>
              </w:rPr>
            </w:pPr>
            <w:r w:rsidRPr="00262EC6">
              <w:rPr>
                <w:rFonts w:eastAsiaTheme="minorEastAsia"/>
                <w:lang w:eastAsia="en-AU"/>
              </w:rPr>
              <w:t>1 073.1</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cs="Calibri"/>
                <w:lang w:eastAsia="en-AU"/>
              </w:rPr>
            </w:pPr>
            <w:r w:rsidRPr="00262EC6">
              <w:rPr>
                <w:rFonts w:eastAsiaTheme="minorEastAsia"/>
                <w:lang w:eastAsia="en-AU"/>
              </w:rPr>
              <w:t>1 076.8</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 xml:space="preserve"> 920.3</w:t>
            </w:r>
          </w:p>
        </w:tc>
      </w:tr>
      <w:tr w:rsidR="00A53D7D" w:rsidRPr="00262EC6" w:rsidTr="005140B4">
        <w:tc>
          <w:tcPr>
            <w:tcW w:w="4665" w:type="dxa"/>
            <w:tcBorders>
              <w:top w:val="nil"/>
              <w:left w:val="nil"/>
              <w:bottom w:val="nil"/>
              <w:right w:val="nil"/>
            </w:tcBorders>
            <w:shd w:val="solid" w:color="FFFFFF" w:fill="auto"/>
          </w:tcPr>
          <w:p w:rsidR="00A53D7D" w:rsidRPr="00262EC6" w:rsidRDefault="00A53D7D" w:rsidP="005140B4">
            <w:pPr>
              <w:pStyle w:val="Tabletext"/>
              <w:rPr>
                <w:rFonts w:eastAsiaTheme="minorEastAsia"/>
                <w:b/>
                <w:lang w:eastAsia="en-AU"/>
              </w:rPr>
            </w:pPr>
            <w:r w:rsidRPr="00262EC6">
              <w:rPr>
                <w:rFonts w:eastAsiaTheme="minorEastAsia"/>
                <w:b/>
                <w:lang w:eastAsia="en-AU"/>
              </w:rPr>
              <w:t>Unapplied previous years appropriation</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b/>
                <w:lang w:eastAsia="en-AU"/>
              </w:rPr>
            </w:pPr>
            <w:r w:rsidRPr="00262EC6">
              <w:rPr>
                <w:rFonts w:eastAsiaTheme="minorEastAsia"/>
                <w:b/>
                <w:lang w:eastAsia="en-AU"/>
              </w:rPr>
              <w:t xml:space="preserve"> 125.9</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b/>
                <w:lang w:eastAsia="en-AU"/>
              </w:rPr>
            </w:pPr>
            <w:r w:rsidRPr="00262EC6">
              <w:rPr>
                <w:rFonts w:eastAsiaTheme="minorEastAsia"/>
                <w:b/>
                <w:lang w:eastAsia="en-AU"/>
              </w:rPr>
              <w:t xml:space="preserve"> 228.2</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b/>
                <w:lang w:eastAsia="en-AU"/>
              </w:rPr>
            </w:pPr>
            <w:r w:rsidRPr="00262EC6">
              <w:rPr>
                <w:rFonts w:eastAsiaTheme="minorEastAsia"/>
                <w:b/>
                <w:lang w:eastAsia="en-AU"/>
              </w:rPr>
              <w:t xml:space="preserve"> 135.4</w:t>
            </w:r>
          </w:p>
        </w:tc>
      </w:tr>
      <w:tr w:rsidR="00A53D7D" w:rsidRPr="00262EC6" w:rsidTr="005140B4">
        <w:tc>
          <w:tcPr>
            <w:tcW w:w="4665" w:type="dxa"/>
            <w:tcBorders>
              <w:top w:val="nil"/>
              <w:left w:val="nil"/>
              <w:bottom w:val="nil"/>
              <w:right w:val="nil"/>
            </w:tcBorders>
            <w:shd w:val="solid" w:color="FFFFFF" w:fill="auto"/>
          </w:tcPr>
          <w:p w:rsidR="00A53D7D" w:rsidRPr="00262EC6" w:rsidRDefault="00A53D7D" w:rsidP="005140B4">
            <w:pPr>
              <w:pStyle w:val="Tabletext"/>
              <w:rPr>
                <w:rFonts w:eastAsiaTheme="minorEastAsia"/>
                <w:bCs/>
                <w:lang w:eastAsia="en-AU"/>
              </w:rPr>
            </w:pPr>
            <w:r w:rsidRPr="00262EC6">
              <w:rPr>
                <w:rFonts w:eastAsiaTheme="minorEastAsia"/>
                <w:bCs/>
                <w:lang w:eastAsia="en-AU"/>
              </w:rPr>
              <w:t xml:space="preserve"> Provision of outputs</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 xml:space="preserve"> 73.5</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 xml:space="preserve"> 131.3</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 xml:space="preserve"> 69.0</w:t>
            </w:r>
          </w:p>
        </w:tc>
      </w:tr>
      <w:tr w:rsidR="00A53D7D" w:rsidRPr="00262EC6" w:rsidTr="005140B4">
        <w:tc>
          <w:tcPr>
            <w:tcW w:w="4665" w:type="dxa"/>
            <w:tcBorders>
              <w:top w:val="nil"/>
              <w:left w:val="nil"/>
              <w:bottom w:val="nil"/>
              <w:right w:val="nil"/>
            </w:tcBorders>
            <w:shd w:val="solid" w:color="FFFFFF" w:fill="auto"/>
          </w:tcPr>
          <w:p w:rsidR="00A53D7D" w:rsidRPr="00262EC6" w:rsidRDefault="00A53D7D" w:rsidP="005140B4">
            <w:pPr>
              <w:pStyle w:val="Tabletext"/>
              <w:rPr>
                <w:rFonts w:eastAsiaTheme="minorEastAsia" w:cs="Calibri"/>
                <w:lang w:eastAsia="en-AU"/>
              </w:rPr>
            </w:pPr>
            <w:r w:rsidRPr="00262EC6">
              <w:rPr>
                <w:rFonts w:eastAsiaTheme="minorEastAsia"/>
                <w:lang w:eastAsia="en-AU"/>
              </w:rPr>
              <w:t xml:space="preserve"> Additions to the </w:t>
            </w:r>
            <w:r w:rsidRPr="00262EC6">
              <w:rPr>
                <w:rFonts w:eastAsiaTheme="minorEastAsia" w:cs="Calibri"/>
                <w:lang w:eastAsia="en-AU"/>
              </w:rPr>
              <w:t>net asset base</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 xml:space="preserve"> 52.4</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 xml:space="preserve"> 96.9</w:t>
            </w:r>
          </w:p>
        </w:tc>
        <w:tc>
          <w:tcPr>
            <w:tcW w:w="1036" w:type="dxa"/>
            <w:tcBorders>
              <w:top w:val="nil"/>
              <w:left w:val="nil"/>
              <w:bottom w:val="nil"/>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 xml:space="preserve"> 66.4</w:t>
            </w:r>
          </w:p>
        </w:tc>
      </w:tr>
      <w:tr w:rsidR="00A53D7D" w:rsidRPr="00262EC6" w:rsidTr="005140B4">
        <w:tc>
          <w:tcPr>
            <w:tcW w:w="4665" w:type="dxa"/>
            <w:tcBorders>
              <w:top w:val="nil"/>
              <w:left w:val="nil"/>
              <w:bottom w:val="single" w:sz="6" w:space="0" w:color="auto"/>
              <w:right w:val="nil"/>
            </w:tcBorders>
            <w:shd w:val="solid" w:color="FFFFFF" w:fill="auto"/>
          </w:tcPr>
          <w:p w:rsidR="00A53D7D" w:rsidRPr="00262EC6" w:rsidRDefault="00A53D7D" w:rsidP="005140B4">
            <w:pPr>
              <w:pStyle w:val="Tabletext"/>
              <w:rPr>
                <w:rFonts w:eastAsiaTheme="minorEastAsia"/>
                <w:lang w:eastAsia="en-AU"/>
              </w:rPr>
            </w:pPr>
            <w:r w:rsidRPr="00262EC6">
              <w:rPr>
                <w:rFonts w:eastAsiaTheme="minorEastAsia"/>
                <w:lang w:eastAsia="en-AU"/>
              </w:rPr>
              <w:t>Accumulated surplus – previously applied appropriation</w:t>
            </w:r>
          </w:p>
        </w:tc>
        <w:tc>
          <w:tcPr>
            <w:tcW w:w="1036" w:type="dxa"/>
            <w:tcBorders>
              <w:top w:val="nil"/>
              <w:left w:val="nil"/>
              <w:bottom w:val="single" w:sz="6" w:space="0" w:color="auto"/>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w:t>
            </w:r>
          </w:p>
        </w:tc>
        <w:tc>
          <w:tcPr>
            <w:tcW w:w="1036" w:type="dxa"/>
            <w:tcBorders>
              <w:top w:val="nil"/>
              <w:left w:val="nil"/>
              <w:bottom w:val="single" w:sz="6" w:space="0" w:color="auto"/>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 xml:space="preserve"> 73.8</w:t>
            </w:r>
          </w:p>
        </w:tc>
        <w:tc>
          <w:tcPr>
            <w:tcW w:w="1036" w:type="dxa"/>
            <w:tcBorders>
              <w:top w:val="nil"/>
              <w:left w:val="nil"/>
              <w:bottom w:val="single" w:sz="6" w:space="0" w:color="auto"/>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w:t>
            </w:r>
          </w:p>
        </w:tc>
      </w:tr>
      <w:tr w:rsidR="00A53D7D" w:rsidRPr="00262EC6" w:rsidTr="005140B4">
        <w:tc>
          <w:tcPr>
            <w:tcW w:w="4665" w:type="dxa"/>
            <w:tcBorders>
              <w:top w:val="single" w:sz="6" w:space="0" w:color="auto"/>
              <w:left w:val="nil"/>
              <w:right w:val="nil"/>
            </w:tcBorders>
            <w:shd w:val="solid" w:color="FFFFFF" w:fill="auto"/>
          </w:tcPr>
          <w:p w:rsidR="00A53D7D" w:rsidRPr="00262EC6" w:rsidRDefault="00A53D7D" w:rsidP="005140B4">
            <w:pPr>
              <w:pStyle w:val="Tabletext"/>
              <w:rPr>
                <w:rFonts w:eastAsiaTheme="minorEastAsia"/>
                <w:b/>
                <w:lang w:eastAsia="en-AU"/>
              </w:rPr>
            </w:pPr>
            <w:r w:rsidRPr="00262EC6">
              <w:rPr>
                <w:rFonts w:eastAsiaTheme="minorEastAsia"/>
                <w:b/>
                <w:lang w:eastAsia="en-AU"/>
              </w:rPr>
              <w:t>Gross annual appropriation</w:t>
            </w:r>
          </w:p>
        </w:tc>
        <w:tc>
          <w:tcPr>
            <w:tcW w:w="1036" w:type="dxa"/>
            <w:tcBorders>
              <w:top w:val="single" w:sz="6" w:space="0" w:color="auto"/>
              <w:left w:val="nil"/>
              <w:right w:val="nil"/>
            </w:tcBorders>
            <w:shd w:val="solid" w:color="FFFFFF" w:fill="auto"/>
          </w:tcPr>
          <w:p w:rsidR="00A53D7D" w:rsidRPr="00262EC6" w:rsidRDefault="00A53D7D" w:rsidP="005140B4">
            <w:pPr>
              <w:pStyle w:val="TableofFigures"/>
              <w:rPr>
                <w:rFonts w:eastAsiaTheme="minorEastAsia" w:cs="Calibri"/>
                <w:b/>
                <w:bCs/>
                <w:lang w:eastAsia="en-AU"/>
              </w:rPr>
            </w:pPr>
            <w:r w:rsidRPr="00262EC6">
              <w:rPr>
                <w:rFonts w:eastAsiaTheme="minorEastAsia"/>
                <w:b/>
                <w:lang w:eastAsia="en-AU"/>
              </w:rPr>
              <w:t>8 472.5</w:t>
            </w:r>
          </w:p>
        </w:tc>
        <w:tc>
          <w:tcPr>
            <w:tcW w:w="1036" w:type="dxa"/>
            <w:tcBorders>
              <w:top w:val="single" w:sz="6" w:space="0" w:color="auto"/>
              <w:left w:val="nil"/>
              <w:right w:val="nil"/>
            </w:tcBorders>
            <w:shd w:val="solid" w:color="FFFFFF" w:fill="auto"/>
          </w:tcPr>
          <w:p w:rsidR="00A53D7D" w:rsidRPr="00262EC6" w:rsidRDefault="00A53D7D" w:rsidP="005140B4">
            <w:pPr>
              <w:pStyle w:val="TableofFigures"/>
              <w:rPr>
                <w:rFonts w:eastAsiaTheme="minorEastAsia" w:cs="Calibri"/>
                <w:b/>
                <w:bCs/>
                <w:lang w:eastAsia="en-AU"/>
              </w:rPr>
            </w:pPr>
            <w:r w:rsidRPr="00262EC6">
              <w:rPr>
                <w:rFonts w:eastAsiaTheme="minorEastAsia"/>
                <w:b/>
                <w:lang w:eastAsia="en-AU"/>
              </w:rPr>
              <w:t>8 414.1</w:t>
            </w:r>
          </w:p>
        </w:tc>
        <w:tc>
          <w:tcPr>
            <w:tcW w:w="1036" w:type="dxa"/>
            <w:tcBorders>
              <w:top w:val="single" w:sz="6" w:space="0" w:color="auto"/>
              <w:left w:val="nil"/>
              <w:right w:val="nil"/>
            </w:tcBorders>
            <w:shd w:val="solid" w:color="FFFFFF" w:fill="auto"/>
          </w:tcPr>
          <w:p w:rsidR="00A53D7D" w:rsidRPr="00262EC6" w:rsidRDefault="00A53D7D" w:rsidP="005140B4">
            <w:pPr>
              <w:pStyle w:val="TableofFigures"/>
              <w:rPr>
                <w:rFonts w:eastAsiaTheme="minorEastAsia" w:cs="Calibri"/>
                <w:b/>
                <w:bCs/>
                <w:lang w:eastAsia="en-AU"/>
              </w:rPr>
            </w:pPr>
            <w:r w:rsidRPr="00262EC6">
              <w:rPr>
                <w:rFonts w:eastAsiaTheme="minorEastAsia"/>
                <w:b/>
                <w:lang w:eastAsia="en-AU"/>
              </w:rPr>
              <w:t>8 642.8</w:t>
            </w:r>
          </w:p>
        </w:tc>
      </w:tr>
      <w:tr w:rsidR="00A53D7D" w:rsidRPr="00262EC6" w:rsidTr="005140B4">
        <w:tc>
          <w:tcPr>
            <w:tcW w:w="4665" w:type="dxa"/>
            <w:tcBorders>
              <w:left w:val="nil"/>
              <w:bottom w:val="nil"/>
              <w:right w:val="nil"/>
            </w:tcBorders>
            <w:shd w:val="solid" w:color="FFFFFF" w:fill="auto"/>
          </w:tcPr>
          <w:p w:rsidR="00A53D7D" w:rsidRPr="00262EC6" w:rsidRDefault="00A53D7D" w:rsidP="005140B4">
            <w:pPr>
              <w:pStyle w:val="Tabletext"/>
              <w:rPr>
                <w:rFonts w:eastAsiaTheme="minorEastAsia"/>
                <w:bCs/>
                <w:lang w:eastAsia="en-AU"/>
              </w:rPr>
            </w:pPr>
            <w:r w:rsidRPr="00262EC6">
              <w:rPr>
                <w:rFonts w:eastAsiaTheme="minorEastAsia"/>
                <w:bCs/>
                <w:lang w:eastAsia="en-AU"/>
              </w:rPr>
              <w:t>Special appropriations</w:t>
            </w:r>
          </w:p>
        </w:tc>
        <w:tc>
          <w:tcPr>
            <w:tcW w:w="1036" w:type="dxa"/>
            <w:tcBorders>
              <w:left w:val="nil"/>
              <w:bottom w:val="nil"/>
              <w:right w:val="nil"/>
            </w:tcBorders>
            <w:shd w:val="solid" w:color="FFFFFF" w:fill="auto"/>
          </w:tcPr>
          <w:p w:rsidR="00A53D7D" w:rsidRPr="00262EC6" w:rsidRDefault="00A53D7D" w:rsidP="005140B4">
            <w:pPr>
              <w:pStyle w:val="TableofFigures"/>
              <w:rPr>
                <w:rFonts w:eastAsiaTheme="minorEastAsia"/>
                <w:bCs/>
                <w:lang w:eastAsia="en-AU"/>
              </w:rPr>
            </w:pPr>
            <w:r w:rsidRPr="00262EC6">
              <w:rPr>
                <w:rFonts w:eastAsiaTheme="minorEastAsia"/>
                <w:bCs/>
                <w:lang w:eastAsia="en-AU"/>
              </w:rPr>
              <w:t>1 445.4</w:t>
            </w:r>
          </w:p>
        </w:tc>
        <w:tc>
          <w:tcPr>
            <w:tcW w:w="1036" w:type="dxa"/>
            <w:tcBorders>
              <w:left w:val="nil"/>
              <w:bottom w:val="nil"/>
              <w:right w:val="nil"/>
            </w:tcBorders>
            <w:shd w:val="solid" w:color="FFFFFF" w:fill="auto"/>
          </w:tcPr>
          <w:p w:rsidR="00A53D7D" w:rsidRPr="00262EC6" w:rsidRDefault="00A53D7D" w:rsidP="005140B4">
            <w:pPr>
              <w:pStyle w:val="TableofFigures"/>
              <w:rPr>
                <w:rFonts w:eastAsiaTheme="minorEastAsia"/>
                <w:bCs/>
                <w:lang w:eastAsia="en-AU"/>
              </w:rPr>
            </w:pPr>
            <w:r w:rsidRPr="00262EC6">
              <w:rPr>
                <w:rFonts w:eastAsiaTheme="minorEastAsia"/>
                <w:bCs/>
                <w:lang w:eastAsia="en-AU"/>
              </w:rPr>
              <w:t>1 538.0</w:t>
            </w:r>
          </w:p>
        </w:tc>
        <w:tc>
          <w:tcPr>
            <w:tcW w:w="1036" w:type="dxa"/>
            <w:tcBorders>
              <w:left w:val="nil"/>
              <w:bottom w:val="nil"/>
              <w:right w:val="nil"/>
            </w:tcBorders>
            <w:shd w:val="solid" w:color="FFFFFF" w:fill="auto"/>
          </w:tcPr>
          <w:p w:rsidR="00A53D7D" w:rsidRPr="00262EC6" w:rsidRDefault="00A53D7D" w:rsidP="005140B4">
            <w:pPr>
              <w:pStyle w:val="TableofFigures"/>
              <w:rPr>
                <w:rFonts w:eastAsiaTheme="minorEastAsia"/>
                <w:bCs/>
                <w:lang w:eastAsia="en-AU"/>
              </w:rPr>
            </w:pPr>
            <w:r w:rsidRPr="00262EC6">
              <w:rPr>
                <w:rFonts w:eastAsiaTheme="minorEastAsia"/>
                <w:bCs/>
                <w:lang w:eastAsia="en-AU"/>
              </w:rPr>
              <w:t>1 192.7</w:t>
            </w:r>
          </w:p>
        </w:tc>
      </w:tr>
      <w:tr w:rsidR="00A53D7D" w:rsidRPr="00262EC6" w:rsidTr="005140B4">
        <w:tc>
          <w:tcPr>
            <w:tcW w:w="4665" w:type="dxa"/>
            <w:tcBorders>
              <w:top w:val="nil"/>
              <w:left w:val="nil"/>
              <w:bottom w:val="single" w:sz="6" w:space="0" w:color="auto"/>
              <w:right w:val="nil"/>
            </w:tcBorders>
            <w:shd w:val="solid" w:color="FFFFFF" w:fill="auto"/>
          </w:tcPr>
          <w:p w:rsidR="00A53D7D" w:rsidRPr="00262EC6" w:rsidRDefault="00A53D7D" w:rsidP="005140B4">
            <w:pPr>
              <w:pStyle w:val="Tabletext"/>
              <w:rPr>
                <w:rFonts w:eastAsiaTheme="minorEastAsia"/>
                <w:lang w:eastAsia="en-AU"/>
              </w:rPr>
            </w:pPr>
            <w:r w:rsidRPr="00262EC6">
              <w:rPr>
                <w:rFonts w:eastAsiaTheme="minorEastAsia"/>
                <w:lang w:eastAsia="en-AU"/>
              </w:rPr>
              <w:t>Trust funds</w:t>
            </w:r>
          </w:p>
        </w:tc>
        <w:tc>
          <w:tcPr>
            <w:tcW w:w="1036" w:type="dxa"/>
            <w:tcBorders>
              <w:top w:val="nil"/>
              <w:left w:val="nil"/>
              <w:bottom w:val="single" w:sz="6" w:space="0" w:color="auto"/>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3 572.6</w:t>
            </w:r>
          </w:p>
        </w:tc>
        <w:tc>
          <w:tcPr>
            <w:tcW w:w="1036" w:type="dxa"/>
            <w:tcBorders>
              <w:top w:val="nil"/>
              <w:left w:val="nil"/>
              <w:bottom w:val="single" w:sz="6" w:space="0" w:color="auto"/>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3 567.2</w:t>
            </w:r>
          </w:p>
        </w:tc>
        <w:tc>
          <w:tcPr>
            <w:tcW w:w="1036" w:type="dxa"/>
            <w:tcBorders>
              <w:top w:val="nil"/>
              <w:left w:val="nil"/>
              <w:bottom w:val="single" w:sz="6" w:space="0" w:color="auto"/>
              <w:right w:val="nil"/>
            </w:tcBorders>
            <w:shd w:val="solid" w:color="FFFFFF" w:fill="auto"/>
          </w:tcPr>
          <w:p w:rsidR="00A53D7D" w:rsidRPr="00262EC6" w:rsidRDefault="00A53D7D" w:rsidP="005140B4">
            <w:pPr>
              <w:pStyle w:val="TableofFigures"/>
              <w:rPr>
                <w:rFonts w:eastAsiaTheme="minorEastAsia"/>
                <w:lang w:eastAsia="en-AU"/>
              </w:rPr>
            </w:pPr>
            <w:r w:rsidRPr="00262EC6">
              <w:rPr>
                <w:rFonts w:eastAsiaTheme="minorEastAsia"/>
                <w:lang w:eastAsia="en-AU"/>
              </w:rPr>
              <w:t>3 863.5</w:t>
            </w:r>
          </w:p>
        </w:tc>
      </w:tr>
      <w:tr w:rsidR="00A53D7D" w:rsidRPr="00262EC6" w:rsidTr="005140B4">
        <w:tc>
          <w:tcPr>
            <w:tcW w:w="4665" w:type="dxa"/>
            <w:tcBorders>
              <w:top w:val="single" w:sz="6" w:space="0" w:color="auto"/>
              <w:left w:val="nil"/>
              <w:bottom w:val="single" w:sz="12" w:space="0" w:color="auto"/>
              <w:right w:val="nil"/>
            </w:tcBorders>
            <w:shd w:val="solid" w:color="FFFFFF" w:fill="auto"/>
          </w:tcPr>
          <w:p w:rsidR="00A53D7D" w:rsidRPr="00262EC6" w:rsidRDefault="00A53D7D" w:rsidP="005140B4">
            <w:pPr>
              <w:pStyle w:val="Tabletext"/>
              <w:rPr>
                <w:rFonts w:eastAsiaTheme="minorEastAsia" w:cs="Calibri"/>
                <w:b/>
                <w:bCs/>
                <w:lang w:eastAsia="en-AU"/>
              </w:rPr>
            </w:pPr>
            <w:r w:rsidRPr="00262EC6">
              <w:rPr>
                <w:rFonts w:eastAsiaTheme="minorEastAsia"/>
                <w:b/>
                <w:lang w:eastAsia="en-AU"/>
              </w:rPr>
              <w:t xml:space="preserve">Total parliamentary </w:t>
            </w:r>
            <w:r w:rsidRPr="00262EC6">
              <w:rPr>
                <w:rFonts w:eastAsiaTheme="minorEastAsia" w:cs="Calibri"/>
                <w:b/>
                <w:bCs/>
                <w:lang w:eastAsia="en-AU"/>
              </w:rPr>
              <w:t>authority</w:t>
            </w:r>
          </w:p>
        </w:tc>
        <w:tc>
          <w:tcPr>
            <w:tcW w:w="1036" w:type="dxa"/>
            <w:tcBorders>
              <w:top w:val="single" w:sz="6" w:space="0" w:color="auto"/>
              <w:left w:val="nil"/>
              <w:bottom w:val="single" w:sz="12" w:space="0" w:color="auto"/>
              <w:right w:val="nil"/>
            </w:tcBorders>
            <w:shd w:val="solid" w:color="FFFFFF" w:fill="auto"/>
          </w:tcPr>
          <w:p w:rsidR="00A53D7D" w:rsidRPr="00262EC6" w:rsidRDefault="00A53D7D" w:rsidP="005140B4">
            <w:pPr>
              <w:pStyle w:val="TableofFigures"/>
              <w:rPr>
                <w:rFonts w:eastAsiaTheme="minorEastAsia"/>
                <w:b/>
                <w:lang w:eastAsia="en-AU"/>
              </w:rPr>
            </w:pPr>
            <w:r w:rsidRPr="00262EC6">
              <w:rPr>
                <w:rFonts w:eastAsiaTheme="minorEastAsia"/>
                <w:b/>
                <w:lang w:eastAsia="en-AU"/>
              </w:rPr>
              <w:t>13 490.5</w:t>
            </w:r>
          </w:p>
        </w:tc>
        <w:tc>
          <w:tcPr>
            <w:tcW w:w="1036" w:type="dxa"/>
            <w:tcBorders>
              <w:top w:val="single" w:sz="6" w:space="0" w:color="auto"/>
              <w:left w:val="nil"/>
              <w:bottom w:val="single" w:sz="12" w:space="0" w:color="auto"/>
              <w:right w:val="nil"/>
            </w:tcBorders>
            <w:shd w:val="solid" w:color="FFFFFF" w:fill="auto"/>
          </w:tcPr>
          <w:p w:rsidR="00A53D7D" w:rsidRPr="00262EC6" w:rsidRDefault="00A53D7D" w:rsidP="005140B4">
            <w:pPr>
              <w:pStyle w:val="TableofFigures"/>
              <w:rPr>
                <w:rFonts w:eastAsiaTheme="minorEastAsia"/>
                <w:b/>
                <w:lang w:eastAsia="en-AU"/>
              </w:rPr>
            </w:pPr>
            <w:r w:rsidRPr="00262EC6">
              <w:rPr>
                <w:rFonts w:eastAsiaTheme="minorEastAsia"/>
                <w:b/>
                <w:lang w:eastAsia="en-AU"/>
              </w:rPr>
              <w:t>13 519.3</w:t>
            </w:r>
          </w:p>
        </w:tc>
        <w:tc>
          <w:tcPr>
            <w:tcW w:w="1036" w:type="dxa"/>
            <w:tcBorders>
              <w:top w:val="single" w:sz="6" w:space="0" w:color="auto"/>
              <w:left w:val="nil"/>
              <w:bottom w:val="single" w:sz="12" w:space="0" w:color="auto"/>
              <w:right w:val="nil"/>
            </w:tcBorders>
            <w:shd w:val="solid" w:color="FFFFFF" w:fill="auto"/>
          </w:tcPr>
          <w:p w:rsidR="00A53D7D" w:rsidRPr="00262EC6" w:rsidRDefault="00A53D7D" w:rsidP="005140B4">
            <w:pPr>
              <w:pStyle w:val="TableofFigures"/>
              <w:rPr>
                <w:rFonts w:eastAsiaTheme="minorEastAsia"/>
                <w:b/>
                <w:lang w:eastAsia="en-AU"/>
              </w:rPr>
            </w:pPr>
            <w:r w:rsidRPr="00262EC6">
              <w:rPr>
                <w:rFonts w:eastAsiaTheme="minorEastAsia"/>
                <w:b/>
                <w:lang w:eastAsia="en-AU"/>
              </w:rPr>
              <w:t>13 699.0</w:t>
            </w:r>
          </w:p>
        </w:tc>
      </w:tr>
    </w:tbl>
    <w:p w:rsidR="00A53D7D" w:rsidRDefault="00A53D7D" w:rsidP="005140B4">
      <w:pPr>
        <w:pStyle w:val="Source"/>
      </w:pPr>
      <w:r>
        <w:t xml:space="preserve">Source: Departments of Health and Treasury and Finance </w:t>
      </w:r>
      <w:r>
        <w:fldChar w:fldCharType="begin"/>
      </w:r>
      <w:r>
        <w:instrText xml:space="preserve"> XE "Department of Health</w:instrText>
      </w:r>
      <w:r w:rsidRPr="00ED1DC7">
        <w:instrText>:Parliamentary authority for resources</w:instrText>
      </w:r>
      <w:r>
        <w:instrText xml:space="preserve">" </w:instrText>
      </w:r>
      <w:r>
        <w:fldChar w:fldCharType="end"/>
      </w:r>
    </w:p>
    <w:p w:rsidR="00A53D7D" w:rsidRDefault="00A53D7D" w:rsidP="005140B4"/>
    <w:p w:rsidR="00A53D7D" w:rsidRDefault="00A53D7D">
      <w:pPr>
        <w:spacing w:after="0"/>
      </w:pPr>
      <w:r>
        <w:br w:type="page"/>
      </w:r>
    </w:p>
    <w:p w:rsidR="00A53D7D" w:rsidRDefault="00A53D7D" w:rsidP="005140B4">
      <w:pPr>
        <w:pStyle w:val="OGHeading1"/>
        <w:rPr>
          <w:lang w:eastAsia="en-AU"/>
        </w:rPr>
      </w:pPr>
      <w:bookmarkStart w:id="88" w:name="DHAcuteHlth"/>
      <w:r>
        <w:rPr>
          <w:lang w:eastAsia="en-AU"/>
        </w:rPr>
        <w:t>Acute Health Services</w:t>
      </w:r>
    </w:p>
    <w:p w:rsidR="00A53D7D" w:rsidRDefault="00A53D7D" w:rsidP="005140B4">
      <w:pPr>
        <w:pStyle w:val="OGText"/>
        <w:rPr>
          <w:lang w:eastAsia="en-AU"/>
        </w:rPr>
      </w:pPr>
      <w:r w:rsidRPr="002338EF">
        <w:rPr>
          <w:lang w:eastAsia="en-AU"/>
        </w:rPr>
        <w:t xml:space="preserve">Acute Health Services outputs provide a range of timely and high quality acute hospital inpatient, ambulatory, emergency, </w:t>
      </w:r>
      <w:proofErr w:type="gramStart"/>
      <w:r w:rsidRPr="002338EF">
        <w:rPr>
          <w:lang w:eastAsia="en-AU"/>
        </w:rPr>
        <w:t>community</w:t>
      </w:r>
      <w:r>
        <w:rPr>
          <w:lang w:eastAsia="en-AU"/>
        </w:rPr>
        <w:noBreakHyphen/>
      </w:r>
      <w:r w:rsidRPr="002338EF">
        <w:rPr>
          <w:lang w:eastAsia="en-AU"/>
        </w:rPr>
        <w:t>based</w:t>
      </w:r>
      <w:proofErr w:type="gramEnd"/>
      <w:r w:rsidRPr="002338EF">
        <w:rPr>
          <w:lang w:eastAsia="en-AU"/>
        </w:rPr>
        <w:t xml:space="preserve"> and specialist services. This is consistent with the Government</w:t>
      </w:r>
      <w:r>
        <w:rPr>
          <w:lang w:eastAsia="en-AU"/>
        </w:rPr>
        <w:t>’s ‘</w:t>
      </w:r>
      <w:r w:rsidRPr="002338EF">
        <w:rPr>
          <w:lang w:eastAsia="en-AU"/>
        </w:rPr>
        <w:t>Se</w:t>
      </w:r>
      <w:r>
        <w:rPr>
          <w:lang w:eastAsia="en-AU"/>
        </w:rPr>
        <w:t>rvices that work’ policy.</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EB7221">
        <w:trPr>
          <w:cantSplit/>
        </w:trPr>
        <w:tc>
          <w:tcPr>
            <w:tcW w:w="7776" w:type="dxa"/>
            <w:gridSpan w:val="6"/>
            <w:tcBorders>
              <w:top w:val="single" w:sz="6" w:space="0" w:color="auto"/>
              <w:left w:val="nil"/>
              <w:right w:val="nil"/>
            </w:tcBorders>
            <w:shd w:val="clear" w:color="auto" w:fill="auto"/>
            <w:vAlign w:val="bottom"/>
            <w:hideMark/>
          </w:tcPr>
          <w:p w:rsidR="00A53D7D" w:rsidRPr="005E5444" w:rsidRDefault="00A53D7D" w:rsidP="005140B4">
            <w:pPr>
              <w:pStyle w:val="OGHeading2"/>
              <w:rPr>
                <w:lang w:eastAsia="en-AU"/>
              </w:rPr>
            </w:pPr>
            <w:r>
              <w:rPr>
                <w:lang w:eastAsia="en-AU"/>
              </w:rPr>
              <w:t>Admitted Services</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Text"/>
              <w:rPr>
                <w:lang w:eastAsia="en-AU"/>
              </w:rPr>
            </w:pPr>
            <w:r w:rsidRPr="0043243C">
              <w:rPr>
                <w:lang w:eastAsia="en-AU"/>
              </w:rPr>
              <w:t>Acute and sub</w:t>
            </w:r>
            <w:r>
              <w:rPr>
                <w:lang w:eastAsia="en-AU"/>
              </w:rPr>
              <w:noBreakHyphen/>
            </w:r>
            <w:r w:rsidRPr="0043243C">
              <w:rPr>
                <w:lang w:eastAsia="en-AU"/>
              </w:rPr>
              <w:t>acute pat</w:t>
            </w:r>
            <w:r>
              <w:rPr>
                <w:lang w:eastAsia="en-AU"/>
              </w:rPr>
              <w:t>ient services (elective and non</w:t>
            </w:r>
            <w:r>
              <w:rPr>
                <w:lang w:eastAsia="en-AU"/>
              </w:rPr>
              <w:noBreakHyphen/>
            </w:r>
            <w:r w:rsidRPr="0043243C">
              <w:rPr>
                <w:lang w:eastAsia="en-AU"/>
              </w:rPr>
              <w:t>elective) provided at Victorian metropolitan a</w:t>
            </w:r>
            <w:r>
              <w:rPr>
                <w:lang w:eastAsia="en-AU"/>
              </w:rPr>
              <w:t>nd rural public hospitals.</w:t>
            </w:r>
          </w:p>
        </w:tc>
      </w:tr>
      <w:tr w:rsidR="00A53D7D" w:rsidRPr="005E5444" w:rsidTr="00EB7221">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D418A8">
        <w:trPr>
          <w:cantSplit/>
        </w:trPr>
        <w:tc>
          <w:tcPr>
            <w:tcW w:w="3155" w:type="dxa"/>
            <w:tcBorders>
              <w:top w:val="nil"/>
              <w:left w:val="nil"/>
              <w:bottom w:val="single" w:sz="6" w:space="0" w:color="auto"/>
              <w:right w:val="nil"/>
            </w:tcBorders>
            <w:shd w:val="clear" w:color="000000" w:fill="FFFFFF"/>
            <w:hideMark/>
          </w:tcPr>
          <w:p w:rsidR="00A53D7D" w:rsidRPr="005E5444" w:rsidRDefault="00A53D7D" w:rsidP="005140B4">
            <w:pPr>
              <w:pStyle w:val="OGTabText"/>
              <w:rPr>
                <w:lang w:eastAsia="en-AU"/>
              </w:rPr>
            </w:pPr>
            <w:r w:rsidRPr="0043243C">
              <w:rPr>
                <w:lang w:eastAsia="en-AU"/>
              </w:rPr>
              <w:t>Palliative care bed days</w:t>
            </w:r>
          </w:p>
        </w:tc>
        <w:tc>
          <w:tcPr>
            <w:tcW w:w="907" w:type="dxa"/>
            <w:tcBorders>
              <w:top w:val="nil"/>
              <w:left w:val="nil"/>
              <w:bottom w:val="single" w:sz="6" w:space="0" w:color="auto"/>
              <w:right w:val="nil"/>
            </w:tcBorders>
            <w:shd w:val="clear" w:color="000000" w:fill="FFFFFF"/>
            <w:hideMark/>
          </w:tcPr>
          <w:p w:rsidR="00A53D7D" w:rsidRPr="005E5444" w:rsidRDefault="00A53D7D" w:rsidP="005140B4">
            <w:pPr>
              <w:pStyle w:val="OGUoM"/>
              <w:rPr>
                <w:lang w:eastAsia="en-AU"/>
              </w:rPr>
            </w:pPr>
            <w:r>
              <w:rPr>
                <w:lang w:eastAsia="en-AU"/>
              </w:rPr>
              <w:t>n</w:t>
            </w:r>
            <w:r w:rsidRPr="005E5444">
              <w:rPr>
                <w:lang w:eastAsia="en-AU"/>
              </w:rPr>
              <w:t>umber</w:t>
            </w:r>
            <w:r>
              <w:rPr>
                <w:lang w:eastAsia="en-AU"/>
              </w:rPr>
              <w:t xml:space="preserve"> (000)</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92</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92</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92</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94</w:t>
            </w:r>
          </w:p>
        </w:tc>
      </w:tr>
      <w:tr w:rsidR="00A53D7D" w:rsidRPr="005E5444" w:rsidTr="00EB7221">
        <w:trPr>
          <w:cantSplit/>
        </w:trPr>
        <w:tc>
          <w:tcPr>
            <w:tcW w:w="3155" w:type="dxa"/>
            <w:tcBorders>
              <w:top w:val="single" w:sz="6" w:space="0" w:color="auto"/>
              <w:left w:val="nil"/>
              <w:right w:val="nil"/>
            </w:tcBorders>
            <w:shd w:val="clear" w:color="000000" w:fill="FFFFFF"/>
          </w:tcPr>
          <w:p w:rsidR="00A53D7D" w:rsidRPr="005E5444" w:rsidRDefault="00A53D7D" w:rsidP="005140B4">
            <w:pPr>
              <w:pStyle w:val="OGTabText"/>
              <w:rPr>
                <w:lang w:eastAsia="en-AU"/>
              </w:rPr>
            </w:pPr>
            <w:r w:rsidRPr="0043243C">
              <w:rPr>
                <w:lang w:eastAsia="en-AU"/>
              </w:rPr>
              <w:t>Sub</w:t>
            </w:r>
            <w:r>
              <w:rPr>
                <w:lang w:eastAsia="en-AU"/>
              </w:rPr>
              <w:noBreakHyphen/>
            </w:r>
            <w:r w:rsidRPr="0043243C">
              <w:rPr>
                <w:lang w:eastAsia="en-AU"/>
              </w:rPr>
              <w:t>acute bed days</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n</w:t>
            </w:r>
            <w:r w:rsidRPr="0043243C">
              <w:rPr>
                <w:lang w:eastAsia="en-AU"/>
              </w:rPr>
              <w:t>umber (000)</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648</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733</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733</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711</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Notes"/>
            </w:pPr>
            <w:r w:rsidRPr="00246D7F">
              <w:t>The 2014</w:t>
            </w:r>
            <w:r>
              <w:noBreakHyphen/>
            </w:r>
            <w:r w:rsidRPr="00246D7F">
              <w:t xml:space="preserve">15 </w:t>
            </w:r>
            <w:r>
              <w:t>target</w:t>
            </w:r>
            <w:r w:rsidRPr="00246D7F">
              <w:t xml:space="preserve"> is lower than the 2013</w:t>
            </w:r>
            <w:r>
              <w:noBreakHyphen/>
            </w:r>
            <w:r w:rsidRPr="00246D7F">
              <w:t xml:space="preserve">14 </w:t>
            </w:r>
            <w:r>
              <w:t>target</w:t>
            </w:r>
            <w:r w:rsidRPr="00246D7F">
              <w:t xml:space="preserve"> as it reflects service levels funded </w:t>
            </w:r>
            <w:r>
              <w:t>through a</w:t>
            </w:r>
            <w:r w:rsidRPr="00246D7F">
              <w:t xml:space="preserve"> National Partnership Agreement</w:t>
            </w:r>
            <w:r>
              <w:t>.</w:t>
            </w:r>
            <w:r w:rsidRPr="00246D7F">
              <w:t xml:space="preserve"> </w:t>
            </w:r>
            <w:r>
              <w:t>Target</w:t>
            </w:r>
            <w:r w:rsidRPr="00246D7F">
              <w:t>s in the previous year reflected funding under the National Partnership Agreement on Improving Public Hospital Services. The Commonwealth has not yet indicated this will be renewed, resulting in lapsing Commonwealth funding from 1 Ju</w:t>
            </w:r>
            <w:r>
              <w:t>ly 2014.</w:t>
            </w:r>
          </w:p>
        </w:tc>
      </w:tr>
      <w:tr w:rsidR="00A53D7D" w:rsidRPr="005E5444" w:rsidTr="00EB7221">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D93492">
              <w:rPr>
                <w:lang w:eastAsia="en-AU"/>
              </w:rPr>
              <w:t xml:space="preserve">Total separations </w:t>
            </w:r>
            <w:r>
              <w:rPr>
                <w:lang w:eastAsia="en-AU"/>
              </w:rPr>
              <w:t>–</w:t>
            </w:r>
            <w:r w:rsidRPr="00D93492">
              <w:rPr>
                <w:lang w:eastAsia="en-AU"/>
              </w:rPr>
              <w:t xml:space="preserve"> all hospitals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w:t>
            </w:r>
            <w:r w:rsidRPr="0043243C">
              <w:rPr>
                <w:lang w:eastAsia="en-AU"/>
              </w:rPr>
              <w:t>umber (000)</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1 586</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1 538</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1 477</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1 477</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rsidRPr="00544DF9">
              <w:t>The 2013</w:t>
            </w:r>
            <w:r>
              <w:noBreakHyphen/>
            </w:r>
            <w:r w:rsidRPr="00544DF9">
              <w:t xml:space="preserve">14 </w:t>
            </w:r>
            <w:r>
              <w:t>expected outcome</w:t>
            </w:r>
            <w:r w:rsidRPr="00544DF9">
              <w:t xml:space="preserve"> is higher than </w:t>
            </w:r>
            <w:r>
              <w:t xml:space="preserve">the </w:t>
            </w:r>
            <w:r w:rsidRPr="00544DF9">
              <w:t>2013</w:t>
            </w:r>
            <w:r>
              <w:noBreakHyphen/>
            </w:r>
            <w:r w:rsidRPr="00544DF9">
              <w:t xml:space="preserve">14 </w:t>
            </w:r>
            <w:r>
              <w:t>target</w:t>
            </w:r>
            <w:r w:rsidRPr="00544DF9">
              <w:t xml:space="preserve"> due to additional </w:t>
            </w:r>
            <w:r>
              <w:t xml:space="preserve">service delivery, including </w:t>
            </w:r>
            <w:r w:rsidRPr="00544DF9">
              <w:t xml:space="preserve">elective surgery </w:t>
            </w:r>
            <w:r>
              <w:t>throughput,</w:t>
            </w:r>
            <w:r w:rsidRPr="00544DF9">
              <w:t xml:space="preserve"> and </w:t>
            </w:r>
            <w:r>
              <w:t>changes to admissions policy</w:t>
            </w:r>
            <w:r w:rsidRPr="00544DF9">
              <w:t>.</w:t>
            </w:r>
          </w:p>
          <w:p w:rsidR="00A53D7D" w:rsidRPr="005E5444" w:rsidRDefault="00A53D7D" w:rsidP="005140B4">
            <w:pPr>
              <w:pStyle w:val="OGNotes"/>
            </w:pPr>
            <w:r>
              <w:t>The higher 2014</w:t>
            </w:r>
            <w:r>
              <w:noBreakHyphen/>
              <w:t xml:space="preserve">15 target reflects additional funding announced in the </w:t>
            </w:r>
            <w:r w:rsidRPr="00946D95">
              <w:rPr>
                <w:i w:val="0"/>
              </w:rPr>
              <w:t>2014</w:t>
            </w:r>
            <w:r>
              <w:rPr>
                <w:i w:val="0"/>
              </w:rPr>
              <w:noBreakHyphen/>
            </w:r>
            <w:r w:rsidRPr="00946D95">
              <w:rPr>
                <w:i w:val="0"/>
              </w:rPr>
              <w:t>15 Budget</w:t>
            </w:r>
            <w:r w:rsidRPr="00D93492">
              <w:t>.</w:t>
            </w: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Pr>
                <w:lang w:eastAsia="en-AU"/>
              </w:rPr>
              <w:t>Weighted Inlier Equivalent s</w:t>
            </w:r>
            <w:r w:rsidRPr="009F528A">
              <w:rPr>
                <w:lang w:eastAsia="en-AU"/>
              </w:rPr>
              <w:t xml:space="preserve">eparations (WIES) </w:t>
            </w:r>
            <w:r>
              <w:rPr>
                <w:lang w:eastAsia="en-AU"/>
              </w:rPr>
              <w:t>–</w:t>
            </w:r>
            <w:r w:rsidRPr="009F528A">
              <w:rPr>
                <w:lang w:eastAsia="en-AU"/>
              </w:rPr>
              <w:t xml:space="preserve"> all hospitals except small rural health services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w:t>
            </w:r>
            <w:r w:rsidRPr="0043243C">
              <w:rPr>
                <w:lang w:eastAsia="en-AU"/>
              </w:rPr>
              <w:t>umber (000)</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1 133</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1 093</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1 070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1 064</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t>The 2013</w:t>
            </w:r>
            <w:r>
              <w:noBreakHyphen/>
              <w:t>14 expected outcome is higher than the 2013</w:t>
            </w:r>
            <w:r>
              <w:noBreakHyphen/>
              <w:t>14 target due to additional service delivery, including elective surgery throughput, and changes to admissions policy.</w:t>
            </w:r>
          </w:p>
          <w:p w:rsidR="00A53D7D" w:rsidRPr="005E5444" w:rsidRDefault="00A53D7D" w:rsidP="005140B4">
            <w:pPr>
              <w:pStyle w:val="OGNotes"/>
            </w:pPr>
            <w:r>
              <w:t>The higher 2014</w:t>
            </w:r>
            <w:r>
              <w:noBreakHyphen/>
              <w:t xml:space="preserve">15 target reflects additional funding announced in the </w:t>
            </w:r>
            <w:r w:rsidRPr="00946D95">
              <w:rPr>
                <w:i w:val="0"/>
              </w:rPr>
              <w:t>2014</w:t>
            </w:r>
            <w:r>
              <w:rPr>
                <w:i w:val="0"/>
              </w:rPr>
              <w:noBreakHyphen/>
            </w:r>
            <w:r w:rsidRPr="00946D95">
              <w:rPr>
                <w:i w:val="0"/>
              </w:rPr>
              <w:t>15 Budget</w:t>
            </w:r>
            <w:r>
              <w:t>.</w:t>
            </w: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Pr>
                <w:lang w:eastAsia="en-AU"/>
              </w:rPr>
              <w:t>WIES funded emergency s</w:t>
            </w:r>
            <w:r w:rsidRPr="001657F7">
              <w:rPr>
                <w:lang w:eastAsia="en-AU"/>
              </w:rPr>
              <w:t xml:space="preserve">eparations </w:t>
            </w:r>
            <w:r>
              <w:rPr>
                <w:lang w:eastAsia="en-AU"/>
              </w:rPr>
              <w:t>–</w:t>
            </w:r>
            <w:r w:rsidRPr="001657F7">
              <w:rPr>
                <w:lang w:eastAsia="en-AU"/>
              </w:rPr>
              <w:t xml:space="preserve"> all hospitals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sidRPr="001657F7">
              <w:rPr>
                <w:lang w:eastAsia="en-AU"/>
              </w:rPr>
              <w:t>number (000)</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488</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466</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439</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436</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t>The 2013</w:t>
            </w:r>
            <w:r>
              <w:noBreakHyphen/>
              <w:t>14 expected outcome is higher than the 2013</w:t>
            </w:r>
            <w:r>
              <w:noBreakHyphen/>
              <w:t>14 target due to additional service delivery, including elective surgery throughput, and changes to admissions policy.</w:t>
            </w:r>
          </w:p>
          <w:p w:rsidR="00A53D7D" w:rsidRPr="005E5444" w:rsidRDefault="00A53D7D" w:rsidP="005140B4">
            <w:pPr>
              <w:pStyle w:val="OGNotes"/>
            </w:pPr>
            <w:r>
              <w:t>The higher 2014</w:t>
            </w:r>
            <w:r>
              <w:noBreakHyphen/>
              <w:t xml:space="preserve">15 target reflects additional funding announced in the </w:t>
            </w:r>
            <w:r w:rsidRPr="00946D95">
              <w:rPr>
                <w:i w:val="0"/>
              </w:rPr>
              <w:t>2014</w:t>
            </w:r>
            <w:r>
              <w:rPr>
                <w:i w:val="0"/>
              </w:rPr>
              <w:noBreakHyphen/>
            </w:r>
            <w:r w:rsidRPr="00946D95">
              <w:rPr>
                <w:i w:val="0"/>
              </w:rPr>
              <w:t>15 Budget</w:t>
            </w:r>
            <w:r>
              <w:t>.</w:t>
            </w: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keepNext/>
              <w:ind w:left="142"/>
              <w:rPr>
                <w:lang w:eastAsia="en-AU"/>
              </w:rPr>
            </w:pPr>
            <w:r w:rsidRPr="00C92D86">
              <w:rPr>
                <w:lang w:eastAsia="en-AU"/>
              </w:rPr>
              <w:t>WIES funded separations</w:t>
            </w:r>
            <w:r>
              <w:rPr>
                <w:lang w:eastAsia="en-AU"/>
              </w:rPr>
              <w:t xml:space="preserve"> – </w:t>
            </w:r>
            <w:r w:rsidRPr="00C92D86">
              <w:rPr>
                <w:lang w:eastAsia="en-AU"/>
              </w:rPr>
              <w:t>all hospitals except small rural health services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sidRPr="00C92D86">
              <w:rPr>
                <w:lang w:eastAsia="en-AU"/>
              </w:rPr>
              <w:t>number (000)</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1 411</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1 360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1 328</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1 302</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t>The 2013</w:t>
            </w:r>
            <w:r>
              <w:noBreakHyphen/>
              <w:t>14 expected outcome is higher than the 2013</w:t>
            </w:r>
            <w:r>
              <w:noBreakHyphen/>
              <w:t>14 target due to additional service delivery, including elective surgery throughput, and changes to admissions policy.</w:t>
            </w:r>
          </w:p>
          <w:p w:rsidR="00A53D7D" w:rsidRPr="005E5444" w:rsidRDefault="00A53D7D" w:rsidP="005140B4">
            <w:pPr>
              <w:pStyle w:val="OGNotes"/>
            </w:pPr>
            <w:r>
              <w:t>The higher 2014</w:t>
            </w:r>
            <w:r>
              <w:noBreakHyphen/>
              <w:t xml:space="preserve">15 target reflects additional funding announced in the </w:t>
            </w:r>
            <w:r w:rsidRPr="00946D95">
              <w:rPr>
                <w:i w:val="0"/>
              </w:rPr>
              <w:t>2014</w:t>
            </w:r>
            <w:r>
              <w:rPr>
                <w:i w:val="0"/>
              </w:rPr>
              <w:noBreakHyphen/>
            </w:r>
            <w:r w:rsidRPr="00946D95">
              <w:rPr>
                <w:i w:val="0"/>
              </w:rPr>
              <w:t>15 Budget</w:t>
            </w:r>
            <w:r>
              <w:t>.</w:t>
            </w:r>
          </w:p>
        </w:tc>
      </w:tr>
      <w:tr w:rsidR="00A53D7D" w:rsidRPr="005E5444" w:rsidTr="0071616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000000"/>
              <w:right w:val="nil"/>
            </w:tcBorders>
            <w:shd w:val="clear" w:color="000000" w:fill="FFFFFF"/>
          </w:tcPr>
          <w:p w:rsidR="00A53D7D" w:rsidRPr="005E5444" w:rsidRDefault="00A53D7D" w:rsidP="005140B4">
            <w:pPr>
              <w:pStyle w:val="OGTabText"/>
              <w:rPr>
                <w:lang w:eastAsia="en-AU"/>
              </w:rPr>
            </w:pPr>
            <w:r w:rsidRPr="003956EE">
              <w:rPr>
                <w:lang w:eastAsia="en-AU"/>
              </w:rPr>
              <w:t>Hospitals participating in Victorian Hospital Acquired Infection Surveillance System (VICNISS)</w:t>
            </w:r>
          </w:p>
        </w:tc>
        <w:tc>
          <w:tcPr>
            <w:tcW w:w="907" w:type="dxa"/>
            <w:tcBorders>
              <w:top w:val="nil"/>
              <w:left w:val="nil"/>
              <w:bottom w:val="single" w:sz="6" w:space="0" w:color="000000"/>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000000"/>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nil"/>
              <w:left w:val="nil"/>
              <w:bottom w:val="single" w:sz="6" w:space="0" w:color="000000"/>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000000"/>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000000"/>
              <w:right w:val="nil"/>
            </w:tcBorders>
            <w:shd w:val="clear" w:color="000000" w:fill="FFFFFF"/>
          </w:tcPr>
          <w:p w:rsidR="00A53D7D" w:rsidRPr="005E5444" w:rsidRDefault="00A53D7D" w:rsidP="005140B4">
            <w:pPr>
              <w:pStyle w:val="OGTableofFigures"/>
              <w:rPr>
                <w:lang w:eastAsia="en-AU"/>
              </w:rPr>
            </w:pPr>
            <w:r>
              <w:rPr>
                <w:lang w:eastAsia="en-AU"/>
              </w:rPr>
              <w:t>100</w:t>
            </w:r>
          </w:p>
        </w:tc>
      </w:tr>
      <w:tr w:rsidR="00A53D7D" w:rsidRPr="005E5444" w:rsidTr="00716164">
        <w:trPr>
          <w:cantSplit/>
        </w:trPr>
        <w:tc>
          <w:tcPr>
            <w:tcW w:w="3155" w:type="dxa"/>
            <w:tcBorders>
              <w:top w:val="single" w:sz="6" w:space="0" w:color="000000"/>
              <w:left w:val="nil"/>
              <w:right w:val="nil"/>
            </w:tcBorders>
            <w:shd w:val="clear" w:color="000000" w:fill="FFFFFF"/>
          </w:tcPr>
          <w:p w:rsidR="00A53D7D" w:rsidRPr="005E5444" w:rsidRDefault="00A53D7D" w:rsidP="005140B4">
            <w:pPr>
              <w:pStyle w:val="OGTabText"/>
              <w:rPr>
                <w:lang w:eastAsia="en-AU"/>
              </w:rPr>
            </w:pPr>
            <w:r w:rsidRPr="003C7755">
              <w:rPr>
                <w:lang w:eastAsia="en-AU"/>
              </w:rPr>
              <w:t>Intensive Care Unit central line associated blood stream infections (CLABSI) per 1</w:t>
            </w:r>
            <w:r>
              <w:rPr>
                <w:lang w:eastAsia="en-AU"/>
              </w:rPr>
              <w:t> </w:t>
            </w:r>
            <w:r w:rsidRPr="003C7755">
              <w:rPr>
                <w:lang w:eastAsia="en-AU"/>
              </w:rPr>
              <w:t>000 device days</w:t>
            </w:r>
          </w:p>
        </w:tc>
        <w:tc>
          <w:tcPr>
            <w:tcW w:w="907" w:type="dxa"/>
            <w:tcBorders>
              <w:top w:val="single" w:sz="6" w:space="0" w:color="000000"/>
              <w:left w:val="nil"/>
              <w:right w:val="nil"/>
            </w:tcBorders>
            <w:shd w:val="clear" w:color="000000" w:fill="FFFFFF"/>
          </w:tcPr>
          <w:p w:rsidR="00A53D7D" w:rsidRPr="005E5444" w:rsidRDefault="00A53D7D" w:rsidP="005140B4">
            <w:pPr>
              <w:pStyle w:val="OGUoM"/>
              <w:rPr>
                <w:lang w:eastAsia="en-AU"/>
              </w:rPr>
            </w:pPr>
            <w:r>
              <w:rPr>
                <w:lang w:eastAsia="en-AU"/>
              </w:rPr>
              <w:t>rate</w:t>
            </w:r>
          </w:p>
        </w:tc>
        <w:tc>
          <w:tcPr>
            <w:tcW w:w="907" w:type="dxa"/>
            <w:tcBorders>
              <w:top w:val="single" w:sz="6" w:space="0" w:color="000000"/>
              <w:left w:val="nil"/>
              <w:right w:val="nil"/>
            </w:tcBorders>
            <w:shd w:val="clear" w:color="auto" w:fill="D9D9D9"/>
          </w:tcPr>
          <w:p w:rsidR="00A53D7D" w:rsidRPr="005E5444" w:rsidRDefault="00A53D7D" w:rsidP="005140B4">
            <w:pPr>
              <w:pStyle w:val="OGTableofFigures"/>
              <w:rPr>
                <w:lang w:eastAsia="en-AU"/>
              </w:rPr>
            </w:pPr>
            <w:r>
              <w:rPr>
                <w:rFonts w:cs="Calibri"/>
                <w:lang w:eastAsia="en-AU"/>
              </w:rPr>
              <w:t>≤</w:t>
            </w:r>
            <w:r>
              <w:rPr>
                <w:lang w:eastAsia="en-AU"/>
              </w:rPr>
              <w:t>2.5</w:t>
            </w:r>
          </w:p>
        </w:tc>
        <w:tc>
          <w:tcPr>
            <w:tcW w:w="993" w:type="dxa"/>
            <w:tcBorders>
              <w:top w:val="single" w:sz="6" w:space="0" w:color="000000"/>
              <w:left w:val="nil"/>
              <w:right w:val="nil"/>
            </w:tcBorders>
            <w:shd w:val="clear" w:color="000000" w:fill="FFFFFF"/>
          </w:tcPr>
          <w:p w:rsidR="00A53D7D" w:rsidRPr="005E5444" w:rsidRDefault="00A53D7D" w:rsidP="005140B4">
            <w:pPr>
              <w:pStyle w:val="OGTableofFigures"/>
              <w:rPr>
                <w:lang w:eastAsia="en-AU"/>
              </w:rPr>
            </w:pPr>
            <w:r>
              <w:rPr>
                <w:lang w:eastAsia="en-AU"/>
              </w:rPr>
              <w:t>1.3</w:t>
            </w:r>
          </w:p>
        </w:tc>
        <w:tc>
          <w:tcPr>
            <w:tcW w:w="907" w:type="dxa"/>
            <w:tcBorders>
              <w:top w:val="single" w:sz="6" w:space="0" w:color="000000"/>
              <w:left w:val="nil"/>
              <w:right w:val="nil"/>
            </w:tcBorders>
            <w:shd w:val="clear" w:color="000000" w:fill="FFFFFF"/>
          </w:tcPr>
          <w:p w:rsidR="00A53D7D" w:rsidRPr="005E5444" w:rsidRDefault="00A53D7D" w:rsidP="005140B4">
            <w:pPr>
              <w:pStyle w:val="OGTableofFigures"/>
              <w:rPr>
                <w:lang w:eastAsia="en-AU"/>
              </w:rPr>
            </w:pPr>
            <w:r>
              <w:rPr>
                <w:rFonts w:cs="Calibri"/>
                <w:lang w:eastAsia="en-AU"/>
              </w:rPr>
              <w:t>≤</w:t>
            </w:r>
            <w:r>
              <w:rPr>
                <w:lang w:eastAsia="en-AU"/>
              </w:rPr>
              <w:t>2.5</w:t>
            </w:r>
          </w:p>
        </w:tc>
        <w:tc>
          <w:tcPr>
            <w:tcW w:w="907" w:type="dxa"/>
            <w:tcBorders>
              <w:top w:val="single" w:sz="6" w:space="0" w:color="000000"/>
              <w:left w:val="nil"/>
              <w:right w:val="nil"/>
            </w:tcBorders>
            <w:shd w:val="clear" w:color="000000" w:fill="FFFFFF"/>
          </w:tcPr>
          <w:p w:rsidR="00A53D7D" w:rsidRPr="005E5444" w:rsidRDefault="00A53D7D" w:rsidP="005140B4">
            <w:pPr>
              <w:pStyle w:val="OGTableofFigures"/>
              <w:rPr>
                <w:lang w:eastAsia="en-AU"/>
              </w:rPr>
            </w:pPr>
            <w:r>
              <w:rPr>
                <w:lang w:eastAsia="en-AU"/>
              </w:rPr>
              <w:t>1.2</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3C7755" w:rsidRDefault="00A53D7D" w:rsidP="005140B4">
            <w:pPr>
              <w:pStyle w:val="OGNotes"/>
            </w:pPr>
            <w:r w:rsidRPr="003C7755">
              <w:t>The 2013</w:t>
            </w:r>
            <w:r>
              <w:noBreakHyphen/>
            </w:r>
            <w:r w:rsidRPr="003C7755">
              <w:t xml:space="preserve">14 </w:t>
            </w:r>
            <w:r>
              <w:t>expected outcome</w:t>
            </w:r>
            <w:r w:rsidRPr="003C7755">
              <w:t xml:space="preserve"> is lower than </w:t>
            </w:r>
            <w:r>
              <w:t xml:space="preserve">the </w:t>
            </w:r>
            <w:r w:rsidRPr="003C7755">
              <w:t>2013</w:t>
            </w:r>
            <w:r>
              <w:noBreakHyphen/>
              <w:t>14 target due to effective ICU protocols and diligence of health workers. The low percentage of infections reflects the very high quality of care provided in Victoria’s health system.</w:t>
            </w:r>
          </w:p>
        </w:tc>
      </w:tr>
      <w:tr w:rsidR="00A53D7D" w:rsidRPr="005E5444" w:rsidTr="00716164">
        <w:trPr>
          <w:cantSplit/>
        </w:trPr>
        <w:tc>
          <w:tcPr>
            <w:tcW w:w="3155" w:type="dxa"/>
            <w:tcBorders>
              <w:top w:val="nil"/>
              <w:left w:val="nil"/>
              <w:right w:val="nil"/>
            </w:tcBorders>
            <w:shd w:val="clear" w:color="000000" w:fill="FFFFFF"/>
          </w:tcPr>
          <w:p w:rsidR="00A53D7D" w:rsidRPr="003C7755" w:rsidRDefault="00A53D7D" w:rsidP="005140B4">
            <w:pPr>
              <w:pStyle w:val="OGTabText"/>
              <w:rPr>
                <w:lang w:eastAsia="en-AU"/>
              </w:rPr>
            </w:pPr>
            <w:r w:rsidRPr="003C7755">
              <w:rPr>
                <w:lang w:eastAsia="en-AU"/>
              </w:rPr>
              <w:t xml:space="preserve">Eligible newborns screened for hearing </w:t>
            </w:r>
            <w:r>
              <w:rPr>
                <w:lang w:eastAsia="en-AU"/>
              </w:rPr>
              <w:t>deficit before one month of age</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97</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99</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97</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98.5</w:t>
            </w:r>
          </w:p>
        </w:tc>
      </w:tr>
      <w:tr w:rsidR="00A53D7D" w:rsidRPr="005E5444" w:rsidTr="00716164">
        <w:trPr>
          <w:cantSplit/>
        </w:trPr>
        <w:tc>
          <w:tcPr>
            <w:tcW w:w="7776" w:type="dxa"/>
            <w:gridSpan w:val="6"/>
            <w:tcBorders>
              <w:top w:val="nil"/>
              <w:left w:val="nil"/>
              <w:bottom w:val="single" w:sz="6" w:space="0" w:color="auto"/>
              <w:right w:val="nil"/>
            </w:tcBorders>
            <w:shd w:val="clear" w:color="000000" w:fill="FFFFFF"/>
          </w:tcPr>
          <w:p w:rsidR="00A53D7D" w:rsidRDefault="00A53D7D" w:rsidP="005140B4">
            <w:pPr>
              <w:pStyle w:val="OGNotes"/>
            </w:pPr>
            <w:r>
              <w:t>The 2013</w:t>
            </w:r>
            <w:r>
              <w:noBreakHyphen/>
              <w:t>14 expected outcome is higher than the 2013</w:t>
            </w:r>
            <w:r>
              <w:noBreakHyphen/>
              <w:t>14 target due to the higher anticipated percentage of newborns screened for hearing deficit before one month of age. This result reflects the high quality of care provided in Victoria’s health system.</w:t>
            </w:r>
          </w:p>
        </w:tc>
      </w:tr>
      <w:tr w:rsidR="00A53D7D" w:rsidRPr="005E5444" w:rsidTr="00716164">
        <w:trPr>
          <w:cantSplit/>
        </w:trPr>
        <w:tc>
          <w:tcPr>
            <w:tcW w:w="3155" w:type="dxa"/>
            <w:tcBorders>
              <w:top w:val="single" w:sz="6" w:space="0" w:color="auto"/>
              <w:left w:val="nil"/>
              <w:right w:val="nil"/>
            </w:tcBorders>
            <w:shd w:val="clear" w:color="000000" w:fill="FFFFFF"/>
          </w:tcPr>
          <w:p w:rsidR="00A53D7D" w:rsidRPr="005E5444" w:rsidRDefault="00A53D7D" w:rsidP="005140B4">
            <w:pPr>
              <w:pStyle w:val="OGTabText"/>
              <w:rPr>
                <w:lang w:eastAsia="en-AU"/>
              </w:rPr>
            </w:pPr>
            <w:r w:rsidRPr="003C7755">
              <w:rPr>
                <w:lang w:eastAsia="en-AU"/>
              </w:rPr>
              <w:t>Hand hygiene compliance</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sidRPr="003C7755">
              <w:rPr>
                <w:lang w:eastAsia="en-AU"/>
              </w:rPr>
              <w:t>per cent</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80</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76</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70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76</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t>The 2013</w:t>
            </w:r>
            <w:r>
              <w:noBreakHyphen/>
              <w:t>14 expected outcome is higher than the 2013</w:t>
            </w:r>
            <w:r>
              <w:noBreakHyphen/>
              <w:t>14 target due to higher than anticipated health worker compliance with hand hygiene protocols. This result reflects the high quality of care provided in Victoria’s health system.</w:t>
            </w:r>
          </w:p>
          <w:p w:rsidR="00A53D7D" w:rsidRPr="005E5444" w:rsidRDefault="00A53D7D" w:rsidP="005140B4">
            <w:pPr>
              <w:pStyle w:val="OGNotes"/>
            </w:pPr>
            <w:r>
              <w:t>The higher 2014</w:t>
            </w:r>
            <w:r>
              <w:noBreakHyphen/>
              <w:t xml:space="preserve">15 target </w:t>
            </w:r>
            <w:r w:rsidRPr="00246D7F">
              <w:t>reflect</w:t>
            </w:r>
            <w:r>
              <w:t>s</w:t>
            </w:r>
            <w:r w:rsidRPr="00246D7F">
              <w:t xml:space="preserve"> a new program to lift hand hygiene standards.</w:t>
            </w: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pPr>
            <w:r w:rsidRPr="003C7755">
              <w:t>Major trauma patients transferred to a major trauma service</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sidRPr="003C7755">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75</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86</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75</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86</w:t>
            </w:r>
          </w:p>
        </w:tc>
      </w:tr>
      <w:tr w:rsidR="00A53D7D" w:rsidRPr="005E5444" w:rsidTr="00716164">
        <w:trPr>
          <w:cantSplit/>
        </w:trPr>
        <w:tc>
          <w:tcPr>
            <w:tcW w:w="7776" w:type="dxa"/>
            <w:gridSpan w:val="6"/>
            <w:tcBorders>
              <w:top w:val="nil"/>
              <w:left w:val="nil"/>
              <w:bottom w:val="single" w:sz="6" w:space="0" w:color="auto"/>
              <w:right w:val="nil"/>
            </w:tcBorders>
            <w:shd w:val="clear" w:color="auto" w:fill="auto"/>
            <w:vAlign w:val="bottom"/>
          </w:tcPr>
          <w:p w:rsidR="00A53D7D" w:rsidRPr="003C7755" w:rsidRDefault="00A53D7D" w:rsidP="005140B4">
            <w:pPr>
              <w:pStyle w:val="OGNotes"/>
            </w:pPr>
            <w:r w:rsidRPr="003C7755">
              <w:t>The 2013</w:t>
            </w:r>
            <w:r>
              <w:noBreakHyphen/>
            </w:r>
            <w:r w:rsidRPr="003C7755">
              <w:t xml:space="preserve">14 </w:t>
            </w:r>
            <w:r>
              <w:t>expected outcome</w:t>
            </w:r>
            <w:r w:rsidRPr="003C7755">
              <w:t xml:space="preserve"> is </w:t>
            </w:r>
            <w:r>
              <w:t>higher than</w:t>
            </w:r>
            <w:r w:rsidRPr="003C7755">
              <w:t xml:space="preserve"> the 2013</w:t>
            </w:r>
            <w:r>
              <w:noBreakHyphen/>
            </w:r>
            <w:r w:rsidRPr="003C7755">
              <w:t xml:space="preserve">14 </w:t>
            </w:r>
            <w:r>
              <w:t>target due to a higher than anticipated percentage of major trauma patients being transferred to a major trauma service. This result reflects the high quality of care provided in Victoria’s health system.</w:t>
            </w:r>
          </w:p>
        </w:tc>
      </w:tr>
      <w:tr w:rsidR="00A53D7D" w:rsidRPr="005E5444" w:rsidTr="00716164">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393B8F">
              <w:rPr>
                <w:lang w:eastAsia="en-AU"/>
              </w:rPr>
              <w:t>Perinatal morbidity notices received, processed and reported</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sidRPr="00393B8F">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r>
      <w:tr w:rsidR="00A53D7D" w:rsidRPr="005E5444" w:rsidTr="00716164">
        <w:trPr>
          <w:cantSplit/>
        </w:trPr>
        <w:tc>
          <w:tcPr>
            <w:tcW w:w="3155" w:type="dxa"/>
            <w:tcBorders>
              <w:top w:val="single" w:sz="6" w:space="0" w:color="auto"/>
              <w:left w:val="nil"/>
              <w:right w:val="nil"/>
            </w:tcBorders>
            <w:shd w:val="clear" w:color="000000" w:fill="FFFFFF"/>
          </w:tcPr>
          <w:p w:rsidR="00A53D7D" w:rsidRPr="005E5444" w:rsidRDefault="00A53D7D" w:rsidP="005140B4">
            <w:pPr>
              <w:pStyle w:val="OGTabText"/>
              <w:rPr>
                <w:lang w:eastAsia="en-AU"/>
              </w:rPr>
            </w:pPr>
            <w:r w:rsidRPr="00393B8F">
              <w:rPr>
                <w:lang w:eastAsia="en-AU"/>
              </w:rPr>
              <w:t>Public hospitals accredited</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sidRPr="00393B8F">
              <w:rPr>
                <w:lang w:eastAsia="en-AU"/>
              </w:rPr>
              <w:t>per cent</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100</w:t>
            </w:r>
          </w:p>
        </w:tc>
      </w:tr>
      <w:tr w:rsidR="00A53D7D" w:rsidRPr="005E5444" w:rsidTr="005140B4">
        <w:trPr>
          <w:cantSplit/>
        </w:trPr>
        <w:tc>
          <w:tcPr>
            <w:tcW w:w="7776" w:type="dxa"/>
            <w:gridSpan w:val="6"/>
            <w:tcBorders>
              <w:left w:val="nil"/>
              <w:bottom w:val="single" w:sz="6" w:space="0" w:color="auto"/>
              <w:right w:val="nil"/>
            </w:tcBorders>
            <w:shd w:val="clear" w:color="000000" w:fill="FFFFFF"/>
          </w:tcPr>
          <w:p w:rsidR="00A53D7D" w:rsidRDefault="00A53D7D" w:rsidP="005140B4">
            <w:pPr>
              <w:pStyle w:val="OGNotes"/>
            </w:pPr>
            <w:r>
              <w:t>It is important to note the introduction of the National Safety and Quality Health Service (NSQHS) Standards and accreditation scheme across all jurisdictions from 1 January 2013, and Victoria’s high level of achievement.</w:t>
            </w:r>
          </w:p>
        </w:tc>
      </w:tr>
      <w:tr w:rsidR="00A53D7D" w:rsidRPr="005E5444" w:rsidTr="00716164">
        <w:trPr>
          <w:cantSplit/>
        </w:trPr>
        <w:tc>
          <w:tcPr>
            <w:tcW w:w="3155" w:type="dxa"/>
            <w:tcBorders>
              <w:top w:val="single" w:sz="6" w:space="0" w:color="auto"/>
              <w:left w:val="nil"/>
              <w:right w:val="nil"/>
            </w:tcBorders>
            <w:shd w:val="clear" w:color="000000" w:fill="FFFFFF"/>
          </w:tcPr>
          <w:p w:rsidR="00A53D7D" w:rsidRPr="005E5444" w:rsidRDefault="00A53D7D" w:rsidP="005140B4">
            <w:pPr>
              <w:pStyle w:val="OGTabText"/>
              <w:rPr>
                <w:lang w:eastAsia="en-AU"/>
              </w:rPr>
            </w:pPr>
            <w:r w:rsidRPr="00393B8F">
              <w:rPr>
                <w:lang w:eastAsia="en-AU"/>
              </w:rPr>
              <w:t>Public hospitals meeting cleaning standards, as assessed by external audit</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sidRPr="00393B8F">
              <w:rPr>
                <w:lang w:eastAsia="en-AU"/>
              </w:rPr>
              <w:t>per cent</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98</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Notes"/>
            </w:pPr>
            <w:r w:rsidRPr="00942605">
              <w:t xml:space="preserve">Measurement of this indicator changed in </w:t>
            </w:r>
            <w:r>
              <w:t>20</w:t>
            </w:r>
            <w:r w:rsidRPr="00942605">
              <w:t>13</w:t>
            </w:r>
            <w:r>
              <w:noBreakHyphen/>
            </w:r>
            <w:r w:rsidRPr="00942605">
              <w:t xml:space="preserve">14 and reflects target levels of cleanliness as </w:t>
            </w:r>
            <w:r>
              <w:t>assessed by external auditors.</w:t>
            </w: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C80D25">
              <w:rPr>
                <w:i/>
                <w:lang w:eastAsia="en-AU"/>
              </w:rPr>
              <w:t xml:space="preserve">Staphylococcus </w:t>
            </w:r>
            <w:proofErr w:type="spellStart"/>
            <w:r w:rsidRPr="00C80D25">
              <w:rPr>
                <w:i/>
                <w:lang w:eastAsia="en-AU"/>
              </w:rPr>
              <w:t>aureus</w:t>
            </w:r>
            <w:proofErr w:type="spellEnd"/>
            <w:r w:rsidRPr="00C80D25">
              <w:rPr>
                <w:i/>
                <w:lang w:eastAsia="en-AU"/>
              </w:rPr>
              <w:t xml:space="preserve"> </w:t>
            </w:r>
            <w:proofErr w:type="spellStart"/>
            <w:r w:rsidRPr="00C80D25">
              <w:rPr>
                <w:i/>
                <w:lang w:eastAsia="en-AU"/>
              </w:rPr>
              <w:t>bacteraemias</w:t>
            </w:r>
            <w:proofErr w:type="spellEnd"/>
            <w:r>
              <w:rPr>
                <w:lang w:eastAsia="en-AU"/>
              </w:rPr>
              <w:t xml:space="preserve"> (SAB) infections per 10 </w:t>
            </w:r>
            <w:r w:rsidRPr="00122D29">
              <w:rPr>
                <w:lang w:eastAsia="en-AU"/>
              </w:rPr>
              <w:t>000 patient days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rate</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rFonts w:cs="Calibri"/>
                <w:lang w:eastAsia="en-AU"/>
              </w:rPr>
              <w:t>≤</w:t>
            </w:r>
            <w:r>
              <w:rPr>
                <w:lang w:eastAsia="en-AU"/>
              </w:rPr>
              <w:t>2</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rFonts w:cs="Calibri"/>
                <w:lang w:eastAsia="en-AU"/>
              </w:rPr>
              <w:t>≤</w:t>
            </w:r>
            <w:r>
              <w:rPr>
                <w:lang w:eastAsia="en-AU"/>
              </w:rPr>
              <w:t>2</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0.9</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Notes"/>
            </w:pPr>
            <w:r w:rsidRPr="00122D29">
              <w:t>The 2013</w:t>
            </w:r>
            <w:r>
              <w:noBreakHyphen/>
            </w:r>
            <w:r w:rsidRPr="00122D29">
              <w:t xml:space="preserve">14 </w:t>
            </w:r>
            <w:r>
              <w:t>expected outcome</w:t>
            </w:r>
            <w:r w:rsidRPr="00122D29">
              <w:t xml:space="preserve"> is lower than </w:t>
            </w:r>
            <w:r>
              <w:t xml:space="preserve">the </w:t>
            </w:r>
            <w:r w:rsidRPr="00122D29">
              <w:t>2013</w:t>
            </w:r>
            <w:r>
              <w:noBreakHyphen/>
              <w:t xml:space="preserve">14 target due to effective protocols and diligence of health workers. This result reflects the high quality of care provided in Victoria’s health system. The </w:t>
            </w:r>
            <w:r>
              <w:rPr>
                <w:rFonts w:cs="Calibri"/>
              </w:rPr>
              <w:t>≤</w:t>
            </w:r>
            <w:r>
              <w:t>2.0 per cent target is the national benchmark for SAB infections which Victoria has exceeded over a number of years.</w:t>
            </w:r>
          </w:p>
        </w:tc>
      </w:tr>
      <w:tr w:rsidR="00A53D7D" w:rsidRPr="005E5444" w:rsidTr="00716164">
        <w:trPr>
          <w:cantSplit/>
        </w:trPr>
        <w:tc>
          <w:tcPr>
            <w:tcW w:w="3155" w:type="dxa"/>
            <w:tcBorders>
              <w:top w:val="nil"/>
              <w:left w:val="nil"/>
              <w:right w:val="nil"/>
            </w:tcBorders>
            <w:shd w:val="clear" w:color="000000" w:fill="FFFFFF"/>
          </w:tcPr>
          <w:p w:rsidR="00A53D7D" w:rsidRPr="005B1119" w:rsidRDefault="00A53D7D" w:rsidP="005140B4">
            <w:pPr>
              <w:pStyle w:val="OGTabText"/>
              <w:keepNext/>
              <w:rPr>
                <w:lang w:eastAsia="en-AU"/>
              </w:rPr>
            </w:pPr>
            <w:r w:rsidRPr="005B1119">
              <w:rPr>
                <w:lang w:eastAsia="en-AU"/>
              </w:rPr>
              <w:t xml:space="preserve">Unplanned/unexpected readmission </w:t>
            </w:r>
            <w:r>
              <w:rPr>
                <w:lang w:eastAsia="en-AU"/>
              </w:rPr>
              <w:t>for acute myocardial infarction</w:t>
            </w:r>
          </w:p>
        </w:tc>
        <w:tc>
          <w:tcPr>
            <w:tcW w:w="907" w:type="dxa"/>
            <w:tcBorders>
              <w:top w:val="nil"/>
              <w:left w:val="nil"/>
              <w:right w:val="nil"/>
            </w:tcBorders>
            <w:shd w:val="clear" w:color="000000" w:fill="FFFFFF"/>
          </w:tcPr>
          <w:p w:rsidR="00A53D7D" w:rsidRPr="005E5444" w:rsidRDefault="00A53D7D" w:rsidP="005140B4">
            <w:pPr>
              <w:pStyle w:val="OGUoM"/>
              <w:keepNext/>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keepNext/>
              <w:rPr>
                <w:lang w:eastAsia="en-AU"/>
              </w:rPr>
            </w:pPr>
            <w:r>
              <w:rPr>
                <w:lang w:eastAsia="en-AU"/>
              </w:rPr>
              <w:t>3.7</w:t>
            </w:r>
          </w:p>
        </w:tc>
        <w:tc>
          <w:tcPr>
            <w:tcW w:w="993" w:type="dxa"/>
            <w:tcBorders>
              <w:top w:val="nil"/>
              <w:left w:val="nil"/>
              <w:right w:val="nil"/>
            </w:tcBorders>
            <w:shd w:val="clear" w:color="000000" w:fill="FFFFFF"/>
          </w:tcPr>
          <w:p w:rsidR="00A53D7D" w:rsidRPr="005E5444" w:rsidRDefault="00A53D7D" w:rsidP="005140B4">
            <w:pPr>
              <w:pStyle w:val="OGTableofFigures"/>
              <w:keepNext/>
              <w:rPr>
                <w:lang w:eastAsia="en-AU"/>
              </w:rPr>
            </w:pPr>
            <w:r>
              <w:rPr>
                <w:lang w:eastAsia="en-AU"/>
              </w:rPr>
              <w:t>2.5</w:t>
            </w:r>
          </w:p>
        </w:tc>
        <w:tc>
          <w:tcPr>
            <w:tcW w:w="907" w:type="dxa"/>
            <w:tcBorders>
              <w:top w:val="nil"/>
              <w:left w:val="nil"/>
              <w:right w:val="nil"/>
            </w:tcBorders>
            <w:shd w:val="clear" w:color="000000" w:fill="FFFFFF"/>
          </w:tcPr>
          <w:p w:rsidR="00A53D7D" w:rsidRPr="005E5444" w:rsidRDefault="00A53D7D" w:rsidP="005140B4">
            <w:pPr>
              <w:pStyle w:val="OGTableofFigures"/>
              <w:keepNext/>
              <w:rPr>
                <w:lang w:eastAsia="en-AU"/>
              </w:rPr>
            </w:pPr>
            <w:r>
              <w:rPr>
                <w:lang w:eastAsia="en-AU"/>
              </w:rPr>
              <w:t>3.7</w:t>
            </w:r>
          </w:p>
        </w:tc>
        <w:tc>
          <w:tcPr>
            <w:tcW w:w="907" w:type="dxa"/>
            <w:tcBorders>
              <w:top w:val="nil"/>
              <w:left w:val="nil"/>
              <w:right w:val="nil"/>
            </w:tcBorders>
            <w:shd w:val="clear" w:color="000000" w:fill="FFFFFF"/>
          </w:tcPr>
          <w:p w:rsidR="00A53D7D" w:rsidRPr="005E5444" w:rsidRDefault="00A53D7D" w:rsidP="005140B4">
            <w:pPr>
              <w:pStyle w:val="OGTableofFigures"/>
              <w:keepNext/>
              <w:rPr>
                <w:lang w:eastAsia="en-AU"/>
              </w:rPr>
            </w:pPr>
            <w:r>
              <w:rPr>
                <w:lang w:eastAsia="en-AU"/>
              </w:rPr>
              <w:t>2.1</w:t>
            </w:r>
          </w:p>
        </w:tc>
      </w:tr>
      <w:tr w:rsidR="00A53D7D" w:rsidRPr="005E5444" w:rsidTr="0071616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Notes"/>
            </w:pPr>
            <w:r w:rsidRPr="007A1580">
              <w:t>The 2013</w:t>
            </w:r>
            <w:r>
              <w:noBreakHyphen/>
            </w:r>
            <w:r w:rsidRPr="007A1580">
              <w:t xml:space="preserve">14 </w:t>
            </w:r>
            <w:r>
              <w:t>expected outcome</w:t>
            </w:r>
            <w:r w:rsidRPr="007A1580">
              <w:t xml:space="preserve"> is lower than </w:t>
            </w:r>
            <w:r>
              <w:t xml:space="preserve">the </w:t>
            </w:r>
            <w:r w:rsidRPr="007A1580">
              <w:t>2013</w:t>
            </w:r>
            <w:r>
              <w:noBreakHyphen/>
            </w:r>
            <w:r w:rsidRPr="007A1580">
              <w:t xml:space="preserve">14 </w:t>
            </w:r>
            <w:r>
              <w:t>target due to lower percentage of unplanned/unexpected readmission for acute myocardial infarction than anticipated. This result reflects the high quality of care provided in Victoria’s health system.</w:t>
            </w:r>
          </w:p>
        </w:tc>
      </w:tr>
      <w:tr w:rsidR="00A53D7D" w:rsidRPr="005E5444" w:rsidTr="00716164">
        <w:trPr>
          <w:cantSplit/>
        </w:trPr>
        <w:tc>
          <w:tcPr>
            <w:tcW w:w="3155" w:type="dxa"/>
            <w:tcBorders>
              <w:top w:val="single" w:sz="6" w:space="0" w:color="auto"/>
              <w:left w:val="nil"/>
              <w:right w:val="nil"/>
            </w:tcBorders>
            <w:shd w:val="clear" w:color="000000" w:fill="FFFFFF"/>
          </w:tcPr>
          <w:p w:rsidR="00A53D7D" w:rsidRPr="001763D8" w:rsidRDefault="00A53D7D" w:rsidP="005140B4">
            <w:pPr>
              <w:pStyle w:val="OGTabText"/>
              <w:keepNext/>
              <w:rPr>
                <w:lang w:eastAsia="en-AU"/>
              </w:rPr>
            </w:pPr>
            <w:r>
              <w:rPr>
                <w:lang w:eastAsia="en-AU"/>
              </w:rPr>
              <w:t>Unplanned/unexpected readmission for heart failure</w:t>
            </w:r>
          </w:p>
        </w:tc>
        <w:tc>
          <w:tcPr>
            <w:tcW w:w="907" w:type="dxa"/>
            <w:tcBorders>
              <w:top w:val="single" w:sz="6" w:space="0" w:color="auto"/>
              <w:left w:val="nil"/>
              <w:right w:val="nil"/>
            </w:tcBorders>
            <w:shd w:val="clear" w:color="000000" w:fill="FFFFFF"/>
          </w:tcPr>
          <w:p w:rsidR="00A53D7D" w:rsidRDefault="00A53D7D" w:rsidP="005140B4">
            <w:pPr>
              <w:pStyle w:val="OGUoM"/>
              <w:keepNext/>
              <w:rPr>
                <w:lang w:eastAsia="en-AU"/>
              </w:rPr>
            </w:pPr>
            <w:r>
              <w:rPr>
                <w:lang w:eastAsia="en-AU"/>
              </w:rPr>
              <w:t>per cent</w:t>
            </w:r>
          </w:p>
        </w:tc>
        <w:tc>
          <w:tcPr>
            <w:tcW w:w="907" w:type="dxa"/>
            <w:tcBorders>
              <w:top w:val="single" w:sz="6" w:space="0" w:color="auto"/>
              <w:left w:val="nil"/>
              <w:right w:val="nil"/>
            </w:tcBorders>
            <w:shd w:val="clear" w:color="auto" w:fill="D9D9D9"/>
          </w:tcPr>
          <w:p w:rsidR="00A53D7D" w:rsidRDefault="00A53D7D" w:rsidP="005140B4">
            <w:pPr>
              <w:pStyle w:val="OGTableofFigures"/>
              <w:keepNext/>
              <w:rPr>
                <w:lang w:eastAsia="en-AU"/>
              </w:rPr>
            </w:pPr>
            <w:r>
              <w:rPr>
                <w:lang w:eastAsia="en-AU"/>
              </w:rPr>
              <w:t>10.3</w:t>
            </w:r>
          </w:p>
        </w:tc>
        <w:tc>
          <w:tcPr>
            <w:tcW w:w="993" w:type="dxa"/>
            <w:tcBorders>
              <w:top w:val="single" w:sz="6" w:space="0" w:color="auto"/>
              <w:left w:val="nil"/>
              <w:right w:val="nil"/>
            </w:tcBorders>
            <w:shd w:val="clear" w:color="000000" w:fill="FFFFFF"/>
          </w:tcPr>
          <w:p w:rsidR="00A53D7D" w:rsidRDefault="00A53D7D" w:rsidP="005140B4">
            <w:pPr>
              <w:pStyle w:val="OGTableofFigures"/>
              <w:keepNext/>
              <w:rPr>
                <w:lang w:eastAsia="en-AU"/>
              </w:rPr>
            </w:pPr>
            <w:r>
              <w:rPr>
                <w:lang w:eastAsia="en-AU"/>
              </w:rPr>
              <w:t>9</w:t>
            </w:r>
          </w:p>
        </w:tc>
        <w:tc>
          <w:tcPr>
            <w:tcW w:w="907" w:type="dxa"/>
            <w:tcBorders>
              <w:top w:val="single" w:sz="6" w:space="0" w:color="auto"/>
              <w:left w:val="nil"/>
              <w:right w:val="nil"/>
            </w:tcBorders>
            <w:shd w:val="clear" w:color="000000" w:fill="FFFFFF"/>
          </w:tcPr>
          <w:p w:rsidR="00A53D7D" w:rsidRDefault="00A53D7D" w:rsidP="005140B4">
            <w:pPr>
              <w:pStyle w:val="OGTableofFigures"/>
              <w:keepNext/>
              <w:rPr>
                <w:lang w:eastAsia="en-AU"/>
              </w:rPr>
            </w:pPr>
            <w:r>
              <w:rPr>
                <w:lang w:eastAsia="en-AU"/>
              </w:rPr>
              <w:t>10.3</w:t>
            </w:r>
          </w:p>
        </w:tc>
        <w:tc>
          <w:tcPr>
            <w:tcW w:w="907" w:type="dxa"/>
            <w:tcBorders>
              <w:top w:val="single" w:sz="6" w:space="0" w:color="auto"/>
              <w:left w:val="nil"/>
              <w:right w:val="nil"/>
            </w:tcBorders>
            <w:shd w:val="clear" w:color="000000" w:fill="FFFFFF"/>
          </w:tcPr>
          <w:p w:rsidR="00A53D7D" w:rsidRDefault="00A53D7D" w:rsidP="005140B4">
            <w:pPr>
              <w:pStyle w:val="OGTableofFigures"/>
              <w:keepNext/>
              <w:rPr>
                <w:lang w:eastAsia="en-AU"/>
              </w:rPr>
            </w:pPr>
            <w:r>
              <w:rPr>
                <w:lang w:eastAsia="en-AU"/>
              </w:rPr>
              <w:t>8.9</w:t>
            </w:r>
          </w:p>
        </w:tc>
      </w:tr>
      <w:tr w:rsidR="00A53D7D" w:rsidRPr="005E5444" w:rsidTr="00716164">
        <w:trPr>
          <w:cantSplit/>
        </w:trPr>
        <w:tc>
          <w:tcPr>
            <w:tcW w:w="7776" w:type="dxa"/>
            <w:gridSpan w:val="6"/>
            <w:tcBorders>
              <w:left w:val="nil"/>
              <w:bottom w:val="single" w:sz="6" w:space="0" w:color="auto"/>
              <w:right w:val="nil"/>
            </w:tcBorders>
            <w:shd w:val="clear" w:color="000000" w:fill="FFFFFF"/>
          </w:tcPr>
          <w:p w:rsidR="00A53D7D" w:rsidRDefault="00A53D7D" w:rsidP="005140B4">
            <w:pPr>
              <w:pStyle w:val="OGNotes"/>
              <w:tabs>
                <w:tab w:val="left" w:pos="7626"/>
              </w:tabs>
            </w:pPr>
            <w:r>
              <w:t>The 2013</w:t>
            </w:r>
            <w:r>
              <w:noBreakHyphen/>
              <w:t>14 expected outcome is lower than the 2013</w:t>
            </w:r>
            <w:r>
              <w:noBreakHyphen/>
              <w:t>14 target due to a lower percentage of unplanned/unexpected readmission for heart failure than anticipated. This result reflects the high quality of care provided in Victoria’s health system. The target for this performance measure is the national benchmark.</w:t>
            </w:r>
          </w:p>
        </w:tc>
      </w:tr>
      <w:tr w:rsidR="00A53D7D" w:rsidRPr="005E5444" w:rsidTr="00716164">
        <w:trPr>
          <w:cantSplit/>
        </w:trPr>
        <w:tc>
          <w:tcPr>
            <w:tcW w:w="3155" w:type="dxa"/>
            <w:tcBorders>
              <w:top w:val="single" w:sz="6" w:space="0" w:color="auto"/>
              <w:left w:val="nil"/>
              <w:bottom w:val="single" w:sz="6" w:space="0" w:color="auto"/>
              <w:right w:val="nil"/>
            </w:tcBorders>
            <w:shd w:val="clear" w:color="000000" w:fill="FFFFFF"/>
          </w:tcPr>
          <w:p w:rsidR="00A53D7D" w:rsidRPr="001763D8" w:rsidRDefault="00A53D7D" w:rsidP="005140B4">
            <w:pPr>
              <w:pStyle w:val="OGTabText"/>
              <w:rPr>
                <w:lang w:eastAsia="en-AU"/>
              </w:rPr>
            </w:pPr>
            <w:r w:rsidRPr="001763D8">
              <w:rPr>
                <w:lang w:eastAsia="en-AU"/>
              </w:rPr>
              <w:t xml:space="preserve">Unplanned/unexpected </w:t>
            </w:r>
            <w:r>
              <w:rPr>
                <w:lang w:eastAsia="en-AU"/>
              </w:rPr>
              <w:t>readmission for hip replacement</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2.5</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2.6</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2.5</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3.2</w:t>
            </w:r>
          </w:p>
        </w:tc>
      </w:tr>
      <w:tr w:rsidR="00A53D7D" w:rsidRPr="005E5444" w:rsidTr="00716164">
        <w:trPr>
          <w:cantSplit/>
        </w:trPr>
        <w:tc>
          <w:tcPr>
            <w:tcW w:w="3155" w:type="dxa"/>
            <w:tcBorders>
              <w:top w:val="single" w:sz="6" w:space="0" w:color="auto"/>
              <w:left w:val="nil"/>
              <w:bottom w:val="single" w:sz="6" w:space="0" w:color="auto"/>
              <w:right w:val="nil"/>
            </w:tcBorders>
            <w:shd w:val="clear" w:color="000000" w:fill="FFFFFF"/>
          </w:tcPr>
          <w:p w:rsidR="00A53D7D" w:rsidRPr="001763D8" w:rsidRDefault="00A53D7D" w:rsidP="005140B4">
            <w:pPr>
              <w:pStyle w:val="OGTabText"/>
              <w:rPr>
                <w:lang w:eastAsia="en-AU"/>
              </w:rPr>
            </w:pPr>
            <w:r w:rsidRPr="001763D8">
              <w:rPr>
                <w:lang w:eastAsia="en-AU"/>
              </w:rPr>
              <w:t>Unplanned/unexpected r</w:t>
            </w:r>
            <w:r>
              <w:rPr>
                <w:lang w:eastAsia="en-AU"/>
              </w:rPr>
              <w:t>eadmission for knee replacement</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6</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6</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6</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5.2</w:t>
            </w:r>
          </w:p>
        </w:tc>
      </w:tr>
      <w:tr w:rsidR="00A53D7D" w:rsidRPr="005E5444" w:rsidTr="00716164">
        <w:trPr>
          <w:cantSplit/>
        </w:trPr>
        <w:tc>
          <w:tcPr>
            <w:tcW w:w="3155" w:type="dxa"/>
            <w:tcBorders>
              <w:top w:val="single" w:sz="6" w:space="0" w:color="auto"/>
              <w:left w:val="nil"/>
              <w:bottom w:val="single" w:sz="6" w:space="0" w:color="auto"/>
              <w:right w:val="nil"/>
            </w:tcBorders>
            <w:shd w:val="clear" w:color="000000" w:fill="FFFFFF"/>
          </w:tcPr>
          <w:p w:rsidR="00A53D7D" w:rsidRPr="001763D8" w:rsidRDefault="00A53D7D" w:rsidP="005140B4">
            <w:pPr>
              <w:pStyle w:val="OGTabText"/>
              <w:rPr>
                <w:lang w:eastAsia="en-AU"/>
              </w:rPr>
            </w:pPr>
            <w:r w:rsidRPr="001763D8">
              <w:rPr>
                <w:lang w:eastAsia="en-AU"/>
              </w:rPr>
              <w:t xml:space="preserve">Unplanned/unexpected readmission for paediatric </w:t>
            </w:r>
            <w:r>
              <w:rPr>
                <w:lang w:eastAsia="en-AU"/>
              </w:rPr>
              <w:t>tonsillectomy and adenoidectomy</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2.2</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2.2</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2.2</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2.0</w:t>
            </w:r>
          </w:p>
        </w:tc>
      </w:tr>
      <w:tr w:rsidR="00A53D7D" w:rsidRPr="005E5444" w:rsidTr="0071616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Timeliness</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rPr>
                <w:lang w:eastAsia="en-AU"/>
              </w:rPr>
            </w:pPr>
            <w:r w:rsidRPr="00DC7CDB">
              <w:rPr>
                <w:lang w:eastAsia="en-AU"/>
              </w:rPr>
              <w:t>Non</w:t>
            </w:r>
            <w:r>
              <w:rPr>
                <w:lang w:eastAsia="en-AU"/>
              </w:rPr>
              <w:noBreakHyphen/>
            </w:r>
            <w:r w:rsidRPr="00DC7CDB">
              <w:rPr>
                <w:lang w:eastAsia="en-AU"/>
              </w:rPr>
              <w:t>urgent (Category 3) elective surgery patients admitted within 365 days</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sidRPr="00246D7F">
              <w:rPr>
                <w:lang w:eastAsia="en-AU"/>
              </w:rPr>
              <w:t>94.5</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94.5</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90</w:t>
            </w:r>
          </w:p>
        </w:tc>
      </w:tr>
      <w:tr w:rsidR="00A53D7D" w:rsidRPr="005E5444" w:rsidTr="00716164">
        <w:trPr>
          <w:cantSplit/>
        </w:trPr>
        <w:tc>
          <w:tcPr>
            <w:tcW w:w="3155" w:type="dxa"/>
            <w:tcBorders>
              <w:top w:val="single" w:sz="6" w:space="0" w:color="auto"/>
              <w:left w:val="nil"/>
              <w:right w:val="nil"/>
            </w:tcBorders>
            <w:shd w:val="clear" w:color="000000" w:fill="FFFFFF"/>
          </w:tcPr>
          <w:p w:rsidR="00A53D7D" w:rsidRPr="00DC7CDB" w:rsidRDefault="00A53D7D" w:rsidP="005140B4">
            <w:pPr>
              <w:pStyle w:val="OGTabText"/>
              <w:rPr>
                <w:lang w:eastAsia="en-AU"/>
              </w:rPr>
            </w:pPr>
            <w:r w:rsidRPr="00DC7CDB">
              <w:rPr>
                <w:lang w:eastAsia="en-AU"/>
              </w:rPr>
              <w:t>Semi</w:t>
            </w:r>
            <w:r>
              <w:rPr>
                <w:lang w:eastAsia="en-AU"/>
              </w:rPr>
              <w:noBreakHyphen/>
            </w:r>
            <w:r w:rsidRPr="00DC7CDB">
              <w:rPr>
                <w:lang w:eastAsia="en-AU"/>
              </w:rPr>
              <w:t>urgent (Category 2) elective surgery p</w:t>
            </w:r>
            <w:r>
              <w:rPr>
                <w:lang w:eastAsia="en-AU"/>
              </w:rPr>
              <w:t>atients admitted within 90 days</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sidRPr="009F0C89">
              <w:rPr>
                <w:lang w:eastAsia="en-AU"/>
              </w:rPr>
              <w:t>80</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67</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80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66</w:t>
            </w:r>
          </w:p>
        </w:tc>
      </w:tr>
      <w:tr w:rsidR="00A53D7D" w:rsidRPr="005E5444" w:rsidTr="00716164">
        <w:trPr>
          <w:cantSplit/>
        </w:trPr>
        <w:tc>
          <w:tcPr>
            <w:tcW w:w="7776" w:type="dxa"/>
            <w:gridSpan w:val="6"/>
            <w:tcBorders>
              <w:top w:val="nil"/>
              <w:left w:val="nil"/>
              <w:bottom w:val="single" w:sz="6" w:space="0" w:color="auto"/>
              <w:right w:val="nil"/>
            </w:tcBorders>
            <w:shd w:val="clear" w:color="auto" w:fill="auto"/>
            <w:vAlign w:val="bottom"/>
          </w:tcPr>
          <w:p w:rsidR="00A53D7D" w:rsidRPr="00DC7CDB" w:rsidRDefault="00A53D7D" w:rsidP="005140B4">
            <w:pPr>
              <w:pStyle w:val="OGNotes"/>
            </w:pPr>
            <w:r w:rsidRPr="009F0C89">
              <w:t>The 2013</w:t>
            </w:r>
            <w:r>
              <w:noBreakHyphen/>
            </w:r>
            <w:r w:rsidRPr="009F0C89">
              <w:t xml:space="preserve">14 </w:t>
            </w:r>
            <w:r>
              <w:t>expected outcome</w:t>
            </w:r>
            <w:r w:rsidRPr="009F0C89">
              <w:t xml:space="preserve"> is lower than the 2013</w:t>
            </w:r>
            <w:r>
              <w:noBreakHyphen/>
            </w:r>
            <w:r w:rsidRPr="009F0C89">
              <w:t xml:space="preserve">14 </w:t>
            </w:r>
            <w:r>
              <w:t>target</w:t>
            </w:r>
            <w:r w:rsidRPr="009F0C89">
              <w:t xml:space="preserve"> due to a focus on delivering urgent (Category 1) elective surgery to the community.</w:t>
            </w:r>
          </w:p>
        </w:tc>
      </w:tr>
      <w:tr w:rsidR="00A53D7D" w:rsidRPr="005E5444" w:rsidTr="00716164">
        <w:trPr>
          <w:cantSplit/>
        </w:trPr>
        <w:tc>
          <w:tcPr>
            <w:tcW w:w="3155" w:type="dxa"/>
            <w:tcBorders>
              <w:top w:val="single" w:sz="6" w:space="0" w:color="auto"/>
              <w:left w:val="nil"/>
              <w:bottom w:val="single" w:sz="6" w:space="0" w:color="auto"/>
              <w:right w:val="nil"/>
            </w:tcBorders>
            <w:shd w:val="clear" w:color="000000" w:fill="FFFFFF"/>
          </w:tcPr>
          <w:p w:rsidR="00A53D7D" w:rsidRPr="00DC7CDB" w:rsidRDefault="00A53D7D" w:rsidP="005140B4">
            <w:pPr>
              <w:pStyle w:val="OGTabText"/>
              <w:rPr>
                <w:lang w:eastAsia="en-AU"/>
              </w:rPr>
            </w:pPr>
            <w:r w:rsidRPr="002B5649">
              <w:rPr>
                <w:lang w:eastAsia="en-AU"/>
              </w:rPr>
              <w:t>Urgent (Category 1) elective surg</w:t>
            </w:r>
            <w:r>
              <w:rPr>
                <w:lang w:eastAsia="en-AU"/>
              </w:rPr>
              <w:t>ery patients admitted within 30 </w:t>
            </w:r>
            <w:r w:rsidRPr="002B5649">
              <w:rPr>
                <w:lang w:eastAsia="en-AU"/>
              </w:rPr>
              <w:t>days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1A3582">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C840E4" w:rsidRDefault="00A53D7D" w:rsidP="005140B4">
            <w:pPr>
              <w:pStyle w:val="OGTabText"/>
              <w:jc w:val="right"/>
              <w:rPr>
                <w:lang w:eastAsia="en-AU"/>
              </w:rPr>
            </w:pPr>
            <w:r w:rsidRPr="00C840E4">
              <w:rPr>
                <w:lang w:eastAsia="en-AU"/>
              </w:rPr>
              <w:t>7</w:t>
            </w:r>
            <w:r>
              <w:rPr>
                <w:lang w:eastAsia="en-AU"/>
              </w:rPr>
              <w:t> </w:t>
            </w:r>
            <w:r w:rsidRPr="00C840E4">
              <w:rPr>
                <w:lang w:eastAsia="en-AU"/>
              </w:rPr>
              <w:t>910.9</w:t>
            </w:r>
          </w:p>
        </w:tc>
        <w:tc>
          <w:tcPr>
            <w:tcW w:w="993" w:type="dxa"/>
            <w:tcBorders>
              <w:top w:val="nil"/>
              <w:left w:val="nil"/>
              <w:right w:val="nil"/>
            </w:tcBorders>
            <w:shd w:val="clear" w:color="000000" w:fill="FFFFFF"/>
          </w:tcPr>
          <w:p w:rsidR="00A53D7D" w:rsidRPr="00C840E4" w:rsidRDefault="00A53D7D" w:rsidP="005140B4">
            <w:pPr>
              <w:pStyle w:val="OGTabText"/>
              <w:jc w:val="right"/>
              <w:rPr>
                <w:lang w:eastAsia="en-AU"/>
              </w:rPr>
            </w:pPr>
            <w:r w:rsidRPr="00C840E4">
              <w:rPr>
                <w:lang w:eastAsia="en-AU"/>
              </w:rPr>
              <w:t>7</w:t>
            </w:r>
            <w:r>
              <w:rPr>
                <w:lang w:eastAsia="en-AU"/>
              </w:rPr>
              <w:t> </w:t>
            </w:r>
            <w:r w:rsidRPr="00C840E4">
              <w:rPr>
                <w:lang w:eastAsia="en-AU"/>
              </w:rPr>
              <w:t>551.2</w:t>
            </w:r>
          </w:p>
        </w:tc>
        <w:tc>
          <w:tcPr>
            <w:tcW w:w="907" w:type="dxa"/>
            <w:tcBorders>
              <w:top w:val="nil"/>
              <w:left w:val="nil"/>
              <w:right w:val="nil"/>
            </w:tcBorders>
            <w:shd w:val="clear" w:color="000000" w:fill="FFFFFF"/>
          </w:tcPr>
          <w:p w:rsidR="00A53D7D" w:rsidRPr="00C840E4" w:rsidRDefault="00A53D7D" w:rsidP="005140B4">
            <w:pPr>
              <w:pStyle w:val="OGTabText"/>
              <w:jc w:val="right"/>
              <w:rPr>
                <w:lang w:eastAsia="en-AU"/>
              </w:rPr>
            </w:pPr>
            <w:r w:rsidRPr="00C840E4">
              <w:rPr>
                <w:lang w:eastAsia="en-AU"/>
              </w:rPr>
              <w:t>7</w:t>
            </w:r>
            <w:r>
              <w:rPr>
                <w:lang w:eastAsia="en-AU"/>
              </w:rPr>
              <w:t> </w:t>
            </w:r>
            <w:r w:rsidRPr="00C840E4">
              <w:rPr>
                <w:lang w:eastAsia="en-AU"/>
              </w:rPr>
              <w:t>556.9</w:t>
            </w:r>
          </w:p>
        </w:tc>
        <w:tc>
          <w:tcPr>
            <w:tcW w:w="907" w:type="dxa"/>
            <w:tcBorders>
              <w:top w:val="nil"/>
              <w:left w:val="nil"/>
              <w:right w:val="nil"/>
            </w:tcBorders>
            <w:shd w:val="clear" w:color="000000" w:fill="FFFFFF"/>
          </w:tcPr>
          <w:p w:rsidR="00A53D7D" w:rsidRPr="00C840E4" w:rsidRDefault="00A53D7D" w:rsidP="005140B4">
            <w:pPr>
              <w:pStyle w:val="OGTabText"/>
              <w:jc w:val="right"/>
              <w:rPr>
                <w:lang w:eastAsia="en-AU"/>
              </w:rPr>
            </w:pPr>
            <w:r w:rsidRPr="00C840E4">
              <w:rPr>
                <w:lang w:eastAsia="en-AU"/>
              </w:rPr>
              <w:t>7</w:t>
            </w:r>
            <w:r>
              <w:rPr>
                <w:lang w:eastAsia="en-AU"/>
              </w:rPr>
              <w:t> </w:t>
            </w:r>
            <w:r w:rsidRPr="00C840E4">
              <w:rPr>
                <w:lang w:eastAsia="en-AU"/>
              </w:rPr>
              <w:t>107.9</w:t>
            </w:r>
          </w:p>
        </w:tc>
      </w:tr>
      <w:tr w:rsidR="00A53D7D" w:rsidRPr="005E5444" w:rsidTr="005140B4">
        <w:trPr>
          <w:cantSplit/>
        </w:trPr>
        <w:tc>
          <w:tcPr>
            <w:tcW w:w="7776" w:type="dxa"/>
            <w:gridSpan w:val="6"/>
            <w:tcBorders>
              <w:left w:val="nil"/>
              <w:bottom w:val="single" w:sz="6" w:space="0" w:color="auto"/>
              <w:right w:val="nil"/>
            </w:tcBorders>
            <w:shd w:val="clear" w:color="000000" w:fill="FFFFFF"/>
          </w:tcPr>
          <w:p w:rsidR="00A53D7D" w:rsidRPr="00C840E4" w:rsidRDefault="00A53D7D" w:rsidP="005140B4">
            <w:pPr>
              <w:pStyle w:val="OGNotes"/>
            </w:pPr>
            <w:r w:rsidRPr="002C26DE">
              <w:t>The higher 2014</w:t>
            </w:r>
            <w:r>
              <w:noBreakHyphen/>
            </w:r>
            <w:r w:rsidRPr="002C26DE">
              <w:t xml:space="preserve">15 </w:t>
            </w:r>
            <w:r>
              <w:t>target</w:t>
            </w:r>
            <w:r w:rsidRPr="002C26DE">
              <w:t xml:space="preserve"> reflects funding for implementation of policy initiatives announced in the </w:t>
            </w:r>
            <w:r w:rsidRPr="00946D95">
              <w:rPr>
                <w:i w:val="0"/>
              </w:rPr>
              <w:t>2014</w:t>
            </w:r>
            <w:r>
              <w:rPr>
                <w:i w:val="0"/>
              </w:rPr>
              <w:noBreakHyphen/>
            </w:r>
            <w:r w:rsidRPr="00946D95">
              <w:rPr>
                <w:i w:val="0"/>
              </w:rPr>
              <w:t>15 Budget</w:t>
            </w:r>
            <w:r w:rsidRPr="002C26DE">
              <w:t xml:space="preserve"> </w:t>
            </w:r>
            <w:r w:rsidRPr="005D2419">
              <w:t>and</w:t>
            </w:r>
            <w:r w:rsidRPr="002C26DE">
              <w:t xml:space="preserve"> previous budgets.</w:t>
            </w:r>
          </w:p>
        </w:tc>
      </w:tr>
      <w:tr w:rsidR="00A53D7D" w:rsidRPr="005E5444" w:rsidTr="00716164">
        <w:trPr>
          <w:cantSplit/>
        </w:trPr>
        <w:tc>
          <w:tcPr>
            <w:tcW w:w="7776" w:type="dxa"/>
            <w:gridSpan w:val="6"/>
            <w:tcBorders>
              <w:top w:val="single" w:sz="6" w:space="0" w:color="auto"/>
              <w:left w:val="nil"/>
              <w:right w:val="nil"/>
            </w:tcBorders>
            <w:shd w:val="clear" w:color="auto" w:fill="auto"/>
            <w:vAlign w:val="bottom"/>
            <w:hideMark/>
          </w:tcPr>
          <w:p w:rsidR="00A53D7D" w:rsidRPr="005E5444" w:rsidRDefault="00A53D7D" w:rsidP="005140B4">
            <w:pPr>
              <w:pStyle w:val="OGHeading2"/>
              <w:rPr>
                <w:lang w:eastAsia="en-AU"/>
              </w:rPr>
            </w:pPr>
            <w:r>
              <w:rPr>
                <w:lang w:eastAsia="en-AU"/>
              </w:rPr>
              <w:t>Non</w:t>
            </w:r>
            <w:r>
              <w:rPr>
                <w:lang w:eastAsia="en-AU"/>
              </w:rPr>
              <w:noBreakHyphen/>
              <w:t>admitted Services</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Text"/>
              <w:rPr>
                <w:lang w:eastAsia="en-AU"/>
              </w:rPr>
            </w:pPr>
            <w:r w:rsidRPr="00E27F8B">
              <w:rPr>
                <w:lang w:eastAsia="en-AU"/>
              </w:rPr>
              <w:t>Acute and sub</w:t>
            </w:r>
            <w:r>
              <w:rPr>
                <w:lang w:eastAsia="en-AU"/>
              </w:rPr>
              <w:noBreakHyphen/>
            </w:r>
            <w:r w:rsidRPr="00E27F8B">
              <w:rPr>
                <w:lang w:eastAsia="en-AU"/>
              </w:rPr>
              <w:t>acute services provided at Victorian metropolitan and rural public hospitals. Access to high quality services allows the right care to be delivered at the right time in the right location. Non</w:t>
            </w:r>
            <w:r>
              <w:rPr>
                <w:lang w:eastAsia="en-AU"/>
              </w:rPr>
              <w:noBreakHyphen/>
            </w:r>
            <w:r w:rsidRPr="00E27F8B">
              <w:rPr>
                <w:lang w:eastAsia="en-AU"/>
              </w:rPr>
              <w:t>admitted sub</w:t>
            </w:r>
            <w:r>
              <w:rPr>
                <w:lang w:eastAsia="en-AU"/>
              </w:rPr>
              <w:noBreakHyphen/>
            </w:r>
            <w:r w:rsidRPr="00E27F8B">
              <w:rPr>
                <w:lang w:eastAsia="en-AU"/>
              </w:rPr>
              <w:t>acute services improve consumer access to services closer to home by providing models of integrated community care, which significantly reduce the demand for hospital beds and support the transition from hospital to home in a safe and timely manner. The services improve health outcomes, particu</w:t>
            </w:r>
            <w:r>
              <w:rPr>
                <w:lang w:eastAsia="en-AU"/>
              </w:rPr>
              <w:t>l</w:t>
            </w:r>
            <w:r w:rsidRPr="00E27F8B">
              <w:rPr>
                <w:lang w:eastAsia="en-AU"/>
              </w:rPr>
              <w:t>arly for older people and peopl</w:t>
            </w:r>
            <w:r>
              <w:rPr>
                <w:lang w:eastAsia="en-AU"/>
              </w:rPr>
              <w:t>e with complex care needs.</w:t>
            </w:r>
          </w:p>
        </w:tc>
      </w:tr>
      <w:tr w:rsidR="00A53D7D" w:rsidRPr="005E5444" w:rsidTr="0071616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rPr>
                <w:lang w:eastAsia="en-AU"/>
              </w:rPr>
            </w:pPr>
            <w:r w:rsidRPr="00F36534">
              <w:rPr>
                <w:lang w:eastAsia="en-AU"/>
              </w:rPr>
              <w:t>Completed post</w:t>
            </w:r>
            <w:r>
              <w:rPr>
                <w:lang w:eastAsia="en-AU"/>
              </w:rPr>
              <w:noBreakHyphen/>
            </w:r>
            <w:r w:rsidRPr="00F36534">
              <w:rPr>
                <w:lang w:eastAsia="en-AU"/>
              </w:rPr>
              <w:t>acute episodes</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44 700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44 700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44 700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44 447</w:t>
            </w:r>
          </w:p>
        </w:tc>
      </w:tr>
      <w:tr w:rsidR="00A53D7D" w:rsidRPr="005E5444" w:rsidTr="00716164">
        <w:trPr>
          <w:cantSplit/>
        </w:trPr>
        <w:tc>
          <w:tcPr>
            <w:tcW w:w="3155" w:type="dxa"/>
            <w:tcBorders>
              <w:top w:val="single" w:sz="6" w:space="0" w:color="auto"/>
              <w:left w:val="nil"/>
              <w:right w:val="nil"/>
            </w:tcBorders>
            <w:shd w:val="clear" w:color="000000" w:fill="FFFFFF"/>
          </w:tcPr>
          <w:p w:rsidR="00A53D7D" w:rsidRPr="007C416E" w:rsidRDefault="00A53D7D" w:rsidP="005140B4">
            <w:pPr>
              <w:pStyle w:val="OGTabText"/>
              <w:rPr>
                <w:lang w:eastAsia="en-AU"/>
              </w:rPr>
            </w:pPr>
            <w:r w:rsidRPr="007C416E">
              <w:rPr>
                <w:lang w:eastAsia="en-AU"/>
              </w:rPr>
              <w:t xml:space="preserve">Patients treated in Specialist </w:t>
            </w:r>
            <w:r>
              <w:rPr>
                <w:lang w:eastAsia="en-AU"/>
              </w:rPr>
              <w:t>Outpatient Clinics – unweighted</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number (000)</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1 671</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1 658</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1 643</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1 595</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Notes"/>
            </w:pPr>
            <w:r>
              <w:t>The higher 2014</w:t>
            </w:r>
            <w:r>
              <w:noBreakHyphen/>
              <w:t xml:space="preserve">15 target reflects additional funding announced in the </w:t>
            </w:r>
            <w:r w:rsidRPr="00946D95">
              <w:rPr>
                <w:i w:val="0"/>
              </w:rPr>
              <w:t>2014</w:t>
            </w:r>
            <w:r>
              <w:rPr>
                <w:i w:val="0"/>
              </w:rPr>
              <w:noBreakHyphen/>
            </w:r>
            <w:r w:rsidRPr="00946D95">
              <w:rPr>
                <w:i w:val="0"/>
              </w:rPr>
              <w:t>15 Budget</w:t>
            </w:r>
            <w:r>
              <w:t>.</w:t>
            </w: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E50C08">
              <w:rPr>
                <w:lang w:eastAsia="en-AU"/>
              </w:rPr>
              <w:t>Sub</w:t>
            </w:r>
            <w:r>
              <w:rPr>
                <w:lang w:eastAsia="en-AU"/>
              </w:rPr>
              <w:noBreakHyphen/>
            </w:r>
            <w:r w:rsidRPr="00E50C08">
              <w:rPr>
                <w:lang w:eastAsia="en-AU"/>
              </w:rPr>
              <w:t>acute ambulatory care occasions of service</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sidRPr="00E50C08">
              <w:rPr>
                <w:lang w:eastAsia="en-AU"/>
              </w:rPr>
              <w:t>556</w:t>
            </w:r>
            <w:r>
              <w:rPr>
                <w:lang w:eastAsia="en-AU"/>
              </w:rPr>
              <w:t> </w:t>
            </w:r>
            <w:r w:rsidRPr="00E50C08">
              <w:rPr>
                <w:lang w:eastAsia="en-AU"/>
              </w:rPr>
              <w:t>895</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sidRPr="00E50C08">
              <w:rPr>
                <w:lang w:eastAsia="en-AU"/>
              </w:rPr>
              <w:t>645</w:t>
            </w:r>
            <w:r>
              <w:rPr>
                <w:lang w:eastAsia="en-AU"/>
              </w:rPr>
              <w:t> </w:t>
            </w:r>
            <w:r w:rsidRPr="00E50C08">
              <w:rPr>
                <w:lang w:eastAsia="en-AU"/>
              </w:rPr>
              <w:t>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sidRPr="00E50C08">
              <w:rPr>
                <w:lang w:eastAsia="en-AU"/>
              </w:rPr>
              <w:t>645</w:t>
            </w:r>
            <w:r>
              <w:rPr>
                <w:lang w:eastAsia="en-AU"/>
              </w:rPr>
              <w:t> </w:t>
            </w:r>
            <w:r w:rsidRPr="00E50C08">
              <w:rPr>
                <w:lang w:eastAsia="en-AU"/>
              </w:rPr>
              <w:t>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665 871</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3366F3" w:rsidRDefault="00A53D7D" w:rsidP="005140B4">
            <w:pPr>
              <w:pStyle w:val="OGNotes"/>
            </w:pPr>
            <w:r w:rsidRPr="00246D7F">
              <w:t xml:space="preserve">The </w:t>
            </w:r>
            <w:r>
              <w:t xml:space="preserve">lower </w:t>
            </w:r>
            <w:r w:rsidRPr="00246D7F">
              <w:t>2014</w:t>
            </w:r>
            <w:r>
              <w:noBreakHyphen/>
            </w:r>
            <w:r w:rsidRPr="00246D7F">
              <w:t xml:space="preserve">15 </w:t>
            </w:r>
            <w:r>
              <w:t>target</w:t>
            </w:r>
            <w:r w:rsidRPr="00246D7F">
              <w:t xml:space="preserve"> reflects </w:t>
            </w:r>
            <w:r>
              <w:t>service levels funded through a</w:t>
            </w:r>
            <w:r w:rsidRPr="00246D7F">
              <w:t xml:space="preserve"> National Partnership Agreement. Targets in the previous year reflected funding under the National Partnership Agreement on Improving Public Hospital Services. The Commonwealth has not yet indicated this will be renewed, resulting in lapsing Commonwealth fun</w:t>
            </w:r>
            <w:r>
              <w:t>ding from 1 July 2014.</w:t>
            </w:r>
          </w:p>
        </w:tc>
      </w:tr>
      <w:tr w:rsidR="00A53D7D" w:rsidRPr="005E5444" w:rsidTr="0071616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716164">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rPr>
                <w:lang w:eastAsia="en-AU"/>
              </w:rPr>
            </w:pPr>
            <w:r w:rsidRPr="002970B4">
              <w:rPr>
                <w:lang w:eastAsia="en-AU"/>
              </w:rPr>
              <w:t>Post</w:t>
            </w:r>
            <w:r>
              <w:rPr>
                <w:lang w:eastAsia="en-AU"/>
              </w:rPr>
              <w:noBreakHyphen/>
            </w:r>
            <w:r w:rsidRPr="002970B4">
              <w:rPr>
                <w:lang w:eastAsia="en-AU"/>
              </w:rPr>
              <w:t>acute clients not readmitted to acute hospital</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90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92</w:t>
            </w:r>
          </w:p>
        </w:tc>
      </w:tr>
      <w:tr w:rsidR="00A53D7D" w:rsidRPr="005E5444" w:rsidTr="0071616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Timeliness</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716164">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rPr>
                <w:lang w:eastAsia="en-AU"/>
              </w:rPr>
            </w:pPr>
            <w:r w:rsidRPr="00562761">
              <w:rPr>
                <w:lang w:eastAsia="en-AU"/>
              </w:rPr>
              <w:t>Sub</w:t>
            </w:r>
            <w:r>
              <w:rPr>
                <w:lang w:eastAsia="en-AU"/>
              </w:rPr>
              <w:noBreakHyphen/>
            </w:r>
            <w:r w:rsidRPr="00562761">
              <w:rPr>
                <w:lang w:eastAsia="en-AU"/>
              </w:rPr>
              <w:t>acute ambulatory care service clients contacted within three days of referral</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80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81</w:t>
            </w:r>
          </w:p>
        </w:tc>
      </w:tr>
      <w:tr w:rsidR="00A53D7D" w:rsidRPr="005E5444" w:rsidTr="0071616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562761">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Pr>
                <w:lang w:eastAsia="en-AU"/>
              </w:rPr>
              <w:t>1 </w:t>
            </w:r>
            <w:r w:rsidRPr="002D55F8">
              <w:rPr>
                <w:lang w:eastAsia="en-AU"/>
              </w:rPr>
              <w:t>446.6</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Pr>
                <w:lang w:eastAsia="en-AU"/>
              </w:rPr>
              <w:t>1 </w:t>
            </w:r>
            <w:r w:rsidRPr="002D55F8">
              <w:rPr>
                <w:lang w:eastAsia="en-AU"/>
              </w:rPr>
              <w:t>387.9</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Pr>
                <w:lang w:eastAsia="en-AU"/>
              </w:rPr>
              <w:t>1 </w:t>
            </w:r>
            <w:r w:rsidRPr="002D55F8">
              <w:rPr>
                <w:lang w:eastAsia="en-AU"/>
              </w:rPr>
              <w:t>387.9</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Pr>
                <w:lang w:eastAsia="en-AU"/>
              </w:rPr>
              <w:t>1 </w:t>
            </w:r>
            <w:r w:rsidRPr="002D55F8">
              <w:rPr>
                <w:lang w:eastAsia="en-AU"/>
              </w:rPr>
              <w:t>300.3</w:t>
            </w:r>
          </w:p>
        </w:tc>
      </w:tr>
      <w:tr w:rsidR="00A53D7D" w:rsidRPr="005E5444" w:rsidTr="005140B4">
        <w:trPr>
          <w:cantSplit/>
        </w:trPr>
        <w:tc>
          <w:tcPr>
            <w:tcW w:w="7776" w:type="dxa"/>
            <w:gridSpan w:val="6"/>
            <w:tcBorders>
              <w:left w:val="nil"/>
              <w:bottom w:val="single" w:sz="6" w:space="0" w:color="auto"/>
              <w:right w:val="nil"/>
            </w:tcBorders>
            <w:shd w:val="clear" w:color="000000" w:fill="FFFFFF"/>
          </w:tcPr>
          <w:p w:rsidR="00A53D7D" w:rsidRDefault="00A53D7D" w:rsidP="005140B4">
            <w:pPr>
              <w:pStyle w:val="OGNotes"/>
            </w:pPr>
            <w:r w:rsidRPr="002C26DE">
              <w:t>The higher 2014</w:t>
            </w:r>
            <w:r>
              <w:noBreakHyphen/>
            </w:r>
            <w:r w:rsidRPr="002C26DE">
              <w:t xml:space="preserve">15 </w:t>
            </w:r>
            <w:r>
              <w:t>target</w:t>
            </w:r>
            <w:r w:rsidRPr="002C26DE">
              <w:t xml:space="preserve"> reflects funding for implementation of policy initiatives announced in the </w:t>
            </w:r>
            <w:r w:rsidRPr="00946D95">
              <w:rPr>
                <w:i w:val="0"/>
              </w:rPr>
              <w:t>2014</w:t>
            </w:r>
            <w:r>
              <w:rPr>
                <w:i w:val="0"/>
              </w:rPr>
              <w:noBreakHyphen/>
            </w:r>
            <w:r w:rsidRPr="00946D95">
              <w:rPr>
                <w:i w:val="0"/>
              </w:rPr>
              <w:t>15 Budget</w:t>
            </w:r>
            <w:r>
              <w:t xml:space="preserve"> and previous budgets.</w:t>
            </w:r>
          </w:p>
        </w:tc>
      </w:tr>
      <w:tr w:rsidR="00A53D7D" w:rsidRPr="005E5444" w:rsidTr="00716164">
        <w:trPr>
          <w:cantSplit/>
        </w:trPr>
        <w:tc>
          <w:tcPr>
            <w:tcW w:w="7776" w:type="dxa"/>
            <w:gridSpan w:val="6"/>
            <w:tcBorders>
              <w:top w:val="single" w:sz="6" w:space="0" w:color="auto"/>
              <w:left w:val="nil"/>
              <w:right w:val="nil"/>
            </w:tcBorders>
            <w:shd w:val="clear" w:color="auto" w:fill="auto"/>
            <w:vAlign w:val="bottom"/>
            <w:hideMark/>
          </w:tcPr>
          <w:p w:rsidR="00A53D7D" w:rsidRPr="005E5444" w:rsidRDefault="00A53D7D" w:rsidP="005140B4">
            <w:pPr>
              <w:pStyle w:val="OGHeading2"/>
              <w:keepNext w:val="0"/>
              <w:rPr>
                <w:lang w:eastAsia="en-AU"/>
              </w:rPr>
            </w:pPr>
            <w:r>
              <w:rPr>
                <w:lang w:eastAsia="en-AU"/>
              </w:rPr>
              <w:t>Emergency Services</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Text"/>
              <w:keepNext w:val="0"/>
              <w:rPr>
                <w:lang w:eastAsia="en-AU"/>
              </w:rPr>
            </w:pPr>
            <w:r w:rsidRPr="00F8285A">
              <w:rPr>
                <w:lang w:eastAsia="en-AU"/>
              </w:rPr>
              <w:t>These outputs relate to emergency presentations at reporting hospitals with emergency departments. Th</w:t>
            </w:r>
            <w:r>
              <w:rPr>
                <w:lang w:eastAsia="en-AU"/>
              </w:rPr>
              <w:t xml:space="preserve">ese outputs aim to provide high </w:t>
            </w:r>
            <w:r w:rsidRPr="00F8285A">
              <w:rPr>
                <w:lang w:eastAsia="en-AU"/>
              </w:rPr>
              <w:t xml:space="preserve">quality, accessible </w:t>
            </w:r>
            <w:proofErr w:type="gramStart"/>
            <w:r w:rsidRPr="00F8285A">
              <w:rPr>
                <w:lang w:eastAsia="en-AU"/>
              </w:rPr>
              <w:t>health</w:t>
            </w:r>
            <w:proofErr w:type="gramEnd"/>
            <w:r w:rsidRPr="00F8285A">
              <w:rPr>
                <w:lang w:eastAsia="en-AU"/>
              </w:rPr>
              <w:t xml:space="preserve"> and community services, specifically in the area of improving waiting times for emergency services.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996A1D">
              <w:rPr>
                <w:lang w:eastAsia="en-AU"/>
              </w:rPr>
              <w:t>Emergency presentations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sidRPr="00996A1D">
              <w:rPr>
                <w:lang w:eastAsia="en-AU"/>
              </w:rPr>
              <w:t>number (000)</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1 592</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1 556</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1 574</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1 527</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Notes"/>
            </w:pPr>
            <w:r>
              <w:t>The higher 2014</w:t>
            </w:r>
            <w:r>
              <w:noBreakHyphen/>
              <w:t xml:space="preserve">15 target reflects additional funding announced in the </w:t>
            </w:r>
            <w:r w:rsidRPr="00946D95">
              <w:rPr>
                <w:i w:val="0"/>
              </w:rPr>
              <w:t>2014</w:t>
            </w:r>
            <w:r>
              <w:rPr>
                <w:i w:val="0"/>
              </w:rPr>
              <w:noBreakHyphen/>
            </w:r>
            <w:r w:rsidRPr="00946D95">
              <w:rPr>
                <w:i w:val="0"/>
              </w:rPr>
              <w:t>15 Budget</w:t>
            </w:r>
            <w:r>
              <w:t>.</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keepNext/>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keepNext/>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keepNext/>
              <w:rPr>
                <w:lang w:eastAsia="en-AU"/>
              </w:rPr>
            </w:pP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keepNext/>
              <w:rPr>
                <w:lang w:eastAsia="en-AU"/>
              </w:rPr>
            </w:pPr>
            <w:r w:rsidRPr="000605B7">
              <w:rPr>
                <w:lang w:eastAsia="en-AU"/>
              </w:rPr>
              <w:t>Number of occasions on Hospital Early Warning System (HEWS)</w:t>
            </w:r>
          </w:p>
        </w:tc>
        <w:tc>
          <w:tcPr>
            <w:tcW w:w="907" w:type="dxa"/>
            <w:tcBorders>
              <w:top w:val="nil"/>
              <w:left w:val="nil"/>
              <w:right w:val="nil"/>
            </w:tcBorders>
            <w:shd w:val="clear" w:color="000000" w:fill="FFFFFF"/>
          </w:tcPr>
          <w:p w:rsidR="00A53D7D" w:rsidRPr="005E5444" w:rsidRDefault="00A53D7D" w:rsidP="005140B4">
            <w:pPr>
              <w:pStyle w:val="OGUoM"/>
              <w:keepNext/>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keepNext/>
              <w:rPr>
                <w:lang w:eastAsia="en-AU"/>
              </w:rPr>
            </w:pPr>
            <w:r>
              <w:rPr>
                <w:lang w:eastAsia="en-AU"/>
              </w:rPr>
              <w:t>11 388</w:t>
            </w:r>
          </w:p>
        </w:tc>
        <w:tc>
          <w:tcPr>
            <w:tcW w:w="993" w:type="dxa"/>
            <w:tcBorders>
              <w:top w:val="nil"/>
              <w:left w:val="nil"/>
              <w:right w:val="nil"/>
            </w:tcBorders>
            <w:shd w:val="clear" w:color="000000" w:fill="FFFFFF"/>
          </w:tcPr>
          <w:p w:rsidR="00A53D7D" w:rsidRPr="005E5444" w:rsidRDefault="00A53D7D" w:rsidP="005140B4">
            <w:pPr>
              <w:pStyle w:val="OGTableofFigures"/>
              <w:keepNext/>
              <w:rPr>
                <w:lang w:eastAsia="en-AU"/>
              </w:rPr>
            </w:pPr>
            <w:r>
              <w:rPr>
                <w:lang w:eastAsia="en-AU"/>
              </w:rPr>
              <w:t>4 316</w:t>
            </w:r>
          </w:p>
        </w:tc>
        <w:tc>
          <w:tcPr>
            <w:tcW w:w="907" w:type="dxa"/>
            <w:tcBorders>
              <w:top w:val="nil"/>
              <w:left w:val="nil"/>
              <w:right w:val="nil"/>
            </w:tcBorders>
            <w:shd w:val="clear" w:color="000000" w:fill="FFFFFF"/>
          </w:tcPr>
          <w:p w:rsidR="00A53D7D" w:rsidRPr="005E5444" w:rsidRDefault="00A53D7D" w:rsidP="005140B4">
            <w:pPr>
              <w:pStyle w:val="OGTableofFigures"/>
              <w:keepNext/>
              <w:rPr>
                <w:lang w:eastAsia="en-AU"/>
              </w:rPr>
            </w:pPr>
            <w:r>
              <w:rPr>
                <w:lang w:eastAsia="en-AU"/>
              </w:rPr>
              <w:t>11 388</w:t>
            </w:r>
          </w:p>
        </w:tc>
        <w:tc>
          <w:tcPr>
            <w:tcW w:w="907" w:type="dxa"/>
            <w:tcBorders>
              <w:top w:val="nil"/>
              <w:left w:val="nil"/>
              <w:right w:val="nil"/>
            </w:tcBorders>
            <w:shd w:val="clear" w:color="000000" w:fill="FFFFFF"/>
          </w:tcPr>
          <w:p w:rsidR="00A53D7D" w:rsidRPr="005E5444" w:rsidRDefault="00A53D7D" w:rsidP="005140B4">
            <w:pPr>
              <w:pStyle w:val="OGTableofFigures"/>
              <w:keepNext/>
              <w:rPr>
                <w:lang w:eastAsia="en-AU"/>
              </w:rPr>
            </w:pPr>
            <w:r>
              <w:rPr>
                <w:lang w:eastAsia="en-AU"/>
              </w:rPr>
              <w:t>4 828</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8E3283" w:rsidRDefault="00A53D7D" w:rsidP="005140B4">
            <w:pPr>
              <w:pStyle w:val="OGNotes"/>
            </w:pPr>
            <w:r w:rsidRPr="000605B7">
              <w:t>The 2013</w:t>
            </w:r>
            <w:r>
              <w:noBreakHyphen/>
            </w:r>
            <w:r w:rsidRPr="000605B7">
              <w:t xml:space="preserve">14 </w:t>
            </w:r>
            <w:r>
              <w:t>expected outcome</w:t>
            </w:r>
            <w:r w:rsidRPr="000605B7">
              <w:t xml:space="preserve"> is lower than </w:t>
            </w:r>
            <w:r>
              <w:t xml:space="preserve">the </w:t>
            </w:r>
            <w:r w:rsidRPr="000605B7">
              <w:t>2013</w:t>
            </w:r>
            <w:r>
              <w:noBreakHyphen/>
              <w:t xml:space="preserve">14 target, reflecting the Victorian health system’s capacity to meet emergency department demand on more </w:t>
            </w:r>
            <w:r w:rsidRPr="008E3283">
              <w:t>occasions (62</w:t>
            </w:r>
            <w:r>
              <w:t> per cent more occasions) than anticipated. HEWS is an internal hospital response to increased demand pressure in an emergency department, therefore a lower number of occasions of HEWS relative to the target is a favourable result</w:t>
            </w:r>
            <w:r w:rsidRPr="000605B7">
              <w:t>.</w:t>
            </w:r>
          </w:p>
        </w:tc>
      </w:tr>
      <w:tr w:rsidR="00A53D7D" w:rsidRPr="005E5444" w:rsidTr="00716164">
        <w:trPr>
          <w:cantSplit/>
        </w:trPr>
        <w:tc>
          <w:tcPr>
            <w:tcW w:w="3155" w:type="dxa"/>
            <w:tcBorders>
              <w:top w:val="nil"/>
              <w:left w:val="nil"/>
              <w:right w:val="nil"/>
            </w:tcBorders>
            <w:shd w:val="clear" w:color="000000" w:fill="FFFFFF"/>
          </w:tcPr>
          <w:p w:rsidR="00A53D7D" w:rsidRPr="000605B7" w:rsidRDefault="00A53D7D" w:rsidP="005140B4">
            <w:pPr>
              <w:pStyle w:val="OGTabText"/>
              <w:rPr>
                <w:lang w:eastAsia="en-AU"/>
              </w:rPr>
            </w:pPr>
            <w:r>
              <w:rPr>
                <w:lang w:eastAsia="en-AU"/>
              </w:rPr>
              <w:t>Operating time on HEWS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3.8</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4.2</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0605B7" w:rsidRDefault="00A53D7D" w:rsidP="005140B4">
            <w:pPr>
              <w:pStyle w:val="OGNotes"/>
            </w:pPr>
            <w:r>
              <w:t>The 2013</w:t>
            </w:r>
            <w:r>
              <w:noBreakHyphen/>
            </w:r>
            <w:r w:rsidRPr="00CD0F2A">
              <w:t xml:space="preserve">14 </w:t>
            </w:r>
            <w:r>
              <w:t>expected outcome</w:t>
            </w:r>
            <w:r w:rsidRPr="00CD0F2A">
              <w:t xml:space="preserve"> is lower than the 2013</w:t>
            </w:r>
            <w:r>
              <w:noBreakHyphen/>
            </w:r>
            <w:r w:rsidRPr="00CD0F2A">
              <w:t xml:space="preserve">14 </w:t>
            </w:r>
            <w:r>
              <w:t>target</w:t>
            </w:r>
            <w:r w:rsidRPr="00CD0F2A">
              <w:t>, reflecting the Victorian health system</w:t>
            </w:r>
            <w:r>
              <w:t>’</w:t>
            </w:r>
            <w:r w:rsidRPr="00CD0F2A">
              <w:t xml:space="preserve">s capacity to meet emergency department demand on more </w:t>
            </w:r>
            <w:r w:rsidRPr="008E3283">
              <w:t>occasions (62</w:t>
            </w:r>
            <w:r>
              <w:t> per cent</w:t>
            </w:r>
            <w:r w:rsidRPr="00CD0F2A">
              <w:t xml:space="preserve"> more occasions) than anticipated. HEWS is an internal hospital response to increased demand pressure in an emergency department, therefore a lower number of occasion</w:t>
            </w:r>
            <w:r>
              <w:t>s</w:t>
            </w:r>
            <w:r w:rsidRPr="00CD0F2A">
              <w:t xml:space="preserve"> of HEWS relative to the target is a favourable result</w:t>
            </w:r>
            <w:r>
              <w:t>.</w:t>
            </w:r>
          </w:p>
        </w:tc>
      </w:tr>
      <w:tr w:rsidR="00A53D7D" w:rsidRPr="005E5444" w:rsidTr="00716164">
        <w:trPr>
          <w:cantSplit/>
        </w:trPr>
        <w:tc>
          <w:tcPr>
            <w:tcW w:w="3155" w:type="dxa"/>
            <w:tcBorders>
              <w:top w:val="nil"/>
              <w:left w:val="nil"/>
              <w:right w:val="nil"/>
            </w:tcBorders>
            <w:shd w:val="clear" w:color="000000" w:fill="FFFFFF"/>
          </w:tcPr>
          <w:p w:rsidR="00A53D7D" w:rsidRPr="000605B7" w:rsidRDefault="00A53D7D" w:rsidP="005140B4">
            <w:pPr>
              <w:pStyle w:val="OGTabText"/>
              <w:rPr>
                <w:lang w:eastAsia="en-AU"/>
              </w:rPr>
            </w:pPr>
            <w:r>
              <w:rPr>
                <w:lang w:eastAsia="en-AU"/>
              </w:rPr>
              <w:t>Time on hospital bypass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3</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1.8</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0605B7" w:rsidRDefault="00A53D7D" w:rsidP="005140B4">
            <w:pPr>
              <w:pStyle w:val="OGNotes"/>
            </w:pPr>
            <w:r w:rsidRPr="000605B7">
              <w:t>The 2013</w:t>
            </w:r>
            <w:r>
              <w:noBreakHyphen/>
            </w:r>
            <w:r w:rsidRPr="000605B7">
              <w:t xml:space="preserve">14 </w:t>
            </w:r>
            <w:r>
              <w:t>expected outcome</w:t>
            </w:r>
            <w:r w:rsidRPr="000605B7">
              <w:t xml:space="preserve"> is lower than the 2013</w:t>
            </w:r>
            <w:r>
              <w:noBreakHyphen/>
            </w:r>
            <w:r w:rsidRPr="000605B7">
              <w:t xml:space="preserve">14 </w:t>
            </w:r>
            <w:r>
              <w:t>target reflecting the Victorian health system’s ability to meet demand for patients arriving by ambulance. A lower percentage time on hospital bypass relative to the target is a favourable result.</w:t>
            </w:r>
          </w:p>
        </w:tc>
      </w:tr>
      <w:tr w:rsidR="00A53D7D" w:rsidRPr="005E5444" w:rsidTr="0071616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Timeliness</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tcPr>
          <w:p w:rsidR="00A53D7D" w:rsidRPr="0079789B" w:rsidRDefault="00A53D7D" w:rsidP="005140B4">
            <w:pPr>
              <w:pStyle w:val="OGTabText"/>
            </w:pPr>
            <w:r w:rsidRPr="0079789B">
              <w:t>Emergency Category 1 treated immediately</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sidRPr="0079789B">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r>
      <w:tr w:rsidR="00A53D7D" w:rsidRPr="005E5444" w:rsidTr="00716164">
        <w:trPr>
          <w:cantSplit/>
        </w:trPr>
        <w:tc>
          <w:tcPr>
            <w:tcW w:w="3155" w:type="dxa"/>
            <w:tcBorders>
              <w:top w:val="single" w:sz="6" w:space="0" w:color="auto"/>
              <w:left w:val="nil"/>
              <w:right w:val="nil"/>
            </w:tcBorders>
            <w:shd w:val="clear" w:color="000000" w:fill="FFFFFF"/>
          </w:tcPr>
          <w:p w:rsidR="00A53D7D" w:rsidRPr="0079789B" w:rsidRDefault="00A53D7D" w:rsidP="005140B4">
            <w:pPr>
              <w:pStyle w:val="OGTabText"/>
              <w:rPr>
                <w:lang w:eastAsia="en-AU"/>
              </w:rPr>
            </w:pPr>
            <w:r w:rsidRPr="0079789B">
              <w:rPr>
                <w:lang w:eastAsia="en-AU"/>
              </w:rPr>
              <w:t>Emergen</w:t>
            </w:r>
            <w:r>
              <w:rPr>
                <w:lang w:eastAsia="en-AU"/>
              </w:rPr>
              <w:t>cy patients treated within time</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80</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74</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80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73</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Notes"/>
            </w:pPr>
            <w:r w:rsidRPr="0079789B">
              <w:t>The 2013</w:t>
            </w:r>
            <w:r>
              <w:noBreakHyphen/>
            </w:r>
            <w:r w:rsidRPr="0079789B">
              <w:t xml:space="preserve">14 </w:t>
            </w:r>
            <w:r>
              <w:t>expected outcome</w:t>
            </w:r>
            <w:r w:rsidRPr="0079789B">
              <w:t xml:space="preserve"> is lower than</w:t>
            </w:r>
            <w:r>
              <w:t xml:space="preserve"> the</w:t>
            </w:r>
            <w:r w:rsidRPr="0079789B">
              <w:t xml:space="preserve"> 2013</w:t>
            </w:r>
            <w:r>
              <w:noBreakHyphen/>
            </w:r>
            <w:r w:rsidRPr="0079789B">
              <w:t xml:space="preserve">14 </w:t>
            </w:r>
            <w:r>
              <w:t>target</w:t>
            </w:r>
            <w:r w:rsidRPr="0079789B">
              <w:t>, however there continues to be a higher volume of patients</w:t>
            </w:r>
            <w:r>
              <w:t xml:space="preserve"> presenting in emergency departments,</w:t>
            </w:r>
            <w:r w:rsidRPr="0079789B">
              <w:t xml:space="preserve"> treated within time in comparison with the previous year.</w:t>
            </w:r>
            <w:r>
              <w:t xml:space="preserve"> Changes relating to models of care and redesign within emergency departments are underway to improve patient access.</w:t>
            </w:r>
          </w:p>
        </w:tc>
      </w:tr>
      <w:tr w:rsidR="00A53D7D" w:rsidRPr="005E5444" w:rsidTr="00716164">
        <w:trPr>
          <w:cantSplit/>
        </w:trPr>
        <w:tc>
          <w:tcPr>
            <w:tcW w:w="3155" w:type="dxa"/>
            <w:tcBorders>
              <w:top w:val="nil"/>
              <w:left w:val="nil"/>
              <w:right w:val="nil"/>
            </w:tcBorders>
            <w:shd w:val="clear" w:color="000000" w:fill="FFFFFF"/>
          </w:tcPr>
          <w:p w:rsidR="00A53D7D" w:rsidRPr="0079789B" w:rsidRDefault="00A53D7D" w:rsidP="005140B4">
            <w:pPr>
              <w:pStyle w:val="OGTabText"/>
              <w:rPr>
                <w:lang w:eastAsia="en-AU"/>
              </w:rPr>
            </w:pPr>
            <w:r w:rsidRPr="0079789B">
              <w:rPr>
                <w:lang w:eastAsia="en-AU"/>
              </w:rPr>
              <w:t xml:space="preserve">Emergency patients with a length </w:t>
            </w:r>
            <w:r>
              <w:rPr>
                <w:lang w:eastAsia="en-AU"/>
              </w:rPr>
              <w:t>of stay of less than four hours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75</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68</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75</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66</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79789B" w:rsidRDefault="00A53D7D" w:rsidP="005140B4">
            <w:pPr>
              <w:pStyle w:val="OGNotes"/>
            </w:pPr>
            <w:r>
              <w:t>The 2013</w:t>
            </w:r>
            <w:r>
              <w:noBreakHyphen/>
              <w:t>14 expected outcome is lower than the 2013</w:t>
            </w:r>
            <w:r>
              <w:noBreakHyphen/>
              <w:t>14 target, however there continues to be higher volume of patients with a length of stay of less than four hours. Changes relating to models of care and redesign within emergency departments are underway to improve patient access.</w:t>
            </w:r>
          </w:p>
        </w:tc>
      </w:tr>
      <w:tr w:rsidR="00A53D7D" w:rsidRPr="005E5444" w:rsidTr="00716164">
        <w:trPr>
          <w:cantSplit/>
        </w:trPr>
        <w:tc>
          <w:tcPr>
            <w:tcW w:w="3155" w:type="dxa"/>
            <w:tcBorders>
              <w:top w:val="nil"/>
              <w:left w:val="nil"/>
              <w:right w:val="nil"/>
            </w:tcBorders>
            <w:shd w:val="clear" w:color="000000" w:fill="FFFFFF"/>
          </w:tcPr>
          <w:p w:rsidR="00A53D7D" w:rsidRPr="00C76DB1" w:rsidRDefault="00A53D7D" w:rsidP="005140B4">
            <w:pPr>
              <w:pStyle w:val="OGTabText"/>
            </w:pPr>
            <w:r w:rsidRPr="00C76DB1">
              <w:rPr>
                <w:lang w:eastAsia="en-AU"/>
              </w:rPr>
              <w:t>Proportion of ambulance patient transfers within 40 minutes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90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84</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77</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C76DB1" w:rsidRDefault="00A53D7D" w:rsidP="005140B4">
            <w:pPr>
              <w:pStyle w:val="OGNotes"/>
            </w:pPr>
            <w:r w:rsidRPr="003C7806">
              <w:t>The 2013</w:t>
            </w:r>
            <w:r>
              <w:noBreakHyphen/>
            </w:r>
            <w:r w:rsidRPr="003C7806">
              <w:t xml:space="preserve">14 </w:t>
            </w:r>
            <w:r>
              <w:t>expected outcome</w:t>
            </w:r>
            <w:r w:rsidRPr="003C7806">
              <w:t xml:space="preserve"> is an improvement on the 2012</w:t>
            </w:r>
            <w:r>
              <w:noBreakHyphen/>
            </w:r>
            <w:r w:rsidRPr="003C7806">
              <w:t>13 Actual as it reflects in part the implementation of the Ambulance Transfer Taskforce recommendations by both health services and Ambulance Victoria.</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95541F">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sidRPr="002D55F8">
              <w:rPr>
                <w:lang w:eastAsia="en-AU"/>
              </w:rPr>
              <w:t>622.3</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604.2</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604.2</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569.7</w:t>
            </w:r>
          </w:p>
        </w:tc>
      </w:tr>
      <w:tr w:rsidR="00A53D7D" w:rsidRPr="005E5444" w:rsidTr="005140B4">
        <w:trPr>
          <w:cantSplit/>
        </w:trPr>
        <w:tc>
          <w:tcPr>
            <w:tcW w:w="7776" w:type="dxa"/>
            <w:gridSpan w:val="6"/>
            <w:tcBorders>
              <w:left w:val="nil"/>
              <w:bottom w:val="single" w:sz="6" w:space="0" w:color="auto"/>
              <w:right w:val="nil"/>
            </w:tcBorders>
            <w:shd w:val="clear" w:color="000000" w:fill="FFFFFF"/>
          </w:tcPr>
          <w:p w:rsidR="00A53D7D" w:rsidRPr="002D55F8" w:rsidRDefault="00A53D7D" w:rsidP="005140B4">
            <w:pPr>
              <w:pStyle w:val="OGNotes"/>
            </w:pPr>
            <w:r w:rsidRPr="003C7806">
              <w:t>The higher 2014</w:t>
            </w:r>
            <w:r>
              <w:noBreakHyphen/>
            </w:r>
            <w:r w:rsidRPr="003C7806">
              <w:t xml:space="preserve">15 </w:t>
            </w:r>
            <w:r>
              <w:t>target</w:t>
            </w:r>
            <w:r w:rsidRPr="003C7806">
              <w:t xml:space="preserve"> reflects funding for implementation of policy initiatives announced in the </w:t>
            </w:r>
            <w:r w:rsidRPr="009816B5">
              <w:rPr>
                <w:i w:val="0"/>
              </w:rPr>
              <w:t>2014</w:t>
            </w:r>
            <w:r>
              <w:rPr>
                <w:i w:val="0"/>
              </w:rPr>
              <w:noBreakHyphen/>
            </w:r>
            <w:r w:rsidRPr="009816B5">
              <w:rPr>
                <w:i w:val="0"/>
              </w:rPr>
              <w:t>15 Budget</w:t>
            </w:r>
            <w:r w:rsidRPr="003C7806">
              <w:t xml:space="preserve"> and previo</w:t>
            </w:r>
            <w:r>
              <w:t>us budgets.</w:t>
            </w:r>
          </w:p>
        </w:tc>
      </w:tr>
      <w:tr w:rsidR="00A53D7D" w:rsidRPr="005E5444" w:rsidTr="00716164">
        <w:trPr>
          <w:cantSplit/>
        </w:trPr>
        <w:tc>
          <w:tcPr>
            <w:tcW w:w="7776" w:type="dxa"/>
            <w:gridSpan w:val="6"/>
            <w:tcBorders>
              <w:top w:val="single" w:sz="6" w:space="0" w:color="auto"/>
              <w:left w:val="nil"/>
              <w:right w:val="nil"/>
            </w:tcBorders>
            <w:shd w:val="clear" w:color="auto" w:fill="auto"/>
            <w:vAlign w:val="bottom"/>
          </w:tcPr>
          <w:p w:rsidR="00A53D7D" w:rsidRPr="005E5444" w:rsidRDefault="00A53D7D" w:rsidP="005140B4">
            <w:pPr>
              <w:pStyle w:val="OGHeading2"/>
              <w:rPr>
                <w:lang w:eastAsia="en-AU"/>
              </w:rPr>
            </w:pPr>
            <w:r w:rsidRPr="0097124C">
              <w:rPr>
                <w:lang w:eastAsia="en-AU"/>
              </w:rPr>
              <w:t>Acute Training and Development</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rPr>
                <w:lang w:eastAsia="en-AU"/>
              </w:rPr>
            </w:pPr>
            <w:r w:rsidRPr="0097124C">
              <w:rPr>
                <w:lang w:eastAsia="en-AU"/>
              </w:rPr>
              <w:t>Provision of grants to hospitals for the training and accreditation of health workers. These outputs aim to provide career opportunities and contribute towards a stable and accredited workforce in the health sector in Victoria. This is consist</w:t>
            </w:r>
            <w:r>
              <w:rPr>
                <w:lang w:eastAsia="en-AU"/>
              </w:rPr>
              <w:t>ent with the Government commit</w:t>
            </w:r>
            <w:r w:rsidRPr="0097124C">
              <w:rPr>
                <w:lang w:eastAsia="en-AU"/>
              </w:rPr>
              <w:t>ment to increasing the skilled medical workforce.</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97124C">
              <w:rPr>
                <w:lang w:eastAsia="en-AU"/>
              </w:rPr>
              <w:t>Clinical placement student days for medicine, nursing and allied health</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993 960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Notes"/>
            </w:pPr>
            <w:r w:rsidRPr="0097124C">
              <w:t>New performance measure for 2014</w:t>
            </w:r>
            <w:r>
              <w:noBreakHyphen/>
              <w:t>15 to reflect Government</w:t>
            </w:r>
            <w:r w:rsidRPr="0097124C">
              <w:t xml:space="preserve"> priorities to expand service, </w:t>
            </w:r>
            <w:proofErr w:type="gramStart"/>
            <w:r w:rsidRPr="0097124C">
              <w:t>workforce</w:t>
            </w:r>
            <w:proofErr w:type="gramEnd"/>
            <w:r w:rsidRPr="0097124C">
              <w:t xml:space="preserve"> and system capacity.</w:t>
            </w:r>
          </w:p>
        </w:tc>
      </w:tr>
      <w:tr w:rsidR="00A53D7D" w:rsidRPr="005E5444" w:rsidTr="00716164">
        <w:trPr>
          <w:cantSplit/>
        </w:trPr>
        <w:tc>
          <w:tcPr>
            <w:tcW w:w="3155" w:type="dxa"/>
            <w:tcBorders>
              <w:top w:val="nil"/>
              <w:left w:val="nil"/>
              <w:right w:val="nil"/>
            </w:tcBorders>
            <w:shd w:val="clear" w:color="000000" w:fill="FFFFFF"/>
          </w:tcPr>
          <w:p w:rsidR="00A53D7D" w:rsidRPr="0097124C" w:rsidRDefault="00A53D7D" w:rsidP="005140B4">
            <w:pPr>
              <w:pStyle w:val="OGTabText"/>
              <w:rPr>
                <w:lang w:eastAsia="en-AU"/>
              </w:rPr>
            </w:pPr>
            <w:r w:rsidRPr="0097124C">
              <w:rPr>
                <w:lang w:eastAsia="en-AU"/>
              </w:rPr>
              <w:t>Number of filled rural gen</w:t>
            </w:r>
            <w:r>
              <w:rPr>
                <w:lang w:eastAsia="en-AU"/>
              </w:rPr>
              <w:t>eralist GP procedural positions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11</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97124C" w:rsidRDefault="00A53D7D" w:rsidP="005140B4">
            <w:pPr>
              <w:pStyle w:val="OGNotes"/>
            </w:pPr>
            <w:r w:rsidRPr="003C7806">
              <w:t>N</w:t>
            </w:r>
            <w:r>
              <w:t>ew performance measure for 2014</w:t>
            </w:r>
            <w:r>
              <w:noBreakHyphen/>
            </w:r>
            <w:r w:rsidRPr="003C7806">
              <w:t>15 to reflect Government priorities and election commitments regarding rural generalist training positions.</w:t>
            </w:r>
          </w:p>
        </w:tc>
      </w:tr>
      <w:tr w:rsidR="00A53D7D" w:rsidRPr="005E5444" w:rsidTr="00716164">
        <w:trPr>
          <w:cantSplit/>
        </w:trPr>
        <w:tc>
          <w:tcPr>
            <w:tcW w:w="3155" w:type="dxa"/>
            <w:tcBorders>
              <w:top w:val="nil"/>
              <w:left w:val="nil"/>
              <w:right w:val="nil"/>
            </w:tcBorders>
            <w:shd w:val="clear" w:color="000000" w:fill="FFFFFF"/>
          </w:tcPr>
          <w:p w:rsidR="00A53D7D" w:rsidRPr="00C14E55" w:rsidRDefault="00A53D7D" w:rsidP="005140B4">
            <w:pPr>
              <w:pStyle w:val="OGTabText"/>
              <w:rPr>
                <w:lang w:eastAsia="en-AU"/>
              </w:rPr>
            </w:pPr>
            <w:r w:rsidRPr="00C14E55">
              <w:rPr>
                <w:lang w:eastAsia="en-AU"/>
              </w:rPr>
              <w:t>Percentage of public health services utilising the Best Practice Clinical Le</w:t>
            </w:r>
            <w:r>
              <w:rPr>
                <w:lang w:eastAsia="en-AU"/>
              </w:rPr>
              <w:t>arning Environment (BPCLE) tool</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80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r>
      <w:tr w:rsidR="00A53D7D" w:rsidRPr="005E5444" w:rsidTr="00716164">
        <w:trPr>
          <w:cantSplit/>
        </w:trPr>
        <w:tc>
          <w:tcPr>
            <w:tcW w:w="7776" w:type="dxa"/>
            <w:gridSpan w:val="6"/>
            <w:tcBorders>
              <w:top w:val="nil"/>
              <w:left w:val="nil"/>
              <w:bottom w:val="single" w:sz="6" w:space="0" w:color="auto"/>
              <w:right w:val="nil"/>
            </w:tcBorders>
            <w:shd w:val="clear" w:color="auto" w:fill="auto"/>
            <w:vAlign w:val="bottom"/>
          </w:tcPr>
          <w:p w:rsidR="00A53D7D" w:rsidRPr="00C14E55" w:rsidRDefault="00A53D7D" w:rsidP="005140B4">
            <w:pPr>
              <w:pStyle w:val="OGNotes"/>
            </w:pPr>
            <w:r w:rsidRPr="003C7806">
              <w:t>N</w:t>
            </w:r>
            <w:r>
              <w:t>ew performance measure for 2014</w:t>
            </w:r>
            <w:r>
              <w:noBreakHyphen/>
            </w:r>
            <w:r w:rsidRPr="003C7806">
              <w:t>15 to reflect Government priorities regarding consistency and excellence in clinical education and training, which are being delivered under the People in Health initiative.</w:t>
            </w:r>
          </w:p>
        </w:tc>
      </w:tr>
      <w:tr w:rsidR="00A53D7D" w:rsidRPr="005E5444" w:rsidTr="00716164">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C14E55">
              <w:rPr>
                <w:lang w:eastAsia="en-AU"/>
              </w:rPr>
              <w:t>Post graduate nursing places at Diploma and Certificate level</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832</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832</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832</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832</w:t>
            </w:r>
          </w:p>
        </w:tc>
      </w:tr>
      <w:tr w:rsidR="00A53D7D" w:rsidRPr="005E5444" w:rsidTr="00716164">
        <w:trPr>
          <w:cantSplit/>
        </w:trPr>
        <w:tc>
          <w:tcPr>
            <w:tcW w:w="3155" w:type="dxa"/>
            <w:tcBorders>
              <w:top w:val="single" w:sz="6" w:space="0" w:color="auto"/>
              <w:left w:val="nil"/>
              <w:right w:val="nil"/>
            </w:tcBorders>
            <w:shd w:val="clear" w:color="000000" w:fill="FFFFFF"/>
          </w:tcPr>
          <w:p w:rsidR="00A53D7D" w:rsidRPr="005E5444" w:rsidRDefault="00A53D7D" w:rsidP="005140B4">
            <w:pPr>
              <w:pStyle w:val="OGTabText"/>
              <w:rPr>
                <w:lang w:eastAsia="en-AU"/>
              </w:rPr>
            </w:pPr>
            <w:r w:rsidRPr="00C14E55">
              <w:rPr>
                <w:lang w:eastAsia="en-AU"/>
              </w:rPr>
              <w:t>Total FTE (early graduate) allied health positions in public system</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716</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684</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684</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734</w:t>
            </w:r>
          </w:p>
        </w:tc>
      </w:tr>
      <w:tr w:rsidR="00A53D7D" w:rsidRPr="005E5444" w:rsidTr="00716164">
        <w:trPr>
          <w:cantSplit/>
        </w:trPr>
        <w:tc>
          <w:tcPr>
            <w:tcW w:w="7776" w:type="dxa"/>
            <w:gridSpan w:val="6"/>
            <w:tcBorders>
              <w:top w:val="nil"/>
              <w:left w:val="nil"/>
              <w:bottom w:val="single" w:sz="6" w:space="0" w:color="auto"/>
              <w:right w:val="nil"/>
            </w:tcBorders>
            <w:shd w:val="clear" w:color="auto" w:fill="auto"/>
            <w:vAlign w:val="bottom"/>
          </w:tcPr>
          <w:p w:rsidR="00A53D7D" w:rsidRPr="00C14E55" w:rsidRDefault="00A53D7D" w:rsidP="005140B4">
            <w:pPr>
              <w:pStyle w:val="OGNotes"/>
            </w:pPr>
            <w:r>
              <w:t>The higher 2014</w:t>
            </w:r>
            <w:r>
              <w:noBreakHyphen/>
              <w:t xml:space="preserve">15 target reflects additional funding announced in the </w:t>
            </w:r>
            <w:r w:rsidRPr="001E23FC">
              <w:rPr>
                <w:i w:val="0"/>
              </w:rPr>
              <w:t>2013</w:t>
            </w:r>
            <w:r>
              <w:rPr>
                <w:i w:val="0"/>
              </w:rPr>
              <w:noBreakHyphen/>
            </w:r>
            <w:r w:rsidRPr="001E23FC">
              <w:rPr>
                <w:i w:val="0"/>
              </w:rPr>
              <w:t>14 Budget</w:t>
            </w:r>
            <w:r>
              <w:t xml:space="preserve"> – Training the Future Workforce.</w:t>
            </w:r>
          </w:p>
        </w:tc>
      </w:tr>
      <w:tr w:rsidR="00A53D7D" w:rsidRPr="005E5444" w:rsidTr="00716164">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4A72F6">
              <w:rPr>
                <w:lang w:eastAsia="en-AU"/>
              </w:rPr>
              <w:t>Total FTE (early graduate) nursing positions in public system</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1 455</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1 455</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1 455</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1 318</w:t>
            </w:r>
          </w:p>
        </w:tc>
      </w:tr>
      <w:tr w:rsidR="00A53D7D" w:rsidRPr="005E5444" w:rsidTr="005140B4">
        <w:trPr>
          <w:cantSplit/>
        </w:trPr>
        <w:tc>
          <w:tcPr>
            <w:tcW w:w="3155" w:type="dxa"/>
            <w:tcBorders>
              <w:top w:val="single" w:sz="6" w:space="0" w:color="auto"/>
              <w:left w:val="nil"/>
              <w:bottom w:val="nil"/>
              <w:right w:val="nil"/>
            </w:tcBorders>
            <w:shd w:val="clear" w:color="000000" w:fill="FFFFFF"/>
          </w:tcPr>
          <w:p w:rsidR="00A53D7D" w:rsidRPr="004A72F6" w:rsidRDefault="00A53D7D" w:rsidP="005140B4">
            <w:pPr>
              <w:pStyle w:val="OGTabText"/>
              <w:rPr>
                <w:lang w:eastAsia="en-AU"/>
              </w:rPr>
            </w:pPr>
            <w:r w:rsidRPr="004A72F6">
              <w:rPr>
                <w:lang w:eastAsia="en-AU"/>
              </w:rPr>
              <w:t>Total full time equivalent (FTE) (early graduate) medical po</w:t>
            </w:r>
            <w:r>
              <w:rPr>
                <w:lang w:eastAsia="en-AU"/>
              </w:rPr>
              <w:t>sitions in public system</w:t>
            </w:r>
          </w:p>
        </w:tc>
        <w:tc>
          <w:tcPr>
            <w:tcW w:w="907" w:type="dxa"/>
            <w:tcBorders>
              <w:top w:val="single" w:sz="6" w:space="0" w:color="auto"/>
              <w:left w:val="nil"/>
              <w:bottom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nil"/>
              <w:right w:val="nil"/>
            </w:tcBorders>
            <w:shd w:val="clear" w:color="auto" w:fill="D9D9D9"/>
          </w:tcPr>
          <w:p w:rsidR="00A53D7D" w:rsidRPr="005E5444" w:rsidRDefault="00A53D7D" w:rsidP="005140B4">
            <w:pPr>
              <w:pStyle w:val="OGTableofFigures"/>
              <w:rPr>
                <w:lang w:eastAsia="en-AU"/>
              </w:rPr>
            </w:pPr>
            <w:r>
              <w:rPr>
                <w:lang w:eastAsia="en-AU"/>
              </w:rPr>
              <w:t>1 413.5</w:t>
            </w:r>
          </w:p>
        </w:tc>
        <w:tc>
          <w:tcPr>
            <w:tcW w:w="993" w:type="dxa"/>
            <w:tcBorders>
              <w:top w:val="single" w:sz="6" w:space="0" w:color="auto"/>
              <w:left w:val="nil"/>
              <w:bottom w:val="nil"/>
              <w:right w:val="nil"/>
            </w:tcBorders>
            <w:shd w:val="clear" w:color="000000" w:fill="FFFFFF"/>
          </w:tcPr>
          <w:p w:rsidR="00A53D7D" w:rsidRPr="005E5444" w:rsidRDefault="00A53D7D" w:rsidP="005140B4">
            <w:pPr>
              <w:pStyle w:val="OGTableofFigures"/>
              <w:rPr>
                <w:lang w:eastAsia="en-AU"/>
              </w:rPr>
            </w:pPr>
            <w:r>
              <w:rPr>
                <w:lang w:eastAsia="en-AU"/>
              </w:rPr>
              <w:t>1 392</w:t>
            </w:r>
          </w:p>
        </w:tc>
        <w:tc>
          <w:tcPr>
            <w:tcW w:w="907" w:type="dxa"/>
            <w:tcBorders>
              <w:top w:val="single" w:sz="6" w:space="0" w:color="auto"/>
              <w:left w:val="nil"/>
              <w:bottom w:val="nil"/>
              <w:right w:val="nil"/>
            </w:tcBorders>
            <w:shd w:val="clear" w:color="000000" w:fill="FFFFFF"/>
          </w:tcPr>
          <w:p w:rsidR="00A53D7D" w:rsidRPr="005E5444" w:rsidRDefault="00A53D7D" w:rsidP="005140B4">
            <w:pPr>
              <w:pStyle w:val="OGTableofFigures"/>
              <w:rPr>
                <w:lang w:eastAsia="en-AU"/>
              </w:rPr>
            </w:pPr>
            <w:r>
              <w:rPr>
                <w:lang w:eastAsia="en-AU"/>
              </w:rPr>
              <w:t>1 390</w:t>
            </w:r>
          </w:p>
        </w:tc>
        <w:tc>
          <w:tcPr>
            <w:tcW w:w="907" w:type="dxa"/>
            <w:tcBorders>
              <w:top w:val="single" w:sz="6" w:space="0" w:color="auto"/>
              <w:left w:val="nil"/>
              <w:bottom w:val="nil"/>
              <w:right w:val="nil"/>
            </w:tcBorders>
            <w:shd w:val="clear" w:color="000000" w:fill="FFFFFF"/>
          </w:tcPr>
          <w:p w:rsidR="00A53D7D" w:rsidRPr="005E5444" w:rsidRDefault="00A53D7D" w:rsidP="005140B4">
            <w:pPr>
              <w:pStyle w:val="OGTableofFigures"/>
              <w:rPr>
                <w:lang w:eastAsia="en-AU"/>
              </w:rPr>
            </w:pPr>
            <w:r>
              <w:rPr>
                <w:lang w:eastAsia="en-AU"/>
              </w:rPr>
              <w:t>1 298</w:t>
            </w:r>
          </w:p>
        </w:tc>
      </w:tr>
      <w:tr w:rsidR="00A53D7D" w:rsidRPr="005E5444" w:rsidTr="00716164">
        <w:trPr>
          <w:cantSplit/>
        </w:trPr>
        <w:tc>
          <w:tcPr>
            <w:tcW w:w="7776" w:type="dxa"/>
            <w:gridSpan w:val="6"/>
            <w:tcBorders>
              <w:top w:val="nil"/>
              <w:left w:val="nil"/>
              <w:bottom w:val="single" w:sz="6" w:space="0" w:color="auto"/>
              <w:right w:val="nil"/>
            </w:tcBorders>
            <w:shd w:val="clear" w:color="auto" w:fill="auto"/>
            <w:vAlign w:val="bottom"/>
          </w:tcPr>
          <w:p w:rsidR="00A53D7D" w:rsidRPr="004A72F6" w:rsidRDefault="00A53D7D" w:rsidP="005140B4">
            <w:pPr>
              <w:pStyle w:val="OGNotes"/>
            </w:pPr>
            <w:r>
              <w:t>The higher 2014</w:t>
            </w:r>
            <w:r>
              <w:noBreakHyphen/>
              <w:t xml:space="preserve">15 target reflects additional funding announced in the </w:t>
            </w:r>
            <w:r w:rsidRPr="001E23FC">
              <w:rPr>
                <w:i w:val="0"/>
              </w:rPr>
              <w:t>2013</w:t>
            </w:r>
            <w:r>
              <w:rPr>
                <w:i w:val="0"/>
              </w:rPr>
              <w:noBreakHyphen/>
            </w:r>
            <w:r w:rsidRPr="001E23FC">
              <w:rPr>
                <w:i w:val="0"/>
              </w:rPr>
              <w:t>14 Budget</w:t>
            </w:r>
            <w:r>
              <w:t xml:space="preserve"> – Training the Future Workforce.</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004DCE">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sidRPr="002D55F8">
              <w:rPr>
                <w:lang w:eastAsia="en-AU"/>
              </w:rPr>
              <w:t>295.5</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287.0</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287.0</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266.3</w:t>
            </w:r>
          </w:p>
        </w:tc>
      </w:tr>
      <w:tr w:rsidR="00A53D7D" w:rsidRPr="005E5444" w:rsidTr="005140B4">
        <w:trPr>
          <w:cantSplit/>
        </w:trPr>
        <w:tc>
          <w:tcPr>
            <w:tcW w:w="7776" w:type="dxa"/>
            <w:gridSpan w:val="6"/>
            <w:tcBorders>
              <w:left w:val="nil"/>
              <w:bottom w:val="single" w:sz="12" w:space="0" w:color="auto"/>
              <w:right w:val="nil"/>
            </w:tcBorders>
            <w:shd w:val="clear" w:color="000000" w:fill="FFFFFF"/>
          </w:tcPr>
          <w:p w:rsidR="00A53D7D" w:rsidRPr="002D55F8" w:rsidRDefault="00A53D7D" w:rsidP="005140B4">
            <w:pPr>
              <w:pStyle w:val="OGNotes"/>
            </w:pPr>
            <w:r w:rsidRPr="003C7806">
              <w:t>The higher 2014</w:t>
            </w:r>
            <w:r>
              <w:noBreakHyphen/>
            </w:r>
            <w:r w:rsidRPr="003C7806">
              <w:t xml:space="preserve">15 </w:t>
            </w:r>
            <w:r>
              <w:t>target</w:t>
            </w:r>
            <w:r w:rsidRPr="003C7806">
              <w:t xml:space="preserve"> reflects funding for implementation of policy initiatives announced in the </w:t>
            </w:r>
            <w:r w:rsidRPr="001E23FC">
              <w:rPr>
                <w:i w:val="0"/>
              </w:rPr>
              <w:t>2014</w:t>
            </w:r>
            <w:r>
              <w:rPr>
                <w:i w:val="0"/>
              </w:rPr>
              <w:noBreakHyphen/>
            </w:r>
            <w:r w:rsidRPr="001E23FC">
              <w:rPr>
                <w:i w:val="0"/>
              </w:rPr>
              <w:t>15 Budget</w:t>
            </w:r>
            <w:r>
              <w:t xml:space="preserve"> and previous budgets.</w:t>
            </w:r>
          </w:p>
        </w:tc>
      </w:tr>
    </w:tbl>
    <w:p w:rsidR="00A53D7D" w:rsidRDefault="00A53D7D" w:rsidP="005140B4">
      <w:pPr>
        <w:pStyle w:val="Source"/>
        <w:rPr>
          <w:lang w:eastAsia="en-AU"/>
        </w:rPr>
      </w:pPr>
      <w:r>
        <w:rPr>
          <w:lang w:eastAsia="en-AU"/>
        </w:rPr>
        <w:t>Source: Department of Health</w:t>
      </w:r>
      <w:r>
        <w:rPr>
          <w:lang w:eastAsia="en-AU"/>
        </w:rPr>
        <w:fldChar w:fldCharType="begin"/>
      </w:r>
      <w:r>
        <w:instrText xml:space="preserve"> XE "</w:instrText>
      </w:r>
      <w:r w:rsidRPr="00D56A6C">
        <w:rPr>
          <w:lang w:eastAsia="en-AU"/>
        </w:rPr>
        <w:instrText>Department of Health</w:instrText>
      </w:r>
      <w:r w:rsidRPr="00D56A6C">
        <w:instrText>:Acute Health Services</w:instrText>
      </w:r>
      <w:r>
        <w:instrText xml:space="preserve">" \r "DHAcuteHlth" </w:instrText>
      </w:r>
      <w:r>
        <w:rPr>
          <w:lang w:eastAsia="en-AU"/>
        </w:rPr>
        <w:fldChar w:fldCharType="end"/>
      </w:r>
      <w:r>
        <w:rPr>
          <w:lang w:eastAsia="en-AU"/>
        </w:rPr>
        <w:fldChar w:fldCharType="begin"/>
      </w:r>
      <w:r>
        <w:instrText xml:space="preserve"> XE "</w:instrText>
      </w:r>
      <w:r w:rsidRPr="008F564C">
        <w:rPr>
          <w:lang w:eastAsia="en-AU"/>
        </w:rPr>
        <w:instrText>Acute Health Services</w:instrText>
      </w:r>
      <w:r>
        <w:instrText xml:space="preserve">" \r "DHAcuteHlth" </w:instrText>
      </w:r>
      <w:r>
        <w:rPr>
          <w:lang w:eastAsia="en-AU"/>
        </w:rPr>
        <w:fldChar w:fldCharType="end"/>
      </w:r>
      <w:r>
        <w:rPr>
          <w:lang w:eastAsia="en-AU"/>
        </w:rPr>
        <w:t xml:space="preserve"> </w:t>
      </w:r>
    </w:p>
    <w:bookmarkEnd w:id="88"/>
    <w:p w:rsidR="00A53D7D" w:rsidRDefault="00A53D7D" w:rsidP="005140B4">
      <w:pPr>
        <w:rPr>
          <w:lang w:eastAsia="en-AU"/>
        </w:rPr>
      </w:pPr>
      <w:r>
        <w:rPr>
          <w:lang w:eastAsia="en-AU"/>
        </w:rPr>
        <w:br w:type="page"/>
      </w:r>
    </w:p>
    <w:p w:rsidR="00A53D7D" w:rsidRDefault="00A53D7D" w:rsidP="005140B4">
      <w:pPr>
        <w:pStyle w:val="OGHeading1"/>
        <w:rPr>
          <w:lang w:eastAsia="en-AU"/>
        </w:rPr>
      </w:pPr>
      <w:bookmarkStart w:id="89" w:name="DHAmbulance"/>
      <w:r>
        <w:rPr>
          <w:lang w:eastAsia="en-AU"/>
        </w:rPr>
        <w:t>Ambulance Services</w:t>
      </w:r>
    </w:p>
    <w:p w:rsidR="00A53D7D" w:rsidRDefault="00A53D7D" w:rsidP="005140B4">
      <w:pPr>
        <w:pStyle w:val="OGText"/>
        <w:rPr>
          <w:lang w:eastAsia="en-AU"/>
        </w:rPr>
      </w:pPr>
      <w:r w:rsidRPr="003437B0">
        <w:rPr>
          <w:lang w:eastAsia="en-AU"/>
        </w:rPr>
        <w:t>Ambulance Services outputs provide emergency and non</w:t>
      </w:r>
      <w:r>
        <w:rPr>
          <w:lang w:eastAsia="en-AU"/>
        </w:rPr>
        <w:noBreakHyphen/>
      </w:r>
      <w:r w:rsidRPr="003437B0">
        <w:rPr>
          <w:lang w:eastAsia="en-AU"/>
        </w:rPr>
        <w:t>emergency ambulance services consistent with the Government's policy that Victorians deserve the highest quality ambulance services and have the right to expect timely responses to ambulance services during emergencies.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716164">
        <w:trPr>
          <w:cantSplit/>
        </w:trPr>
        <w:tc>
          <w:tcPr>
            <w:tcW w:w="7776" w:type="dxa"/>
            <w:gridSpan w:val="6"/>
            <w:tcBorders>
              <w:top w:val="single" w:sz="6" w:space="0" w:color="auto"/>
              <w:left w:val="nil"/>
              <w:right w:val="nil"/>
            </w:tcBorders>
            <w:shd w:val="clear" w:color="auto" w:fill="auto"/>
            <w:vAlign w:val="bottom"/>
            <w:hideMark/>
          </w:tcPr>
          <w:p w:rsidR="00A53D7D" w:rsidRPr="005E5444" w:rsidRDefault="00A53D7D" w:rsidP="005140B4">
            <w:pPr>
              <w:pStyle w:val="OGHeading2"/>
              <w:rPr>
                <w:lang w:eastAsia="en-AU"/>
              </w:rPr>
            </w:pPr>
            <w:r w:rsidRPr="00353FCF">
              <w:rPr>
                <w:lang w:eastAsia="en-AU"/>
              </w:rPr>
              <w:t xml:space="preserve">Ambulance </w:t>
            </w:r>
            <w:r>
              <w:rPr>
                <w:lang w:eastAsia="en-AU"/>
              </w:rPr>
              <w:t xml:space="preserve">Emergency </w:t>
            </w:r>
            <w:r w:rsidRPr="00353FCF">
              <w:rPr>
                <w:lang w:eastAsia="en-AU"/>
              </w:rPr>
              <w:t>Services</w:t>
            </w:r>
          </w:p>
        </w:tc>
      </w:tr>
      <w:tr w:rsidR="00A53D7D" w:rsidRPr="005E5444" w:rsidTr="005140B4">
        <w:trPr>
          <w:cantSplit/>
          <w:trHeight w:val="362"/>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Text"/>
              <w:rPr>
                <w:lang w:eastAsia="en-AU"/>
              </w:rPr>
            </w:pPr>
            <w:r w:rsidRPr="00353FCF">
              <w:rPr>
                <w:lang w:eastAsia="en-AU"/>
              </w:rPr>
              <w:t>Emergency road, rotary and fixed air wing patient treatment and transport services provide timely and high quality emergency ambulance services. Timely and high</w:t>
            </w:r>
            <w:r>
              <w:rPr>
                <w:lang w:eastAsia="en-AU"/>
              </w:rPr>
              <w:noBreakHyphen/>
            </w:r>
            <w:r w:rsidRPr="00353FCF">
              <w:rPr>
                <w:lang w:eastAsia="en-AU"/>
              </w:rPr>
              <w:t>quality emergency ambulance services contribute to high quality, accessible health and community services for all Victorians.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D7446D">
              <w:rPr>
                <w:lang w:eastAsia="en-AU"/>
              </w:rPr>
              <w:t>Country road cases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170 014</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167 337</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161 900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164 761</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7446D" w:rsidRDefault="00A53D7D" w:rsidP="005140B4">
            <w:pPr>
              <w:pStyle w:val="OGNotes"/>
            </w:pPr>
            <w:r w:rsidRPr="00D7446D">
              <w:t>The 2013</w:t>
            </w:r>
            <w:r>
              <w:noBreakHyphen/>
            </w:r>
            <w:r w:rsidRPr="00D7446D">
              <w:t xml:space="preserve">14 </w:t>
            </w:r>
            <w:r>
              <w:t>expected outcome</w:t>
            </w:r>
            <w:r w:rsidRPr="00D7446D">
              <w:t xml:space="preserve"> is higher than the 2013</w:t>
            </w:r>
            <w:r>
              <w:noBreakHyphen/>
            </w:r>
            <w:r w:rsidRPr="00D7446D">
              <w:t xml:space="preserve">14 </w:t>
            </w:r>
            <w:r>
              <w:t>target</w:t>
            </w:r>
            <w:r w:rsidRPr="00D7446D">
              <w:t xml:space="preserve"> </w:t>
            </w:r>
            <w:r>
              <w:t>due to</w:t>
            </w:r>
            <w:r w:rsidRPr="00D7446D">
              <w:t xml:space="preserve"> </w:t>
            </w:r>
            <w:r>
              <w:t xml:space="preserve">higher than anticipated demand for services. </w:t>
            </w:r>
          </w:p>
          <w:p w:rsidR="00A53D7D" w:rsidRPr="005E5444" w:rsidRDefault="00A53D7D" w:rsidP="005140B4">
            <w:pPr>
              <w:pStyle w:val="OGNotes"/>
            </w:pPr>
            <w:r>
              <w:t>The higher 2014</w:t>
            </w:r>
            <w:r>
              <w:noBreakHyphen/>
              <w:t xml:space="preserve">15 target reflects </w:t>
            </w:r>
            <w:r w:rsidRPr="00D7446D">
              <w:t>anticipated growth in activity.</w:t>
            </w: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6E6CB6">
              <w:rPr>
                <w:lang w:eastAsia="en-AU"/>
              </w:rPr>
              <w:t>Metropolitan road cases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395 445</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383 183</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378 200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366 543</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3A76E6" w:rsidRDefault="00A53D7D" w:rsidP="005140B4">
            <w:pPr>
              <w:pStyle w:val="OGNotes"/>
            </w:pPr>
            <w:r w:rsidRPr="003A76E6">
              <w:t>The 2013</w:t>
            </w:r>
            <w:r>
              <w:noBreakHyphen/>
            </w:r>
            <w:r w:rsidRPr="003A76E6">
              <w:t xml:space="preserve">14 </w:t>
            </w:r>
            <w:r>
              <w:t>expected outcome</w:t>
            </w:r>
            <w:r w:rsidRPr="003A76E6">
              <w:t xml:space="preserve"> is higher than the 2013</w:t>
            </w:r>
            <w:r>
              <w:noBreakHyphen/>
            </w:r>
            <w:r w:rsidRPr="003A76E6">
              <w:t xml:space="preserve">14 </w:t>
            </w:r>
            <w:r>
              <w:t>target</w:t>
            </w:r>
            <w:r w:rsidRPr="003A76E6">
              <w:t xml:space="preserve"> </w:t>
            </w:r>
            <w:r>
              <w:t>due to</w:t>
            </w:r>
            <w:r w:rsidRPr="00D7446D">
              <w:t xml:space="preserve"> </w:t>
            </w:r>
            <w:r>
              <w:t>higher than anticipated demand for services.</w:t>
            </w:r>
            <w:r w:rsidRPr="003A76E6">
              <w:t xml:space="preserve"> </w:t>
            </w:r>
          </w:p>
          <w:p w:rsidR="00A53D7D" w:rsidRPr="005E5444" w:rsidRDefault="00A53D7D" w:rsidP="005140B4">
            <w:pPr>
              <w:pStyle w:val="OGNotes"/>
            </w:pPr>
            <w:r w:rsidRPr="003A76E6">
              <w:t>The higher 2014</w:t>
            </w:r>
            <w:r>
              <w:noBreakHyphen/>
            </w:r>
            <w:r w:rsidRPr="003A76E6">
              <w:t xml:space="preserve">15 </w:t>
            </w:r>
            <w:r>
              <w:t>target</w:t>
            </w:r>
            <w:r w:rsidRPr="003A76E6">
              <w:t xml:space="preserve"> reflects anticipated growth in activity.</w:t>
            </w:r>
          </w:p>
        </w:tc>
      </w:tr>
      <w:tr w:rsidR="00A53D7D" w:rsidRPr="005E5444" w:rsidTr="00716164">
        <w:trPr>
          <w:cantSplit/>
        </w:trPr>
        <w:tc>
          <w:tcPr>
            <w:tcW w:w="3155" w:type="dxa"/>
            <w:tcBorders>
              <w:top w:val="nil"/>
              <w:left w:val="nil"/>
              <w:right w:val="nil"/>
            </w:tcBorders>
            <w:shd w:val="clear" w:color="000000" w:fill="FFFFFF"/>
          </w:tcPr>
          <w:p w:rsidR="00A53D7D" w:rsidRPr="003A76E6" w:rsidRDefault="00A53D7D" w:rsidP="005140B4">
            <w:pPr>
              <w:pStyle w:val="OGTabText"/>
              <w:rPr>
                <w:lang w:eastAsia="en-AU"/>
              </w:rPr>
            </w:pPr>
            <w:r w:rsidRPr="003A76E6">
              <w:rPr>
                <w:lang w:eastAsia="en-AU"/>
              </w:rPr>
              <w:t>Pensioner a</w:t>
            </w:r>
            <w:r>
              <w:rPr>
                <w:lang w:eastAsia="en-AU"/>
              </w:rPr>
              <w:t>nd concession card</w:t>
            </w:r>
            <w:r>
              <w:rPr>
                <w:lang w:eastAsia="en-AU"/>
              </w:rPr>
              <w:noBreakHyphen/>
              <w:t>holder cases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287 982</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279 053</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257 600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259 567</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t>The 2013</w:t>
            </w:r>
            <w:r>
              <w:noBreakHyphen/>
              <w:t>14 expected outcome is higher than the 2013</w:t>
            </w:r>
            <w:r>
              <w:noBreakHyphen/>
              <w:t xml:space="preserve">14 target due to higher than anticipated demand for services. </w:t>
            </w:r>
          </w:p>
          <w:p w:rsidR="00A53D7D" w:rsidRPr="005E5444" w:rsidRDefault="00A53D7D" w:rsidP="005140B4">
            <w:pPr>
              <w:pStyle w:val="OGNotes"/>
            </w:pPr>
            <w:r>
              <w:t>The higher 2014</w:t>
            </w:r>
            <w:r>
              <w:noBreakHyphen/>
              <w:t xml:space="preserve">15 target reflects anticipated growth in activity and additional funding announced in the </w:t>
            </w:r>
            <w:r w:rsidRPr="008328CF">
              <w:rPr>
                <w:i w:val="0"/>
              </w:rPr>
              <w:t>2014</w:t>
            </w:r>
            <w:r>
              <w:rPr>
                <w:i w:val="0"/>
              </w:rPr>
              <w:noBreakHyphen/>
            </w:r>
            <w:r w:rsidRPr="008328CF">
              <w:rPr>
                <w:i w:val="0"/>
              </w:rPr>
              <w:t>15 Budget</w:t>
            </w:r>
            <w:r>
              <w:t>.</w:t>
            </w: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proofErr w:type="spellStart"/>
            <w:r w:rsidRPr="00F43157">
              <w:rPr>
                <w:lang w:eastAsia="en-AU"/>
              </w:rPr>
              <w:t>Statewide</w:t>
            </w:r>
            <w:proofErr w:type="spellEnd"/>
            <w:r w:rsidRPr="00F43157">
              <w:rPr>
                <w:lang w:eastAsia="en-AU"/>
              </w:rPr>
              <w:t xml:space="preserve"> air cases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4 298</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4 231</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4 380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4 277</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t>The 2013</w:t>
            </w:r>
            <w:r>
              <w:noBreakHyphen/>
              <w:t>14 expected outcome is lower than the 2013</w:t>
            </w:r>
            <w:r>
              <w:noBreakHyphen/>
              <w:t xml:space="preserve">14 target due to lower than anticipated demand for services. </w:t>
            </w:r>
          </w:p>
          <w:p w:rsidR="00A53D7D" w:rsidRPr="005E5444" w:rsidRDefault="00A53D7D" w:rsidP="005140B4">
            <w:pPr>
              <w:pStyle w:val="OGNotes"/>
            </w:pPr>
            <w:r>
              <w:t>The lower 2014</w:t>
            </w:r>
            <w:r>
              <w:noBreakHyphen/>
              <w:t>15 target reflects historic demand for services.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716164">
        <w:trPr>
          <w:cantSplit/>
        </w:trPr>
        <w:tc>
          <w:tcPr>
            <w:tcW w:w="3155" w:type="dxa"/>
            <w:tcBorders>
              <w:top w:val="nil"/>
              <w:left w:val="nil"/>
              <w:right w:val="nil"/>
            </w:tcBorders>
            <w:shd w:val="clear" w:color="000000" w:fill="FFFFFF"/>
          </w:tcPr>
          <w:p w:rsidR="00A53D7D" w:rsidRPr="004B5253" w:rsidRDefault="00A53D7D" w:rsidP="005140B4">
            <w:pPr>
              <w:pStyle w:val="OGTabText"/>
            </w:pPr>
            <w:r w:rsidRPr="004B5253">
              <w:rPr>
                <w:lang w:eastAsia="en-AU"/>
              </w:rPr>
              <w:t>Audited cases attended by Community Emergency Response Teams (CERT) meet</w:t>
            </w:r>
            <w:r>
              <w:rPr>
                <w:lang w:eastAsia="en-AU"/>
              </w:rPr>
              <w:t>ing clinical practice standards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90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95</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91</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4B5253" w:rsidRDefault="00A53D7D" w:rsidP="005140B4">
            <w:pPr>
              <w:pStyle w:val="OGNotes"/>
            </w:pPr>
            <w:r w:rsidRPr="004B5253">
              <w:t>The 2013</w:t>
            </w:r>
            <w:r>
              <w:noBreakHyphen/>
            </w:r>
            <w:r w:rsidRPr="004B5253">
              <w:t xml:space="preserve">14 </w:t>
            </w:r>
            <w:r>
              <w:t>expected outcome</w:t>
            </w:r>
            <w:r w:rsidRPr="004B5253">
              <w:t xml:space="preserve"> is higher than the 2013</w:t>
            </w:r>
            <w:r>
              <w:noBreakHyphen/>
            </w:r>
            <w:r w:rsidRPr="004B5253">
              <w:t xml:space="preserve">14 </w:t>
            </w:r>
            <w:r>
              <w:t xml:space="preserve">target reflecting the high quality of care provided by health workers through services delivered by Ambulance Victoria to the community. </w:t>
            </w: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6D0F9D">
              <w:rPr>
                <w:lang w:eastAsia="en-AU"/>
              </w:rPr>
              <w:t xml:space="preserve">Audited cases </w:t>
            </w:r>
            <w:proofErr w:type="spellStart"/>
            <w:r w:rsidRPr="006D0F9D">
              <w:rPr>
                <w:lang w:eastAsia="en-AU"/>
              </w:rPr>
              <w:t>statewide</w:t>
            </w:r>
            <w:proofErr w:type="spellEnd"/>
            <w:r w:rsidRPr="006D0F9D">
              <w:rPr>
                <w:lang w:eastAsia="en-AU"/>
              </w:rPr>
              <w:t xml:space="preserve"> meeting clinical practice standards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sidRPr="006D0F9D">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95</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98</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95</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97</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6D0F9D" w:rsidRDefault="00A53D7D" w:rsidP="005140B4">
            <w:pPr>
              <w:pStyle w:val="OGNotes"/>
            </w:pPr>
            <w:r w:rsidRPr="006D0F9D">
              <w:t>The 2013</w:t>
            </w:r>
            <w:r>
              <w:noBreakHyphen/>
            </w:r>
            <w:r w:rsidRPr="006D0F9D">
              <w:t xml:space="preserve">14 </w:t>
            </w:r>
            <w:r>
              <w:t>expected outcome</w:t>
            </w:r>
            <w:r w:rsidRPr="006D0F9D">
              <w:t xml:space="preserve"> is higher than the 2013</w:t>
            </w:r>
            <w:r>
              <w:noBreakHyphen/>
            </w:r>
            <w:r w:rsidRPr="006D0F9D">
              <w:t xml:space="preserve">14 </w:t>
            </w:r>
            <w:r>
              <w:t xml:space="preserve">target reflecting the high quality of care provided by health workers through services delivered by Ambulance Victoria to the community. </w:t>
            </w: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6D0F9D">
              <w:rPr>
                <w:lang w:eastAsia="en-AU"/>
              </w:rPr>
              <w:t>Percentage of adult patients suspected of having a stroke who were transported to a stroke unit with thrombolysis facilities within 60 minutes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sidRPr="006D0F9D">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80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85</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80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r>
      <w:tr w:rsidR="00A53D7D" w:rsidRPr="00D75F6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75F6E" w:rsidRDefault="00A53D7D" w:rsidP="005140B4">
            <w:pPr>
              <w:pStyle w:val="OGNotes"/>
            </w:pPr>
            <w:r w:rsidRPr="00D75F6E">
              <w:t>The 2013</w:t>
            </w:r>
            <w:r>
              <w:noBreakHyphen/>
            </w:r>
            <w:r w:rsidRPr="00D75F6E">
              <w:t xml:space="preserve">14 </w:t>
            </w:r>
            <w:r>
              <w:t>expected outcome</w:t>
            </w:r>
            <w:r w:rsidRPr="00D75F6E">
              <w:t xml:space="preserve"> is higher than the 2013</w:t>
            </w:r>
            <w:r>
              <w:noBreakHyphen/>
              <w:t>14 target reflecting the high quality of care, and the preparedness of Victoria’s ambulance services to respond to adult patients suspected of having a stroke.</w:t>
            </w:r>
          </w:p>
        </w:tc>
      </w:tr>
      <w:tr w:rsidR="00A53D7D" w:rsidRPr="005E5444" w:rsidTr="005140B4">
        <w:trPr>
          <w:cantSplit/>
        </w:trPr>
        <w:tc>
          <w:tcPr>
            <w:tcW w:w="3155" w:type="dxa"/>
            <w:tcBorders>
              <w:top w:val="nil"/>
              <w:left w:val="nil"/>
              <w:bottom w:val="nil"/>
              <w:right w:val="nil"/>
            </w:tcBorders>
            <w:shd w:val="clear" w:color="000000" w:fill="FFFFFF"/>
          </w:tcPr>
          <w:p w:rsidR="00A53D7D" w:rsidRPr="005E5444" w:rsidRDefault="00A53D7D" w:rsidP="005140B4">
            <w:pPr>
              <w:pStyle w:val="OGTabText"/>
              <w:rPr>
                <w:lang w:eastAsia="en-AU"/>
              </w:rPr>
            </w:pPr>
            <w:r w:rsidRPr="006D0F9D">
              <w:rPr>
                <w:lang w:eastAsia="en-AU"/>
              </w:rPr>
              <w:t xml:space="preserve">Percentage of adult </w:t>
            </w:r>
            <w:r>
              <w:rPr>
                <w:lang w:eastAsia="en-AU"/>
              </w:rPr>
              <w:t xml:space="preserve">ventricular fibrillation/ventricular tachycardia </w:t>
            </w:r>
            <w:r w:rsidRPr="006D0F9D">
              <w:rPr>
                <w:lang w:eastAsia="en-AU"/>
              </w:rPr>
              <w:t>cardiac arrest patients with vital signs at hospital</w:t>
            </w:r>
          </w:p>
        </w:tc>
        <w:tc>
          <w:tcPr>
            <w:tcW w:w="907" w:type="dxa"/>
            <w:tcBorders>
              <w:top w:val="nil"/>
              <w:left w:val="nil"/>
              <w:bottom w:val="nil"/>
              <w:right w:val="nil"/>
            </w:tcBorders>
            <w:shd w:val="clear" w:color="000000" w:fill="FFFFFF"/>
          </w:tcPr>
          <w:p w:rsidR="00A53D7D" w:rsidRPr="005E5444" w:rsidRDefault="00A53D7D" w:rsidP="005140B4">
            <w:pPr>
              <w:pStyle w:val="OGUoM"/>
              <w:rPr>
                <w:lang w:eastAsia="en-AU"/>
              </w:rPr>
            </w:pPr>
            <w:r w:rsidRPr="006D0F9D">
              <w:rPr>
                <w:lang w:eastAsia="en-AU"/>
              </w:rPr>
              <w:t>per cent</w:t>
            </w:r>
          </w:p>
        </w:tc>
        <w:tc>
          <w:tcPr>
            <w:tcW w:w="907" w:type="dxa"/>
            <w:tcBorders>
              <w:top w:val="nil"/>
              <w:left w:val="nil"/>
              <w:bottom w:val="nil"/>
              <w:right w:val="nil"/>
            </w:tcBorders>
            <w:shd w:val="clear" w:color="auto" w:fill="D9D9D9"/>
          </w:tcPr>
          <w:p w:rsidR="00A53D7D" w:rsidRPr="005E5444" w:rsidRDefault="00A53D7D" w:rsidP="005140B4">
            <w:pPr>
              <w:pStyle w:val="OGTableofFigures"/>
              <w:rPr>
                <w:lang w:eastAsia="en-AU"/>
              </w:rPr>
            </w:pPr>
            <w:r>
              <w:rPr>
                <w:lang w:eastAsia="en-AU"/>
              </w:rPr>
              <w:t>45</w:t>
            </w:r>
          </w:p>
        </w:tc>
        <w:tc>
          <w:tcPr>
            <w:tcW w:w="993" w:type="dxa"/>
            <w:tcBorders>
              <w:top w:val="nil"/>
              <w:left w:val="nil"/>
              <w:bottom w:val="nil"/>
              <w:right w:val="nil"/>
            </w:tcBorders>
            <w:shd w:val="clear" w:color="000000" w:fill="FFFFFF"/>
          </w:tcPr>
          <w:p w:rsidR="00A53D7D" w:rsidRPr="005E5444" w:rsidRDefault="00A53D7D" w:rsidP="005140B4">
            <w:pPr>
              <w:pStyle w:val="OGTableofFigures"/>
              <w:rPr>
                <w:lang w:eastAsia="en-AU"/>
              </w:rPr>
            </w:pPr>
            <w:r>
              <w:rPr>
                <w:lang w:eastAsia="en-AU"/>
              </w:rPr>
              <w:t>49</w:t>
            </w:r>
          </w:p>
        </w:tc>
        <w:tc>
          <w:tcPr>
            <w:tcW w:w="907" w:type="dxa"/>
            <w:tcBorders>
              <w:top w:val="nil"/>
              <w:left w:val="nil"/>
              <w:bottom w:val="nil"/>
              <w:right w:val="nil"/>
            </w:tcBorders>
            <w:shd w:val="clear" w:color="000000" w:fill="FFFFFF"/>
          </w:tcPr>
          <w:p w:rsidR="00A53D7D" w:rsidRPr="005E5444" w:rsidRDefault="00A53D7D" w:rsidP="005140B4">
            <w:pPr>
              <w:pStyle w:val="OGTableofFigures"/>
              <w:rPr>
                <w:lang w:eastAsia="en-AU"/>
              </w:rPr>
            </w:pPr>
            <w:r>
              <w:rPr>
                <w:lang w:eastAsia="en-AU"/>
              </w:rPr>
              <w:t>45</w:t>
            </w:r>
          </w:p>
        </w:tc>
        <w:tc>
          <w:tcPr>
            <w:tcW w:w="907" w:type="dxa"/>
            <w:tcBorders>
              <w:top w:val="nil"/>
              <w:left w:val="nil"/>
              <w:bottom w:val="nil"/>
              <w:right w:val="nil"/>
            </w:tcBorders>
            <w:shd w:val="clear" w:color="000000" w:fill="FFFFFF"/>
          </w:tcPr>
          <w:p w:rsidR="00A53D7D" w:rsidRPr="005E5444" w:rsidRDefault="00A53D7D" w:rsidP="005140B4">
            <w:pPr>
              <w:pStyle w:val="OGTableofFigures"/>
              <w:rPr>
                <w:lang w:eastAsia="en-AU"/>
              </w:rPr>
            </w:pPr>
            <w:r>
              <w:rPr>
                <w:lang w:eastAsia="en-AU"/>
              </w:rPr>
              <w:t>nm</w:t>
            </w:r>
          </w:p>
        </w:tc>
      </w:tr>
      <w:tr w:rsidR="00A53D7D" w:rsidRPr="00D75F6E" w:rsidTr="00716164">
        <w:trPr>
          <w:cantSplit/>
        </w:trPr>
        <w:tc>
          <w:tcPr>
            <w:tcW w:w="7776" w:type="dxa"/>
            <w:gridSpan w:val="6"/>
            <w:tcBorders>
              <w:top w:val="nil"/>
              <w:left w:val="nil"/>
              <w:bottom w:val="single" w:sz="6" w:space="0" w:color="auto"/>
              <w:right w:val="nil"/>
            </w:tcBorders>
            <w:shd w:val="clear" w:color="auto" w:fill="auto"/>
            <w:vAlign w:val="bottom"/>
            <w:hideMark/>
          </w:tcPr>
          <w:p w:rsidR="00A53D7D" w:rsidRPr="00D75F6E" w:rsidRDefault="00A53D7D" w:rsidP="005140B4">
            <w:pPr>
              <w:pStyle w:val="OGNotes"/>
            </w:pPr>
            <w:r w:rsidRPr="00D75F6E">
              <w:t>The 2013</w:t>
            </w:r>
            <w:r>
              <w:noBreakHyphen/>
            </w:r>
            <w:r w:rsidRPr="00D75F6E">
              <w:t xml:space="preserve">14 </w:t>
            </w:r>
            <w:r>
              <w:t>expected outcome</w:t>
            </w:r>
            <w:r w:rsidRPr="00D75F6E">
              <w:t xml:space="preserve"> is higher than the 2013</w:t>
            </w:r>
            <w:r>
              <w:noBreakHyphen/>
            </w:r>
            <w:r w:rsidRPr="00D75F6E">
              <w:t xml:space="preserve">14 </w:t>
            </w:r>
            <w:r>
              <w:t>target reflecting the high quality of care, and the preparedness of Victoria’s ambulance services to respond to adult patients who had suffered a cardiac arrest.</w:t>
            </w:r>
          </w:p>
        </w:tc>
      </w:tr>
      <w:tr w:rsidR="00A53D7D" w:rsidRPr="005E5444" w:rsidTr="00716164">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6D0F9D">
              <w:rPr>
                <w:lang w:eastAsia="en-AU"/>
              </w:rPr>
              <w:t>Proportion of patients experiencing severe cardiac or traumatic pain whose level of pain is reduced significantly</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90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92.5</w:t>
            </w:r>
          </w:p>
        </w:tc>
      </w:tr>
      <w:tr w:rsidR="00A53D7D" w:rsidRPr="005E5444" w:rsidTr="00716164">
        <w:trPr>
          <w:cantSplit/>
        </w:trPr>
        <w:tc>
          <w:tcPr>
            <w:tcW w:w="3155" w:type="dxa"/>
            <w:tcBorders>
              <w:top w:val="single" w:sz="6" w:space="0" w:color="auto"/>
              <w:left w:val="nil"/>
              <w:right w:val="nil"/>
            </w:tcBorders>
            <w:shd w:val="clear" w:color="000000" w:fill="FFFFFF"/>
          </w:tcPr>
          <w:p w:rsidR="00A53D7D" w:rsidRPr="005E5444" w:rsidRDefault="00A53D7D" w:rsidP="005140B4">
            <w:pPr>
              <w:pStyle w:val="OGTabText"/>
              <w:rPr>
                <w:lang w:eastAsia="en-AU"/>
              </w:rPr>
            </w:pPr>
            <w:r w:rsidRPr="006D0F9D">
              <w:rPr>
                <w:lang w:eastAsia="en-AU"/>
              </w:rPr>
              <w:t>Proportion of patients very satisfied or satisfied with overall services delivered by paramedics.</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sidRPr="006D0F9D">
              <w:rPr>
                <w:lang w:eastAsia="en-AU"/>
              </w:rPr>
              <w:t>per cent</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95</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98</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95</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98</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Notes"/>
            </w:pPr>
            <w:r w:rsidRPr="006D0F9D">
              <w:t>The 2013</w:t>
            </w:r>
            <w:r>
              <w:noBreakHyphen/>
            </w:r>
            <w:r w:rsidRPr="006D0F9D">
              <w:t xml:space="preserve">14 </w:t>
            </w:r>
            <w:r>
              <w:t>expected outcome</w:t>
            </w:r>
            <w:r w:rsidRPr="006D0F9D">
              <w:t xml:space="preserve"> is higher than the 2013</w:t>
            </w:r>
            <w:r>
              <w:noBreakHyphen/>
            </w:r>
            <w:r w:rsidRPr="006D0F9D">
              <w:t xml:space="preserve">14 </w:t>
            </w:r>
            <w:r>
              <w:t>target reflecting the high quality of care provided by Ambulance Paramedics to the community.</w:t>
            </w:r>
          </w:p>
        </w:tc>
      </w:tr>
      <w:tr w:rsidR="00A53D7D" w:rsidRPr="005E5444" w:rsidTr="0071616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Timeliness</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rPr>
                <w:lang w:eastAsia="en-AU"/>
              </w:rPr>
            </w:pPr>
            <w:r w:rsidRPr="00B15A8B">
              <w:rPr>
                <w:lang w:eastAsia="en-AU"/>
              </w:rPr>
              <w:t>CERT arrival occurs prior to ambulance</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85</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85</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85</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84.7</w:t>
            </w:r>
          </w:p>
        </w:tc>
      </w:tr>
      <w:tr w:rsidR="00A53D7D" w:rsidRPr="005E5444" w:rsidTr="00716164">
        <w:trPr>
          <w:cantSplit/>
        </w:trPr>
        <w:tc>
          <w:tcPr>
            <w:tcW w:w="3155" w:type="dxa"/>
            <w:tcBorders>
              <w:top w:val="single" w:sz="6" w:space="0" w:color="auto"/>
              <w:left w:val="nil"/>
              <w:right w:val="nil"/>
            </w:tcBorders>
            <w:shd w:val="clear" w:color="000000" w:fill="FFFFFF"/>
          </w:tcPr>
          <w:p w:rsidR="00A53D7D" w:rsidRPr="00B15A8B" w:rsidRDefault="00A53D7D" w:rsidP="005140B4">
            <w:pPr>
              <w:pStyle w:val="OGTabText"/>
              <w:rPr>
                <w:lang w:eastAsia="en-AU"/>
              </w:rPr>
            </w:pPr>
            <w:r w:rsidRPr="00B15A8B">
              <w:rPr>
                <w:lang w:eastAsia="en-AU"/>
              </w:rPr>
              <w:t>Proportion of emergency (Code 1) incidents responded to</w:t>
            </w:r>
            <w:r>
              <w:rPr>
                <w:lang w:eastAsia="en-AU"/>
              </w:rPr>
              <w:t xml:space="preserve"> within 15 minutes – </w:t>
            </w:r>
            <w:proofErr w:type="spellStart"/>
            <w:r>
              <w:rPr>
                <w:lang w:eastAsia="en-AU"/>
              </w:rPr>
              <w:t>statewide</w:t>
            </w:r>
            <w:proofErr w:type="spellEnd"/>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85</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73.4</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85</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73</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B15A8B" w:rsidRDefault="00A53D7D" w:rsidP="005140B4">
            <w:pPr>
              <w:pStyle w:val="OGNotes"/>
            </w:pPr>
            <w:r w:rsidRPr="006101A6">
              <w:t>The 2013</w:t>
            </w:r>
            <w:r>
              <w:noBreakHyphen/>
            </w:r>
            <w:r w:rsidRPr="006101A6">
              <w:t>1</w:t>
            </w:r>
            <w:r>
              <w:t>4 expected outcome is lower than</w:t>
            </w:r>
            <w:r w:rsidRPr="006101A6">
              <w:t xml:space="preserve"> the 2013</w:t>
            </w:r>
            <w:r>
              <w:noBreakHyphen/>
            </w:r>
            <w:r w:rsidRPr="006101A6">
              <w:t xml:space="preserve">14 </w:t>
            </w:r>
            <w:r>
              <w:t>target</w:t>
            </w:r>
            <w:r w:rsidRPr="006101A6">
              <w:t xml:space="preserve"> due to a range of interrelated factors including growing incident demand, case </w:t>
            </w:r>
            <w:proofErr w:type="gramStart"/>
            <w:r w:rsidRPr="006101A6">
              <w:t>complexity</w:t>
            </w:r>
            <w:proofErr w:type="gramEnd"/>
            <w:r w:rsidRPr="006101A6">
              <w:t xml:space="preserve"> and hospital transfer times.</w:t>
            </w:r>
          </w:p>
        </w:tc>
      </w:tr>
      <w:tr w:rsidR="00A53D7D" w:rsidRPr="005E5444" w:rsidTr="00716164">
        <w:trPr>
          <w:cantSplit/>
        </w:trPr>
        <w:tc>
          <w:tcPr>
            <w:tcW w:w="3155" w:type="dxa"/>
            <w:tcBorders>
              <w:top w:val="nil"/>
              <w:left w:val="nil"/>
              <w:right w:val="nil"/>
            </w:tcBorders>
            <w:shd w:val="clear" w:color="000000" w:fill="FFFFFF"/>
          </w:tcPr>
          <w:p w:rsidR="00A53D7D" w:rsidRPr="00B15A8B" w:rsidRDefault="00A53D7D" w:rsidP="005140B4">
            <w:pPr>
              <w:pStyle w:val="OGTabText"/>
              <w:rPr>
                <w:lang w:eastAsia="en-AU"/>
              </w:rPr>
            </w:pPr>
            <w:r w:rsidRPr="00B15A8B">
              <w:rPr>
                <w:lang w:eastAsia="en-AU"/>
              </w:rPr>
              <w:t>Proportion of emergency (Code 1) i</w:t>
            </w:r>
            <w:r>
              <w:rPr>
                <w:lang w:eastAsia="en-AU"/>
              </w:rPr>
              <w:t>ncidents responded to within 15 </w:t>
            </w:r>
            <w:r w:rsidRPr="00B15A8B">
              <w:rPr>
                <w:lang w:eastAsia="en-AU"/>
              </w:rPr>
              <w:t xml:space="preserve">minutes in centres </w:t>
            </w:r>
            <w:r>
              <w:rPr>
                <w:lang w:eastAsia="en-AU"/>
              </w:rPr>
              <w:t>with more than 7 500 population</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90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78.2</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78.1</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B15A8B" w:rsidRDefault="00A53D7D" w:rsidP="005140B4">
            <w:pPr>
              <w:pStyle w:val="OGNotes"/>
            </w:pPr>
            <w:r w:rsidRPr="006101A6">
              <w:t>The 2013</w:t>
            </w:r>
            <w:r>
              <w:noBreakHyphen/>
            </w:r>
            <w:r w:rsidRPr="006101A6">
              <w:t>1</w:t>
            </w:r>
            <w:r>
              <w:t>4 expected outcome is lower than</w:t>
            </w:r>
            <w:r w:rsidRPr="006101A6">
              <w:t xml:space="preserve"> the 2013</w:t>
            </w:r>
            <w:r>
              <w:noBreakHyphen/>
            </w:r>
            <w:r w:rsidRPr="006101A6">
              <w:t xml:space="preserve">14 </w:t>
            </w:r>
            <w:r>
              <w:t>target</w:t>
            </w:r>
            <w:r w:rsidRPr="006101A6">
              <w:t xml:space="preserve"> due to a range of interrelated factors including growing incident demand, case </w:t>
            </w:r>
            <w:proofErr w:type="gramStart"/>
            <w:r w:rsidRPr="006101A6">
              <w:t>complexity</w:t>
            </w:r>
            <w:proofErr w:type="gramEnd"/>
            <w:r w:rsidRPr="006101A6">
              <w:t xml:space="preserve"> and hospital</w:t>
            </w:r>
            <w:r>
              <w:t xml:space="preserve"> transfer times.</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CE1306">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sidRPr="002D55F8">
              <w:rPr>
                <w:lang w:eastAsia="en-AU"/>
              </w:rPr>
              <w:t>579.9</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555.1</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554.7</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524.0</w:t>
            </w:r>
          </w:p>
        </w:tc>
      </w:tr>
      <w:tr w:rsidR="00A53D7D" w:rsidRPr="005E5444" w:rsidTr="005140B4">
        <w:trPr>
          <w:cantSplit/>
        </w:trPr>
        <w:tc>
          <w:tcPr>
            <w:tcW w:w="7776" w:type="dxa"/>
            <w:gridSpan w:val="6"/>
            <w:tcBorders>
              <w:left w:val="nil"/>
              <w:bottom w:val="single" w:sz="6" w:space="0" w:color="auto"/>
              <w:right w:val="nil"/>
            </w:tcBorders>
            <w:shd w:val="clear" w:color="000000" w:fill="FFFFFF"/>
          </w:tcPr>
          <w:p w:rsidR="00A53D7D" w:rsidRPr="002D55F8" w:rsidRDefault="00A53D7D" w:rsidP="005140B4">
            <w:pPr>
              <w:pStyle w:val="OGNotes"/>
            </w:pPr>
            <w:r w:rsidRPr="00E03EA5">
              <w:t>The higher 2014</w:t>
            </w:r>
            <w:r>
              <w:noBreakHyphen/>
            </w:r>
            <w:r w:rsidRPr="00E03EA5">
              <w:t xml:space="preserve">15 </w:t>
            </w:r>
            <w:r>
              <w:t>target</w:t>
            </w:r>
            <w:r w:rsidRPr="00E03EA5">
              <w:t xml:space="preserve"> reflects funding for implementation of policy initiatives announced in the </w:t>
            </w:r>
            <w:r w:rsidRPr="008328CF">
              <w:rPr>
                <w:i w:val="0"/>
              </w:rPr>
              <w:t>2014</w:t>
            </w:r>
            <w:r>
              <w:rPr>
                <w:i w:val="0"/>
              </w:rPr>
              <w:noBreakHyphen/>
            </w:r>
            <w:r w:rsidRPr="008328CF">
              <w:rPr>
                <w:i w:val="0"/>
              </w:rPr>
              <w:t>15 Budget</w:t>
            </w:r>
            <w:r>
              <w:t xml:space="preserve"> and previous budgets.</w:t>
            </w:r>
          </w:p>
        </w:tc>
      </w:tr>
      <w:tr w:rsidR="00A53D7D" w:rsidRPr="005E5444" w:rsidTr="00716164">
        <w:trPr>
          <w:cantSplit/>
        </w:trPr>
        <w:tc>
          <w:tcPr>
            <w:tcW w:w="7776" w:type="dxa"/>
            <w:gridSpan w:val="6"/>
            <w:tcBorders>
              <w:top w:val="single" w:sz="6" w:space="0" w:color="auto"/>
              <w:left w:val="nil"/>
              <w:right w:val="nil"/>
            </w:tcBorders>
            <w:shd w:val="clear" w:color="auto" w:fill="auto"/>
            <w:vAlign w:val="bottom"/>
            <w:hideMark/>
          </w:tcPr>
          <w:p w:rsidR="00A53D7D" w:rsidRPr="005E5444" w:rsidRDefault="00A53D7D" w:rsidP="005140B4">
            <w:pPr>
              <w:pStyle w:val="OGHeading2"/>
            </w:pPr>
            <w:r w:rsidRPr="00353FCF">
              <w:t xml:space="preserve">Ambulance </w:t>
            </w:r>
            <w:r>
              <w:t>Non</w:t>
            </w:r>
            <w:r>
              <w:noBreakHyphen/>
              <w:t xml:space="preserve">Emergency </w:t>
            </w:r>
            <w:r w:rsidRPr="00353FCF">
              <w:t>Services</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Text"/>
              <w:rPr>
                <w:lang w:eastAsia="en-AU"/>
              </w:rPr>
            </w:pPr>
            <w:r w:rsidRPr="0065215F">
              <w:t>Non</w:t>
            </w:r>
            <w:r>
              <w:noBreakHyphen/>
            </w:r>
            <w:r w:rsidRPr="0065215F">
              <w:t>emerg</w:t>
            </w:r>
            <w:r>
              <w:t>ency road, rotary and fixed air</w:t>
            </w:r>
            <w:r>
              <w:noBreakHyphen/>
            </w:r>
            <w:r w:rsidRPr="0065215F">
              <w:t xml:space="preserve">wing patient </w:t>
            </w:r>
            <w:proofErr w:type="gramStart"/>
            <w:r w:rsidRPr="0065215F">
              <w:t>treatment</w:t>
            </w:r>
            <w:proofErr w:type="gramEnd"/>
            <w:r w:rsidRPr="0065215F">
              <w:t xml:space="preserve"> and transport services provide access to timely, high</w:t>
            </w:r>
            <w:r>
              <w:noBreakHyphen/>
            </w:r>
            <w:r w:rsidRPr="0065215F">
              <w:t>quality non</w:t>
            </w:r>
            <w:r>
              <w:noBreakHyphen/>
            </w:r>
            <w:r w:rsidRPr="0065215F">
              <w:t>emergency ambulance services. Patient transport officers will service non</w:t>
            </w:r>
            <w:r>
              <w:noBreakHyphen/>
            </w:r>
            <w:r w:rsidRPr="0065215F">
              <w:t>emergency, pre and post hosp</w:t>
            </w:r>
            <w:r>
              <w:t>ital patients. High</w:t>
            </w:r>
            <w:r>
              <w:noBreakHyphen/>
              <w:t>quality non</w:t>
            </w:r>
            <w:r>
              <w:noBreakHyphen/>
            </w:r>
            <w:r w:rsidRPr="0065215F">
              <w:t>emergency ambulance services contribute to high</w:t>
            </w:r>
            <w:r>
              <w:noBreakHyphen/>
            </w:r>
            <w:r w:rsidRPr="0065215F">
              <w:t xml:space="preserve">quality, accessible </w:t>
            </w:r>
            <w:proofErr w:type="gramStart"/>
            <w:r w:rsidRPr="0065215F">
              <w:t>health</w:t>
            </w:r>
            <w:proofErr w:type="gramEnd"/>
            <w:r w:rsidRPr="0065215F">
              <w:t xml:space="preserve"> and community services for all Victorians.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5B5DA8">
              <w:rPr>
                <w:lang w:eastAsia="en-AU"/>
              </w:rPr>
              <w:t>Country road cases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41 795</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41 136</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42 300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38 751</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rsidRPr="00E03EA5">
              <w:t>The 2013</w:t>
            </w:r>
            <w:r>
              <w:noBreakHyphen/>
            </w:r>
            <w:r w:rsidRPr="00E03EA5">
              <w:t xml:space="preserve">14 </w:t>
            </w:r>
            <w:r>
              <w:t>expected outcome</w:t>
            </w:r>
            <w:r w:rsidRPr="00E03EA5">
              <w:t xml:space="preserve"> is lower than the 2013</w:t>
            </w:r>
            <w:r>
              <w:noBreakHyphen/>
            </w:r>
            <w:r w:rsidRPr="00E03EA5">
              <w:t xml:space="preserve">14 </w:t>
            </w:r>
            <w:r>
              <w:t>target</w:t>
            </w:r>
            <w:r w:rsidRPr="00E03EA5">
              <w:t xml:space="preserve"> due in part to the establishment of the </w:t>
            </w:r>
            <w:r>
              <w:t>Barwon</w:t>
            </w:r>
            <w:r>
              <w:noBreakHyphen/>
              <w:t xml:space="preserve">South </w:t>
            </w:r>
            <w:proofErr w:type="spellStart"/>
            <w:r>
              <w:t>RefComm</w:t>
            </w:r>
            <w:proofErr w:type="spellEnd"/>
            <w:r>
              <w:t xml:space="preserve"> Service.</w:t>
            </w:r>
          </w:p>
          <w:p w:rsidR="00A53D7D" w:rsidRPr="005E5444" w:rsidRDefault="00A53D7D" w:rsidP="005140B4">
            <w:pPr>
              <w:pStyle w:val="OGNotes"/>
            </w:pPr>
            <w:r>
              <w:t>The lower 2014</w:t>
            </w:r>
            <w:r>
              <w:noBreakHyphen/>
              <w:t>15 target reflects historic demand for services.</w:t>
            </w: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5B5DA8">
              <w:rPr>
                <w:lang w:eastAsia="en-AU"/>
              </w:rPr>
              <w:t>Metropolitan road cases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sidRPr="005B5DA8">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256 707</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251 181</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258 900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245 864</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rsidRPr="00E03EA5">
              <w:t>The 2013</w:t>
            </w:r>
            <w:r>
              <w:noBreakHyphen/>
            </w:r>
            <w:r w:rsidRPr="00E03EA5">
              <w:t xml:space="preserve">14 </w:t>
            </w:r>
            <w:r>
              <w:t>expected outcome</w:t>
            </w:r>
            <w:r w:rsidRPr="00E03EA5">
              <w:t xml:space="preserve"> is lower than the 2013</w:t>
            </w:r>
            <w:r>
              <w:noBreakHyphen/>
            </w:r>
            <w:r w:rsidRPr="00E03EA5">
              <w:t xml:space="preserve">14 </w:t>
            </w:r>
            <w:r>
              <w:t>target</w:t>
            </w:r>
            <w:r w:rsidRPr="00E03EA5">
              <w:t xml:space="preserve"> due in part to the expansion of the metropolitan </w:t>
            </w:r>
            <w:proofErr w:type="spellStart"/>
            <w:r w:rsidRPr="00E03EA5">
              <w:t>Re</w:t>
            </w:r>
            <w:r>
              <w:t>fComm</w:t>
            </w:r>
            <w:proofErr w:type="spellEnd"/>
            <w:r>
              <w:t xml:space="preserve"> Service in November 2012.</w:t>
            </w:r>
          </w:p>
          <w:p w:rsidR="00A53D7D" w:rsidRPr="005E5444" w:rsidRDefault="00A53D7D" w:rsidP="005140B4">
            <w:pPr>
              <w:pStyle w:val="OGNotes"/>
            </w:pPr>
            <w:r>
              <w:t>The lower 2014</w:t>
            </w:r>
            <w:r>
              <w:noBreakHyphen/>
              <w:t>15 target reflects historic demand for services.</w:t>
            </w:r>
          </w:p>
        </w:tc>
      </w:tr>
      <w:tr w:rsidR="00A53D7D" w:rsidRPr="005E5444" w:rsidTr="00716164">
        <w:trPr>
          <w:cantSplit/>
        </w:trPr>
        <w:tc>
          <w:tcPr>
            <w:tcW w:w="3155" w:type="dxa"/>
            <w:tcBorders>
              <w:top w:val="nil"/>
              <w:left w:val="nil"/>
              <w:right w:val="nil"/>
            </w:tcBorders>
            <w:shd w:val="clear" w:color="000000" w:fill="FFFFFF"/>
          </w:tcPr>
          <w:p w:rsidR="00A53D7D" w:rsidRPr="005B5DA8" w:rsidRDefault="00A53D7D" w:rsidP="005140B4">
            <w:pPr>
              <w:pStyle w:val="OGTabText"/>
              <w:rPr>
                <w:lang w:eastAsia="en-AU"/>
              </w:rPr>
            </w:pPr>
            <w:r w:rsidRPr="005B5DA8">
              <w:rPr>
                <w:lang w:eastAsia="en-AU"/>
              </w:rPr>
              <w:t>Pensioner and conc</w:t>
            </w:r>
            <w:r>
              <w:rPr>
                <w:lang w:eastAsia="en-AU"/>
              </w:rPr>
              <w:t>ession card holders transported</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sidRPr="005B5DA8">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211 366</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204 812</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201 600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190 159</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t>The 2013</w:t>
            </w:r>
            <w:r>
              <w:noBreakHyphen/>
              <w:t>14 expected outcome is higher than the 2013</w:t>
            </w:r>
            <w:r>
              <w:noBreakHyphen/>
              <w:t xml:space="preserve">14 target due to the higher than anticipated demand for services. </w:t>
            </w:r>
          </w:p>
          <w:p w:rsidR="00A53D7D" w:rsidRPr="005E5444" w:rsidRDefault="00A53D7D" w:rsidP="005140B4">
            <w:pPr>
              <w:pStyle w:val="OGNotes"/>
            </w:pPr>
            <w:r>
              <w:t>The higher 2014</w:t>
            </w:r>
            <w:r>
              <w:noBreakHyphen/>
              <w:t xml:space="preserve">15 target reflects anticipated growth in activity and additional funding announced in the </w:t>
            </w:r>
            <w:r w:rsidRPr="00483F03">
              <w:rPr>
                <w:i w:val="0"/>
              </w:rPr>
              <w:t>2014</w:t>
            </w:r>
            <w:r>
              <w:rPr>
                <w:i w:val="0"/>
              </w:rPr>
              <w:noBreakHyphen/>
            </w:r>
            <w:r w:rsidRPr="00483F03">
              <w:rPr>
                <w:i w:val="0"/>
              </w:rPr>
              <w:t>15 Budget</w:t>
            </w:r>
            <w:r>
              <w:t>.</w:t>
            </w:r>
          </w:p>
        </w:tc>
      </w:tr>
      <w:tr w:rsidR="00A53D7D" w:rsidRPr="005E5444" w:rsidTr="0071616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proofErr w:type="spellStart"/>
            <w:r w:rsidRPr="00B47733">
              <w:rPr>
                <w:lang w:eastAsia="en-AU"/>
              </w:rPr>
              <w:t>Statewide</w:t>
            </w:r>
            <w:proofErr w:type="spellEnd"/>
            <w:r w:rsidRPr="00B47733">
              <w:rPr>
                <w:lang w:eastAsia="en-AU"/>
              </w:rPr>
              <w:t xml:space="preserve"> air cases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sidRPr="005B5DA8">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3 499</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3 444</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3 060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3 082</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B47733" w:rsidRDefault="00A53D7D" w:rsidP="005140B4">
            <w:pPr>
              <w:pStyle w:val="OGNotes"/>
            </w:pPr>
            <w:r w:rsidRPr="00B47733">
              <w:t>The 2013</w:t>
            </w:r>
            <w:r>
              <w:noBreakHyphen/>
            </w:r>
            <w:r w:rsidRPr="00B47733">
              <w:t xml:space="preserve">14 </w:t>
            </w:r>
            <w:r>
              <w:t>expected outcome</w:t>
            </w:r>
            <w:r w:rsidRPr="00B47733">
              <w:t xml:space="preserve"> is higher than 2013</w:t>
            </w:r>
            <w:r>
              <w:noBreakHyphen/>
            </w:r>
            <w:r w:rsidRPr="00B47733">
              <w:t xml:space="preserve">14 </w:t>
            </w:r>
            <w:r>
              <w:t xml:space="preserve">target due to higher than anticipated demand for services. </w:t>
            </w:r>
          </w:p>
          <w:p w:rsidR="00A53D7D" w:rsidRPr="005E5444" w:rsidRDefault="00A53D7D" w:rsidP="005140B4">
            <w:pPr>
              <w:pStyle w:val="OGNotes"/>
            </w:pPr>
            <w:r>
              <w:t>The higher 2014</w:t>
            </w:r>
            <w:r>
              <w:noBreakHyphen/>
              <w:t xml:space="preserve">15 target reflects anticipated </w:t>
            </w:r>
            <w:r w:rsidRPr="00B47733">
              <w:t>growth in activity.</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716164">
        <w:trPr>
          <w:cantSplit/>
        </w:trPr>
        <w:tc>
          <w:tcPr>
            <w:tcW w:w="3155" w:type="dxa"/>
            <w:tcBorders>
              <w:top w:val="nil"/>
              <w:left w:val="nil"/>
              <w:right w:val="nil"/>
            </w:tcBorders>
            <w:shd w:val="clear" w:color="000000" w:fill="FFFFFF"/>
          </w:tcPr>
          <w:p w:rsidR="00A53D7D" w:rsidRPr="002C22DD" w:rsidRDefault="00A53D7D" w:rsidP="005140B4">
            <w:pPr>
              <w:pStyle w:val="OGTabText"/>
              <w:rPr>
                <w:lang w:eastAsia="en-AU"/>
              </w:rPr>
            </w:pPr>
            <w:r w:rsidRPr="002C22DD">
              <w:rPr>
                <w:lang w:eastAsia="en-AU"/>
              </w:rPr>
              <w:t xml:space="preserve">Audited cases </w:t>
            </w:r>
            <w:proofErr w:type="spellStart"/>
            <w:r w:rsidRPr="002C22DD">
              <w:rPr>
                <w:lang w:eastAsia="en-AU"/>
              </w:rPr>
              <w:t>statewide</w:t>
            </w:r>
            <w:proofErr w:type="spellEnd"/>
            <w:r w:rsidRPr="002C22DD">
              <w:rPr>
                <w:lang w:eastAsia="en-AU"/>
              </w:rPr>
              <w:t xml:space="preserve"> meet</w:t>
            </w:r>
            <w:r>
              <w:rPr>
                <w:lang w:eastAsia="en-AU"/>
              </w:rPr>
              <w:t>ing clinical practice standards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94</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99</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94</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99</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2C22DD" w:rsidRDefault="00A53D7D" w:rsidP="005140B4">
            <w:pPr>
              <w:pStyle w:val="OGNotes"/>
            </w:pPr>
            <w:r w:rsidRPr="002C22DD">
              <w:t>The 2013</w:t>
            </w:r>
            <w:r>
              <w:noBreakHyphen/>
            </w:r>
            <w:r w:rsidRPr="002C22DD">
              <w:t xml:space="preserve">14 </w:t>
            </w:r>
            <w:r>
              <w:t>expected outcome</w:t>
            </w:r>
            <w:r w:rsidRPr="002C22DD">
              <w:t xml:space="preserve"> is higher than the 2013</w:t>
            </w:r>
            <w:r>
              <w:noBreakHyphen/>
            </w:r>
            <w:r w:rsidRPr="002C22DD">
              <w:t xml:space="preserve">14 </w:t>
            </w:r>
            <w:r>
              <w:t>target</w:t>
            </w:r>
            <w:r w:rsidRPr="002C22DD">
              <w:t xml:space="preserve"> </w:t>
            </w:r>
            <w:r>
              <w:t>reflecting the high quality of clinical standards of services provided.</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4D4C93">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sidRPr="002D55F8">
              <w:rPr>
                <w:lang w:eastAsia="en-AU"/>
              </w:rPr>
              <w:t>116.6</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107.4</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107.2</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101.4</w:t>
            </w:r>
          </w:p>
        </w:tc>
      </w:tr>
      <w:tr w:rsidR="00A53D7D" w:rsidRPr="005E5444" w:rsidTr="005140B4">
        <w:trPr>
          <w:cantSplit/>
        </w:trPr>
        <w:tc>
          <w:tcPr>
            <w:tcW w:w="7776" w:type="dxa"/>
            <w:gridSpan w:val="6"/>
            <w:tcBorders>
              <w:left w:val="nil"/>
              <w:bottom w:val="single" w:sz="12" w:space="0" w:color="auto"/>
              <w:right w:val="nil"/>
            </w:tcBorders>
            <w:shd w:val="clear" w:color="000000" w:fill="FFFFFF"/>
          </w:tcPr>
          <w:p w:rsidR="00A53D7D" w:rsidRPr="002D55F8" w:rsidRDefault="00A53D7D" w:rsidP="005140B4">
            <w:pPr>
              <w:pStyle w:val="OGNotes"/>
            </w:pPr>
            <w:r w:rsidRPr="00E03EA5">
              <w:t>The higher 2014</w:t>
            </w:r>
            <w:r>
              <w:noBreakHyphen/>
            </w:r>
            <w:r w:rsidRPr="00E03EA5">
              <w:t xml:space="preserve">15 </w:t>
            </w:r>
            <w:r>
              <w:t>target</w:t>
            </w:r>
            <w:r w:rsidRPr="00E03EA5">
              <w:t xml:space="preserve"> reflects funding for implementation of policy initiatives announced in the </w:t>
            </w:r>
            <w:r w:rsidRPr="00483F03">
              <w:rPr>
                <w:i w:val="0"/>
              </w:rPr>
              <w:t>2014</w:t>
            </w:r>
            <w:r>
              <w:rPr>
                <w:i w:val="0"/>
              </w:rPr>
              <w:noBreakHyphen/>
            </w:r>
            <w:r w:rsidRPr="00483F03">
              <w:rPr>
                <w:i w:val="0"/>
              </w:rPr>
              <w:t>15 Budget</w:t>
            </w:r>
            <w:r>
              <w:t xml:space="preserve"> and previous budgets.</w:t>
            </w:r>
          </w:p>
        </w:tc>
      </w:tr>
    </w:tbl>
    <w:p w:rsidR="00A53D7D" w:rsidRDefault="00A53D7D" w:rsidP="005140B4">
      <w:pPr>
        <w:pStyle w:val="Source"/>
        <w:rPr>
          <w:lang w:eastAsia="en-AU"/>
        </w:rPr>
      </w:pPr>
      <w:r>
        <w:rPr>
          <w:lang w:eastAsia="en-AU"/>
        </w:rPr>
        <w:t>Source: Department of Health</w:t>
      </w:r>
      <w:r>
        <w:rPr>
          <w:lang w:eastAsia="en-AU"/>
        </w:rPr>
        <w:fldChar w:fldCharType="begin"/>
      </w:r>
      <w:r>
        <w:instrText xml:space="preserve"> XE "</w:instrText>
      </w:r>
      <w:r w:rsidRPr="00716903">
        <w:rPr>
          <w:lang w:eastAsia="en-AU"/>
        </w:rPr>
        <w:instrText>Department of Health</w:instrText>
      </w:r>
      <w:r w:rsidRPr="00716903">
        <w:instrText>:Ambulance Services</w:instrText>
      </w:r>
      <w:r>
        <w:instrText xml:space="preserve">" \r "DHAmbulance" </w:instrText>
      </w:r>
      <w:r>
        <w:rPr>
          <w:lang w:eastAsia="en-AU"/>
        </w:rPr>
        <w:fldChar w:fldCharType="end"/>
      </w:r>
      <w:r>
        <w:rPr>
          <w:lang w:eastAsia="en-AU"/>
        </w:rPr>
        <w:fldChar w:fldCharType="begin"/>
      </w:r>
      <w:r>
        <w:instrText xml:space="preserve"> XE "</w:instrText>
      </w:r>
      <w:r w:rsidRPr="008F564C">
        <w:rPr>
          <w:lang w:eastAsia="en-AU"/>
        </w:rPr>
        <w:instrText>Ambulance Services</w:instrText>
      </w:r>
      <w:r>
        <w:instrText xml:space="preserve">" \r "DHAmbulance" </w:instrText>
      </w:r>
      <w:r>
        <w:rPr>
          <w:lang w:eastAsia="en-AU"/>
        </w:rPr>
        <w:fldChar w:fldCharType="end"/>
      </w:r>
      <w:r>
        <w:rPr>
          <w:lang w:eastAsia="en-AU"/>
        </w:rPr>
        <w:fldChar w:fldCharType="begin"/>
      </w:r>
      <w:r>
        <w:instrText xml:space="preserve"> XE "</w:instrText>
      </w:r>
      <w:r w:rsidRPr="0049591C">
        <w:rPr>
          <w:lang w:eastAsia="en-AU"/>
        </w:rPr>
        <w:instrText>Emergency Services</w:instrText>
      </w:r>
      <w:r>
        <w:instrText xml:space="preserve">" \r "DHAmbulance" </w:instrText>
      </w:r>
      <w:r>
        <w:rPr>
          <w:lang w:eastAsia="en-AU"/>
        </w:rPr>
        <w:fldChar w:fldCharType="end"/>
      </w:r>
      <w:r>
        <w:rPr>
          <w:lang w:eastAsia="en-AU"/>
        </w:rPr>
        <w:t xml:space="preserve"> </w:t>
      </w:r>
    </w:p>
    <w:bookmarkEnd w:id="89"/>
    <w:p w:rsidR="00A53D7D" w:rsidRDefault="00A53D7D" w:rsidP="005140B4">
      <w:pPr>
        <w:rPr>
          <w:lang w:eastAsia="en-AU"/>
        </w:rPr>
      </w:pPr>
    </w:p>
    <w:p w:rsidR="00A53D7D" w:rsidRDefault="00A53D7D" w:rsidP="005140B4">
      <w:pPr>
        <w:rPr>
          <w:lang w:eastAsia="en-AU"/>
        </w:rPr>
      </w:pPr>
      <w:r>
        <w:rPr>
          <w:lang w:eastAsia="en-AU"/>
        </w:rPr>
        <w:br w:type="page"/>
      </w:r>
    </w:p>
    <w:p w:rsidR="00A53D7D" w:rsidRDefault="00A53D7D" w:rsidP="005140B4">
      <w:pPr>
        <w:pStyle w:val="OGHeading1"/>
        <w:rPr>
          <w:lang w:eastAsia="en-AU"/>
        </w:rPr>
      </w:pPr>
      <w:bookmarkStart w:id="90" w:name="DHMentalHlth"/>
      <w:r>
        <w:rPr>
          <w:lang w:eastAsia="en-AU"/>
        </w:rPr>
        <w:t>Mental Health</w:t>
      </w:r>
    </w:p>
    <w:p w:rsidR="00A53D7D" w:rsidRDefault="00A53D7D" w:rsidP="005140B4">
      <w:pPr>
        <w:pStyle w:val="OGText"/>
        <w:rPr>
          <w:lang w:eastAsia="en-AU"/>
        </w:rPr>
      </w:pPr>
      <w:r w:rsidRPr="0048014E">
        <w:rPr>
          <w:lang w:eastAsia="en-AU"/>
        </w:rPr>
        <w:t>Mental Health outputs, including the provision of a range of inpatient, community</w:t>
      </w:r>
      <w:r>
        <w:rPr>
          <w:lang w:eastAsia="en-AU"/>
        </w:rPr>
        <w:noBreakHyphen/>
      </w:r>
      <w:r w:rsidRPr="0048014E">
        <w:rPr>
          <w:lang w:eastAsia="en-AU"/>
        </w:rPr>
        <w:t>based residential and ambulatory services which treat and support people with a mental illness and their families and carers, make a significant contribution to the government commitment to taking the next step; identifying mental illness early, and seeking to reduce its impact through providing timely acute care services and appropriate longer</w:t>
      </w:r>
      <w:r>
        <w:rPr>
          <w:lang w:eastAsia="en-AU"/>
        </w:rPr>
        <w:noBreakHyphen/>
      </w:r>
      <w:r w:rsidRPr="0048014E">
        <w:rPr>
          <w:lang w:eastAsia="en-AU"/>
        </w:rPr>
        <w:t>term accommodation and support for those living with a mental illness.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8C197D">
        <w:trPr>
          <w:cantSplit/>
        </w:trPr>
        <w:tc>
          <w:tcPr>
            <w:tcW w:w="7776" w:type="dxa"/>
            <w:gridSpan w:val="6"/>
            <w:tcBorders>
              <w:top w:val="single" w:sz="6" w:space="0" w:color="auto"/>
              <w:left w:val="nil"/>
              <w:right w:val="nil"/>
            </w:tcBorders>
            <w:shd w:val="clear" w:color="auto" w:fill="auto"/>
            <w:vAlign w:val="bottom"/>
            <w:hideMark/>
          </w:tcPr>
          <w:p w:rsidR="00A53D7D" w:rsidRPr="005E5444" w:rsidRDefault="00A53D7D" w:rsidP="005140B4">
            <w:pPr>
              <w:pStyle w:val="OGHeading2"/>
              <w:rPr>
                <w:lang w:eastAsia="en-AU"/>
              </w:rPr>
            </w:pPr>
            <w:r>
              <w:rPr>
                <w:lang w:eastAsia="en-AU"/>
              </w:rPr>
              <w:t>Clinical Care</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Text"/>
              <w:rPr>
                <w:lang w:eastAsia="en-AU"/>
              </w:rPr>
            </w:pPr>
            <w:r w:rsidRPr="0095394E">
              <w:rPr>
                <w:lang w:eastAsia="en-AU"/>
              </w:rPr>
              <w:t>A range of inpatient, residential and community</w:t>
            </w:r>
            <w:r>
              <w:rPr>
                <w:lang w:eastAsia="en-AU"/>
              </w:rPr>
              <w:noBreakHyphen/>
            </w:r>
            <w:r w:rsidRPr="0095394E">
              <w:rPr>
                <w:lang w:eastAsia="en-AU"/>
              </w:rPr>
              <w:t xml:space="preserve">based clinical services provided to people with mental </w:t>
            </w:r>
            <w:proofErr w:type="gramStart"/>
            <w:r w:rsidRPr="0095394E">
              <w:rPr>
                <w:lang w:eastAsia="en-AU"/>
              </w:rPr>
              <w:t>illness,</w:t>
            </w:r>
            <w:proofErr w:type="gramEnd"/>
            <w:r w:rsidRPr="0095394E">
              <w:rPr>
                <w:lang w:eastAsia="en-AU"/>
              </w:rPr>
              <w:t xml:space="preserve"> and their families so that those experiencing mental health problems can access timely, high</w:t>
            </w:r>
            <w:r>
              <w:rPr>
                <w:lang w:eastAsia="en-AU"/>
              </w:rPr>
              <w:noBreakHyphen/>
            </w:r>
            <w:r w:rsidRPr="0095394E">
              <w:rPr>
                <w:lang w:eastAsia="en-AU"/>
              </w:rPr>
              <w:t>quality care and support to recover and live successfully in the community.</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445E54" w:rsidRDefault="00A53D7D" w:rsidP="005140B4">
            <w:pPr>
              <w:pStyle w:val="OGTabText"/>
              <w:rPr>
                <w:lang w:eastAsia="en-AU"/>
              </w:rPr>
            </w:pPr>
            <w:r w:rsidRPr="00445E54">
              <w:rPr>
                <w:lang w:eastAsia="en-AU"/>
              </w:rPr>
              <w:t>Clinical inpatient</w:t>
            </w:r>
            <w:r>
              <w:rPr>
                <w:lang w:eastAsia="en-AU"/>
              </w:rPr>
              <w:t xml:space="preserve"> separations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21 260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22 000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20 995</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21 706</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445E54" w:rsidRDefault="00A53D7D" w:rsidP="005140B4">
            <w:pPr>
              <w:pStyle w:val="OGNotes"/>
            </w:pPr>
            <w:r w:rsidRPr="00445E54">
              <w:t>The higher 2014</w:t>
            </w:r>
            <w:r>
              <w:noBreakHyphen/>
            </w:r>
            <w:r w:rsidRPr="00445E54">
              <w:t xml:space="preserve">15 </w:t>
            </w:r>
            <w:r>
              <w:t>target</w:t>
            </w:r>
            <w:r w:rsidRPr="00445E54">
              <w:t xml:space="preserve"> </w:t>
            </w:r>
            <w:r>
              <w:t>reflects</w:t>
            </w:r>
            <w:r w:rsidRPr="00445E54">
              <w:t xml:space="preserve"> full</w:t>
            </w:r>
            <w:r>
              <w:noBreakHyphen/>
            </w:r>
            <w:r w:rsidRPr="00445E54">
              <w:t xml:space="preserve">year effect of </w:t>
            </w:r>
            <w:r>
              <w:t xml:space="preserve">the </w:t>
            </w:r>
            <w:r w:rsidRPr="00445E54">
              <w:t>2013</w:t>
            </w:r>
            <w:r>
              <w:noBreakHyphen/>
            </w:r>
            <w:r w:rsidRPr="00445E54">
              <w:t>14 Sustaining hospita</w:t>
            </w:r>
            <w:r>
              <w:t>l performance budget initiative.</w:t>
            </w:r>
          </w:p>
        </w:tc>
      </w:tr>
      <w:tr w:rsidR="00A53D7D" w:rsidRPr="005E5444" w:rsidTr="008C197D">
        <w:trPr>
          <w:cantSplit/>
        </w:trPr>
        <w:tc>
          <w:tcPr>
            <w:tcW w:w="3155" w:type="dxa"/>
            <w:tcBorders>
              <w:top w:val="nil"/>
              <w:left w:val="nil"/>
              <w:right w:val="nil"/>
            </w:tcBorders>
            <w:shd w:val="clear" w:color="000000" w:fill="FFFFFF"/>
          </w:tcPr>
          <w:p w:rsidR="00A53D7D" w:rsidRPr="007F343B" w:rsidRDefault="00A53D7D" w:rsidP="005140B4">
            <w:pPr>
              <w:pStyle w:val="OGTabText"/>
              <w:rPr>
                <w:lang w:eastAsia="en-AU"/>
              </w:rPr>
            </w:pPr>
            <w:r>
              <w:rPr>
                <w:lang w:eastAsia="en-AU"/>
              </w:rPr>
              <w:t>Community service hours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hours (000)</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1 047</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996</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1 047</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proofErr w:type="spellStart"/>
            <w:r>
              <w:rPr>
                <w:lang w:eastAsia="en-AU"/>
              </w:rPr>
              <w:t>na</w:t>
            </w:r>
            <w:proofErr w:type="spellEnd"/>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7F343B" w:rsidRDefault="00A53D7D" w:rsidP="005140B4">
            <w:pPr>
              <w:pStyle w:val="OGNotes"/>
            </w:pPr>
            <w:r w:rsidRPr="007F343B">
              <w:t>The 2012</w:t>
            </w:r>
            <w:r>
              <w:noBreakHyphen/>
              <w:t>13 A</w:t>
            </w:r>
            <w:r w:rsidRPr="007F343B">
              <w:t>ctual data for this measure is not available due to industrial</w:t>
            </w:r>
            <w:r>
              <w:t xml:space="preserve"> action.</w:t>
            </w:r>
          </w:p>
        </w:tc>
      </w:tr>
      <w:tr w:rsidR="00A53D7D" w:rsidRPr="005E5444" w:rsidTr="008C197D">
        <w:trPr>
          <w:cantSplit/>
        </w:trPr>
        <w:tc>
          <w:tcPr>
            <w:tcW w:w="3155" w:type="dxa"/>
            <w:tcBorders>
              <w:top w:val="nil"/>
              <w:left w:val="nil"/>
              <w:right w:val="nil"/>
            </w:tcBorders>
            <w:shd w:val="clear" w:color="000000" w:fill="FFFFFF"/>
          </w:tcPr>
          <w:p w:rsidR="00A53D7D" w:rsidRPr="00BC5C52" w:rsidRDefault="00A53D7D" w:rsidP="005140B4">
            <w:pPr>
              <w:pStyle w:val="OGTabText"/>
              <w:rPr>
                <w:lang w:eastAsia="en-AU"/>
              </w:rPr>
            </w:pPr>
            <w:r>
              <w:rPr>
                <w:lang w:eastAsia="en-AU"/>
              </w:rPr>
              <w:t>Sub</w:t>
            </w:r>
            <w:r>
              <w:rPr>
                <w:lang w:eastAsia="en-AU"/>
              </w:rPr>
              <w:noBreakHyphen/>
              <w:t>acute bed days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sidRPr="00BC5C52">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184 187</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BC5C52" w:rsidRDefault="00A53D7D" w:rsidP="005140B4">
            <w:pPr>
              <w:pStyle w:val="OGNotes"/>
            </w:pPr>
            <w:r w:rsidRPr="00BC5C52">
              <w:t>New performance measure for 2014</w:t>
            </w:r>
            <w:r>
              <w:noBreakHyphen/>
            </w:r>
            <w:r w:rsidRPr="00BC5C52">
              <w:t>15 to reflect Government priorit</w:t>
            </w:r>
            <w:r>
              <w:t>ies regarding mental health sub</w:t>
            </w:r>
            <w:r>
              <w:noBreakHyphen/>
            </w:r>
            <w:r w:rsidRPr="00BC5C52">
              <w:t>acute services. These targets have been split out of th</w:t>
            </w:r>
            <w:r>
              <w:t xml:space="preserve">e Residential bed </w:t>
            </w:r>
            <w:proofErr w:type="gramStart"/>
            <w:r>
              <w:t>days</w:t>
            </w:r>
            <w:proofErr w:type="gramEnd"/>
            <w:r>
              <w:t xml:space="preserve"> measure.</w:t>
            </w: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BC5C52">
              <w:rPr>
                <w:lang w:eastAsia="en-AU"/>
              </w:rPr>
              <w:t>New case index</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50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50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50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proofErr w:type="spellStart"/>
            <w:r>
              <w:rPr>
                <w:lang w:eastAsia="en-AU"/>
              </w:rPr>
              <w:t>na</w:t>
            </w:r>
            <w:proofErr w:type="spellEnd"/>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BC5C52" w:rsidRDefault="00A53D7D" w:rsidP="005140B4">
            <w:pPr>
              <w:pStyle w:val="OGNotes"/>
            </w:pPr>
            <w:r w:rsidRPr="00BC5C52">
              <w:t>The 2012</w:t>
            </w:r>
            <w:r>
              <w:noBreakHyphen/>
              <w:t>13 A</w:t>
            </w:r>
            <w:r w:rsidRPr="00BC5C52">
              <w:t>ctual data for this measure is not available due to industrial action.</w:t>
            </w: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BC5C52">
              <w:rPr>
                <w:lang w:eastAsia="en-AU"/>
              </w:rPr>
              <w:t>Registered community clients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60 000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60 000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60 000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proofErr w:type="spellStart"/>
            <w:r>
              <w:rPr>
                <w:lang w:eastAsia="en-AU"/>
              </w:rPr>
              <w:t>na</w:t>
            </w:r>
            <w:proofErr w:type="spellEnd"/>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Notes"/>
            </w:pPr>
            <w:r w:rsidRPr="00BC5C52">
              <w:t>The 2012</w:t>
            </w:r>
            <w:r>
              <w:noBreakHyphen/>
              <w:t>13 A</w:t>
            </w:r>
            <w:r w:rsidRPr="00BC5C52">
              <w:t>ctual data for this measure is not available due to industrial</w:t>
            </w:r>
            <w:r>
              <w:t xml:space="preserve"> action</w:t>
            </w:r>
            <w:r w:rsidRPr="00BC5C52">
              <w:t>.</w:t>
            </w:r>
          </w:p>
        </w:tc>
      </w:tr>
      <w:tr w:rsidR="00A53D7D" w:rsidRPr="005E5444" w:rsidTr="008C197D">
        <w:trPr>
          <w:cantSplit/>
        </w:trPr>
        <w:tc>
          <w:tcPr>
            <w:tcW w:w="3155" w:type="dxa"/>
            <w:tcBorders>
              <w:top w:val="nil"/>
              <w:left w:val="nil"/>
              <w:right w:val="nil"/>
            </w:tcBorders>
            <w:shd w:val="clear" w:color="000000" w:fill="FFFFFF"/>
          </w:tcPr>
          <w:p w:rsidR="00A53D7D" w:rsidRPr="00BC5C52" w:rsidRDefault="00A53D7D" w:rsidP="005140B4">
            <w:pPr>
              <w:pStyle w:val="OGTabText"/>
              <w:rPr>
                <w:lang w:eastAsia="en-AU"/>
              </w:rPr>
            </w:pPr>
            <w:r>
              <w:rPr>
                <w:lang w:eastAsia="en-AU"/>
              </w:rPr>
              <w:t>Residential bed days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200 750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365 200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373 980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353 844</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BC5C52" w:rsidRDefault="00A53D7D" w:rsidP="005140B4">
            <w:pPr>
              <w:pStyle w:val="OGNotes"/>
            </w:pPr>
            <w:r w:rsidRPr="00BC5C52">
              <w:t xml:space="preserve">The </w:t>
            </w:r>
            <w:r>
              <w:t>lower</w:t>
            </w:r>
            <w:r w:rsidRPr="00BC5C52">
              <w:t xml:space="preserve"> 2014</w:t>
            </w:r>
            <w:r>
              <w:noBreakHyphen/>
            </w:r>
            <w:r w:rsidRPr="00BC5C52">
              <w:t xml:space="preserve">15 </w:t>
            </w:r>
            <w:r>
              <w:t>target</w:t>
            </w:r>
            <w:r w:rsidRPr="00BC5C52">
              <w:t xml:space="preserve"> reflects the effect of splitting sub</w:t>
            </w:r>
            <w:r>
              <w:noBreakHyphen/>
            </w:r>
            <w:r w:rsidRPr="00BC5C52">
              <w:t>acute bed days from this measure to the new 'Sub</w:t>
            </w:r>
            <w:r>
              <w:noBreakHyphen/>
            </w:r>
            <w:r w:rsidRPr="00BC5C52">
              <w:t>acute bed days' meas</w:t>
            </w:r>
            <w:r>
              <w:t>ure.</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w:t>
            </w:r>
            <w:r>
              <w:rPr>
                <w:lang w:eastAsia="en-AU"/>
              </w:rPr>
              <w:t>l</w:t>
            </w:r>
            <w:r w:rsidRPr="005E5444">
              <w:rPr>
                <w:lang w:eastAsia="en-AU"/>
              </w:rPr>
              <w:t>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244084" w:rsidRDefault="00A53D7D" w:rsidP="005140B4">
            <w:pPr>
              <w:pStyle w:val="OGTabText"/>
            </w:pPr>
            <w:r w:rsidRPr="00244084">
              <w:rPr>
                <w:lang w:eastAsia="en-AU"/>
              </w:rPr>
              <w:t>Clients readmitted (unplanned) within 28 days</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14</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14</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14</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14</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244084">
              <w:rPr>
                <w:lang w:eastAsia="en-AU"/>
              </w:rPr>
              <w:t>New client index</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45</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45</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45</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47</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244084" w:rsidRDefault="00A53D7D" w:rsidP="005140B4">
            <w:pPr>
              <w:pStyle w:val="OGTabText"/>
            </w:pPr>
            <w:r w:rsidRPr="00244084">
              <w:rPr>
                <w:lang w:eastAsia="en-AU"/>
              </w:rPr>
              <w:t>Number of area mental health services achieving or maintaining accreditation under the National Standards for Mental Health Services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21</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21</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21</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21</w:t>
            </w:r>
          </w:p>
        </w:tc>
      </w:tr>
      <w:tr w:rsidR="00A53D7D" w:rsidRPr="005E5444" w:rsidTr="008C197D">
        <w:trPr>
          <w:cantSplit/>
        </w:trPr>
        <w:tc>
          <w:tcPr>
            <w:tcW w:w="3155" w:type="dxa"/>
            <w:tcBorders>
              <w:top w:val="single" w:sz="6" w:space="0" w:color="auto"/>
              <w:left w:val="nil"/>
              <w:right w:val="nil"/>
            </w:tcBorders>
            <w:shd w:val="clear" w:color="000000" w:fill="FFFFFF"/>
          </w:tcPr>
          <w:p w:rsidR="00A53D7D" w:rsidRPr="00244084" w:rsidRDefault="00A53D7D" w:rsidP="005140B4">
            <w:pPr>
              <w:pStyle w:val="OGTabText"/>
              <w:rPr>
                <w:lang w:eastAsia="en-AU"/>
              </w:rPr>
            </w:pPr>
            <w:r>
              <w:rPr>
                <w:lang w:eastAsia="en-AU"/>
              </w:rPr>
              <w:t>Post</w:t>
            </w:r>
            <w:r>
              <w:rPr>
                <w:lang w:eastAsia="en-AU"/>
              </w:rPr>
              <w:noBreakHyphen/>
              <w:t>discharge community care</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75</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85</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75</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proofErr w:type="spellStart"/>
            <w:r>
              <w:rPr>
                <w:lang w:eastAsia="en-AU"/>
              </w:rPr>
              <w:t>na</w:t>
            </w:r>
            <w:proofErr w:type="spellEnd"/>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244084" w:rsidRDefault="00A53D7D" w:rsidP="005140B4">
            <w:pPr>
              <w:pStyle w:val="OGNotes"/>
            </w:pPr>
            <w:r w:rsidRPr="00244084">
              <w:t>The 2012</w:t>
            </w:r>
            <w:r>
              <w:noBreakHyphen/>
              <w:t>13 A</w:t>
            </w:r>
            <w:r w:rsidRPr="00244084">
              <w:t>ctual data for this measure is not available due to industrial action</w:t>
            </w:r>
            <w:r>
              <w:t>.</w:t>
            </w:r>
          </w:p>
        </w:tc>
      </w:tr>
      <w:tr w:rsidR="00A53D7D" w:rsidRPr="005E5444" w:rsidTr="008C197D">
        <w:trPr>
          <w:cantSplit/>
        </w:trPr>
        <w:tc>
          <w:tcPr>
            <w:tcW w:w="3155" w:type="dxa"/>
            <w:tcBorders>
              <w:top w:val="nil"/>
              <w:left w:val="nil"/>
              <w:right w:val="nil"/>
            </w:tcBorders>
            <w:shd w:val="clear" w:color="000000" w:fill="FFFFFF"/>
          </w:tcPr>
          <w:p w:rsidR="00A53D7D" w:rsidRPr="003D2C11" w:rsidRDefault="00A53D7D" w:rsidP="005140B4">
            <w:pPr>
              <w:pStyle w:val="OGTabText"/>
              <w:keepNext/>
              <w:rPr>
                <w:lang w:eastAsia="en-AU"/>
              </w:rPr>
            </w:pPr>
            <w:r w:rsidRPr="003D2C11">
              <w:rPr>
                <w:lang w:eastAsia="en-AU"/>
              </w:rPr>
              <w:t>Pre</w:t>
            </w:r>
            <w:r>
              <w:rPr>
                <w:lang w:eastAsia="en-AU"/>
              </w:rPr>
              <w:noBreakHyphen/>
            </w:r>
            <w:r w:rsidRPr="003D2C11">
              <w:rPr>
                <w:lang w:eastAsia="en-AU"/>
              </w:rPr>
              <w:t>admission c</w:t>
            </w:r>
            <w:r>
              <w:rPr>
                <w:lang w:eastAsia="en-AU"/>
              </w:rPr>
              <w:t>ommunity care</w:t>
            </w:r>
          </w:p>
        </w:tc>
        <w:tc>
          <w:tcPr>
            <w:tcW w:w="907" w:type="dxa"/>
            <w:tcBorders>
              <w:top w:val="nil"/>
              <w:left w:val="nil"/>
              <w:right w:val="nil"/>
            </w:tcBorders>
            <w:shd w:val="clear" w:color="000000" w:fill="FFFFFF"/>
          </w:tcPr>
          <w:p w:rsidR="00A53D7D" w:rsidRPr="005E5444" w:rsidRDefault="00A53D7D" w:rsidP="005140B4">
            <w:pPr>
              <w:pStyle w:val="OGUoM"/>
              <w:keepNext/>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keepNext/>
              <w:rPr>
                <w:lang w:eastAsia="en-AU"/>
              </w:rPr>
            </w:pPr>
            <w:r>
              <w:rPr>
                <w:lang w:eastAsia="en-AU"/>
              </w:rPr>
              <w:t>60</w:t>
            </w:r>
          </w:p>
        </w:tc>
        <w:tc>
          <w:tcPr>
            <w:tcW w:w="993" w:type="dxa"/>
            <w:tcBorders>
              <w:top w:val="nil"/>
              <w:left w:val="nil"/>
              <w:right w:val="nil"/>
            </w:tcBorders>
            <w:shd w:val="clear" w:color="000000" w:fill="FFFFFF"/>
          </w:tcPr>
          <w:p w:rsidR="00A53D7D" w:rsidRPr="005E5444" w:rsidRDefault="00A53D7D" w:rsidP="005140B4">
            <w:pPr>
              <w:pStyle w:val="OGTableofFigures"/>
              <w:keepNext/>
              <w:rPr>
                <w:lang w:eastAsia="en-AU"/>
              </w:rPr>
            </w:pPr>
            <w:r>
              <w:rPr>
                <w:lang w:eastAsia="en-AU"/>
              </w:rPr>
              <w:t>56</w:t>
            </w:r>
          </w:p>
        </w:tc>
        <w:tc>
          <w:tcPr>
            <w:tcW w:w="907" w:type="dxa"/>
            <w:tcBorders>
              <w:top w:val="nil"/>
              <w:left w:val="nil"/>
              <w:right w:val="nil"/>
            </w:tcBorders>
            <w:shd w:val="clear" w:color="000000" w:fill="FFFFFF"/>
          </w:tcPr>
          <w:p w:rsidR="00A53D7D" w:rsidRPr="005E5444" w:rsidRDefault="00A53D7D" w:rsidP="005140B4">
            <w:pPr>
              <w:pStyle w:val="OGTableofFigures"/>
              <w:keepNext/>
              <w:rPr>
                <w:lang w:eastAsia="en-AU"/>
              </w:rPr>
            </w:pPr>
            <w:r>
              <w:rPr>
                <w:lang w:eastAsia="en-AU"/>
              </w:rPr>
              <w:t>60</w:t>
            </w:r>
          </w:p>
        </w:tc>
        <w:tc>
          <w:tcPr>
            <w:tcW w:w="907" w:type="dxa"/>
            <w:tcBorders>
              <w:top w:val="nil"/>
              <w:left w:val="nil"/>
              <w:right w:val="nil"/>
            </w:tcBorders>
            <w:shd w:val="clear" w:color="000000" w:fill="FFFFFF"/>
          </w:tcPr>
          <w:p w:rsidR="00A53D7D" w:rsidRPr="005E5444" w:rsidRDefault="00A53D7D" w:rsidP="005140B4">
            <w:pPr>
              <w:pStyle w:val="OGTableofFigures"/>
              <w:keepNext/>
              <w:rPr>
                <w:lang w:eastAsia="en-AU"/>
              </w:rPr>
            </w:pPr>
            <w:proofErr w:type="spellStart"/>
            <w:r>
              <w:rPr>
                <w:lang w:eastAsia="en-AU"/>
              </w:rPr>
              <w:t>na</w:t>
            </w:r>
            <w:proofErr w:type="spellEnd"/>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rsidRPr="003D2C11">
              <w:t>The 2012</w:t>
            </w:r>
            <w:r>
              <w:noBreakHyphen/>
            </w:r>
            <w:r w:rsidRPr="003D2C11">
              <w:t xml:space="preserve">13 </w:t>
            </w:r>
            <w:r>
              <w:t>A</w:t>
            </w:r>
            <w:r w:rsidRPr="003D2C11">
              <w:t>ctual data for this measure is not available due to industrial action</w:t>
            </w:r>
            <w:r>
              <w:t>.</w:t>
            </w:r>
          </w:p>
          <w:p w:rsidR="00A53D7D" w:rsidRPr="003D2C11" w:rsidRDefault="00A53D7D" w:rsidP="005140B4">
            <w:pPr>
              <w:pStyle w:val="OGNotes"/>
            </w:pPr>
            <w:r w:rsidRPr="003D2C11">
              <w:t>The 2013</w:t>
            </w:r>
            <w:r>
              <w:noBreakHyphen/>
            </w:r>
            <w:r w:rsidRPr="003D2C11">
              <w:t xml:space="preserve">14 </w:t>
            </w:r>
            <w:r>
              <w:t>expected outcome</w:t>
            </w:r>
            <w:r w:rsidRPr="003D2C11">
              <w:t xml:space="preserve"> is lower than the 2013</w:t>
            </w:r>
            <w:r>
              <w:noBreakHyphen/>
            </w:r>
            <w:r w:rsidRPr="003D2C11">
              <w:t xml:space="preserve">14 </w:t>
            </w:r>
            <w:r>
              <w:t>target</w:t>
            </w:r>
            <w:r w:rsidRPr="003D2C11">
              <w:t xml:space="preserve"> as a result of a higher proportion of admissions involving individuals who have not had any prior involvement with the clinical mental health system, with high numbers of admissions direc</w:t>
            </w:r>
            <w:r>
              <w:t>tly from emergency departments.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0D3292">
              <w:rPr>
                <w:lang w:eastAsia="en-AU"/>
              </w:rPr>
              <w:t>Emergency patients admitted to a mental health bed within eight hours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80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68</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80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69</w:t>
            </w:r>
          </w:p>
        </w:tc>
      </w:tr>
      <w:tr w:rsidR="00A53D7D" w:rsidRPr="005E5444" w:rsidTr="005140B4">
        <w:trPr>
          <w:cantSplit/>
        </w:trPr>
        <w:tc>
          <w:tcPr>
            <w:tcW w:w="7776" w:type="dxa"/>
            <w:gridSpan w:val="6"/>
            <w:tcBorders>
              <w:top w:val="nil"/>
              <w:left w:val="nil"/>
              <w:bottom w:val="nil"/>
              <w:right w:val="nil"/>
            </w:tcBorders>
            <w:shd w:val="clear" w:color="000000" w:fill="FFFFFF"/>
          </w:tcPr>
          <w:p w:rsidR="00A53D7D" w:rsidRDefault="00A53D7D" w:rsidP="005140B4">
            <w:pPr>
              <w:pStyle w:val="OGNotes"/>
            </w:pPr>
            <w:r w:rsidRPr="008B1143">
              <w:t>The 2013</w:t>
            </w:r>
            <w:r>
              <w:noBreakHyphen/>
            </w:r>
            <w:r w:rsidRPr="008B1143">
              <w:t xml:space="preserve">14 </w:t>
            </w:r>
            <w:r>
              <w:t>expected outcome</w:t>
            </w:r>
            <w:r w:rsidRPr="008B1143">
              <w:t xml:space="preserve"> is less than the 2013</w:t>
            </w:r>
            <w:r>
              <w:noBreakHyphen/>
            </w:r>
            <w:r w:rsidRPr="008B1143">
              <w:t xml:space="preserve">14 </w:t>
            </w:r>
            <w:r>
              <w:t>target</w:t>
            </w:r>
            <w:r w:rsidRPr="008B1143">
              <w:t xml:space="preserve"> due to the high number of presentations in large volume Metropolitan E</w:t>
            </w:r>
            <w:r>
              <w:t xml:space="preserve">mergency </w:t>
            </w:r>
            <w:r w:rsidRPr="008B1143">
              <w:t>D</w:t>
            </w:r>
            <w:r>
              <w:t>epartment</w:t>
            </w:r>
            <w:r w:rsidRPr="008B1143">
              <w:t>s. Efforts by services to improve efficiency, plus additional bed stock, development of Psychiatric Assessment and Planning Units, and system enhancement initiatives such as the Mental Health Hospital Admission Risk Reduction Program will start to show an improvement in results in coming quarters. The rural result is more consistent and generally sits at or around the 80</w:t>
            </w:r>
            <w:r>
              <w:t> per cent</w:t>
            </w:r>
            <w:r w:rsidRPr="008B1143">
              <w:t xml:space="preserve"> target</w:t>
            </w:r>
            <w:r>
              <w:t>.</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0D3292">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Pr>
                <w:lang w:eastAsia="en-AU"/>
              </w:rPr>
              <w:t>1 </w:t>
            </w:r>
            <w:r w:rsidRPr="002D55F8">
              <w:rPr>
                <w:lang w:eastAsia="en-AU"/>
              </w:rPr>
              <w:t>140.3</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Pr>
                <w:lang w:eastAsia="en-AU"/>
              </w:rPr>
              <w:t>1 </w:t>
            </w:r>
            <w:r w:rsidRPr="002D55F8">
              <w:rPr>
                <w:lang w:eastAsia="en-AU"/>
              </w:rPr>
              <w:t>053.0</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Pr>
                <w:lang w:eastAsia="en-AU"/>
              </w:rPr>
              <w:t>1 </w:t>
            </w:r>
            <w:r w:rsidRPr="002D55F8">
              <w:rPr>
                <w:lang w:eastAsia="en-AU"/>
              </w:rPr>
              <w:t>085.9</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992.2</w:t>
            </w:r>
          </w:p>
        </w:tc>
      </w:tr>
      <w:tr w:rsidR="00A53D7D" w:rsidRPr="005E5444" w:rsidTr="008C197D">
        <w:trPr>
          <w:cantSplit/>
        </w:trPr>
        <w:tc>
          <w:tcPr>
            <w:tcW w:w="7776" w:type="dxa"/>
            <w:gridSpan w:val="6"/>
            <w:tcBorders>
              <w:top w:val="nil"/>
              <w:left w:val="nil"/>
              <w:bottom w:val="single" w:sz="6" w:space="0" w:color="auto"/>
              <w:right w:val="nil"/>
            </w:tcBorders>
            <w:shd w:val="clear" w:color="000000" w:fill="FFFFFF"/>
          </w:tcPr>
          <w:p w:rsidR="00A53D7D" w:rsidRPr="002D55F8" w:rsidRDefault="00A53D7D" w:rsidP="005140B4">
            <w:pPr>
              <w:pStyle w:val="OGNotes"/>
            </w:pPr>
            <w:r w:rsidRPr="006101A6">
              <w:t>The higher 2014</w:t>
            </w:r>
            <w:r>
              <w:noBreakHyphen/>
            </w:r>
            <w:r w:rsidRPr="006101A6">
              <w:t xml:space="preserve">15 </w:t>
            </w:r>
            <w:r>
              <w:t>target</w:t>
            </w:r>
            <w:r w:rsidRPr="006101A6">
              <w:t xml:space="preserve"> reflects funding for implementation of policy initiatives announced in the </w:t>
            </w:r>
            <w:r w:rsidRPr="00FD6BAC">
              <w:rPr>
                <w:i w:val="0"/>
              </w:rPr>
              <w:t>2014</w:t>
            </w:r>
            <w:r>
              <w:rPr>
                <w:i w:val="0"/>
              </w:rPr>
              <w:noBreakHyphen/>
            </w:r>
            <w:r w:rsidRPr="00FD6BAC">
              <w:rPr>
                <w:i w:val="0"/>
              </w:rPr>
              <w:t>15 Budget</w:t>
            </w:r>
            <w:r>
              <w:t xml:space="preserve"> and previous budgets.</w:t>
            </w:r>
          </w:p>
        </w:tc>
      </w:tr>
      <w:tr w:rsidR="00A53D7D" w:rsidRPr="005E5444" w:rsidTr="008C197D">
        <w:trPr>
          <w:cantSplit/>
          <w:trHeight w:val="142"/>
        </w:trPr>
        <w:tc>
          <w:tcPr>
            <w:tcW w:w="7776" w:type="dxa"/>
            <w:gridSpan w:val="6"/>
            <w:tcBorders>
              <w:top w:val="single" w:sz="6" w:space="0" w:color="auto"/>
              <w:left w:val="nil"/>
              <w:right w:val="nil"/>
            </w:tcBorders>
            <w:shd w:val="clear" w:color="auto" w:fill="auto"/>
            <w:vAlign w:val="bottom"/>
            <w:hideMark/>
          </w:tcPr>
          <w:p w:rsidR="00A53D7D" w:rsidRPr="005E5444" w:rsidRDefault="00A53D7D" w:rsidP="005140B4">
            <w:pPr>
              <w:pStyle w:val="OGHeading2"/>
              <w:rPr>
                <w:lang w:eastAsia="en-AU"/>
              </w:rPr>
            </w:pPr>
            <w:r w:rsidRPr="00B83D39">
              <w:rPr>
                <w:lang w:eastAsia="en-AU"/>
              </w:rPr>
              <w:t>Mental Health Community Support Services (MHCSS)</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5444" w:rsidRDefault="00A53D7D" w:rsidP="005140B4">
            <w:pPr>
              <w:pStyle w:val="OGText"/>
              <w:rPr>
                <w:lang w:eastAsia="en-AU"/>
              </w:rPr>
            </w:pPr>
            <w:r w:rsidRPr="00B83D39">
              <w:rPr>
                <w:lang w:eastAsia="en-AU"/>
              </w:rPr>
              <w:t>A range of rehabilitation and support services provided to youth and adults with a psychiatric disability, and their families and carers, so that those experiencing mental health problems can access timely, high</w:t>
            </w:r>
            <w:r>
              <w:rPr>
                <w:lang w:eastAsia="en-AU"/>
              </w:rPr>
              <w:noBreakHyphen/>
            </w:r>
            <w:r w:rsidRPr="00B83D39">
              <w:rPr>
                <w:lang w:eastAsia="en-AU"/>
              </w:rPr>
              <w:t>quality care and support to recover and reintegrate into the community.</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6760C3" w:rsidRDefault="00A53D7D" w:rsidP="005140B4">
            <w:pPr>
              <w:pStyle w:val="OGTabText"/>
              <w:rPr>
                <w:lang w:eastAsia="en-AU"/>
              </w:rPr>
            </w:pPr>
            <w:r>
              <w:rPr>
                <w:lang w:eastAsia="en-AU"/>
              </w:rPr>
              <w:t>Bed days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87 000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86 000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87 000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proofErr w:type="spellStart"/>
            <w:r>
              <w:rPr>
                <w:lang w:eastAsia="en-AU"/>
              </w:rPr>
              <w:t>na</w:t>
            </w:r>
            <w:proofErr w:type="spellEnd"/>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6760C3" w:rsidRDefault="00A53D7D" w:rsidP="005140B4">
            <w:pPr>
              <w:pStyle w:val="OGNotes"/>
            </w:pPr>
            <w:r w:rsidRPr="006760C3">
              <w:t>The 2012</w:t>
            </w:r>
            <w:r>
              <w:noBreakHyphen/>
            </w:r>
            <w:r w:rsidRPr="006760C3">
              <w:t xml:space="preserve">13 </w:t>
            </w:r>
            <w:r>
              <w:t>A</w:t>
            </w:r>
            <w:r w:rsidRPr="006760C3">
              <w:t>ctual data for this measure is not available due to industrial action</w:t>
            </w:r>
            <w:r>
              <w:t>.</w:t>
            </w: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6760C3">
              <w:rPr>
                <w:lang w:eastAsia="en-AU"/>
              </w:rPr>
              <w:t>Client Support Units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783 100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Notes"/>
            </w:pPr>
            <w:r w:rsidRPr="006760C3">
              <w:t>This performance measure is proposed to replace the 2013</w:t>
            </w:r>
            <w:r>
              <w:noBreakHyphen/>
            </w:r>
            <w:r w:rsidRPr="006760C3">
              <w:t>14 performance measure 'Contact hours'. It has been replaced to more accurately reflect Government priorities regarding sector reform of Mental Health Community Support Services.</w:t>
            </w: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F90393">
              <w:rPr>
                <w:lang w:eastAsia="en-AU"/>
              </w:rPr>
              <w:t>Clients receiving community mental health support services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12 600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12 600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12 600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13 100</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F90393" w:rsidRDefault="00A53D7D" w:rsidP="005140B4">
            <w:pPr>
              <w:pStyle w:val="OGNotes"/>
            </w:pPr>
            <w:r w:rsidRPr="00F90393">
              <w:t>This performance measure renames the 2013</w:t>
            </w:r>
            <w:r>
              <w:noBreakHyphen/>
            </w:r>
            <w:r w:rsidRPr="00F90393">
              <w:t>14 performance measures 'Clients receiving psychiat</w:t>
            </w:r>
            <w:r>
              <w:t>ric disability support services’.</w:t>
            </w:r>
            <w:r w:rsidRPr="00F90393">
              <w:t xml:space="preserve"> The new measure reports on the same activity as the previous measure however has been amen</w:t>
            </w:r>
            <w:r>
              <w:t>ded for increased clarity.</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6760C3" w:rsidRDefault="00A53D7D" w:rsidP="005140B4">
            <w:pPr>
              <w:pStyle w:val="OGTabText"/>
              <w:rPr>
                <w:lang w:eastAsia="en-AU"/>
              </w:rPr>
            </w:pPr>
            <w:r w:rsidRPr="00A97018">
              <w:rPr>
                <w:lang w:eastAsia="en-AU"/>
              </w:rPr>
              <w:t>Proportion of major agencies accredited</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right w:val="nil"/>
            </w:tcBorders>
            <w:shd w:val="clear" w:color="000000" w:fill="FFFFFF"/>
          </w:tcPr>
          <w:p w:rsidR="00A53D7D" w:rsidRPr="006760C3" w:rsidRDefault="00A53D7D" w:rsidP="005140B4">
            <w:pPr>
              <w:pStyle w:val="OGTabText"/>
              <w:rPr>
                <w:lang w:eastAsia="en-AU"/>
              </w:rPr>
            </w:pPr>
            <w:r w:rsidRPr="00A97018">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sidRPr="002D55F8">
              <w:rPr>
                <w:lang w:eastAsia="en-AU"/>
              </w:rPr>
              <w:t>120.2</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115.2</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117.3</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105.6</w:t>
            </w:r>
          </w:p>
        </w:tc>
      </w:tr>
      <w:tr w:rsidR="00A53D7D" w:rsidRPr="005E5444" w:rsidTr="005140B4">
        <w:trPr>
          <w:cantSplit/>
        </w:trPr>
        <w:tc>
          <w:tcPr>
            <w:tcW w:w="7776" w:type="dxa"/>
            <w:gridSpan w:val="6"/>
            <w:tcBorders>
              <w:left w:val="nil"/>
              <w:bottom w:val="single" w:sz="12" w:space="0" w:color="auto"/>
              <w:right w:val="nil"/>
            </w:tcBorders>
            <w:shd w:val="clear" w:color="000000" w:fill="FFFFFF"/>
          </w:tcPr>
          <w:p w:rsidR="00A53D7D" w:rsidRPr="002D55F8" w:rsidRDefault="00A53D7D" w:rsidP="005140B4">
            <w:pPr>
              <w:pStyle w:val="OGNotes"/>
            </w:pPr>
            <w:r>
              <w:t>The higher 2014</w:t>
            </w:r>
            <w:r>
              <w:noBreakHyphen/>
              <w:t>15 target mainly reflects the impact of the social and community services pay equity case.</w:t>
            </w:r>
          </w:p>
        </w:tc>
      </w:tr>
    </w:tbl>
    <w:p w:rsidR="00A53D7D" w:rsidRDefault="00A53D7D" w:rsidP="005140B4">
      <w:pPr>
        <w:pStyle w:val="Source"/>
        <w:rPr>
          <w:lang w:eastAsia="en-AU"/>
        </w:rPr>
      </w:pPr>
      <w:r>
        <w:rPr>
          <w:lang w:eastAsia="en-AU"/>
        </w:rPr>
        <w:t>Source: Department of Health</w:t>
      </w:r>
      <w:r>
        <w:rPr>
          <w:lang w:eastAsia="en-AU"/>
        </w:rPr>
        <w:fldChar w:fldCharType="begin"/>
      </w:r>
      <w:r>
        <w:instrText xml:space="preserve"> XE "</w:instrText>
      </w:r>
      <w:r w:rsidRPr="003616B0">
        <w:rPr>
          <w:lang w:eastAsia="en-AU"/>
        </w:rPr>
        <w:instrText>Department of Health</w:instrText>
      </w:r>
      <w:r w:rsidRPr="003616B0">
        <w:instrText>:Mental Health</w:instrText>
      </w:r>
      <w:r>
        <w:instrText xml:space="preserve">" \r "DHMentalHlth" </w:instrText>
      </w:r>
      <w:r>
        <w:rPr>
          <w:lang w:eastAsia="en-AU"/>
        </w:rPr>
        <w:fldChar w:fldCharType="end"/>
      </w:r>
      <w:r>
        <w:rPr>
          <w:lang w:eastAsia="en-AU"/>
        </w:rPr>
        <w:fldChar w:fldCharType="begin"/>
      </w:r>
      <w:r>
        <w:instrText xml:space="preserve"> XE "</w:instrText>
      </w:r>
      <w:r w:rsidRPr="008F564C">
        <w:rPr>
          <w:lang w:eastAsia="en-AU"/>
        </w:rPr>
        <w:instrText>Mental Health</w:instrText>
      </w:r>
      <w:r>
        <w:instrText xml:space="preserve">" \r "DHMentalHlth" </w:instrText>
      </w:r>
      <w:r>
        <w:rPr>
          <w:lang w:eastAsia="en-AU"/>
        </w:rPr>
        <w:fldChar w:fldCharType="end"/>
      </w:r>
      <w:r>
        <w:rPr>
          <w:lang w:eastAsia="en-AU"/>
        </w:rPr>
        <w:t xml:space="preserve"> </w:t>
      </w:r>
      <w:bookmarkEnd w:id="90"/>
    </w:p>
    <w:p w:rsidR="00A53D7D" w:rsidRDefault="00A53D7D" w:rsidP="005140B4">
      <w:pPr>
        <w:pStyle w:val="OGText"/>
        <w:rPr>
          <w:b/>
          <w:sz w:val="32"/>
          <w:szCs w:val="28"/>
          <w:lang w:eastAsia="en-AU"/>
        </w:rPr>
      </w:pPr>
      <w:bookmarkStart w:id="91" w:name="DHAgeing"/>
      <w:r w:rsidRPr="00E35727">
        <w:rPr>
          <w:b/>
          <w:sz w:val="32"/>
          <w:szCs w:val="28"/>
          <w:lang w:eastAsia="en-AU"/>
        </w:rPr>
        <w:t>A</w:t>
      </w:r>
      <w:r>
        <w:rPr>
          <w:b/>
          <w:sz w:val="32"/>
          <w:szCs w:val="28"/>
          <w:lang w:eastAsia="en-AU"/>
        </w:rPr>
        <w:t>geing, Aged and Home Care</w:t>
      </w:r>
    </w:p>
    <w:p w:rsidR="00A53D7D" w:rsidRDefault="00A53D7D" w:rsidP="005140B4">
      <w:pPr>
        <w:pStyle w:val="OGText"/>
        <w:rPr>
          <w:lang w:eastAsia="en-AU"/>
        </w:rPr>
      </w:pPr>
      <w:r w:rsidRPr="00E35727">
        <w:rPr>
          <w:lang w:eastAsia="en-AU"/>
        </w:rPr>
        <w:t>Ageing, Aged and Home Care outputs encompass leading and coordinating the whole of government policy on issues affecting our ageing community. It includes a range of in</w:t>
      </w:r>
      <w:r>
        <w:rPr>
          <w:lang w:eastAsia="en-AU"/>
        </w:rPr>
        <w:noBreakHyphen/>
      </w:r>
      <w:r w:rsidRPr="00E35727">
        <w:rPr>
          <w:lang w:eastAsia="en-AU"/>
        </w:rPr>
        <w:t xml:space="preserve">home, specialist geriatric, residential </w:t>
      </w:r>
      <w:proofErr w:type="gramStart"/>
      <w:r w:rsidRPr="00E35727">
        <w:rPr>
          <w:lang w:eastAsia="en-AU"/>
        </w:rPr>
        <w:t>care</w:t>
      </w:r>
      <w:proofErr w:type="gramEnd"/>
      <w:r w:rsidRPr="00E35727">
        <w:rPr>
          <w:lang w:eastAsia="en-AU"/>
        </w:rPr>
        <w:t xml:space="preserve"> and community</w:t>
      </w:r>
      <w:r>
        <w:rPr>
          <w:lang w:eastAsia="en-AU"/>
        </w:rPr>
        <w:noBreakHyphen/>
      </w:r>
      <w:r w:rsidRPr="00E35727">
        <w:rPr>
          <w:lang w:eastAsia="en-AU"/>
        </w:rPr>
        <w:t>based programs, such as Home and Community Care (HACC), that are targeted to older people, people with a disa</w:t>
      </w:r>
      <w:r>
        <w:rPr>
          <w:lang w:eastAsia="en-AU"/>
        </w:rPr>
        <w:t xml:space="preserve">bility, and their </w:t>
      </w:r>
      <w:proofErr w:type="spellStart"/>
      <w:r>
        <w:rPr>
          <w:lang w:eastAsia="en-AU"/>
        </w:rPr>
        <w:t>carers</w:t>
      </w:r>
      <w:proofErr w:type="spellEnd"/>
      <w:r>
        <w:rPr>
          <w:lang w:eastAsia="en-AU"/>
        </w:rPr>
        <w:t>.</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8C197D">
        <w:trPr>
          <w:cantSplit/>
        </w:trPr>
        <w:tc>
          <w:tcPr>
            <w:tcW w:w="7776" w:type="dxa"/>
            <w:gridSpan w:val="6"/>
            <w:tcBorders>
              <w:top w:val="single" w:sz="6" w:space="0" w:color="auto"/>
              <w:left w:val="nil"/>
              <w:right w:val="nil"/>
            </w:tcBorders>
            <w:shd w:val="clear" w:color="auto" w:fill="auto"/>
            <w:vAlign w:val="bottom"/>
          </w:tcPr>
          <w:p w:rsidR="00A53D7D" w:rsidRPr="005E5444" w:rsidRDefault="00A53D7D" w:rsidP="005140B4">
            <w:pPr>
              <w:pStyle w:val="OGHeading2"/>
              <w:rPr>
                <w:lang w:eastAsia="en-AU"/>
              </w:rPr>
            </w:pPr>
            <w:r w:rsidRPr="00F85157">
              <w:rPr>
                <w:lang w:eastAsia="en-AU"/>
              </w:rPr>
              <w:t>Seniors P</w:t>
            </w:r>
            <w:r>
              <w:rPr>
                <w:lang w:eastAsia="en-AU"/>
              </w:rPr>
              <w:t>rograms and Participation</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rPr>
                <w:lang w:eastAsia="en-AU"/>
              </w:rPr>
            </w:pPr>
            <w:r w:rsidRPr="00F85157">
              <w:rPr>
                <w:lang w:eastAsia="en-AU"/>
              </w:rPr>
              <w:t>Support broader community planning processes to facilitate an integrated community planning and response approach aimed at encouraging older Victorians to fully participate an</w:t>
            </w:r>
            <w:r>
              <w:rPr>
                <w:lang w:eastAsia="en-AU"/>
              </w:rPr>
              <w:t>d engage in the community.</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445E54" w:rsidRDefault="00A53D7D" w:rsidP="005140B4">
            <w:pPr>
              <w:pStyle w:val="OGTabText"/>
              <w:rPr>
                <w:lang w:eastAsia="en-AU"/>
              </w:rPr>
            </w:pPr>
            <w:r w:rsidRPr="00F85157">
              <w:rPr>
                <w:lang w:eastAsia="en-AU"/>
              </w:rPr>
              <w:t>New University of the Third Age (U3A) programs funded</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45–60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65</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45–60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58</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F85157" w:rsidRDefault="00A53D7D" w:rsidP="005140B4">
            <w:pPr>
              <w:pStyle w:val="OGNotes"/>
            </w:pPr>
            <w:r w:rsidRPr="00F85157">
              <w:t>The 2013</w:t>
            </w:r>
            <w:r>
              <w:noBreakHyphen/>
            </w:r>
            <w:r w:rsidRPr="00F85157">
              <w:t xml:space="preserve">14 </w:t>
            </w:r>
            <w:r>
              <w:t>expected outcome</w:t>
            </w:r>
            <w:r w:rsidRPr="00F85157">
              <w:t xml:space="preserve"> is higher than the 2013</w:t>
            </w:r>
            <w:r>
              <w:noBreakHyphen/>
            </w:r>
            <w:r w:rsidRPr="00F85157">
              <w:t xml:space="preserve">14 </w:t>
            </w:r>
            <w:r>
              <w:t>target</w:t>
            </w:r>
            <w:r w:rsidRPr="00F85157">
              <w:t xml:space="preserve"> due to a higher number of funded programs than the initial estimated target.</w:t>
            </w:r>
          </w:p>
        </w:tc>
      </w:tr>
      <w:tr w:rsidR="00A53D7D" w:rsidRPr="005E5444" w:rsidTr="005140B4">
        <w:trPr>
          <w:cantSplit/>
        </w:trPr>
        <w:tc>
          <w:tcPr>
            <w:tcW w:w="3155" w:type="dxa"/>
            <w:tcBorders>
              <w:top w:val="nil"/>
              <w:left w:val="nil"/>
              <w:bottom w:val="nil"/>
              <w:right w:val="nil"/>
            </w:tcBorders>
            <w:shd w:val="clear" w:color="000000" w:fill="FFFFFF"/>
          </w:tcPr>
          <w:p w:rsidR="00A53D7D" w:rsidRPr="00F85157" w:rsidRDefault="00A53D7D" w:rsidP="005140B4">
            <w:pPr>
              <w:pStyle w:val="OGTabText"/>
              <w:rPr>
                <w:lang w:eastAsia="en-AU"/>
              </w:rPr>
            </w:pPr>
            <w:r w:rsidRPr="00F85157">
              <w:rPr>
                <w:lang w:eastAsia="en-AU"/>
              </w:rPr>
              <w:t>Number of hits on Seniors Online</w:t>
            </w:r>
            <w:r>
              <w:rPr>
                <w:lang w:eastAsia="en-AU"/>
              </w:rPr>
              <w:t xml:space="preserve"> cost</w:t>
            </w:r>
            <w:r>
              <w:rPr>
                <w:lang w:eastAsia="en-AU"/>
              </w:rPr>
              <w:noBreakHyphen/>
              <w:t>savings information pages</w:t>
            </w:r>
          </w:p>
        </w:tc>
        <w:tc>
          <w:tcPr>
            <w:tcW w:w="907" w:type="dxa"/>
            <w:tcBorders>
              <w:top w:val="nil"/>
              <w:left w:val="nil"/>
              <w:bottom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bottom w:val="nil"/>
              <w:right w:val="nil"/>
            </w:tcBorders>
            <w:shd w:val="clear" w:color="auto" w:fill="D9D9D9"/>
          </w:tcPr>
          <w:p w:rsidR="00A53D7D" w:rsidRPr="005E5444" w:rsidRDefault="00A53D7D" w:rsidP="005140B4">
            <w:pPr>
              <w:pStyle w:val="OGTableofFigures"/>
              <w:rPr>
                <w:lang w:eastAsia="en-AU"/>
              </w:rPr>
            </w:pPr>
            <w:r>
              <w:rPr>
                <w:lang w:eastAsia="en-AU"/>
              </w:rPr>
              <w:t>40 000</w:t>
            </w:r>
          </w:p>
        </w:tc>
        <w:tc>
          <w:tcPr>
            <w:tcW w:w="993" w:type="dxa"/>
            <w:tcBorders>
              <w:top w:val="nil"/>
              <w:left w:val="nil"/>
              <w:bottom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bottom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bottom w:val="nil"/>
              <w:right w:val="nil"/>
            </w:tcBorders>
            <w:shd w:val="clear" w:color="000000" w:fill="FFFFFF"/>
          </w:tcPr>
          <w:p w:rsidR="00A53D7D" w:rsidRPr="005E5444" w:rsidRDefault="00A53D7D" w:rsidP="005140B4">
            <w:pPr>
              <w:pStyle w:val="OGTableofFigures"/>
              <w:rPr>
                <w:lang w:eastAsia="en-AU"/>
              </w:rPr>
            </w:pPr>
            <w:r>
              <w:rPr>
                <w:lang w:eastAsia="en-AU"/>
              </w:rPr>
              <w:t>nm</w:t>
            </w:r>
          </w:p>
        </w:tc>
      </w:tr>
      <w:tr w:rsidR="00A53D7D" w:rsidRPr="005E5444" w:rsidTr="008C197D">
        <w:trPr>
          <w:cantSplit/>
        </w:trPr>
        <w:tc>
          <w:tcPr>
            <w:tcW w:w="7776" w:type="dxa"/>
            <w:gridSpan w:val="6"/>
            <w:tcBorders>
              <w:top w:val="nil"/>
              <w:left w:val="nil"/>
              <w:bottom w:val="single" w:sz="6" w:space="0" w:color="auto"/>
              <w:right w:val="nil"/>
            </w:tcBorders>
            <w:shd w:val="clear" w:color="auto" w:fill="auto"/>
            <w:vAlign w:val="bottom"/>
          </w:tcPr>
          <w:p w:rsidR="00A53D7D" w:rsidRPr="00F85157" w:rsidRDefault="00A53D7D" w:rsidP="005140B4">
            <w:pPr>
              <w:pStyle w:val="OGNotes"/>
            </w:pPr>
            <w:r w:rsidRPr="00F85157">
              <w:t>New performance measure for 2014</w:t>
            </w:r>
            <w:r>
              <w:noBreakHyphen/>
            </w:r>
            <w:r w:rsidRPr="00F85157">
              <w:t>15 to reflect Government priorities to assist senior Victorians</w:t>
            </w:r>
            <w:r>
              <w:t xml:space="preserve"> to save money on energy costs.</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445E54" w:rsidRDefault="00A53D7D" w:rsidP="005140B4">
            <w:pPr>
              <w:pStyle w:val="OGTabText"/>
              <w:rPr>
                <w:lang w:eastAsia="en-AU"/>
              </w:rPr>
            </w:pPr>
            <w:r w:rsidRPr="00020790">
              <w:rPr>
                <w:lang w:eastAsia="en-AU"/>
              </w:rPr>
              <w:t>Seniors funded activities and programs: number approved</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110–130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110–130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110–130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151</w:t>
            </w:r>
          </w:p>
        </w:tc>
      </w:tr>
      <w:tr w:rsidR="00A53D7D" w:rsidRPr="005E5444" w:rsidTr="008C197D">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4" w:space="0" w:color="auto"/>
              <w:right w:val="nil"/>
            </w:tcBorders>
            <w:shd w:val="clear" w:color="000000" w:fill="FFFFFF"/>
          </w:tcPr>
          <w:p w:rsidR="00A53D7D" w:rsidRPr="00445E54" w:rsidRDefault="00A53D7D" w:rsidP="005140B4">
            <w:pPr>
              <w:pStyle w:val="OGTabText"/>
              <w:rPr>
                <w:lang w:eastAsia="en-AU"/>
              </w:rPr>
            </w:pPr>
            <w:r w:rsidRPr="00E45417">
              <w:rPr>
                <w:lang w:eastAsia="en-AU"/>
              </w:rPr>
              <w:t>Eligible seniors in the seniors card program</w:t>
            </w:r>
          </w:p>
        </w:tc>
        <w:tc>
          <w:tcPr>
            <w:tcW w:w="907" w:type="dxa"/>
            <w:tcBorders>
              <w:top w:val="nil"/>
              <w:left w:val="nil"/>
              <w:bottom w:val="single" w:sz="4"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4" w:space="0" w:color="auto"/>
              <w:right w:val="nil"/>
            </w:tcBorders>
            <w:shd w:val="clear" w:color="auto" w:fill="D9D9D9"/>
          </w:tcPr>
          <w:p w:rsidR="00A53D7D" w:rsidRPr="005E5444" w:rsidRDefault="00A53D7D" w:rsidP="005140B4">
            <w:pPr>
              <w:pStyle w:val="OGTableofFigures"/>
              <w:rPr>
                <w:lang w:eastAsia="en-AU"/>
              </w:rPr>
            </w:pPr>
            <w:r>
              <w:rPr>
                <w:lang w:eastAsia="en-AU"/>
              </w:rPr>
              <w:t>95</w:t>
            </w:r>
          </w:p>
        </w:tc>
        <w:tc>
          <w:tcPr>
            <w:tcW w:w="993" w:type="dxa"/>
            <w:tcBorders>
              <w:top w:val="nil"/>
              <w:left w:val="nil"/>
              <w:bottom w:val="single" w:sz="4" w:space="0" w:color="auto"/>
              <w:right w:val="nil"/>
            </w:tcBorders>
            <w:shd w:val="clear" w:color="000000" w:fill="FFFFFF"/>
          </w:tcPr>
          <w:p w:rsidR="00A53D7D" w:rsidRPr="005E5444" w:rsidRDefault="00A53D7D" w:rsidP="005140B4">
            <w:pPr>
              <w:pStyle w:val="OGTableofFigures"/>
              <w:rPr>
                <w:lang w:eastAsia="en-AU"/>
              </w:rPr>
            </w:pPr>
            <w:r>
              <w:rPr>
                <w:lang w:eastAsia="en-AU"/>
              </w:rPr>
              <w:t>95</w:t>
            </w:r>
          </w:p>
        </w:tc>
        <w:tc>
          <w:tcPr>
            <w:tcW w:w="907" w:type="dxa"/>
            <w:tcBorders>
              <w:top w:val="nil"/>
              <w:left w:val="nil"/>
              <w:bottom w:val="single" w:sz="4" w:space="0" w:color="auto"/>
              <w:right w:val="nil"/>
            </w:tcBorders>
            <w:shd w:val="clear" w:color="000000" w:fill="FFFFFF"/>
          </w:tcPr>
          <w:p w:rsidR="00A53D7D" w:rsidRPr="005E5444" w:rsidRDefault="00A53D7D" w:rsidP="005140B4">
            <w:pPr>
              <w:pStyle w:val="OGTableofFigures"/>
              <w:rPr>
                <w:lang w:eastAsia="en-AU"/>
              </w:rPr>
            </w:pPr>
            <w:r>
              <w:rPr>
                <w:lang w:eastAsia="en-AU"/>
              </w:rPr>
              <w:t>95</w:t>
            </w:r>
          </w:p>
        </w:tc>
        <w:tc>
          <w:tcPr>
            <w:tcW w:w="907" w:type="dxa"/>
            <w:tcBorders>
              <w:top w:val="nil"/>
              <w:left w:val="nil"/>
              <w:bottom w:val="single" w:sz="4" w:space="0" w:color="auto"/>
              <w:right w:val="nil"/>
            </w:tcBorders>
            <w:shd w:val="clear" w:color="000000" w:fill="FFFFFF"/>
          </w:tcPr>
          <w:p w:rsidR="00A53D7D" w:rsidRPr="005E5444" w:rsidRDefault="00A53D7D" w:rsidP="005140B4">
            <w:pPr>
              <w:pStyle w:val="OGTableofFigures"/>
              <w:rPr>
                <w:lang w:eastAsia="en-AU"/>
              </w:rPr>
            </w:pPr>
            <w:r>
              <w:rPr>
                <w:lang w:eastAsia="en-AU"/>
              </w:rPr>
              <w:t>95</w:t>
            </w:r>
          </w:p>
        </w:tc>
      </w:tr>
      <w:tr w:rsidR="00A53D7D" w:rsidRPr="005E5444" w:rsidTr="008C197D">
        <w:trPr>
          <w:cantSplit/>
        </w:trPr>
        <w:tc>
          <w:tcPr>
            <w:tcW w:w="3155" w:type="dxa"/>
            <w:tcBorders>
              <w:top w:val="single" w:sz="4" w:space="0" w:color="auto"/>
              <w:left w:val="nil"/>
              <w:bottom w:val="single" w:sz="6" w:space="0" w:color="auto"/>
              <w:right w:val="nil"/>
            </w:tcBorders>
            <w:shd w:val="clear" w:color="000000" w:fill="FFFFFF"/>
          </w:tcPr>
          <w:p w:rsidR="00A53D7D" w:rsidRPr="00445E54" w:rsidRDefault="00A53D7D" w:rsidP="005140B4">
            <w:pPr>
              <w:pStyle w:val="OGTabText"/>
              <w:rPr>
                <w:lang w:eastAsia="en-AU"/>
              </w:rPr>
            </w:pPr>
            <w:r w:rsidRPr="00596F60">
              <w:rPr>
                <w:lang w:eastAsia="en-AU"/>
              </w:rPr>
              <w:t>Senior satisfaction with Victorian Seniors Festival events</w:t>
            </w:r>
          </w:p>
        </w:tc>
        <w:tc>
          <w:tcPr>
            <w:tcW w:w="907" w:type="dxa"/>
            <w:tcBorders>
              <w:top w:val="single" w:sz="4" w:space="0" w:color="auto"/>
              <w:left w:val="nil"/>
              <w:bottom w:val="single" w:sz="6" w:space="0" w:color="auto"/>
              <w:right w:val="nil"/>
            </w:tcBorders>
            <w:shd w:val="clear" w:color="000000" w:fill="FFFFFF"/>
          </w:tcPr>
          <w:p w:rsidR="00A53D7D" w:rsidRPr="00596F60" w:rsidRDefault="00A53D7D" w:rsidP="005140B4">
            <w:pPr>
              <w:pStyle w:val="OGUoM"/>
            </w:pPr>
            <w:r w:rsidRPr="00596F60">
              <w:t>per cent</w:t>
            </w:r>
          </w:p>
        </w:tc>
        <w:tc>
          <w:tcPr>
            <w:tcW w:w="907" w:type="dxa"/>
            <w:tcBorders>
              <w:top w:val="single" w:sz="4"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90</w:t>
            </w:r>
          </w:p>
        </w:tc>
        <w:tc>
          <w:tcPr>
            <w:tcW w:w="993" w:type="dxa"/>
            <w:tcBorders>
              <w:top w:val="single" w:sz="4"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single" w:sz="4"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single" w:sz="4"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96</w:t>
            </w:r>
          </w:p>
        </w:tc>
      </w:tr>
      <w:tr w:rsidR="00A53D7D" w:rsidRPr="005E5444" w:rsidTr="008C197D">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445E54" w:rsidRDefault="00A53D7D" w:rsidP="005140B4">
            <w:pPr>
              <w:pStyle w:val="OGTabText"/>
              <w:rPr>
                <w:lang w:eastAsia="en-AU"/>
              </w:rPr>
            </w:pPr>
            <w:r w:rsidRPr="00403FC7">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sidRPr="002D55F8">
              <w:rPr>
                <w:lang w:eastAsia="en-AU"/>
              </w:rPr>
              <w:t>6.8</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10.0</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6.6</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7.7</w:t>
            </w:r>
          </w:p>
        </w:tc>
      </w:tr>
      <w:tr w:rsidR="00A53D7D" w:rsidRPr="005E5444" w:rsidTr="008C197D">
        <w:trPr>
          <w:cantSplit/>
        </w:trPr>
        <w:tc>
          <w:tcPr>
            <w:tcW w:w="7776" w:type="dxa"/>
            <w:gridSpan w:val="6"/>
            <w:tcBorders>
              <w:top w:val="nil"/>
              <w:left w:val="nil"/>
              <w:bottom w:val="single" w:sz="6" w:space="0" w:color="auto"/>
              <w:right w:val="nil"/>
            </w:tcBorders>
            <w:shd w:val="clear" w:color="000000" w:fill="FFFFFF"/>
          </w:tcPr>
          <w:p w:rsidR="00A53D7D" w:rsidRPr="002D55F8" w:rsidRDefault="00A53D7D" w:rsidP="005140B4">
            <w:pPr>
              <w:pStyle w:val="OGNotes"/>
            </w:pPr>
            <w:r>
              <w:t>The 2013</w:t>
            </w:r>
            <w:r>
              <w:noBreakHyphen/>
              <w:t>14 expected outcome is higher than the 2013</w:t>
            </w:r>
            <w:r>
              <w:noBreakHyphen/>
              <w:t xml:space="preserve">14 target due to additional contributions from other sources for Seniors Card, Companion Card, Seniors Community </w:t>
            </w:r>
            <w:proofErr w:type="gramStart"/>
            <w:r>
              <w:t>Programs</w:t>
            </w:r>
            <w:proofErr w:type="gramEnd"/>
            <w:r>
              <w:t xml:space="preserve"> and Elder Abuse Prevention Project.</w:t>
            </w:r>
          </w:p>
        </w:tc>
      </w:tr>
      <w:tr w:rsidR="00A53D7D" w:rsidRPr="005E5444" w:rsidTr="008C197D">
        <w:trPr>
          <w:cantSplit/>
        </w:trPr>
        <w:tc>
          <w:tcPr>
            <w:tcW w:w="7776" w:type="dxa"/>
            <w:gridSpan w:val="6"/>
            <w:tcBorders>
              <w:top w:val="single" w:sz="6" w:space="0" w:color="auto"/>
              <w:left w:val="nil"/>
              <w:right w:val="nil"/>
            </w:tcBorders>
            <w:shd w:val="clear" w:color="auto" w:fill="auto"/>
            <w:vAlign w:val="bottom"/>
          </w:tcPr>
          <w:p w:rsidR="00A53D7D" w:rsidRPr="005E5444" w:rsidRDefault="00A53D7D" w:rsidP="005140B4">
            <w:pPr>
              <w:pStyle w:val="OGHeading2"/>
              <w:rPr>
                <w:lang w:eastAsia="en-AU"/>
              </w:rPr>
            </w:pPr>
            <w:r>
              <w:rPr>
                <w:lang w:eastAsia="en-AU"/>
              </w:rPr>
              <w:t>Residential Aged Care</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rPr>
                <w:lang w:eastAsia="en-AU"/>
              </w:rPr>
            </w:pPr>
            <w:r w:rsidRPr="008E14CD">
              <w:rPr>
                <w:lang w:eastAsia="en-AU"/>
              </w:rPr>
              <w:t>This output includes delivery of services for older Victorians requiring ongoing care and support in a resi</w:t>
            </w:r>
            <w:r>
              <w:rPr>
                <w:lang w:eastAsia="en-AU"/>
              </w:rPr>
              <w:t>dential aged care setting.</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F93FD4" w:rsidRDefault="00A53D7D" w:rsidP="005140B4">
            <w:pPr>
              <w:pStyle w:val="OGTabText"/>
            </w:pPr>
            <w:r>
              <w:t xml:space="preserve">Available Bed days </w:t>
            </w:r>
          </w:p>
        </w:tc>
        <w:tc>
          <w:tcPr>
            <w:tcW w:w="907" w:type="dxa"/>
            <w:tcBorders>
              <w:top w:val="nil"/>
              <w:left w:val="nil"/>
              <w:right w:val="nil"/>
            </w:tcBorders>
            <w:shd w:val="clear" w:color="000000" w:fill="FFFFFF"/>
          </w:tcPr>
          <w:p w:rsidR="00A53D7D" w:rsidRPr="00F93FD4" w:rsidRDefault="00A53D7D" w:rsidP="005140B4">
            <w:pPr>
              <w:pStyle w:val="OGUoM"/>
            </w:pPr>
            <w:r>
              <w:t>days</w:t>
            </w:r>
          </w:p>
        </w:tc>
        <w:tc>
          <w:tcPr>
            <w:tcW w:w="907" w:type="dxa"/>
            <w:tcBorders>
              <w:top w:val="nil"/>
              <w:left w:val="nil"/>
              <w:right w:val="nil"/>
            </w:tcBorders>
            <w:shd w:val="clear" w:color="auto" w:fill="D9D9D9"/>
          </w:tcPr>
          <w:p w:rsidR="00A53D7D" w:rsidRPr="00F93FD4" w:rsidRDefault="00A53D7D" w:rsidP="005140B4">
            <w:pPr>
              <w:pStyle w:val="OGTableofFigures"/>
            </w:pPr>
            <w:r>
              <w:t>1 259 082</w:t>
            </w:r>
          </w:p>
        </w:tc>
        <w:tc>
          <w:tcPr>
            <w:tcW w:w="993" w:type="dxa"/>
            <w:tcBorders>
              <w:top w:val="nil"/>
              <w:left w:val="nil"/>
              <w:right w:val="nil"/>
            </w:tcBorders>
            <w:shd w:val="clear" w:color="000000" w:fill="FFFFFF"/>
          </w:tcPr>
          <w:p w:rsidR="00A53D7D" w:rsidRPr="00F93FD4" w:rsidRDefault="00A53D7D" w:rsidP="005140B4">
            <w:pPr>
              <w:pStyle w:val="OGTableofFigures"/>
            </w:pPr>
            <w:r>
              <w:t>nm</w:t>
            </w:r>
          </w:p>
        </w:tc>
        <w:tc>
          <w:tcPr>
            <w:tcW w:w="907" w:type="dxa"/>
            <w:tcBorders>
              <w:top w:val="nil"/>
              <w:left w:val="nil"/>
              <w:right w:val="nil"/>
            </w:tcBorders>
            <w:shd w:val="clear" w:color="000000" w:fill="FFFFFF"/>
          </w:tcPr>
          <w:p w:rsidR="00A53D7D" w:rsidRPr="00F93FD4" w:rsidRDefault="00A53D7D" w:rsidP="005140B4">
            <w:pPr>
              <w:pStyle w:val="OGTableofFigures"/>
            </w:pPr>
            <w:r>
              <w:t>nm</w:t>
            </w:r>
          </w:p>
        </w:tc>
        <w:tc>
          <w:tcPr>
            <w:tcW w:w="907" w:type="dxa"/>
            <w:tcBorders>
              <w:top w:val="nil"/>
              <w:left w:val="nil"/>
              <w:right w:val="nil"/>
            </w:tcBorders>
            <w:shd w:val="clear" w:color="000000" w:fill="FFFFFF"/>
          </w:tcPr>
          <w:p w:rsidR="00A53D7D" w:rsidRPr="00F93FD4" w:rsidRDefault="00A53D7D" w:rsidP="005140B4">
            <w:pPr>
              <w:pStyle w:val="OGTableofFigures"/>
            </w:pPr>
            <w:r>
              <w:t>nm</w:t>
            </w:r>
          </w:p>
        </w:tc>
      </w:tr>
      <w:tr w:rsidR="00A53D7D" w:rsidRPr="005E5444" w:rsidTr="008C197D">
        <w:trPr>
          <w:cantSplit/>
        </w:trPr>
        <w:tc>
          <w:tcPr>
            <w:tcW w:w="7776" w:type="dxa"/>
            <w:gridSpan w:val="6"/>
            <w:tcBorders>
              <w:top w:val="nil"/>
              <w:left w:val="nil"/>
              <w:bottom w:val="single" w:sz="6" w:space="0" w:color="auto"/>
              <w:right w:val="nil"/>
            </w:tcBorders>
            <w:shd w:val="clear" w:color="auto" w:fill="auto"/>
            <w:vAlign w:val="bottom"/>
          </w:tcPr>
          <w:p w:rsidR="00A53D7D" w:rsidRPr="004908C6" w:rsidRDefault="00A53D7D" w:rsidP="005140B4">
            <w:pPr>
              <w:pStyle w:val="OGNotes"/>
            </w:pPr>
            <w:r w:rsidRPr="002F7E25">
              <w:t xml:space="preserve">This performance measure </w:t>
            </w:r>
            <w:r>
              <w:t xml:space="preserve">is proposed to </w:t>
            </w:r>
            <w:r w:rsidRPr="002F7E25">
              <w:t>replace the 2013</w:t>
            </w:r>
            <w:r>
              <w:noBreakHyphen/>
            </w:r>
            <w:r w:rsidRPr="002F7E25">
              <w:t xml:space="preserve">14 performance measures </w:t>
            </w:r>
            <w:r>
              <w:t>‘</w:t>
            </w:r>
            <w:r w:rsidRPr="002F7E25">
              <w:t>Bed Days in High</w:t>
            </w:r>
            <w:r>
              <w:noBreakHyphen/>
            </w:r>
            <w:r w:rsidRPr="002F7E25">
              <w:t>care</w:t>
            </w:r>
            <w:r>
              <w:t>’</w:t>
            </w:r>
            <w:r w:rsidRPr="002F7E25">
              <w:t xml:space="preserve"> and </w:t>
            </w:r>
            <w:r>
              <w:t>‘</w:t>
            </w:r>
            <w:r w:rsidRPr="002F7E25">
              <w:t>Bed Days in Low</w:t>
            </w:r>
            <w:r>
              <w:noBreakHyphen/>
            </w:r>
            <w:r w:rsidRPr="002F7E25">
              <w:t>care</w:t>
            </w:r>
            <w:r>
              <w:t>’</w:t>
            </w:r>
            <w:r w:rsidRPr="002F7E25">
              <w:t xml:space="preserve"> as the distinction between care types will be removed by the Commonwealth effective 1 July 2014 as part of </w:t>
            </w:r>
            <w:r w:rsidRPr="009F2BFE">
              <w:rPr>
                <w:i w:val="0"/>
              </w:rPr>
              <w:t>Living Longer, Living Better</w:t>
            </w:r>
            <w:r w:rsidRPr="002F7E25">
              <w:t xml:space="preserve"> changes.</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445E54" w:rsidRDefault="00A53D7D" w:rsidP="005140B4">
            <w:pPr>
              <w:pStyle w:val="OGTabText"/>
              <w:keepNext/>
              <w:rPr>
                <w:lang w:eastAsia="en-AU"/>
              </w:rPr>
            </w:pPr>
            <w:r w:rsidRPr="00AC7060">
              <w:rPr>
                <w:lang w:eastAsia="en-AU"/>
              </w:rPr>
              <w:t>Standard Equivalent Value Units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keepNext/>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keepNext/>
              <w:rPr>
                <w:lang w:eastAsia="en-AU"/>
              </w:rPr>
            </w:pPr>
            <w:r>
              <w:rPr>
                <w:lang w:eastAsia="en-AU"/>
              </w:rPr>
              <w:t>757 061</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keepNext/>
              <w:rPr>
                <w:lang w:eastAsia="en-AU"/>
              </w:rPr>
            </w:pPr>
            <w:r>
              <w:rPr>
                <w:lang w:eastAsia="en-AU"/>
              </w:rPr>
              <w:t>757 061</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keepNext/>
              <w:rPr>
                <w:lang w:eastAsia="en-AU"/>
              </w:rPr>
            </w:pPr>
            <w:r>
              <w:rPr>
                <w:lang w:eastAsia="en-AU"/>
              </w:rPr>
              <w:t>757 061</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keepNext/>
              <w:rPr>
                <w:lang w:eastAsia="en-AU"/>
              </w:rPr>
            </w:pPr>
            <w:r>
              <w:rPr>
                <w:lang w:eastAsia="en-AU"/>
              </w:rPr>
              <w:t>731 786</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445E54" w:rsidRDefault="00A53D7D" w:rsidP="005140B4">
            <w:pPr>
              <w:pStyle w:val="OGTabText"/>
              <w:rPr>
                <w:lang w:eastAsia="en-AU"/>
              </w:rPr>
            </w:pPr>
            <w:r w:rsidRPr="007B69D6">
              <w:rPr>
                <w:lang w:eastAsia="en-AU"/>
              </w:rPr>
              <w:t>Residential care services certified and accredited</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r>
      <w:tr w:rsidR="00A53D7D" w:rsidRPr="005E5444" w:rsidTr="008C197D">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445E54" w:rsidRDefault="00A53D7D" w:rsidP="005140B4">
            <w:pPr>
              <w:pStyle w:val="OGTabText"/>
              <w:rPr>
                <w:lang w:eastAsia="en-AU"/>
              </w:rPr>
            </w:pPr>
            <w:r>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sidRPr="002D55F8">
              <w:rPr>
                <w:lang w:eastAsia="en-AU"/>
              </w:rPr>
              <w:t>333.4</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346.3</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363.8</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347.2</w:t>
            </w:r>
          </w:p>
        </w:tc>
      </w:tr>
      <w:tr w:rsidR="00A53D7D" w:rsidRPr="005E5444" w:rsidTr="005140B4">
        <w:trPr>
          <w:cantSplit/>
        </w:trPr>
        <w:tc>
          <w:tcPr>
            <w:tcW w:w="7776" w:type="dxa"/>
            <w:gridSpan w:val="6"/>
            <w:tcBorders>
              <w:left w:val="nil"/>
              <w:bottom w:val="single" w:sz="6" w:space="0" w:color="auto"/>
              <w:right w:val="nil"/>
            </w:tcBorders>
            <w:shd w:val="clear" w:color="000000" w:fill="FFFFFF"/>
          </w:tcPr>
          <w:p w:rsidR="00A53D7D" w:rsidRPr="002D55F8" w:rsidRDefault="00A53D7D" w:rsidP="005140B4">
            <w:pPr>
              <w:pStyle w:val="OGNotes"/>
            </w:pPr>
            <w:r w:rsidRPr="002F7E25">
              <w:t>The lower 2014</w:t>
            </w:r>
            <w:r>
              <w:noBreakHyphen/>
            </w:r>
            <w:r w:rsidRPr="002F7E25">
              <w:t xml:space="preserve">15 </w:t>
            </w:r>
            <w:r>
              <w:t>target</w:t>
            </w:r>
            <w:r w:rsidRPr="002F7E25">
              <w:t xml:space="preserve"> reflects changes to Residents and Nursing Home contributions.</w:t>
            </w:r>
          </w:p>
        </w:tc>
      </w:tr>
      <w:tr w:rsidR="00A53D7D" w:rsidRPr="005E5444" w:rsidTr="005140B4">
        <w:trPr>
          <w:cantSplit/>
        </w:trPr>
        <w:tc>
          <w:tcPr>
            <w:tcW w:w="7776" w:type="dxa"/>
            <w:gridSpan w:val="6"/>
            <w:tcBorders>
              <w:top w:val="single" w:sz="6" w:space="0" w:color="auto"/>
              <w:left w:val="nil"/>
              <w:right w:val="nil"/>
            </w:tcBorders>
            <w:shd w:val="clear" w:color="auto" w:fill="auto"/>
            <w:vAlign w:val="bottom"/>
          </w:tcPr>
          <w:p w:rsidR="00A53D7D" w:rsidRPr="005E5444" w:rsidRDefault="00A53D7D" w:rsidP="005140B4">
            <w:pPr>
              <w:pStyle w:val="OGHeading2"/>
            </w:pPr>
            <w:r>
              <w:t>Aged Care Assessment</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pPr>
            <w:r w:rsidRPr="00414168">
              <w:t>This output includes delivery of comprehensive assessment of older Victorians</w:t>
            </w:r>
            <w:r>
              <w:t>’</w:t>
            </w:r>
            <w:r w:rsidRPr="00414168">
              <w:t xml:space="preserve"> requirements for treatment and resid</w:t>
            </w:r>
            <w:r>
              <w:t>ential aged care services.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D342B7" w:rsidRDefault="00A53D7D" w:rsidP="005140B4">
            <w:pPr>
              <w:pStyle w:val="OGTabText"/>
              <w:rPr>
                <w:lang w:eastAsia="en-AU"/>
              </w:rPr>
            </w:pPr>
            <w:r>
              <w:rPr>
                <w:lang w:eastAsia="en-AU"/>
              </w:rPr>
              <w:t>Aged Care Assessments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59 000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60 150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59 000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58 838</w:t>
            </w:r>
          </w:p>
        </w:tc>
      </w:tr>
      <w:tr w:rsidR="00A53D7D" w:rsidRPr="005E5444" w:rsidTr="008C197D">
        <w:trPr>
          <w:cantSplit/>
        </w:trPr>
        <w:tc>
          <w:tcPr>
            <w:tcW w:w="7776" w:type="dxa"/>
            <w:gridSpan w:val="6"/>
            <w:tcBorders>
              <w:top w:val="nil"/>
              <w:left w:val="nil"/>
              <w:bottom w:val="single" w:sz="6" w:space="0" w:color="auto"/>
              <w:right w:val="nil"/>
            </w:tcBorders>
            <w:shd w:val="clear" w:color="000000" w:fill="FFFFFF"/>
          </w:tcPr>
          <w:p w:rsidR="00A53D7D" w:rsidRDefault="00A53D7D" w:rsidP="005140B4">
            <w:pPr>
              <w:pStyle w:val="OGNotes"/>
            </w:pPr>
            <w:r>
              <w:t>The 2013</w:t>
            </w:r>
            <w:r>
              <w:noBreakHyphen/>
              <w:t>14 expected outcome is higher than the 2013</w:t>
            </w:r>
            <w:r>
              <w:noBreakHyphen/>
              <w:t>14 target due to a higher number of aged care assessments required than anticipated.</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Timeliness</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D342B7" w:rsidRDefault="00A53D7D" w:rsidP="005140B4">
            <w:pPr>
              <w:pStyle w:val="OGTabText"/>
              <w:rPr>
                <w:lang w:eastAsia="en-AU"/>
              </w:rPr>
            </w:pPr>
            <w:r w:rsidRPr="00FD56E6">
              <w:rPr>
                <w:lang w:eastAsia="en-AU"/>
              </w:rPr>
              <w:t>Percentage of priority 1, 2 and 3 clients assess</w:t>
            </w:r>
            <w:r>
              <w:rPr>
                <w:lang w:eastAsia="en-AU"/>
              </w:rPr>
              <w:t>ed within the appropriate time –</w:t>
            </w:r>
            <w:r w:rsidRPr="00FD56E6">
              <w:rPr>
                <w:lang w:eastAsia="en-AU"/>
              </w:rPr>
              <w:t xml:space="preserve"> community</w:t>
            </w:r>
            <w:r>
              <w:rPr>
                <w:lang w:eastAsia="en-AU"/>
              </w:rPr>
              <w:noBreakHyphen/>
            </w:r>
            <w:r w:rsidRPr="00FD56E6">
              <w:rPr>
                <w:lang w:eastAsia="en-AU"/>
              </w:rPr>
              <w:t>based assessment</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85</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86</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85</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87.8</w:t>
            </w:r>
          </w:p>
        </w:tc>
      </w:tr>
      <w:tr w:rsidR="00A53D7D" w:rsidRPr="005E5444" w:rsidTr="008C197D">
        <w:trPr>
          <w:cantSplit/>
        </w:trPr>
        <w:tc>
          <w:tcPr>
            <w:tcW w:w="3155" w:type="dxa"/>
            <w:tcBorders>
              <w:top w:val="single" w:sz="6" w:space="0" w:color="auto"/>
              <w:left w:val="nil"/>
              <w:right w:val="nil"/>
            </w:tcBorders>
            <w:shd w:val="clear" w:color="000000" w:fill="FFFFFF"/>
          </w:tcPr>
          <w:p w:rsidR="00A53D7D" w:rsidRPr="00D342B7" w:rsidRDefault="00A53D7D" w:rsidP="005140B4">
            <w:pPr>
              <w:pStyle w:val="OGTabText"/>
              <w:rPr>
                <w:lang w:eastAsia="en-AU"/>
              </w:rPr>
            </w:pPr>
            <w:r w:rsidRPr="00523AB3">
              <w:rPr>
                <w:lang w:eastAsia="en-AU"/>
              </w:rPr>
              <w:t xml:space="preserve">Percentage of priority 1, 2 and 3 clients assessed within the appropriate time </w:t>
            </w:r>
            <w:r>
              <w:rPr>
                <w:lang w:eastAsia="en-AU"/>
              </w:rPr>
              <w:t>–</w:t>
            </w:r>
            <w:r w:rsidRPr="00523AB3">
              <w:rPr>
                <w:lang w:eastAsia="en-AU"/>
              </w:rPr>
              <w:t xml:space="preserve"> hospital</w:t>
            </w:r>
            <w:r>
              <w:rPr>
                <w:lang w:eastAsia="en-AU"/>
              </w:rPr>
              <w:noBreakHyphen/>
            </w:r>
            <w:r w:rsidRPr="00523AB3">
              <w:rPr>
                <w:lang w:eastAsia="en-AU"/>
              </w:rPr>
              <w:t>based assessment</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85</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98</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85</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99.5</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23AB3" w:rsidRDefault="00A53D7D" w:rsidP="005140B4">
            <w:pPr>
              <w:pStyle w:val="OGNotes"/>
            </w:pPr>
            <w:r w:rsidRPr="00523AB3">
              <w:t>The 2013</w:t>
            </w:r>
            <w:r>
              <w:noBreakHyphen/>
            </w:r>
            <w:r w:rsidRPr="00523AB3">
              <w:t xml:space="preserve">14 </w:t>
            </w:r>
            <w:r>
              <w:t>expected outcome</w:t>
            </w:r>
            <w:r w:rsidRPr="00523AB3">
              <w:t xml:space="preserve"> is higher than 2013</w:t>
            </w:r>
            <w:r>
              <w:noBreakHyphen/>
            </w:r>
            <w:r w:rsidRPr="00523AB3">
              <w:t xml:space="preserve">14 </w:t>
            </w:r>
            <w:r>
              <w:t>target</w:t>
            </w:r>
            <w:r w:rsidRPr="00523AB3">
              <w:t xml:space="preserve"> due to the timely response to hospital referrals by assessment staff to support hospital patient flow.</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D342B7" w:rsidRDefault="00A53D7D" w:rsidP="005140B4">
            <w:pPr>
              <w:pStyle w:val="OGTabText"/>
              <w:rPr>
                <w:lang w:eastAsia="en-AU"/>
              </w:rPr>
            </w:pPr>
            <w:r>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sidRPr="002D55F8">
              <w:rPr>
                <w:lang w:eastAsia="en-AU"/>
              </w:rPr>
              <w:t>55.7</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55.3</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53.9</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52.6</w:t>
            </w:r>
          </w:p>
        </w:tc>
      </w:tr>
      <w:tr w:rsidR="00A53D7D" w:rsidRPr="005E5444" w:rsidTr="008C197D">
        <w:trPr>
          <w:cantSplit/>
        </w:trPr>
        <w:tc>
          <w:tcPr>
            <w:tcW w:w="7776" w:type="dxa"/>
            <w:gridSpan w:val="6"/>
            <w:tcBorders>
              <w:top w:val="nil"/>
              <w:left w:val="nil"/>
              <w:bottom w:val="single" w:sz="6" w:space="0" w:color="auto"/>
              <w:right w:val="nil"/>
            </w:tcBorders>
            <w:shd w:val="clear" w:color="000000" w:fill="FFFFFF"/>
          </w:tcPr>
          <w:p w:rsidR="00A53D7D" w:rsidRPr="002D55F8" w:rsidRDefault="00A53D7D" w:rsidP="005140B4">
            <w:pPr>
              <w:pStyle w:val="OGNotes"/>
            </w:pPr>
            <w:r>
              <w:t>The higher 2014</w:t>
            </w:r>
            <w:r>
              <w:noBreakHyphen/>
              <w:t>15 target reflects an increase in the cost of delivering services and changes to depreciation.</w:t>
            </w:r>
          </w:p>
        </w:tc>
      </w:tr>
      <w:tr w:rsidR="00A53D7D" w:rsidRPr="005E5444" w:rsidTr="008C197D">
        <w:trPr>
          <w:cantSplit/>
        </w:trPr>
        <w:tc>
          <w:tcPr>
            <w:tcW w:w="7776" w:type="dxa"/>
            <w:gridSpan w:val="6"/>
            <w:tcBorders>
              <w:top w:val="single" w:sz="6" w:space="0" w:color="auto"/>
              <w:left w:val="nil"/>
              <w:right w:val="nil"/>
            </w:tcBorders>
            <w:shd w:val="clear" w:color="auto" w:fill="auto"/>
            <w:vAlign w:val="bottom"/>
          </w:tcPr>
          <w:p w:rsidR="00A53D7D" w:rsidRPr="005E5444" w:rsidRDefault="00A53D7D" w:rsidP="005140B4">
            <w:pPr>
              <w:pStyle w:val="OGHeading2"/>
            </w:pPr>
            <w:r>
              <w:t>Aged Support Services</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pPr>
            <w:r w:rsidRPr="00554C19">
              <w:t xml:space="preserve">This output includes delivery of a range of community services that support older Victorians and their </w:t>
            </w:r>
            <w:proofErr w:type="spellStart"/>
            <w:r w:rsidRPr="00554C19">
              <w:t>carers</w:t>
            </w:r>
            <w:proofErr w:type="spellEnd"/>
            <w:r w:rsidRPr="00554C19">
              <w:t xml:space="preserve">, such as respite services, </w:t>
            </w:r>
            <w:proofErr w:type="spellStart"/>
            <w:r w:rsidRPr="00554C19">
              <w:t>EyeCare</w:t>
            </w:r>
            <w:proofErr w:type="spellEnd"/>
            <w:r w:rsidRPr="00554C19">
              <w:t xml:space="preserve"> services, Personal Alert Victoria and pension</w:t>
            </w:r>
            <w:r>
              <w:noBreakHyphen/>
            </w:r>
            <w:r w:rsidRPr="00554C19">
              <w:t>level Supported Residential S</w:t>
            </w:r>
            <w:r>
              <w:t>ervices.</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D342B7" w:rsidRDefault="00A53D7D" w:rsidP="005140B4">
            <w:pPr>
              <w:pStyle w:val="OGTabText"/>
              <w:rPr>
                <w:lang w:eastAsia="en-AU"/>
              </w:rPr>
            </w:pPr>
            <w:r w:rsidRPr="00441847">
              <w:rPr>
                <w:lang w:eastAsia="en-AU"/>
              </w:rPr>
              <w:t>Individuals provided with respite and support services</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8 254</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8 254</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8 254</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7 423</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tcPr>
          <w:p w:rsidR="00A53D7D" w:rsidRPr="00D342B7" w:rsidRDefault="00A53D7D" w:rsidP="005140B4">
            <w:pPr>
              <w:pStyle w:val="OGTabText"/>
              <w:keepNext/>
              <w:rPr>
                <w:lang w:eastAsia="en-AU"/>
              </w:rPr>
            </w:pPr>
            <w:r w:rsidRPr="00441847">
              <w:rPr>
                <w:lang w:eastAsia="en-AU"/>
              </w:rPr>
              <w:t>Number of hours of respite and support services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keepNext/>
              <w:rPr>
                <w:lang w:eastAsia="en-AU"/>
              </w:rPr>
            </w:pPr>
            <w:r>
              <w:rPr>
                <w:lang w:eastAsia="en-AU"/>
              </w:rPr>
              <w:t>hours</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keepNext/>
              <w:rPr>
                <w:lang w:eastAsia="en-AU"/>
              </w:rPr>
            </w:pPr>
            <w:r>
              <w:rPr>
                <w:lang w:eastAsia="en-AU"/>
              </w:rPr>
              <w:t>161 250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keepNext/>
              <w:rPr>
                <w:lang w:eastAsia="en-AU"/>
              </w:rPr>
            </w:pPr>
            <w:r>
              <w:rPr>
                <w:lang w:eastAsia="en-AU"/>
              </w:rPr>
              <w:t>161 250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keepNext/>
              <w:rPr>
                <w:lang w:eastAsia="en-AU"/>
              </w:rPr>
            </w:pPr>
            <w:r>
              <w:rPr>
                <w:lang w:eastAsia="en-AU"/>
              </w:rPr>
              <w:t>161 250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keepNext/>
              <w:rPr>
                <w:lang w:eastAsia="en-AU"/>
              </w:rPr>
            </w:pPr>
            <w:r>
              <w:rPr>
                <w:lang w:eastAsia="en-AU"/>
              </w:rPr>
              <w:t>137 271</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D342B7" w:rsidRDefault="00A53D7D" w:rsidP="005140B4">
            <w:pPr>
              <w:pStyle w:val="OGTabText"/>
              <w:rPr>
                <w:lang w:eastAsia="en-AU"/>
              </w:rPr>
            </w:pPr>
            <w:r w:rsidRPr="00441847">
              <w:rPr>
                <w:lang w:eastAsia="en-AU"/>
              </w:rPr>
              <w:t>Pension</w:t>
            </w:r>
            <w:r>
              <w:rPr>
                <w:lang w:eastAsia="en-AU"/>
              </w:rPr>
              <w:noBreakHyphen/>
            </w:r>
            <w:r w:rsidRPr="00441847">
              <w:rPr>
                <w:lang w:eastAsia="en-AU"/>
              </w:rPr>
              <w:t>level beds available in assisted supported residential services facilities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1 876</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1 876</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1 876</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1 876</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tcPr>
          <w:p w:rsidR="00A53D7D" w:rsidRPr="00D342B7" w:rsidRDefault="00A53D7D" w:rsidP="005140B4">
            <w:pPr>
              <w:pStyle w:val="OGTabText"/>
              <w:rPr>
                <w:lang w:eastAsia="en-AU"/>
              </w:rPr>
            </w:pPr>
            <w:r w:rsidRPr="00593640">
              <w:rPr>
                <w:lang w:eastAsia="en-AU"/>
              </w:rPr>
              <w:t>Pension</w:t>
            </w:r>
            <w:r>
              <w:rPr>
                <w:lang w:eastAsia="en-AU"/>
              </w:rPr>
              <w:noBreakHyphen/>
            </w:r>
            <w:r w:rsidRPr="00593640">
              <w:rPr>
                <w:lang w:eastAsia="en-AU"/>
              </w:rPr>
              <w:t>level supported residential services residents provided with service coordination and support/brokerage services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775</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775</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775</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775</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D342B7" w:rsidRDefault="00A53D7D" w:rsidP="005140B4">
            <w:pPr>
              <w:pStyle w:val="OGTabText"/>
              <w:rPr>
                <w:lang w:eastAsia="en-AU"/>
              </w:rPr>
            </w:pPr>
            <w:r>
              <w:rPr>
                <w:lang w:eastAsia="en-AU"/>
              </w:rPr>
              <w:t>Personal A</w:t>
            </w:r>
            <w:r w:rsidRPr="00593640">
              <w:rPr>
                <w:lang w:eastAsia="en-AU"/>
              </w:rPr>
              <w:t>lert units allocated</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27 255</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27 255</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27 255</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26 374</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tcPr>
          <w:p w:rsidR="00A53D7D" w:rsidRPr="00D342B7" w:rsidRDefault="00A53D7D" w:rsidP="005140B4">
            <w:pPr>
              <w:pStyle w:val="OGTabText"/>
              <w:rPr>
                <w:lang w:eastAsia="en-AU"/>
              </w:rPr>
            </w:pPr>
            <w:r w:rsidRPr="00593640">
              <w:rPr>
                <w:lang w:eastAsia="en-AU"/>
              </w:rPr>
              <w:t xml:space="preserve">Victorian </w:t>
            </w:r>
            <w:proofErr w:type="spellStart"/>
            <w:r w:rsidRPr="00593640">
              <w:rPr>
                <w:lang w:eastAsia="en-AU"/>
              </w:rPr>
              <w:t>EyeCare</w:t>
            </w:r>
            <w:proofErr w:type="spellEnd"/>
            <w:r w:rsidRPr="00593640">
              <w:rPr>
                <w:lang w:eastAsia="en-AU"/>
              </w:rPr>
              <w:t xml:space="preserve"> Service (occasions of service)</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75 800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75 800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75 800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74 109</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Qual</w:t>
            </w:r>
            <w:r w:rsidRPr="005E5444">
              <w:rPr>
                <w:lang w:eastAsia="en-AU"/>
              </w:rPr>
              <w:t>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D342B7" w:rsidRDefault="00A53D7D" w:rsidP="005140B4">
            <w:pPr>
              <w:pStyle w:val="OGTabText"/>
              <w:rPr>
                <w:lang w:eastAsia="en-AU"/>
              </w:rPr>
            </w:pPr>
            <w:r w:rsidRPr="0051643C">
              <w:rPr>
                <w:lang w:eastAsia="en-AU"/>
              </w:rPr>
              <w:t>Funded research and service development projects for which satisfactory reports have been received</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r>
      <w:tr w:rsidR="00A53D7D" w:rsidRPr="005E5444" w:rsidTr="008C197D">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left w:val="nil"/>
              <w:right w:val="nil"/>
            </w:tcBorders>
            <w:shd w:val="clear" w:color="auto" w:fill="auto"/>
            <w:vAlign w:val="bottom"/>
            <w:hideMark/>
          </w:tcPr>
          <w:p w:rsidR="00A53D7D" w:rsidRPr="00D342B7" w:rsidRDefault="00A53D7D" w:rsidP="005140B4">
            <w:pPr>
              <w:pStyle w:val="OGTabText"/>
              <w:rPr>
                <w:lang w:eastAsia="en-AU"/>
              </w:rPr>
            </w:pPr>
            <w:r>
              <w:rPr>
                <w:lang w:eastAsia="en-AU"/>
              </w:rPr>
              <w:t>Total output cost</w:t>
            </w:r>
          </w:p>
        </w:tc>
        <w:tc>
          <w:tcPr>
            <w:tcW w:w="907" w:type="dxa"/>
            <w:tcBorders>
              <w:left w:val="nil"/>
              <w:right w:val="nil"/>
            </w:tcBorders>
            <w:shd w:val="clear" w:color="auto" w:fill="auto"/>
            <w:vAlign w:val="bottom"/>
            <w:hideMark/>
          </w:tcPr>
          <w:p w:rsidR="00A53D7D" w:rsidRPr="005E5444" w:rsidRDefault="00A53D7D" w:rsidP="005140B4">
            <w:pPr>
              <w:pStyle w:val="OGUoM"/>
              <w:rPr>
                <w:lang w:eastAsia="en-AU"/>
              </w:rPr>
            </w:pPr>
            <w:r>
              <w:rPr>
                <w:lang w:eastAsia="en-AU"/>
              </w:rPr>
              <w:t>$ million</w:t>
            </w:r>
          </w:p>
        </w:tc>
        <w:tc>
          <w:tcPr>
            <w:tcW w:w="907" w:type="dxa"/>
            <w:tcBorders>
              <w:left w:val="nil"/>
              <w:right w:val="nil"/>
            </w:tcBorders>
            <w:shd w:val="clear" w:color="auto" w:fill="D9D9D9"/>
            <w:hideMark/>
          </w:tcPr>
          <w:p w:rsidR="00A53D7D" w:rsidRPr="002D55F8" w:rsidRDefault="00A53D7D" w:rsidP="005140B4">
            <w:pPr>
              <w:pStyle w:val="OGTableofFigures"/>
              <w:rPr>
                <w:lang w:eastAsia="en-AU"/>
              </w:rPr>
            </w:pPr>
            <w:r w:rsidRPr="002D55F8">
              <w:rPr>
                <w:lang w:eastAsia="en-AU"/>
              </w:rPr>
              <w:t>99.8</w:t>
            </w:r>
          </w:p>
        </w:tc>
        <w:tc>
          <w:tcPr>
            <w:tcW w:w="993" w:type="dxa"/>
            <w:tcBorders>
              <w:left w:val="nil"/>
              <w:right w:val="nil"/>
            </w:tcBorders>
            <w:shd w:val="clear" w:color="auto" w:fill="auto"/>
            <w:hideMark/>
          </w:tcPr>
          <w:p w:rsidR="00A53D7D" w:rsidRPr="002D55F8" w:rsidRDefault="00A53D7D" w:rsidP="005140B4">
            <w:pPr>
              <w:pStyle w:val="OGTableofFigures"/>
              <w:rPr>
                <w:lang w:eastAsia="en-AU"/>
              </w:rPr>
            </w:pPr>
            <w:r w:rsidRPr="002D55F8">
              <w:rPr>
                <w:lang w:eastAsia="en-AU"/>
              </w:rPr>
              <w:t>99.8</w:t>
            </w:r>
          </w:p>
        </w:tc>
        <w:tc>
          <w:tcPr>
            <w:tcW w:w="907" w:type="dxa"/>
            <w:tcBorders>
              <w:left w:val="nil"/>
              <w:right w:val="nil"/>
            </w:tcBorders>
            <w:shd w:val="clear" w:color="auto" w:fill="auto"/>
            <w:hideMark/>
          </w:tcPr>
          <w:p w:rsidR="00A53D7D" w:rsidRPr="002D55F8" w:rsidRDefault="00A53D7D" w:rsidP="005140B4">
            <w:pPr>
              <w:pStyle w:val="OGTableofFigures"/>
              <w:rPr>
                <w:lang w:eastAsia="en-AU"/>
              </w:rPr>
            </w:pPr>
            <w:r w:rsidRPr="002D55F8">
              <w:rPr>
                <w:lang w:eastAsia="en-AU"/>
              </w:rPr>
              <w:t>95.5</w:t>
            </w:r>
          </w:p>
        </w:tc>
        <w:tc>
          <w:tcPr>
            <w:tcW w:w="907" w:type="dxa"/>
            <w:tcBorders>
              <w:left w:val="nil"/>
              <w:right w:val="nil"/>
            </w:tcBorders>
            <w:shd w:val="clear" w:color="auto" w:fill="auto"/>
            <w:hideMark/>
          </w:tcPr>
          <w:p w:rsidR="00A53D7D" w:rsidRPr="002D55F8" w:rsidRDefault="00A53D7D" w:rsidP="005140B4">
            <w:pPr>
              <w:pStyle w:val="OGTableofFigures"/>
              <w:rPr>
                <w:lang w:eastAsia="en-AU"/>
              </w:rPr>
            </w:pPr>
            <w:r w:rsidRPr="002D55F8">
              <w:rPr>
                <w:lang w:eastAsia="en-AU"/>
              </w:rPr>
              <w:t>92.1</w:t>
            </w:r>
          </w:p>
        </w:tc>
      </w:tr>
      <w:tr w:rsidR="00A53D7D" w:rsidRPr="005E5444" w:rsidTr="008C197D">
        <w:trPr>
          <w:cantSplit/>
        </w:trPr>
        <w:tc>
          <w:tcPr>
            <w:tcW w:w="7776" w:type="dxa"/>
            <w:gridSpan w:val="6"/>
            <w:tcBorders>
              <w:left w:val="nil"/>
              <w:bottom w:val="single" w:sz="6" w:space="0" w:color="auto"/>
              <w:right w:val="nil"/>
            </w:tcBorders>
            <w:shd w:val="clear" w:color="auto" w:fill="auto"/>
            <w:vAlign w:val="bottom"/>
          </w:tcPr>
          <w:p w:rsidR="00A53D7D" w:rsidRPr="002D55F8" w:rsidRDefault="00A53D7D" w:rsidP="005140B4">
            <w:pPr>
              <w:pStyle w:val="OGNotes"/>
            </w:pPr>
            <w:r>
              <w:t>The higher 2014</w:t>
            </w:r>
            <w:r>
              <w:noBreakHyphen/>
              <w:t>15 target reflects the cost of delivering services and the impact of the social and community services pay equity case.</w:t>
            </w:r>
          </w:p>
        </w:tc>
      </w:tr>
      <w:tr w:rsidR="00A53D7D" w:rsidRPr="005E5444" w:rsidTr="008C197D">
        <w:trPr>
          <w:cantSplit/>
        </w:trPr>
        <w:tc>
          <w:tcPr>
            <w:tcW w:w="7776" w:type="dxa"/>
            <w:gridSpan w:val="6"/>
            <w:tcBorders>
              <w:top w:val="single" w:sz="6" w:space="0" w:color="auto"/>
              <w:left w:val="nil"/>
              <w:right w:val="nil"/>
            </w:tcBorders>
            <w:shd w:val="clear" w:color="auto" w:fill="auto"/>
            <w:vAlign w:val="bottom"/>
          </w:tcPr>
          <w:p w:rsidR="00A53D7D" w:rsidRPr="005E5444" w:rsidRDefault="00A53D7D" w:rsidP="005140B4">
            <w:pPr>
              <w:pStyle w:val="OGHeading2"/>
            </w:pPr>
            <w:r w:rsidRPr="0067356F">
              <w:t>HACC Primary Health, C</w:t>
            </w:r>
            <w:r>
              <w:t>ommunity Care and Support</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pPr>
            <w:r w:rsidRPr="0067356F">
              <w:t>This output includes delivery of a range of community</w:t>
            </w:r>
            <w:r>
              <w:noBreakHyphen/>
            </w:r>
            <w:r w:rsidRPr="0067356F">
              <w:t>based nursing, allied health and support services enabling frail, older people and younger people with disabilities to maintain their independence in the community. This includes Home and Commu</w:t>
            </w:r>
            <w:r>
              <w:t>nity Care services.</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tcPr>
          <w:p w:rsidR="00A53D7D" w:rsidRPr="00D342B7" w:rsidRDefault="00A53D7D" w:rsidP="005140B4">
            <w:pPr>
              <w:pStyle w:val="OGTabText"/>
              <w:rPr>
                <w:lang w:eastAsia="en-AU"/>
              </w:rPr>
            </w:pPr>
            <w:r w:rsidRPr="008D6053">
              <w:rPr>
                <w:lang w:eastAsia="en-AU"/>
              </w:rPr>
              <w:t>Clients receiving Home and Community Care services</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300 000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300 000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300 000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295 423</w:t>
            </w:r>
          </w:p>
        </w:tc>
      </w:tr>
      <w:tr w:rsidR="00A53D7D" w:rsidRPr="005E5444" w:rsidTr="008C197D">
        <w:trPr>
          <w:cantSplit/>
        </w:trPr>
        <w:tc>
          <w:tcPr>
            <w:tcW w:w="3155" w:type="dxa"/>
            <w:tcBorders>
              <w:top w:val="single" w:sz="6" w:space="0" w:color="auto"/>
              <w:left w:val="nil"/>
              <w:right w:val="nil"/>
            </w:tcBorders>
            <w:shd w:val="clear" w:color="000000" w:fill="FFFFFF"/>
          </w:tcPr>
          <w:p w:rsidR="00A53D7D" w:rsidRPr="00D342B7" w:rsidRDefault="00A53D7D" w:rsidP="005140B4">
            <w:pPr>
              <w:pStyle w:val="OGTabText"/>
              <w:rPr>
                <w:lang w:eastAsia="en-AU"/>
              </w:rPr>
            </w:pPr>
            <w:r w:rsidRPr="008D6053">
              <w:rPr>
                <w:lang w:eastAsia="en-AU"/>
              </w:rPr>
              <w:t>Home and Community Care service delivery hours</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number (000)</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11 700</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11 543</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11 543</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10 110</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4908C6" w:rsidRDefault="00A53D7D" w:rsidP="005140B4">
            <w:pPr>
              <w:pStyle w:val="OGNotes"/>
            </w:pPr>
            <w:r>
              <w:t>The higher 2014</w:t>
            </w:r>
            <w:r>
              <w:noBreakHyphen/>
              <w:t xml:space="preserve">15 target reflects additional funding announced in the </w:t>
            </w:r>
            <w:r w:rsidRPr="007D17CF">
              <w:rPr>
                <w:i w:val="0"/>
              </w:rPr>
              <w:t>2014</w:t>
            </w:r>
            <w:r>
              <w:rPr>
                <w:i w:val="0"/>
              </w:rPr>
              <w:noBreakHyphen/>
            </w:r>
            <w:r w:rsidRPr="007D17CF">
              <w:rPr>
                <w:i w:val="0"/>
              </w:rPr>
              <w:t>15 Budget</w:t>
            </w:r>
            <w:r>
              <w:t>.</w:t>
            </w:r>
          </w:p>
        </w:tc>
      </w:tr>
      <w:tr w:rsidR="00A53D7D" w:rsidRPr="005E5444" w:rsidTr="008C197D">
        <w:trPr>
          <w:cantSplit/>
        </w:trPr>
        <w:tc>
          <w:tcPr>
            <w:tcW w:w="3155" w:type="dxa"/>
            <w:tcBorders>
              <w:top w:val="nil"/>
              <w:left w:val="nil"/>
              <w:right w:val="nil"/>
            </w:tcBorders>
            <w:shd w:val="clear" w:color="000000" w:fill="FFFFFF"/>
          </w:tcPr>
          <w:p w:rsidR="00A53D7D" w:rsidRPr="00D342B7" w:rsidRDefault="00A53D7D" w:rsidP="005140B4">
            <w:pPr>
              <w:pStyle w:val="OGTabText"/>
              <w:rPr>
                <w:lang w:eastAsia="en-AU"/>
              </w:rPr>
            </w:pPr>
            <w:r w:rsidRPr="008D6053">
              <w:rPr>
                <w:lang w:eastAsia="en-AU"/>
              </w:rPr>
              <w:t>Standard Equivalent Value Units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 (000)</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6 141</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5 933</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5 933</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4 963</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26078A" w:rsidRDefault="00A53D7D" w:rsidP="005140B4">
            <w:pPr>
              <w:pStyle w:val="OGNotes"/>
            </w:pPr>
            <w:r>
              <w:t>The higher 2014</w:t>
            </w:r>
            <w:r>
              <w:noBreakHyphen/>
              <w:t xml:space="preserve">15 target reflects additional funding announced in the </w:t>
            </w:r>
            <w:r w:rsidRPr="007D17CF">
              <w:rPr>
                <w:i w:val="0"/>
              </w:rPr>
              <w:t>2014</w:t>
            </w:r>
            <w:r>
              <w:rPr>
                <w:i w:val="0"/>
              </w:rPr>
              <w:noBreakHyphen/>
            </w:r>
            <w:r w:rsidRPr="007D17CF">
              <w:rPr>
                <w:i w:val="0"/>
              </w:rPr>
              <w:t>15 Budget</w:t>
            </w:r>
            <w:r>
              <w:t>.</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tcPr>
          <w:p w:rsidR="00A53D7D" w:rsidRPr="00D342B7" w:rsidRDefault="00A53D7D" w:rsidP="005140B4">
            <w:pPr>
              <w:pStyle w:val="OGTabText"/>
              <w:rPr>
                <w:lang w:eastAsia="en-AU"/>
              </w:rPr>
            </w:pPr>
            <w:r w:rsidRPr="00E66AEC">
              <w:rPr>
                <w:lang w:eastAsia="en-AU"/>
              </w:rPr>
              <w:t>Eligible population receiving Home and Community Care services</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30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30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30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33.1</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keepNext/>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keepNext/>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keepNext/>
              <w:rPr>
                <w:lang w:eastAsia="en-AU"/>
              </w:rPr>
            </w:pPr>
          </w:p>
        </w:tc>
      </w:tr>
      <w:tr w:rsidR="00A53D7D" w:rsidRPr="005E5444" w:rsidTr="005140B4">
        <w:trPr>
          <w:cantSplit/>
        </w:trPr>
        <w:tc>
          <w:tcPr>
            <w:tcW w:w="3155" w:type="dxa"/>
            <w:tcBorders>
              <w:top w:val="nil"/>
              <w:left w:val="nil"/>
              <w:bottom w:val="nil"/>
              <w:right w:val="nil"/>
            </w:tcBorders>
            <w:shd w:val="clear" w:color="000000" w:fill="FFFFFF"/>
          </w:tcPr>
          <w:p w:rsidR="00A53D7D" w:rsidRPr="00D342B7" w:rsidRDefault="00A53D7D" w:rsidP="005140B4">
            <w:pPr>
              <w:pStyle w:val="OGTabText"/>
              <w:keepNext/>
              <w:rPr>
                <w:lang w:eastAsia="en-AU"/>
              </w:rPr>
            </w:pPr>
            <w:r>
              <w:rPr>
                <w:lang w:eastAsia="en-AU"/>
              </w:rPr>
              <w:t>Total output cost</w:t>
            </w:r>
          </w:p>
        </w:tc>
        <w:tc>
          <w:tcPr>
            <w:tcW w:w="907" w:type="dxa"/>
            <w:tcBorders>
              <w:top w:val="nil"/>
              <w:left w:val="nil"/>
              <w:bottom w:val="nil"/>
              <w:right w:val="nil"/>
            </w:tcBorders>
            <w:shd w:val="clear" w:color="000000" w:fill="FFFFFF"/>
          </w:tcPr>
          <w:p w:rsidR="00A53D7D" w:rsidRPr="005E5444" w:rsidRDefault="00A53D7D" w:rsidP="005140B4">
            <w:pPr>
              <w:pStyle w:val="OGUoM"/>
              <w:keepNext/>
              <w:rPr>
                <w:lang w:eastAsia="en-AU"/>
              </w:rPr>
            </w:pPr>
            <w:r>
              <w:rPr>
                <w:lang w:eastAsia="en-AU"/>
              </w:rPr>
              <w:t>$ million</w:t>
            </w:r>
          </w:p>
        </w:tc>
        <w:tc>
          <w:tcPr>
            <w:tcW w:w="907" w:type="dxa"/>
            <w:tcBorders>
              <w:top w:val="nil"/>
              <w:left w:val="nil"/>
              <w:bottom w:val="nil"/>
              <w:right w:val="nil"/>
            </w:tcBorders>
            <w:shd w:val="clear" w:color="auto" w:fill="D9D9D9"/>
          </w:tcPr>
          <w:p w:rsidR="00A53D7D" w:rsidRPr="002D55F8" w:rsidRDefault="00A53D7D" w:rsidP="005140B4">
            <w:pPr>
              <w:pStyle w:val="OGTableofFigures"/>
              <w:keepNext/>
              <w:rPr>
                <w:lang w:eastAsia="en-AU"/>
              </w:rPr>
            </w:pPr>
            <w:r w:rsidRPr="002D55F8">
              <w:rPr>
                <w:lang w:eastAsia="en-AU"/>
              </w:rPr>
              <w:t>707.9</w:t>
            </w:r>
          </w:p>
        </w:tc>
        <w:tc>
          <w:tcPr>
            <w:tcW w:w="993" w:type="dxa"/>
            <w:tcBorders>
              <w:top w:val="nil"/>
              <w:left w:val="nil"/>
              <w:bottom w:val="nil"/>
              <w:right w:val="nil"/>
            </w:tcBorders>
            <w:shd w:val="clear" w:color="000000" w:fill="FFFFFF"/>
          </w:tcPr>
          <w:p w:rsidR="00A53D7D" w:rsidRPr="002D55F8" w:rsidRDefault="00A53D7D" w:rsidP="005140B4">
            <w:pPr>
              <w:pStyle w:val="OGTableofFigures"/>
              <w:keepNext/>
              <w:rPr>
                <w:lang w:eastAsia="en-AU"/>
              </w:rPr>
            </w:pPr>
            <w:r w:rsidRPr="002D55F8">
              <w:rPr>
                <w:lang w:eastAsia="en-AU"/>
              </w:rPr>
              <w:t>694.7</w:t>
            </w:r>
          </w:p>
        </w:tc>
        <w:tc>
          <w:tcPr>
            <w:tcW w:w="907" w:type="dxa"/>
            <w:tcBorders>
              <w:top w:val="nil"/>
              <w:left w:val="nil"/>
              <w:bottom w:val="nil"/>
              <w:right w:val="nil"/>
            </w:tcBorders>
            <w:shd w:val="clear" w:color="000000" w:fill="FFFFFF"/>
          </w:tcPr>
          <w:p w:rsidR="00A53D7D" w:rsidRPr="002D55F8" w:rsidRDefault="00A53D7D" w:rsidP="005140B4">
            <w:pPr>
              <w:pStyle w:val="OGTableofFigures"/>
              <w:keepNext/>
              <w:rPr>
                <w:lang w:eastAsia="en-AU"/>
              </w:rPr>
            </w:pPr>
            <w:r w:rsidRPr="002D55F8">
              <w:rPr>
                <w:lang w:eastAsia="en-AU"/>
              </w:rPr>
              <w:t>696.3</w:t>
            </w:r>
          </w:p>
        </w:tc>
        <w:tc>
          <w:tcPr>
            <w:tcW w:w="907" w:type="dxa"/>
            <w:tcBorders>
              <w:top w:val="nil"/>
              <w:left w:val="nil"/>
              <w:bottom w:val="nil"/>
              <w:right w:val="nil"/>
            </w:tcBorders>
            <w:shd w:val="clear" w:color="000000" w:fill="FFFFFF"/>
          </w:tcPr>
          <w:p w:rsidR="00A53D7D" w:rsidRPr="002D55F8" w:rsidRDefault="00A53D7D" w:rsidP="005140B4">
            <w:pPr>
              <w:pStyle w:val="OGTableofFigures"/>
              <w:keepNext/>
              <w:rPr>
                <w:lang w:eastAsia="en-AU"/>
              </w:rPr>
            </w:pPr>
            <w:r w:rsidRPr="002D55F8">
              <w:rPr>
                <w:lang w:eastAsia="en-AU"/>
              </w:rPr>
              <w:t>649.7</w:t>
            </w:r>
          </w:p>
        </w:tc>
      </w:tr>
      <w:tr w:rsidR="00A53D7D" w:rsidRPr="005E5444" w:rsidTr="005140B4">
        <w:trPr>
          <w:cantSplit/>
        </w:trPr>
        <w:tc>
          <w:tcPr>
            <w:tcW w:w="7776" w:type="dxa"/>
            <w:gridSpan w:val="6"/>
            <w:tcBorders>
              <w:top w:val="nil"/>
              <w:left w:val="nil"/>
              <w:bottom w:val="single" w:sz="12" w:space="0" w:color="auto"/>
              <w:right w:val="nil"/>
            </w:tcBorders>
            <w:shd w:val="clear" w:color="000000" w:fill="FFFFFF"/>
          </w:tcPr>
          <w:p w:rsidR="00A53D7D" w:rsidRPr="002D55F8" w:rsidRDefault="00A53D7D" w:rsidP="005140B4">
            <w:pPr>
              <w:pStyle w:val="OGNotes"/>
            </w:pPr>
            <w:r w:rsidRPr="0032119E">
              <w:t>The higher 2014</w:t>
            </w:r>
            <w:r>
              <w:noBreakHyphen/>
            </w:r>
            <w:r w:rsidRPr="0032119E">
              <w:t xml:space="preserve">15 </w:t>
            </w:r>
            <w:r>
              <w:t>target</w:t>
            </w:r>
            <w:r w:rsidRPr="0032119E">
              <w:t xml:space="preserve"> reflects implementation of policy initiatives announced in this budget and increases</w:t>
            </w:r>
            <w:r>
              <w:t xml:space="preserve"> for the implementation of the social and community s</w:t>
            </w:r>
            <w:r w:rsidRPr="0032119E">
              <w:t xml:space="preserve">ervices </w:t>
            </w:r>
            <w:r>
              <w:t>pay equity case</w:t>
            </w:r>
            <w:r w:rsidRPr="0032119E">
              <w:t xml:space="preserve"> and </w:t>
            </w:r>
            <w:r>
              <w:t>the cost of delivering services</w:t>
            </w:r>
            <w:r w:rsidRPr="0032119E">
              <w:t>.</w:t>
            </w:r>
          </w:p>
        </w:tc>
      </w:tr>
    </w:tbl>
    <w:p w:rsidR="00A53D7D" w:rsidRDefault="00A53D7D" w:rsidP="005140B4">
      <w:pPr>
        <w:pStyle w:val="Source"/>
        <w:rPr>
          <w:lang w:eastAsia="en-AU"/>
        </w:rPr>
      </w:pPr>
      <w:r>
        <w:rPr>
          <w:lang w:eastAsia="en-AU"/>
        </w:rPr>
        <w:t>Source: Department of Health</w:t>
      </w:r>
      <w:r>
        <w:rPr>
          <w:lang w:eastAsia="en-AU"/>
        </w:rPr>
        <w:fldChar w:fldCharType="begin"/>
      </w:r>
      <w:r>
        <w:instrText xml:space="preserve"> XE "</w:instrText>
      </w:r>
      <w:r w:rsidRPr="009F025B">
        <w:rPr>
          <w:szCs w:val="15"/>
          <w:lang w:eastAsia="en-AU"/>
        </w:rPr>
        <w:instrText>Department of Health</w:instrText>
      </w:r>
      <w:r w:rsidRPr="009F025B">
        <w:rPr>
          <w:szCs w:val="15"/>
        </w:rPr>
        <w:instrText>:</w:instrText>
      </w:r>
      <w:r w:rsidRPr="006D51F0">
        <w:instrText>Ageing, Aged and Home Care</w:instrText>
      </w:r>
      <w:r>
        <w:instrText xml:space="preserve">" \r "DHAgeing" </w:instrText>
      </w:r>
      <w:r>
        <w:rPr>
          <w:lang w:eastAsia="en-AU"/>
        </w:rPr>
        <w:fldChar w:fldCharType="end"/>
      </w:r>
      <w:r>
        <w:rPr>
          <w:lang w:eastAsia="en-AU"/>
        </w:rPr>
        <w:fldChar w:fldCharType="begin"/>
      </w:r>
      <w:r>
        <w:instrText xml:space="preserve"> XE "</w:instrText>
      </w:r>
      <w:r w:rsidRPr="007769F6">
        <w:rPr>
          <w:szCs w:val="15"/>
          <w:lang w:eastAsia="en-AU"/>
        </w:rPr>
        <w:instrText>Ageing, Aged and Home Care</w:instrText>
      </w:r>
      <w:r>
        <w:instrText xml:space="preserve">" \r "DHAgeing" </w:instrText>
      </w:r>
      <w:r>
        <w:rPr>
          <w:lang w:eastAsia="en-AU"/>
        </w:rPr>
        <w:fldChar w:fldCharType="end"/>
      </w:r>
      <w:r>
        <w:rPr>
          <w:lang w:eastAsia="en-AU"/>
        </w:rPr>
        <w:t xml:space="preserve"> </w:t>
      </w:r>
    </w:p>
    <w:bookmarkEnd w:id="91"/>
    <w:p w:rsidR="00A53D7D" w:rsidRDefault="00A53D7D" w:rsidP="005140B4">
      <w:pPr>
        <w:rPr>
          <w:lang w:eastAsia="en-AU"/>
        </w:rPr>
      </w:pPr>
    </w:p>
    <w:p w:rsidR="00A53D7D" w:rsidRDefault="00A53D7D">
      <w:r>
        <w:rPr>
          <w:b/>
        </w:rPr>
        <w:br w:type="page"/>
      </w:r>
    </w:p>
    <w:p w:rsidR="00A53D7D" w:rsidRDefault="00A53D7D" w:rsidP="005140B4">
      <w:pPr>
        <w:pStyle w:val="OGHeading1"/>
      </w:pPr>
      <w:bookmarkStart w:id="92" w:name="DHDental"/>
      <w:r w:rsidRPr="00AE5C2F">
        <w:t>Prima</w:t>
      </w:r>
      <w:r>
        <w:t>ry, Community and Dental Health</w:t>
      </w:r>
    </w:p>
    <w:p w:rsidR="00A53D7D" w:rsidRDefault="00A53D7D" w:rsidP="005140B4">
      <w:pPr>
        <w:pStyle w:val="OGText"/>
      </w:pPr>
      <w:r w:rsidRPr="00AE5C2F">
        <w:t>Primary, Community and Dental Health outputs, through</w:t>
      </w:r>
      <w:r>
        <w:t xml:space="preserve"> the provision of a range of in</w:t>
      </w:r>
      <w:r>
        <w:noBreakHyphen/>
        <w:t>home, community</w:t>
      </w:r>
      <w:r>
        <w:noBreakHyphen/>
      </w:r>
      <w:r w:rsidRPr="00AE5C2F">
        <w:t xml:space="preserve">based, community, primary </w:t>
      </w:r>
      <w:proofErr w:type="gramStart"/>
      <w:r w:rsidRPr="00AE5C2F">
        <w:t>health</w:t>
      </w:r>
      <w:proofErr w:type="gramEnd"/>
      <w:r w:rsidRPr="00AE5C2F">
        <w:t xml:space="preserve"> and dental services designed to promote health and wellbeing and prevent the onset of more serious illnesses.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8C197D">
        <w:trPr>
          <w:cantSplit/>
        </w:trPr>
        <w:tc>
          <w:tcPr>
            <w:tcW w:w="7776" w:type="dxa"/>
            <w:gridSpan w:val="6"/>
            <w:tcBorders>
              <w:top w:val="nil"/>
              <w:left w:val="nil"/>
              <w:right w:val="nil"/>
            </w:tcBorders>
            <w:shd w:val="clear" w:color="auto" w:fill="auto"/>
            <w:vAlign w:val="bottom"/>
          </w:tcPr>
          <w:p w:rsidR="00A53D7D" w:rsidRPr="005E5444" w:rsidRDefault="00A53D7D" w:rsidP="005140B4">
            <w:pPr>
              <w:pStyle w:val="OGHeading2"/>
              <w:rPr>
                <w:lang w:eastAsia="en-AU"/>
              </w:rPr>
            </w:pPr>
            <w:r w:rsidRPr="00907203">
              <w:rPr>
                <w:lang w:eastAsia="en-AU"/>
              </w:rPr>
              <w:t>Comm</w:t>
            </w:r>
            <w:r>
              <w:rPr>
                <w:lang w:eastAsia="en-AU"/>
              </w:rPr>
              <w:t>unity Health care</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rPr>
                <w:lang w:eastAsia="en-AU"/>
              </w:rPr>
            </w:pPr>
            <w:r w:rsidRPr="00907203">
              <w:rPr>
                <w:lang w:eastAsia="en-AU"/>
              </w:rPr>
              <w:t xml:space="preserve">This output includes delivery of a range of community care and support services, including counselling, allied </w:t>
            </w:r>
            <w:proofErr w:type="gramStart"/>
            <w:r w:rsidRPr="00907203">
              <w:rPr>
                <w:lang w:eastAsia="en-AU"/>
              </w:rPr>
              <w:t>health</w:t>
            </w:r>
            <w:proofErr w:type="gramEnd"/>
            <w:r w:rsidRPr="00907203">
              <w:rPr>
                <w:lang w:eastAsia="en-AU"/>
              </w:rPr>
              <w:t xml:space="preserve"> and nursing, that enable people to continue to live indep</w:t>
            </w:r>
            <w:r>
              <w:rPr>
                <w:lang w:eastAsia="en-AU"/>
              </w:rPr>
              <w:t>endently in the community.</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BE0DDB">
              <w:rPr>
                <w:lang w:eastAsia="en-AU"/>
              </w:rPr>
              <w:t>Better Health Channel visits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 (000)</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33 000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33 000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17 000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29 450</w:t>
            </w:r>
          </w:p>
        </w:tc>
      </w:tr>
      <w:tr w:rsidR="00A53D7D" w:rsidRPr="005E5444" w:rsidTr="008C197D">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rsidRPr="00BE0DDB">
              <w:t>The 2013</w:t>
            </w:r>
            <w:r>
              <w:noBreakHyphen/>
            </w:r>
            <w:r w:rsidRPr="00BE0DDB">
              <w:t xml:space="preserve">14 </w:t>
            </w:r>
            <w:r>
              <w:t>expected outcome</w:t>
            </w:r>
            <w:r w:rsidRPr="00BE0DDB">
              <w:t xml:space="preserve"> </w:t>
            </w:r>
            <w:r>
              <w:t>is higher than the 2013</w:t>
            </w:r>
            <w:r>
              <w:noBreakHyphen/>
              <w:t>14 target due to significant optimisation efforts which have increased the visibility of Better Health Channel in search engines.</w:t>
            </w:r>
          </w:p>
          <w:p w:rsidR="00A53D7D" w:rsidRPr="00BE0DDB" w:rsidRDefault="00A53D7D" w:rsidP="005140B4">
            <w:pPr>
              <w:pStyle w:val="OGNotes"/>
            </w:pPr>
            <w:r>
              <w:t>The higher 2014</w:t>
            </w:r>
            <w:r>
              <w:noBreakHyphen/>
              <w:t>15 target reflects continuing growth in use.</w:t>
            </w:r>
          </w:p>
        </w:tc>
      </w:tr>
      <w:tr w:rsidR="00A53D7D" w:rsidRPr="005E5444" w:rsidTr="008C197D">
        <w:trPr>
          <w:cantSplit/>
        </w:trPr>
        <w:tc>
          <w:tcPr>
            <w:tcW w:w="3155" w:type="dxa"/>
            <w:tcBorders>
              <w:top w:val="single" w:sz="6" w:space="0" w:color="auto"/>
              <w:left w:val="nil"/>
              <w:right w:val="nil"/>
            </w:tcBorders>
            <w:shd w:val="clear" w:color="000000" w:fill="FFFFFF"/>
          </w:tcPr>
          <w:p w:rsidR="00A53D7D" w:rsidRPr="005E5444" w:rsidRDefault="00A53D7D" w:rsidP="005140B4">
            <w:pPr>
              <w:pStyle w:val="OGTabText"/>
              <w:rPr>
                <w:lang w:eastAsia="en-AU"/>
              </w:rPr>
            </w:pPr>
            <w:r w:rsidRPr="00553434">
              <w:rPr>
                <w:lang w:eastAsia="en-AU"/>
              </w:rPr>
              <w:t>Number of referrals made using secure electronic referral systems</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250 000</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250 000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100 000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274 521</w:t>
            </w:r>
          </w:p>
        </w:tc>
      </w:tr>
      <w:tr w:rsidR="00A53D7D" w:rsidRPr="005E5444" w:rsidTr="008C197D">
        <w:trPr>
          <w:cantSplit/>
        </w:trPr>
        <w:tc>
          <w:tcPr>
            <w:tcW w:w="7776" w:type="dxa"/>
            <w:gridSpan w:val="6"/>
            <w:tcBorders>
              <w:left w:val="nil"/>
              <w:bottom w:val="single" w:sz="6" w:space="0" w:color="auto"/>
              <w:right w:val="nil"/>
            </w:tcBorders>
            <w:shd w:val="clear" w:color="000000" w:fill="FFFFFF"/>
          </w:tcPr>
          <w:p w:rsidR="00A53D7D" w:rsidRDefault="00A53D7D" w:rsidP="005140B4">
            <w:pPr>
              <w:pStyle w:val="OGNotes"/>
            </w:pPr>
            <w:r w:rsidRPr="00BE0DDB">
              <w:t>The 2013</w:t>
            </w:r>
            <w:r>
              <w:noBreakHyphen/>
            </w:r>
            <w:r w:rsidRPr="00BE0DDB">
              <w:t xml:space="preserve">14 </w:t>
            </w:r>
            <w:r>
              <w:t>expected outcome</w:t>
            </w:r>
            <w:r w:rsidRPr="00BE0DDB">
              <w:t xml:space="preserve"> </w:t>
            </w:r>
            <w:r>
              <w:t xml:space="preserve">is higher than </w:t>
            </w:r>
            <w:r w:rsidRPr="00197954">
              <w:t>the 2013</w:t>
            </w:r>
            <w:r>
              <w:noBreakHyphen/>
            </w:r>
            <w:r w:rsidRPr="00197954">
              <w:t xml:space="preserve">14 </w:t>
            </w:r>
            <w:r>
              <w:t>target</w:t>
            </w:r>
            <w:r w:rsidRPr="00197954">
              <w:t xml:space="preserve"> due to a higher than expected increase in use of electronic referrals</w:t>
            </w:r>
            <w:r>
              <w:t>.</w:t>
            </w:r>
          </w:p>
          <w:p w:rsidR="00A53D7D" w:rsidRDefault="00A53D7D" w:rsidP="005140B4">
            <w:pPr>
              <w:pStyle w:val="OGNotes"/>
            </w:pPr>
            <w:r>
              <w:t>The higher 2014</w:t>
            </w:r>
            <w:r>
              <w:noBreakHyphen/>
              <w:t xml:space="preserve">15 target reflects </w:t>
            </w:r>
            <w:r w:rsidRPr="00B1199B">
              <w:t>increasing uptake</w:t>
            </w:r>
            <w:r>
              <w:t xml:space="preserve"> of secure electronic referrals.</w:t>
            </w:r>
            <w:r w:rsidRPr="00B1199B">
              <w:t xml:space="preserve"> </w:t>
            </w:r>
            <w:r>
              <w:t>T</w:t>
            </w:r>
            <w:r w:rsidRPr="00B1199B">
              <w:t>his</w:t>
            </w:r>
            <w:r>
              <w:t xml:space="preserve"> figure has been chosen due to uncertainty around new technology and the impacts this will have on referral volume.</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553434">
              <w:rPr>
                <w:lang w:eastAsia="en-AU"/>
              </w:rPr>
              <w:t>Primary Care Partnerships with reviewed and updated Strategic Plans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r>
      <w:tr w:rsidR="00A53D7D" w:rsidRPr="005E5444" w:rsidTr="005140B4">
        <w:trPr>
          <w:cantSplit/>
        </w:trPr>
        <w:tc>
          <w:tcPr>
            <w:tcW w:w="3155" w:type="dxa"/>
            <w:tcBorders>
              <w:top w:val="single" w:sz="6" w:space="0" w:color="auto"/>
              <w:left w:val="nil"/>
              <w:right w:val="nil"/>
            </w:tcBorders>
            <w:shd w:val="clear" w:color="000000" w:fill="FFFFFF"/>
          </w:tcPr>
          <w:p w:rsidR="00A53D7D" w:rsidRPr="00553434" w:rsidRDefault="00A53D7D" w:rsidP="005140B4">
            <w:pPr>
              <w:pStyle w:val="OGTabText"/>
              <w:rPr>
                <w:lang w:eastAsia="en-AU"/>
              </w:rPr>
            </w:pPr>
            <w:r>
              <w:rPr>
                <w:lang w:eastAsia="en-AU"/>
              </w:rPr>
              <w:t>Rate of admissions for a</w:t>
            </w:r>
            <w:r w:rsidRPr="00553434">
              <w:rPr>
                <w:lang w:eastAsia="en-AU"/>
              </w:rPr>
              <w:t>mbulatory care sensitive chronic condi</w:t>
            </w:r>
            <w:r>
              <w:rPr>
                <w:lang w:eastAsia="en-AU"/>
              </w:rPr>
              <w:t>tions for Aboriginal Victorians</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rate</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30.9</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r>
      <w:tr w:rsidR="00A53D7D" w:rsidRPr="005E5444" w:rsidTr="008C197D">
        <w:trPr>
          <w:cantSplit/>
        </w:trPr>
        <w:tc>
          <w:tcPr>
            <w:tcW w:w="7776" w:type="dxa"/>
            <w:gridSpan w:val="6"/>
            <w:tcBorders>
              <w:top w:val="nil"/>
              <w:left w:val="nil"/>
              <w:bottom w:val="single" w:sz="6" w:space="0" w:color="auto"/>
              <w:right w:val="nil"/>
            </w:tcBorders>
            <w:shd w:val="clear" w:color="auto" w:fill="auto"/>
            <w:vAlign w:val="bottom"/>
          </w:tcPr>
          <w:p w:rsidR="00A53D7D" w:rsidRPr="00615E3B" w:rsidRDefault="00A53D7D" w:rsidP="005140B4">
            <w:pPr>
              <w:pStyle w:val="OGNotes"/>
            </w:pPr>
            <w:r w:rsidRPr="00615E3B">
              <w:t>New performance measure for 2014</w:t>
            </w:r>
            <w:r>
              <w:noBreakHyphen/>
              <w:t>15 to reflect G</w:t>
            </w:r>
            <w:r w:rsidRPr="00615E3B">
              <w:t>overnment priorities to improve the h</w:t>
            </w:r>
            <w:r>
              <w:t>ealth of Aboriginal Victorians.</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305743" w:rsidRDefault="00A53D7D" w:rsidP="005140B4">
            <w:pPr>
              <w:pStyle w:val="OGTabText"/>
              <w:rPr>
                <w:lang w:eastAsia="en-AU"/>
              </w:rPr>
            </w:pPr>
            <w:r w:rsidRPr="00305743">
              <w:rPr>
                <w:lang w:eastAsia="en-AU"/>
              </w:rPr>
              <w:t>Service delivery</w:t>
            </w:r>
            <w:r>
              <w:rPr>
                <w:lang w:eastAsia="en-AU"/>
              </w:rPr>
              <w:t xml:space="preserve"> hours in community health care</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 (000)</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988</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998</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998</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961</w:t>
            </w:r>
          </w:p>
        </w:tc>
      </w:tr>
      <w:tr w:rsidR="00A53D7D" w:rsidRPr="005E5444" w:rsidTr="008C197D">
        <w:trPr>
          <w:cantSplit/>
        </w:trPr>
        <w:tc>
          <w:tcPr>
            <w:tcW w:w="3155" w:type="dxa"/>
            <w:tcBorders>
              <w:top w:val="single" w:sz="6" w:space="0" w:color="auto"/>
              <w:left w:val="nil"/>
              <w:right w:val="nil"/>
            </w:tcBorders>
            <w:shd w:val="clear" w:color="000000" w:fill="FFFFFF"/>
          </w:tcPr>
          <w:p w:rsidR="00A53D7D" w:rsidRPr="005E5444" w:rsidRDefault="00A53D7D" w:rsidP="005140B4">
            <w:pPr>
              <w:pStyle w:val="OGTabText"/>
              <w:rPr>
                <w:lang w:eastAsia="en-AU"/>
              </w:rPr>
            </w:pPr>
            <w:r w:rsidRPr="00B5714D">
              <w:rPr>
                <w:lang w:eastAsia="en-AU"/>
              </w:rPr>
              <w:t>Standard Equivalent Value Units</w:t>
            </w:r>
          </w:p>
        </w:tc>
        <w:tc>
          <w:tcPr>
            <w:tcW w:w="907" w:type="dxa"/>
            <w:tcBorders>
              <w:top w:val="single" w:sz="6" w:space="0" w:color="auto"/>
              <w:left w:val="nil"/>
              <w:right w:val="nil"/>
            </w:tcBorders>
            <w:shd w:val="clear" w:color="000000" w:fill="FFFFFF"/>
          </w:tcPr>
          <w:p w:rsidR="00A53D7D" w:rsidRDefault="00A53D7D" w:rsidP="005140B4">
            <w:pPr>
              <w:pStyle w:val="OGUoM"/>
              <w:rPr>
                <w:lang w:eastAsia="en-AU"/>
              </w:rPr>
            </w:pPr>
            <w:r>
              <w:rPr>
                <w:lang w:eastAsia="en-AU"/>
              </w:rPr>
              <w:t>number</w:t>
            </w:r>
          </w:p>
          <w:p w:rsidR="00A53D7D" w:rsidRPr="005E5444" w:rsidRDefault="00A53D7D" w:rsidP="005140B4">
            <w:pPr>
              <w:pStyle w:val="OGUoM"/>
              <w:rPr>
                <w:lang w:eastAsia="en-AU"/>
              </w:rPr>
            </w:pPr>
            <w:r>
              <w:rPr>
                <w:lang w:eastAsia="en-AU"/>
              </w:rPr>
              <w:t>(000)</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1 038</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1 072</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1 072</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1 032</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B5714D" w:rsidRDefault="00A53D7D" w:rsidP="005140B4">
            <w:pPr>
              <w:pStyle w:val="OGNotes"/>
            </w:pPr>
            <w:r w:rsidRPr="00B5714D">
              <w:t xml:space="preserve">The </w:t>
            </w:r>
            <w:r>
              <w:t xml:space="preserve">lower </w:t>
            </w:r>
            <w:r w:rsidRPr="00B5714D">
              <w:t>2014</w:t>
            </w:r>
            <w:r>
              <w:noBreakHyphen/>
            </w:r>
            <w:r w:rsidRPr="00B5714D">
              <w:t xml:space="preserve">15 </w:t>
            </w:r>
            <w:r>
              <w:t>target reflects service levels funded.</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07505F">
              <w:rPr>
                <w:lang w:eastAsia="en-AU"/>
              </w:rPr>
              <w:t>Agencies with an Integrated Health Promotion plan that meets the stipulated planning requirements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95</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94</w:t>
            </w:r>
          </w:p>
        </w:tc>
      </w:tr>
      <w:tr w:rsidR="00A53D7D" w:rsidRPr="005E5444" w:rsidTr="008C197D">
        <w:trPr>
          <w:cantSplit/>
        </w:trPr>
        <w:tc>
          <w:tcPr>
            <w:tcW w:w="7776" w:type="dxa"/>
            <w:gridSpan w:val="6"/>
            <w:tcBorders>
              <w:top w:val="nil"/>
              <w:left w:val="nil"/>
              <w:bottom w:val="single" w:sz="6" w:space="0" w:color="auto"/>
              <w:right w:val="nil"/>
            </w:tcBorders>
            <w:shd w:val="clear" w:color="000000" w:fill="FFFFFF"/>
          </w:tcPr>
          <w:p w:rsidR="00A53D7D" w:rsidRDefault="00A53D7D" w:rsidP="005140B4">
            <w:pPr>
              <w:pStyle w:val="OGNotes"/>
            </w:pPr>
            <w:r>
              <w:t>The higher 2014</w:t>
            </w:r>
            <w:r>
              <w:noBreakHyphen/>
              <w:t>15 target reflects consistent high performance against this measure.</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E646BF">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E646BF">
            <w:pPr>
              <w:pStyle w:val="OGUoM"/>
              <w:keepNext/>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E646BF">
            <w:pPr>
              <w:pStyle w:val="OGTableofFigures"/>
              <w:keepNext/>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E646BF">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E646BF">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E646BF">
            <w:pPr>
              <w:pStyle w:val="OGTableofFigures"/>
              <w:keepNext/>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E646BF">
            <w:pPr>
              <w:pStyle w:val="OGTabText"/>
              <w:keepNext/>
              <w:rPr>
                <w:lang w:eastAsia="en-AU"/>
              </w:rPr>
            </w:pPr>
            <w:r>
              <w:rPr>
                <w:lang w:eastAsia="en-AU"/>
              </w:rPr>
              <w:t>Total output cost</w:t>
            </w:r>
          </w:p>
        </w:tc>
        <w:tc>
          <w:tcPr>
            <w:tcW w:w="907" w:type="dxa"/>
            <w:tcBorders>
              <w:top w:val="nil"/>
              <w:left w:val="nil"/>
              <w:right w:val="nil"/>
            </w:tcBorders>
            <w:shd w:val="clear" w:color="000000" w:fill="FFFFFF"/>
          </w:tcPr>
          <w:p w:rsidR="00A53D7D" w:rsidRPr="005E5444" w:rsidRDefault="00A53D7D" w:rsidP="00E646BF">
            <w:pPr>
              <w:pStyle w:val="OGUoM"/>
              <w:keepNext/>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E646BF">
            <w:pPr>
              <w:pStyle w:val="OGTableofFigures"/>
              <w:keepNext/>
              <w:rPr>
                <w:lang w:eastAsia="en-AU"/>
              </w:rPr>
            </w:pPr>
            <w:r w:rsidRPr="002D55F8">
              <w:rPr>
                <w:lang w:eastAsia="en-AU"/>
              </w:rPr>
              <w:t>235.8</w:t>
            </w:r>
          </w:p>
        </w:tc>
        <w:tc>
          <w:tcPr>
            <w:tcW w:w="993" w:type="dxa"/>
            <w:tcBorders>
              <w:top w:val="nil"/>
              <w:left w:val="nil"/>
              <w:right w:val="nil"/>
            </w:tcBorders>
            <w:shd w:val="clear" w:color="000000" w:fill="FFFFFF"/>
          </w:tcPr>
          <w:p w:rsidR="00A53D7D" w:rsidRPr="002D55F8" w:rsidRDefault="00A53D7D" w:rsidP="00E646BF">
            <w:pPr>
              <w:pStyle w:val="OGTableofFigures"/>
              <w:keepNext/>
              <w:rPr>
                <w:lang w:eastAsia="en-AU"/>
              </w:rPr>
            </w:pPr>
            <w:r w:rsidRPr="002D55F8">
              <w:rPr>
                <w:lang w:eastAsia="en-AU"/>
              </w:rPr>
              <w:t>233.4</w:t>
            </w:r>
          </w:p>
        </w:tc>
        <w:tc>
          <w:tcPr>
            <w:tcW w:w="907" w:type="dxa"/>
            <w:tcBorders>
              <w:top w:val="nil"/>
              <w:left w:val="nil"/>
              <w:right w:val="nil"/>
            </w:tcBorders>
            <w:shd w:val="clear" w:color="000000" w:fill="FFFFFF"/>
          </w:tcPr>
          <w:p w:rsidR="00A53D7D" w:rsidRPr="002D55F8" w:rsidRDefault="00A53D7D" w:rsidP="00E646BF">
            <w:pPr>
              <w:pStyle w:val="OGTableofFigures"/>
              <w:keepNext/>
              <w:rPr>
                <w:lang w:eastAsia="en-AU"/>
              </w:rPr>
            </w:pPr>
            <w:r w:rsidRPr="002D55F8">
              <w:rPr>
                <w:lang w:eastAsia="en-AU"/>
              </w:rPr>
              <w:t>230.3</w:t>
            </w:r>
          </w:p>
        </w:tc>
        <w:tc>
          <w:tcPr>
            <w:tcW w:w="907" w:type="dxa"/>
            <w:tcBorders>
              <w:top w:val="nil"/>
              <w:left w:val="nil"/>
              <w:right w:val="nil"/>
            </w:tcBorders>
            <w:shd w:val="clear" w:color="000000" w:fill="FFFFFF"/>
          </w:tcPr>
          <w:p w:rsidR="00A53D7D" w:rsidRPr="002D55F8" w:rsidRDefault="00A53D7D" w:rsidP="00E646BF">
            <w:pPr>
              <w:pStyle w:val="OGTableofFigures"/>
              <w:keepNext/>
              <w:rPr>
                <w:lang w:eastAsia="en-AU"/>
              </w:rPr>
            </w:pPr>
            <w:r w:rsidRPr="002D55F8">
              <w:rPr>
                <w:lang w:eastAsia="en-AU"/>
              </w:rPr>
              <w:t>221.9</w:t>
            </w:r>
          </w:p>
        </w:tc>
      </w:tr>
      <w:tr w:rsidR="00A53D7D" w:rsidRPr="005E5444" w:rsidTr="005140B4">
        <w:trPr>
          <w:cantSplit/>
        </w:trPr>
        <w:tc>
          <w:tcPr>
            <w:tcW w:w="7776" w:type="dxa"/>
            <w:gridSpan w:val="6"/>
            <w:tcBorders>
              <w:left w:val="nil"/>
              <w:bottom w:val="single" w:sz="6" w:space="0" w:color="auto"/>
              <w:right w:val="nil"/>
            </w:tcBorders>
            <w:shd w:val="clear" w:color="000000" w:fill="FFFFFF"/>
          </w:tcPr>
          <w:p w:rsidR="00A53D7D" w:rsidRPr="002D55F8" w:rsidRDefault="00A53D7D" w:rsidP="005140B4">
            <w:pPr>
              <w:pStyle w:val="OGNotes"/>
            </w:pPr>
            <w:r>
              <w:t>The higher 2014</w:t>
            </w:r>
            <w:r>
              <w:noBreakHyphen/>
              <w:t xml:space="preserve">15 target reflects an increase in the cost of delivering services, the implementation of policy initiatives announced in this budget and the impact of the social and community services pay equity case. </w:t>
            </w:r>
          </w:p>
        </w:tc>
      </w:tr>
      <w:tr w:rsidR="00A53D7D" w:rsidRPr="005E5444" w:rsidTr="008C197D">
        <w:trPr>
          <w:cantSplit/>
        </w:trPr>
        <w:tc>
          <w:tcPr>
            <w:tcW w:w="7776" w:type="dxa"/>
            <w:gridSpan w:val="6"/>
            <w:tcBorders>
              <w:top w:val="single" w:sz="6" w:space="0" w:color="auto"/>
              <w:left w:val="nil"/>
              <w:right w:val="nil"/>
            </w:tcBorders>
            <w:shd w:val="clear" w:color="auto" w:fill="auto"/>
            <w:vAlign w:val="bottom"/>
          </w:tcPr>
          <w:p w:rsidR="00A53D7D" w:rsidRPr="005E5444" w:rsidRDefault="00A53D7D" w:rsidP="005140B4">
            <w:pPr>
              <w:pStyle w:val="OGHeading2"/>
              <w:rPr>
                <w:lang w:eastAsia="en-AU"/>
              </w:rPr>
            </w:pPr>
            <w:r>
              <w:rPr>
                <w:lang w:eastAsia="en-AU"/>
              </w:rPr>
              <w:t>Dental Services</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rPr>
                <w:lang w:eastAsia="en-AU"/>
              </w:rPr>
            </w:pPr>
            <w:r w:rsidRPr="00545C77">
              <w:rPr>
                <w:lang w:eastAsia="en-AU"/>
              </w:rPr>
              <w:t>This output includes delivery of a range of dental health services to support health and w</w:t>
            </w:r>
            <w:r>
              <w:rPr>
                <w:lang w:eastAsia="en-AU"/>
              </w:rPr>
              <w:t>ellbeing in the community.</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946467">
              <w:rPr>
                <w:lang w:eastAsia="en-AU"/>
              </w:rPr>
              <w:t>Persons treated</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365 000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430 000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332 150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341 598</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t>The 2013</w:t>
            </w:r>
            <w:r>
              <w:noBreakHyphen/>
              <w:t>14 expected outcome is higher than the 2013</w:t>
            </w:r>
            <w:r>
              <w:noBreakHyphen/>
              <w:t>14 target due to additional activity arising from changes to State and Commonwealth funding.</w:t>
            </w:r>
          </w:p>
          <w:p w:rsidR="00A53D7D" w:rsidRPr="00946467" w:rsidRDefault="00A53D7D" w:rsidP="005140B4">
            <w:pPr>
              <w:pStyle w:val="OGNotes"/>
            </w:pPr>
            <w:r>
              <w:t>The higher 2014</w:t>
            </w:r>
            <w:r>
              <w:noBreakHyphen/>
              <w:t>15 target reflects additional activity arising from changes to State and Commonwealth funding.</w:t>
            </w: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0D02DD">
              <w:rPr>
                <w:lang w:eastAsia="en-AU"/>
              </w:rPr>
              <w:t>Standard Equivalent Value Units</w:t>
            </w:r>
          </w:p>
        </w:tc>
        <w:tc>
          <w:tcPr>
            <w:tcW w:w="907" w:type="dxa"/>
            <w:tcBorders>
              <w:top w:val="nil"/>
              <w:left w:val="nil"/>
              <w:right w:val="nil"/>
            </w:tcBorders>
            <w:shd w:val="clear" w:color="000000" w:fill="FFFFFF"/>
          </w:tcPr>
          <w:p w:rsidR="00A53D7D" w:rsidRDefault="00A53D7D" w:rsidP="005140B4">
            <w:pPr>
              <w:pStyle w:val="OGUoM"/>
              <w:rPr>
                <w:lang w:eastAsia="en-AU"/>
              </w:rPr>
            </w:pPr>
            <w:r>
              <w:rPr>
                <w:lang w:eastAsia="en-AU"/>
              </w:rPr>
              <w:t>number</w:t>
            </w:r>
          </w:p>
          <w:p w:rsidR="00A53D7D" w:rsidRPr="005E5444" w:rsidRDefault="00A53D7D" w:rsidP="005140B4">
            <w:pPr>
              <w:pStyle w:val="OGUoM"/>
              <w:rPr>
                <w:lang w:eastAsia="en-AU"/>
              </w:rPr>
            </w:pPr>
            <w:r>
              <w:rPr>
                <w:lang w:eastAsia="en-AU"/>
              </w:rPr>
              <w:t>(000)</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1 553</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1 829</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1 413</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1 452</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rsidRPr="000D02DD">
              <w:t xml:space="preserve">The </w:t>
            </w:r>
            <w:r>
              <w:t>2013</w:t>
            </w:r>
            <w:r>
              <w:noBreakHyphen/>
              <w:t>14 expected outcome is higher than the 2013</w:t>
            </w:r>
            <w:r>
              <w:noBreakHyphen/>
              <w:t>14 target due to additional activity arising from changes to State and Commonwealth funding.</w:t>
            </w:r>
          </w:p>
          <w:p w:rsidR="00A53D7D" w:rsidRPr="000D02DD" w:rsidRDefault="00A53D7D" w:rsidP="005140B4">
            <w:pPr>
              <w:pStyle w:val="OGNotes"/>
            </w:pPr>
            <w:r>
              <w:t>The higher 2014</w:t>
            </w:r>
            <w:r>
              <w:noBreakHyphen/>
              <w:t>15 target reflects additional activity arising from changes to State and Commonwealth funding.</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rPr>
                <w:lang w:eastAsia="en-AU"/>
              </w:rPr>
            </w:pPr>
            <w:r w:rsidRPr="007B2657">
              <w:rPr>
                <w:lang w:eastAsia="en-AU"/>
              </w:rPr>
              <w:t>Ratio of emergency to general courses of dental care</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ratio</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40:60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40:60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40:60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45:55</w:t>
            </w:r>
          </w:p>
        </w:tc>
      </w:tr>
      <w:tr w:rsidR="00A53D7D" w:rsidRPr="005E5444" w:rsidTr="008C197D">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38180B">
              <w:rPr>
                <w:lang w:eastAsia="en-AU"/>
              </w:rPr>
              <w:t>Waiting time for dentures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months</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11</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11</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22</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19</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38180B" w:rsidRDefault="00A53D7D" w:rsidP="005140B4">
            <w:pPr>
              <w:pStyle w:val="OGNotes"/>
            </w:pPr>
            <w:r w:rsidRPr="0038180B">
              <w:t>The 2013</w:t>
            </w:r>
            <w:r>
              <w:noBreakHyphen/>
            </w:r>
            <w:r w:rsidRPr="0038180B">
              <w:t xml:space="preserve">14 </w:t>
            </w:r>
            <w:r>
              <w:t>expected outcome</w:t>
            </w:r>
            <w:r w:rsidRPr="0038180B">
              <w:t xml:space="preserve"> is lower than </w:t>
            </w:r>
            <w:r>
              <w:t xml:space="preserve">the </w:t>
            </w:r>
            <w:r w:rsidRPr="0038180B">
              <w:t>2013</w:t>
            </w:r>
            <w:r>
              <w:noBreakHyphen/>
              <w:t>14 target to reflect additional activity arising from changes to State and Commonwealth funding.</w:t>
            </w: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38180B">
              <w:rPr>
                <w:lang w:eastAsia="en-AU"/>
              </w:rPr>
              <w:t>Waiting time for restorative dental care</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months</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13</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13</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23</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18</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38180B" w:rsidRDefault="00A53D7D" w:rsidP="005140B4">
            <w:pPr>
              <w:pStyle w:val="OGNotes"/>
            </w:pPr>
            <w:r w:rsidRPr="0038180B">
              <w:t>The 2013</w:t>
            </w:r>
            <w:r>
              <w:noBreakHyphen/>
            </w:r>
            <w:r w:rsidRPr="0038180B">
              <w:t xml:space="preserve">14 </w:t>
            </w:r>
            <w:r>
              <w:t>expected outcome</w:t>
            </w:r>
            <w:r w:rsidRPr="0038180B">
              <w:t xml:space="preserve"> is lower than </w:t>
            </w:r>
            <w:r>
              <w:t xml:space="preserve">the </w:t>
            </w:r>
            <w:r w:rsidRPr="0038180B">
              <w:t>2013</w:t>
            </w:r>
            <w:r>
              <w:noBreakHyphen/>
              <w:t>14 target to reflect additional activity arising from changes to State and Commonwealth funding.</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tcPr>
          <w:p w:rsidR="00A53D7D" w:rsidRPr="005E5444" w:rsidRDefault="00A53D7D" w:rsidP="005140B4">
            <w:pPr>
              <w:pStyle w:val="OGTabText"/>
              <w:rPr>
                <w:lang w:eastAsia="en-AU"/>
              </w:rPr>
            </w:pPr>
            <w:r w:rsidRPr="00A233F6">
              <w:rPr>
                <w:lang w:eastAsia="en-AU"/>
              </w:rPr>
              <w:t>Total output cost</w:t>
            </w:r>
          </w:p>
        </w:tc>
        <w:tc>
          <w:tcPr>
            <w:tcW w:w="907" w:type="dxa"/>
            <w:tcBorders>
              <w:top w:val="nil"/>
              <w:left w:val="nil"/>
              <w:bottom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bottom w:val="nil"/>
              <w:right w:val="nil"/>
            </w:tcBorders>
            <w:shd w:val="clear" w:color="auto" w:fill="D9D9D9"/>
          </w:tcPr>
          <w:p w:rsidR="00A53D7D" w:rsidRPr="002D55F8" w:rsidRDefault="00A53D7D" w:rsidP="005140B4">
            <w:pPr>
              <w:pStyle w:val="OGTableofFigures"/>
              <w:rPr>
                <w:lang w:eastAsia="en-AU"/>
              </w:rPr>
            </w:pPr>
            <w:r w:rsidRPr="002D55F8">
              <w:rPr>
                <w:lang w:eastAsia="en-AU"/>
              </w:rPr>
              <w:t>226.4</w:t>
            </w:r>
          </w:p>
        </w:tc>
        <w:tc>
          <w:tcPr>
            <w:tcW w:w="993" w:type="dxa"/>
            <w:tcBorders>
              <w:top w:val="nil"/>
              <w:left w:val="nil"/>
              <w:bottom w:val="nil"/>
              <w:right w:val="nil"/>
            </w:tcBorders>
            <w:shd w:val="clear" w:color="000000" w:fill="FFFFFF"/>
          </w:tcPr>
          <w:p w:rsidR="00A53D7D" w:rsidRPr="002D55F8" w:rsidRDefault="00A53D7D" w:rsidP="005140B4">
            <w:pPr>
              <w:pStyle w:val="OGTableofFigures"/>
              <w:rPr>
                <w:lang w:eastAsia="en-AU"/>
              </w:rPr>
            </w:pPr>
            <w:r w:rsidRPr="002D55F8">
              <w:rPr>
                <w:lang w:eastAsia="en-AU"/>
              </w:rPr>
              <w:t>242.6</w:t>
            </w:r>
          </w:p>
        </w:tc>
        <w:tc>
          <w:tcPr>
            <w:tcW w:w="907" w:type="dxa"/>
            <w:tcBorders>
              <w:top w:val="nil"/>
              <w:left w:val="nil"/>
              <w:bottom w:val="nil"/>
              <w:right w:val="nil"/>
            </w:tcBorders>
            <w:shd w:val="clear" w:color="000000" w:fill="FFFFFF"/>
          </w:tcPr>
          <w:p w:rsidR="00A53D7D" w:rsidRPr="002D55F8" w:rsidRDefault="00A53D7D" w:rsidP="005140B4">
            <w:pPr>
              <w:pStyle w:val="OGTableofFigures"/>
              <w:rPr>
                <w:lang w:eastAsia="en-AU"/>
              </w:rPr>
            </w:pPr>
            <w:r w:rsidRPr="002D55F8">
              <w:rPr>
                <w:lang w:eastAsia="en-AU"/>
              </w:rPr>
              <w:t>190.6</w:t>
            </w:r>
          </w:p>
        </w:tc>
        <w:tc>
          <w:tcPr>
            <w:tcW w:w="907" w:type="dxa"/>
            <w:tcBorders>
              <w:top w:val="nil"/>
              <w:left w:val="nil"/>
              <w:bottom w:val="nil"/>
              <w:right w:val="nil"/>
            </w:tcBorders>
            <w:shd w:val="clear" w:color="000000" w:fill="FFFFFF"/>
          </w:tcPr>
          <w:p w:rsidR="00A53D7D" w:rsidRPr="002D55F8" w:rsidRDefault="00A53D7D" w:rsidP="005140B4">
            <w:pPr>
              <w:pStyle w:val="OGTableofFigures"/>
              <w:rPr>
                <w:lang w:eastAsia="en-AU"/>
              </w:rPr>
            </w:pPr>
            <w:r w:rsidRPr="002D55F8">
              <w:rPr>
                <w:lang w:eastAsia="en-AU"/>
              </w:rPr>
              <w:t>187.2</w:t>
            </w:r>
          </w:p>
        </w:tc>
      </w:tr>
      <w:tr w:rsidR="00A53D7D" w:rsidRPr="005E5444" w:rsidTr="005140B4">
        <w:trPr>
          <w:cantSplit/>
        </w:trPr>
        <w:tc>
          <w:tcPr>
            <w:tcW w:w="7776" w:type="dxa"/>
            <w:gridSpan w:val="6"/>
            <w:tcBorders>
              <w:top w:val="nil"/>
              <w:left w:val="nil"/>
              <w:bottom w:val="single" w:sz="12" w:space="0" w:color="auto"/>
              <w:right w:val="nil"/>
            </w:tcBorders>
            <w:shd w:val="clear" w:color="000000" w:fill="FFFFFF"/>
          </w:tcPr>
          <w:p w:rsidR="00A53D7D" w:rsidRDefault="00A53D7D" w:rsidP="005140B4">
            <w:pPr>
              <w:pStyle w:val="OGNotes"/>
            </w:pPr>
            <w:r>
              <w:t>The 2013</w:t>
            </w:r>
            <w:r>
              <w:noBreakHyphen/>
              <w:t>14 expected outcome is higher than the 2013</w:t>
            </w:r>
            <w:r>
              <w:noBreakHyphen/>
              <w:t>14 target due to changes to Commonwealth funding for Treating More Public Dental Patients.</w:t>
            </w:r>
          </w:p>
          <w:p w:rsidR="00A53D7D" w:rsidRPr="002D55F8" w:rsidRDefault="00A53D7D" w:rsidP="005140B4">
            <w:pPr>
              <w:pStyle w:val="OGNotes"/>
            </w:pPr>
            <w:r>
              <w:t>The higher 2014</w:t>
            </w:r>
            <w:r>
              <w:noBreakHyphen/>
              <w:t>15 target reflects changes to Commonwealth funding for Treating More Public Dental Patients and the cost of delivering services.</w:t>
            </w:r>
          </w:p>
        </w:tc>
      </w:tr>
    </w:tbl>
    <w:p w:rsidR="00A53D7D" w:rsidRDefault="00A53D7D" w:rsidP="005140B4">
      <w:pPr>
        <w:pStyle w:val="Source"/>
        <w:rPr>
          <w:lang w:eastAsia="en-AU"/>
        </w:rPr>
      </w:pPr>
      <w:r>
        <w:rPr>
          <w:lang w:eastAsia="en-AU"/>
        </w:rPr>
        <w:t>Source: Department of Health</w:t>
      </w:r>
      <w:r>
        <w:rPr>
          <w:lang w:eastAsia="en-AU"/>
        </w:rPr>
        <w:fldChar w:fldCharType="begin"/>
      </w:r>
      <w:r>
        <w:instrText xml:space="preserve"> XE "</w:instrText>
      </w:r>
      <w:r w:rsidRPr="00B96096">
        <w:instrText>Department of Health:Primary, Community and Dental Health</w:instrText>
      </w:r>
      <w:r>
        <w:instrText xml:space="preserve">" \r "DHDental" </w:instrText>
      </w:r>
      <w:r>
        <w:rPr>
          <w:lang w:eastAsia="en-AU"/>
        </w:rPr>
        <w:fldChar w:fldCharType="end"/>
      </w:r>
      <w:r>
        <w:rPr>
          <w:lang w:eastAsia="en-AU"/>
        </w:rPr>
        <w:fldChar w:fldCharType="begin"/>
      </w:r>
      <w:r>
        <w:instrText xml:space="preserve"> XE "</w:instrText>
      </w:r>
      <w:r w:rsidRPr="008F564C">
        <w:instrText>Dental Health</w:instrText>
      </w:r>
      <w:r>
        <w:instrText xml:space="preserve">" \r "DHDental" </w:instrText>
      </w:r>
      <w:r>
        <w:rPr>
          <w:lang w:eastAsia="en-AU"/>
        </w:rPr>
        <w:fldChar w:fldCharType="end"/>
      </w:r>
      <w:r>
        <w:rPr>
          <w:lang w:eastAsia="en-AU"/>
        </w:rPr>
        <w:t xml:space="preserve"> </w:t>
      </w:r>
      <w:bookmarkEnd w:id="92"/>
    </w:p>
    <w:p w:rsidR="00A53D7D" w:rsidRDefault="00A53D7D" w:rsidP="005140B4">
      <w:r>
        <w:br w:type="page"/>
      </w:r>
    </w:p>
    <w:p w:rsidR="00A53D7D" w:rsidRDefault="00A53D7D" w:rsidP="005140B4">
      <w:pPr>
        <w:pStyle w:val="OGHeading1"/>
      </w:pPr>
      <w:bookmarkStart w:id="93" w:name="DHRural"/>
      <w:r w:rsidRPr="00C35DFB">
        <w:t>Small Rural Services</w:t>
      </w:r>
    </w:p>
    <w:p w:rsidR="00A53D7D" w:rsidRDefault="00A53D7D" w:rsidP="005140B4">
      <w:pPr>
        <w:pStyle w:val="OGText"/>
      </w:pPr>
      <w:r w:rsidRPr="00C35DFB">
        <w:t>Small Rural Services includes a range of health and aged care services delivered in small rural towns. The funding and service delivery approach focuses on achieving a sustainable, flexible service mix that is responsive to local needs. Service providers include small rural hospitals, community health services, bush nursing centres, multi</w:t>
      </w:r>
      <w:r>
        <w:noBreakHyphen/>
      </w:r>
      <w:r w:rsidRPr="00C35DFB">
        <w:t xml:space="preserve">purpose </w:t>
      </w:r>
      <w:proofErr w:type="gramStart"/>
      <w:r w:rsidRPr="00C35DFB">
        <w:t>services</w:t>
      </w:r>
      <w:proofErr w:type="gramEnd"/>
      <w:r w:rsidRPr="00C35DFB">
        <w:t xml:space="preserve"> and public sector residential aged care services. These outputs are consistent with the Government's commitment to delivering better hospital and health services, including a major upgrade for rural health services.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8C197D">
        <w:trPr>
          <w:cantSplit/>
        </w:trPr>
        <w:tc>
          <w:tcPr>
            <w:tcW w:w="7776" w:type="dxa"/>
            <w:gridSpan w:val="6"/>
            <w:tcBorders>
              <w:top w:val="nil"/>
              <w:left w:val="nil"/>
              <w:right w:val="nil"/>
            </w:tcBorders>
            <w:shd w:val="clear" w:color="auto" w:fill="auto"/>
            <w:vAlign w:val="bottom"/>
          </w:tcPr>
          <w:p w:rsidR="00A53D7D" w:rsidRPr="005E5444" w:rsidRDefault="00A53D7D" w:rsidP="005140B4">
            <w:pPr>
              <w:pStyle w:val="OGHeading2"/>
              <w:rPr>
                <w:lang w:eastAsia="en-AU"/>
              </w:rPr>
            </w:pPr>
            <w:r w:rsidRPr="00271ED3">
              <w:rPr>
                <w:lang w:eastAsia="en-AU"/>
              </w:rPr>
              <w:t>Small R</w:t>
            </w:r>
            <w:r>
              <w:rPr>
                <w:lang w:eastAsia="en-AU"/>
              </w:rPr>
              <w:t>ural Services – Acute Health</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rPr>
                <w:lang w:eastAsia="en-AU"/>
              </w:rPr>
            </w:pPr>
            <w:r>
              <w:rPr>
                <w:lang w:eastAsia="en-AU"/>
              </w:rPr>
              <w:t>Admitted and non</w:t>
            </w:r>
            <w:r>
              <w:rPr>
                <w:lang w:eastAsia="en-AU"/>
              </w:rPr>
              <w:noBreakHyphen/>
            </w:r>
            <w:r w:rsidRPr="005C1315">
              <w:rPr>
                <w:lang w:eastAsia="en-AU"/>
              </w:rPr>
              <w:t>admitted services delivered by small rural services, inc</w:t>
            </w:r>
            <w:r>
              <w:rPr>
                <w:lang w:eastAsia="en-AU"/>
              </w:rPr>
              <w:t>luding elective and non</w:t>
            </w:r>
            <w:r>
              <w:rPr>
                <w:lang w:eastAsia="en-AU"/>
              </w:rPr>
              <w:noBreakHyphen/>
            </w:r>
            <w:r w:rsidRPr="005C1315">
              <w:rPr>
                <w:lang w:eastAsia="en-AU"/>
              </w:rPr>
              <w:t>elective surgical and medical care, accident and emergency service</w:t>
            </w:r>
            <w:r>
              <w:rPr>
                <w:lang w:eastAsia="en-AU"/>
              </w:rPr>
              <w:t>s, and maternity services.</w:t>
            </w:r>
            <w:r>
              <w:rPr>
                <w:lang w:eastAsia="en-AU"/>
              </w:rPr>
              <w:tab/>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807F37" w:rsidRDefault="00A53D7D" w:rsidP="005140B4">
            <w:pPr>
              <w:pStyle w:val="OGTabText"/>
              <w:rPr>
                <w:lang w:eastAsia="en-AU"/>
              </w:rPr>
            </w:pPr>
            <w:r>
              <w:rPr>
                <w:lang w:eastAsia="en-AU"/>
              </w:rPr>
              <w:t>Separations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 (000)</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41.6</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39.5</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41.6</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39.4</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807F37" w:rsidRDefault="00A53D7D" w:rsidP="005140B4">
            <w:pPr>
              <w:pStyle w:val="OGNotes"/>
            </w:pPr>
            <w:r>
              <w:t>The 2013</w:t>
            </w:r>
            <w:r>
              <w:noBreakHyphen/>
              <w:t>14 expected outcome is lower than the 2013</w:t>
            </w:r>
            <w:r>
              <w:noBreakHyphen/>
              <w:t xml:space="preserve">14 target due to the permissible substitution of acute, </w:t>
            </w:r>
            <w:proofErr w:type="gramStart"/>
            <w:r>
              <w:t>aged</w:t>
            </w:r>
            <w:proofErr w:type="gramEnd"/>
            <w:r>
              <w:t xml:space="preserve"> and home care, primary health services and other services under the Small Rural Health Services funding model. This approach allows the flexibility to deliver services required to meet local needs.</w:t>
            </w:r>
          </w:p>
        </w:tc>
      </w:tr>
      <w:tr w:rsidR="00A53D7D" w:rsidRPr="005E5444" w:rsidTr="008C197D">
        <w:trPr>
          <w:cantSplit/>
        </w:trPr>
        <w:tc>
          <w:tcPr>
            <w:tcW w:w="3155" w:type="dxa"/>
            <w:tcBorders>
              <w:top w:val="nil"/>
              <w:left w:val="nil"/>
              <w:right w:val="nil"/>
            </w:tcBorders>
            <w:shd w:val="clear" w:color="000000" w:fill="FFFFFF"/>
          </w:tcPr>
          <w:p w:rsidR="00A53D7D" w:rsidRPr="00687B40" w:rsidRDefault="00A53D7D" w:rsidP="005140B4">
            <w:pPr>
              <w:pStyle w:val="OGTabText"/>
              <w:rPr>
                <w:lang w:eastAsia="en-AU"/>
              </w:rPr>
            </w:pPr>
            <w:r>
              <w:rPr>
                <w:lang w:eastAsia="en-AU"/>
              </w:rPr>
              <w:t>Standard Equivalent Value Units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 (000)</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1 298</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1 201</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1 298</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1 247</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687B40" w:rsidRDefault="00A53D7D" w:rsidP="005140B4">
            <w:pPr>
              <w:pStyle w:val="OGNotes"/>
            </w:pPr>
            <w:r w:rsidRPr="001100CE">
              <w:t>The 2013</w:t>
            </w:r>
            <w:r>
              <w:noBreakHyphen/>
            </w:r>
            <w:r w:rsidRPr="001100CE">
              <w:t xml:space="preserve">14 </w:t>
            </w:r>
            <w:r>
              <w:t>expected outcome</w:t>
            </w:r>
            <w:r w:rsidRPr="001100CE">
              <w:t xml:space="preserve"> is lower than the 2013</w:t>
            </w:r>
            <w:r>
              <w:noBreakHyphen/>
            </w:r>
            <w:r w:rsidRPr="001100CE">
              <w:t xml:space="preserve">14 </w:t>
            </w:r>
            <w:r>
              <w:t>target</w:t>
            </w:r>
            <w:r w:rsidRPr="001100CE">
              <w:t xml:space="preserve"> due to the permissible substitution of acute, </w:t>
            </w:r>
            <w:proofErr w:type="gramStart"/>
            <w:r w:rsidRPr="001100CE">
              <w:t>aged</w:t>
            </w:r>
            <w:proofErr w:type="gramEnd"/>
            <w:r w:rsidRPr="001100CE">
              <w:t xml:space="preserve"> and home care, primary health services and other services under the Small Rural Health Services funding model. This approach allows the flexibility to deliver services required to meet local needs.</w:t>
            </w:r>
          </w:p>
        </w:tc>
      </w:tr>
      <w:tr w:rsidR="00A53D7D" w:rsidRPr="005E5444" w:rsidTr="008C197D">
        <w:trPr>
          <w:cantSplit/>
        </w:trPr>
        <w:tc>
          <w:tcPr>
            <w:tcW w:w="3155" w:type="dxa"/>
            <w:tcBorders>
              <w:top w:val="nil"/>
              <w:left w:val="nil"/>
              <w:right w:val="nil"/>
            </w:tcBorders>
            <w:shd w:val="clear" w:color="000000" w:fill="FFFFFF"/>
          </w:tcPr>
          <w:p w:rsidR="00A53D7D" w:rsidRPr="00350BC3" w:rsidRDefault="00A53D7D" w:rsidP="005140B4">
            <w:pPr>
              <w:pStyle w:val="OGTabText"/>
              <w:rPr>
                <w:lang w:eastAsia="en-AU"/>
              </w:rPr>
            </w:pPr>
            <w:r w:rsidRPr="00350BC3">
              <w:rPr>
                <w:lang w:eastAsia="en-AU"/>
              </w:rPr>
              <w:t>Weighted Inlie</w:t>
            </w:r>
            <w:r>
              <w:rPr>
                <w:lang w:eastAsia="en-AU"/>
              </w:rPr>
              <w:t>r Equivalent Separations (WIES)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 (000)</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25.7</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24.5</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25.7</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24.8</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350BC3" w:rsidRDefault="00A53D7D" w:rsidP="005140B4">
            <w:pPr>
              <w:pStyle w:val="OGNotes"/>
            </w:pPr>
            <w:r w:rsidRPr="001100CE">
              <w:t>The 2013</w:t>
            </w:r>
            <w:r>
              <w:noBreakHyphen/>
            </w:r>
            <w:r w:rsidRPr="001100CE">
              <w:t xml:space="preserve">14 </w:t>
            </w:r>
            <w:r>
              <w:t>expected outcome</w:t>
            </w:r>
            <w:r w:rsidRPr="001100CE">
              <w:t xml:space="preserve"> is lower than the 2013</w:t>
            </w:r>
            <w:r>
              <w:noBreakHyphen/>
            </w:r>
            <w:r w:rsidRPr="001100CE">
              <w:t xml:space="preserve">14 </w:t>
            </w:r>
            <w:r>
              <w:t>target</w:t>
            </w:r>
            <w:r w:rsidRPr="001100CE">
              <w:t xml:space="preserve"> due to the permissible substitution of acute, </w:t>
            </w:r>
            <w:proofErr w:type="gramStart"/>
            <w:r w:rsidRPr="001100CE">
              <w:t>aged</w:t>
            </w:r>
            <w:proofErr w:type="gramEnd"/>
            <w:r w:rsidRPr="001100CE">
              <w:t xml:space="preserve"> and home care, primary health services and other services under the Small Rural Health Services funding model. This approach al</w:t>
            </w:r>
            <w:r>
              <w:t>lows the flexibility to deliver</w:t>
            </w:r>
            <w:r w:rsidRPr="001100CE">
              <w:t xml:space="preserve"> services required to meet local needs.</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rPr>
                <w:lang w:eastAsia="en-AU"/>
              </w:rPr>
            </w:pPr>
            <w:r w:rsidRPr="00EA6AD6">
              <w:rPr>
                <w:lang w:eastAsia="en-AU"/>
              </w:rPr>
              <w:t>Beds accredited</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sidRPr="002D55F8">
              <w:rPr>
                <w:lang w:eastAsia="en-AU"/>
              </w:rPr>
              <w:t>322.0</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313.1</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305.4</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294.0</w:t>
            </w:r>
          </w:p>
        </w:tc>
      </w:tr>
      <w:tr w:rsidR="00A53D7D" w:rsidRPr="005E5444" w:rsidTr="005140B4">
        <w:trPr>
          <w:cantSplit/>
        </w:trPr>
        <w:tc>
          <w:tcPr>
            <w:tcW w:w="7776" w:type="dxa"/>
            <w:gridSpan w:val="6"/>
            <w:tcBorders>
              <w:left w:val="nil"/>
              <w:bottom w:val="single" w:sz="6" w:space="0" w:color="auto"/>
              <w:right w:val="nil"/>
            </w:tcBorders>
            <w:shd w:val="clear" w:color="000000" w:fill="FFFFFF"/>
          </w:tcPr>
          <w:p w:rsidR="00A53D7D" w:rsidRPr="002D55F8" w:rsidRDefault="00A53D7D" w:rsidP="005140B4">
            <w:pPr>
              <w:pStyle w:val="OGNotes"/>
            </w:pPr>
            <w:r>
              <w:t>The higher 2014</w:t>
            </w:r>
            <w:r>
              <w:noBreakHyphen/>
              <w:t>15 target reflects National Health Reform adjustments to block funding.</w:t>
            </w:r>
          </w:p>
        </w:tc>
      </w:tr>
      <w:tr w:rsidR="00A53D7D" w:rsidRPr="005E5444" w:rsidTr="008C197D">
        <w:trPr>
          <w:cantSplit/>
        </w:trPr>
        <w:tc>
          <w:tcPr>
            <w:tcW w:w="7776" w:type="dxa"/>
            <w:gridSpan w:val="6"/>
            <w:tcBorders>
              <w:top w:val="single" w:sz="6" w:space="0" w:color="auto"/>
              <w:left w:val="nil"/>
              <w:right w:val="nil"/>
            </w:tcBorders>
            <w:shd w:val="clear" w:color="auto" w:fill="auto"/>
            <w:vAlign w:val="bottom"/>
          </w:tcPr>
          <w:p w:rsidR="00A53D7D" w:rsidRPr="005E5444" w:rsidRDefault="00A53D7D" w:rsidP="005140B4">
            <w:pPr>
              <w:pStyle w:val="OGHeading2"/>
              <w:rPr>
                <w:lang w:eastAsia="en-AU"/>
              </w:rPr>
            </w:pPr>
            <w:r w:rsidRPr="00271ED3">
              <w:rPr>
                <w:lang w:eastAsia="en-AU"/>
              </w:rPr>
              <w:t>Small R</w:t>
            </w:r>
            <w:r>
              <w:rPr>
                <w:lang w:eastAsia="en-AU"/>
              </w:rPr>
              <w:t>ural Services – Aged Care</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rPr>
                <w:lang w:eastAsia="en-AU"/>
              </w:rPr>
            </w:pPr>
            <w:r w:rsidRPr="00221DFC">
              <w:rPr>
                <w:lang w:eastAsia="en-AU"/>
              </w:rPr>
              <w:t>This output includes delivery of in</w:t>
            </w:r>
            <w:r>
              <w:rPr>
                <w:lang w:eastAsia="en-AU"/>
              </w:rPr>
              <w:noBreakHyphen/>
            </w:r>
            <w:r w:rsidRPr="00221DFC">
              <w:rPr>
                <w:lang w:eastAsia="en-AU"/>
              </w:rPr>
              <w:t>home, community</w:t>
            </w:r>
            <w:r>
              <w:rPr>
                <w:lang w:eastAsia="en-AU"/>
              </w:rPr>
              <w:noBreakHyphen/>
            </w:r>
            <w:r w:rsidRPr="00221DFC">
              <w:rPr>
                <w:lang w:eastAsia="en-AU"/>
              </w:rPr>
              <w:t>based and residential care services for older people, deliv</w:t>
            </w:r>
            <w:r>
              <w:rPr>
                <w:lang w:eastAsia="en-AU"/>
              </w:rPr>
              <w:t>ered in small rural towns.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keepNext/>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keepNext/>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keepNext/>
              <w:rPr>
                <w:lang w:eastAsia="en-AU"/>
              </w:rPr>
            </w:pPr>
          </w:p>
        </w:tc>
      </w:tr>
      <w:tr w:rsidR="00A53D7D" w:rsidRPr="005E5444" w:rsidTr="005140B4">
        <w:trPr>
          <w:cantSplit/>
        </w:trPr>
        <w:tc>
          <w:tcPr>
            <w:tcW w:w="3155" w:type="dxa"/>
            <w:tcBorders>
              <w:top w:val="nil"/>
              <w:left w:val="nil"/>
              <w:bottom w:val="nil"/>
              <w:right w:val="nil"/>
            </w:tcBorders>
            <w:shd w:val="clear" w:color="000000" w:fill="FFFFFF"/>
          </w:tcPr>
          <w:p w:rsidR="00A53D7D" w:rsidRPr="00503D60" w:rsidRDefault="00A53D7D" w:rsidP="005140B4">
            <w:pPr>
              <w:pStyle w:val="OGTabText"/>
              <w:keepNext/>
              <w:rPr>
                <w:color w:val="000000"/>
                <w:lang w:eastAsia="en-AU"/>
              </w:rPr>
            </w:pPr>
            <w:r>
              <w:rPr>
                <w:color w:val="000000"/>
                <w:lang w:eastAsia="en-AU"/>
              </w:rPr>
              <w:t>Small Rural Available Bed Days</w:t>
            </w:r>
          </w:p>
        </w:tc>
        <w:tc>
          <w:tcPr>
            <w:tcW w:w="907" w:type="dxa"/>
            <w:tcBorders>
              <w:top w:val="nil"/>
              <w:left w:val="nil"/>
              <w:bottom w:val="nil"/>
              <w:right w:val="nil"/>
            </w:tcBorders>
            <w:shd w:val="clear" w:color="000000" w:fill="FFFFFF"/>
          </w:tcPr>
          <w:p w:rsidR="00A53D7D" w:rsidRPr="00503D60" w:rsidRDefault="00A53D7D" w:rsidP="005140B4">
            <w:pPr>
              <w:pStyle w:val="OGUoM"/>
              <w:keepNext/>
              <w:rPr>
                <w:rFonts w:cs="Calibri"/>
                <w:lang w:eastAsia="en-AU"/>
              </w:rPr>
            </w:pPr>
            <w:r>
              <w:rPr>
                <w:rFonts w:cs="Calibri"/>
                <w:lang w:eastAsia="en-AU"/>
              </w:rPr>
              <w:t>number</w:t>
            </w:r>
          </w:p>
        </w:tc>
        <w:tc>
          <w:tcPr>
            <w:tcW w:w="907" w:type="dxa"/>
            <w:tcBorders>
              <w:top w:val="nil"/>
              <w:left w:val="nil"/>
              <w:bottom w:val="nil"/>
              <w:right w:val="nil"/>
            </w:tcBorders>
            <w:shd w:val="clear" w:color="auto" w:fill="D9D9D9"/>
          </w:tcPr>
          <w:p w:rsidR="00A53D7D" w:rsidRPr="00503D60" w:rsidRDefault="00A53D7D" w:rsidP="005140B4">
            <w:pPr>
              <w:pStyle w:val="OGTableofFigures"/>
              <w:keepNext/>
              <w:rPr>
                <w:rFonts w:cs="Calibri"/>
                <w:lang w:eastAsia="en-AU"/>
              </w:rPr>
            </w:pPr>
            <w:r>
              <w:rPr>
                <w:rFonts w:cs="Calibri"/>
                <w:lang w:eastAsia="en-AU"/>
              </w:rPr>
              <w:t>703</w:t>
            </w:r>
            <w:r>
              <w:t> </w:t>
            </w:r>
            <w:r>
              <w:rPr>
                <w:rFonts w:cs="Calibri"/>
                <w:lang w:eastAsia="en-AU"/>
              </w:rPr>
              <w:t>307</w:t>
            </w:r>
          </w:p>
        </w:tc>
        <w:tc>
          <w:tcPr>
            <w:tcW w:w="993" w:type="dxa"/>
            <w:tcBorders>
              <w:top w:val="nil"/>
              <w:left w:val="nil"/>
              <w:bottom w:val="nil"/>
              <w:right w:val="nil"/>
            </w:tcBorders>
            <w:shd w:val="clear" w:color="000000" w:fill="FFFFFF"/>
          </w:tcPr>
          <w:p w:rsidR="00A53D7D" w:rsidRPr="00503D60" w:rsidRDefault="00A53D7D" w:rsidP="005140B4">
            <w:pPr>
              <w:pStyle w:val="OGTableofFigures"/>
              <w:keepNext/>
              <w:rPr>
                <w:rFonts w:cs="Calibri"/>
                <w:lang w:eastAsia="en-AU"/>
              </w:rPr>
            </w:pPr>
            <w:r>
              <w:rPr>
                <w:rFonts w:cs="Calibri"/>
                <w:lang w:eastAsia="en-AU"/>
              </w:rPr>
              <w:t>nm</w:t>
            </w:r>
          </w:p>
        </w:tc>
        <w:tc>
          <w:tcPr>
            <w:tcW w:w="907" w:type="dxa"/>
            <w:tcBorders>
              <w:top w:val="nil"/>
              <w:left w:val="nil"/>
              <w:bottom w:val="nil"/>
              <w:right w:val="nil"/>
            </w:tcBorders>
            <w:shd w:val="clear" w:color="000000" w:fill="FFFFFF"/>
          </w:tcPr>
          <w:p w:rsidR="00A53D7D" w:rsidRPr="00503D60" w:rsidRDefault="00A53D7D" w:rsidP="005140B4">
            <w:pPr>
              <w:pStyle w:val="OGTableofFigures"/>
              <w:keepNext/>
              <w:rPr>
                <w:rFonts w:cs="Calibri"/>
                <w:lang w:eastAsia="en-AU"/>
              </w:rPr>
            </w:pPr>
            <w:r>
              <w:rPr>
                <w:rFonts w:cs="Calibri"/>
                <w:lang w:eastAsia="en-AU"/>
              </w:rPr>
              <w:t>nm</w:t>
            </w:r>
          </w:p>
        </w:tc>
        <w:tc>
          <w:tcPr>
            <w:tcW w:w="907" w:type="dxa"/>
            <w:tcBorders>
              <w:top w:val="nil"/>
              <w:left w:val="nil"/>
              <w:bottom w:val="nil"/>
              <w:right w:val="nil"/>
            </w:tcBorders>
            <w:shd w:val="clear" w:color="000000" w:fill="FFFFFF"/>
          </w:tcPr>
          <w:p w:rsidR="00A53D7D" w:rsidRPr="00503D60" w:rsidRDefault="00A53D7D" w:rsidP="005140B4">
            <w:pPr>
              <w:pStyle w:val="OGTableofFigures"/>
              <w:keepNext/>
              <w:rPr>
                <w:rFonts w:cs="Calibri"/>
                <w:lang w:eastAsia="en-AU"/>
              </w:rPr>
            </w:pPr>
            <w:r>
              <w:rPr>
                <w:rFonts w:cs="Calibri"/>
                <w:lang w:eastAsia="en-AU"/>
              </w:rPr>
              <w:t>nm</w:t>
            </w:r>
          </w:p>
        </w:tc>
      </w:tr>
      <w:tr w:rsidR="00A53D7D" w:rsidRPr="005E5444" w:rsidTr="008C197D">
        <w:trPr>
          <w:cantSplit/>
        </w:trPr>
        <w:tc>
          <w:tcPr>
            <w:tcW w:w="7776" w:type="dxa"/>
            <w:gridSpan w:val="6"/>
            <w:tcBorders>
              <w:top w:val="nil"/>
              <w:left w:val="nil"/>
              <w:bottom w:val="single" w:sz="6" w:space="0" w:color="auto"/>
              <w:right w:val="nil"/>
            </w:tcBorders>
            <w:shd w:val="clear" w:color="auto" w:fill="auto"/>
            <w:vAlign w:val="bottom"/>
          </w:tcPr>
          <w:p w:rsidR="00A53D7D" w:rsidRPr="001100CE" w:rsidRDefault="00A53D7D" w:rsidP="005140B4">
            <w:pPr>
              <w:pStyle w:val="OGNotes"/>
            </w:pPr>
            <w:r w:rsidRPr="002F7E25">
              <w:t xml:space="preserve">This performance measure </w:t>
            </w:r>
            <w:r>
              <w:t xml:space="preserve">is proposed to </w:t>
            </w:r>
            <w:r w:rsidRPr="002F7E25">
              <w:t>replace the 2013</w:t>
            </w:r>
            <w:r>
              <w:noBreakHyphen/>
            </w:r>
            <w:r w:rsidRPr="002F7E25">
              <w:t xml:space="preserve">14 performance measures </w:t>
            </w:r>
            <w:r>
              <w:t>‘</w:t>
            </w:r>
            <w:r w:rsidRPr="002F7E25">
              <w:t>Bed Days in High</w:t>
            </w:r>
            <w:r>
              <w:noBreakHyphen/>
            </w:r>
            <w:r w:rsidRPr="002F7E25">
              <w:t>care</w:t>
            </w:r>
            <w:r>
              <w:t>’</w:t>
            </w:r>
            <w:r w:rsidRPr="002F7E25">
              <w:t xml:space="preserve"> and </w:t>
            </w:r>
            <w:r>
              <w:t>‘</w:t>
            </w:r>
            <w:r w:rsidRPr="002F7E25">
              <w:t>Bed Days in Low</w:t>
            </w:r>
            <w:r>
              <w:noBreakHyphen/>
            </w:r>
            <w:r w:rsidRPr="002F7E25">
              <w:t>care</w:t>
            </w:r>
            <w:r>
              <w:t>’</w:t>
            </w:r>
            <w:r w:rsidRPr="002F7E25">
              <w:t xml:space="preserve"> as the distinction between care types will be removed by the Commonwealth effective 1 July 2014 as part of </w:t>
            </w:r>
            <w:r w:rsidRPr="009F2BFE">
              <w:rPr>
                <w:i w:val="0"/>
              </w:rPr>
              <w:t>Living Longer, Living Better</w:t>
            </w:r>
            <w:r w:rsidRPr="002F7E25">
              <w:t xml:space="preserve"> changes.</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B05032">
              <w:rPr>
                <w:lang w:eastAsia="en-AU"/>
              </w:rPr>
              <w:t>Standard Equivalent Value Units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353 676</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353 676</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353 676</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329 553</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rPr>
                <w:lang w:eastAsia="en-AU"/>
              </w:rPr>
            </w:pPr>
            <w:r w:rsidRPr="00B52DC9">
              <w:rPr>
                <w:lang w:eastAsia="en-AU"/>
              </w:rPr>
              <w:t>Residential care services certified and accredited</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5133B" w:rsidRDefault="00A53D7D" w:rsidP="005140B4">
            <w:pPr>
              <w:pStyle w:val="OGTableofFigures"/>
              <w:rPr>
                <w:lang w:eastAsia="en-AU"/>
              </w:rPr>
            </w:pPr>
            <w:r w:rsidRPr="0025133B">
              <w:rPr>
                <w:lang w:eastAsia="en-AU"/>
              </w:rPr>
              <w:t>186.9</w:t>
            </w:r>
          </w:p>
        </w:tc>
        <w:tc>
          <w:tcPr>
            <w:tcW w:w="993" w:type="dxa"/>
            <w:tcBorders>
              <w:top w:val="nil"/>
              <w:left w:val="nil"/>
              <w:right w:val="nil"/>
            </w:tcBorders>
            <w:shd w:val="clear" w:color="000000" w:fill="FFFFFF"/>
          </w:tcPr>
          <w:p w:rsidR="00A53D7D" w:rsidRPr="0025133B" w:rsidRDefault="00A53D7D" w:rsidP="005140B4">
            <w:pPr>
              <w:pStyle w:val="OGTableofFigures"/>
              <w:rPr>
                <w:lang w:eastAsia="en-AU"/>
              </w:rPr>
            </w:pPr>
            <w:r w:rsidRPr="0025133B">
              <w:rPr>
                <w:lang w:eastAsia="en-AU"/>
              </w:rPr>
              <w:t>184.5</w:t>
            </w:r>
          </w:p>
        </w:tc>
        <w:tc>
          <w:tcPr>
            <w:tcW w:w="907" w:type="dxa"/>
            <w:tcBorders>
              <w:top w:val="nil"/>
              <w:left w:val="nil"/>
              <w:right w:val="nil"/>
            </w:tcBorders>
            <w:shd w:val="clear" w:color="000000" w:fill="FFFFFF"/>
          </w:tcPr>
          <w:p w:rsidR="00A53D7D" w:rsidRPr="0025133B" w:rsidRDefault="00A53D7D" w:rsidP="005140B4">
            <w:pPr>
              <w:pStyle w:val="OGTableofFigures"/>
              <w:rPr>
                <w:lang w:eastAsia="en-AU"/>
              </w:rPr>
            </w:pPr>
            <w:r w:rsidRPr="0025133B">
              <w:rPr>
                <w:lang w:eastAsia="en-AU"/>
              </w:rPr>
              <w:t>176.3</w:t>
            </w:r>
          </w:p>
        </w:tc>
        <w:tc>
          <w:tcPr>
            <w:tcW w:w="907" w:type="dxa"/>
            <w:tcBorders>
              <w:top w:val="nil"/>
              <w:left w:val="nil"/>
              <w:right w:val="nil"/>
            </w:tcBorders>
            <w:shd w:val="clear" w:color="000000" w:fill="FFFFFF"/>
          </w:tcPr>
          <w:p w:rsidR="00A53D7D" w:rsidRPr="0025133B" w:rsidRDefault="00A53D7D" w:rsidP="005140B4">
            <w:pPr>
              <w:pStyle w:val="OGTableofFigures"/>
              <w:rPr>
                <w:lang w:eastAsia="en-AU"/>
              </w:rPr>
            </w:pPr>
            <w:r w:rsidRPr="0025133B">
              <w:rPr>
                <w:lang w:eastAsia="en-AU"/>
              </w:rPr>
              <w:t>176.2</w:t>
            </w:r>
          </w:p>
        </w:tc>
      </w:tr>
      <w:tr w:rsidR="00A53D7D" w:rsidRPr="005E5444" w:rsidTr="005140B4">
        <w:trPr>
          <w:cantSplit/>
        </w:trPr>
        <w:tc>
          <w:tcPr>
            <w:tcW w:w="7776" w:type="dxa"/>
            <w:gridSpan w:val="6"/>
            <w:tcBorders>
              <w:left w:val="nil"/>
              <w:bottom w:val="single" w:sz="6" w:space="0" w:color="auto"/>
              <w:right w:val="nil"/>
            </w:tcBorders>
            <w:shd w:val="clear" w:color="000000" w:fill="FFFFFF"/>
          </w:tcPr>
          <w:p w:rsidR="00A53D7D" w:rsidRPr="0025133B" w:rsidRDefault="00A53D7D" w:rsidP="005140B4">
            <w:pPr>
              <w:pStyle w:val="OGNotes"/>
            </w:pPr>
            <w:r>
              <w:t>The higher 2014</w:t>
            </w:r>
            <w:r>
              <w:noBreakHyphen/>
            </w:r>
            <w:r w:rsidRPr="001100CE">
              <w:t xml:space="preserve">15 </w:t>
            </w:r>
            <w:r>
              <w:t>target</w:t>
            </w:r>
            <w:r w:rsidRPr="001100CE">
              <w:t xml:space="preserve"> reflects </w:t>
            </w:r>
            <w:r>
              <w:t xml:space="preserve">the cost of delivering services </w:t>
            </w:r>
            <w:r w:rsidRPr="001100CE">
              <w:t>and realignment</w:t>
            </w:r>
            <w:r>
              <w:t xml:space="preserve"> of funding within the Small Rural Services output group.</w:t>
            </w:r>
          </w:p>
        </w:tc>
      </w:tr>
      <w:tr w:rsidR="00A53D7D" w:rsidRPr="005E5444" w:rsidTr="008C197D">
        <w:trPr>
          <w:cantSplit/>
        </w:trPr>
        <w:tc>
          <w:tcPr>
            <w:tcW w:w="7776" w:type="dxa"/>
            <w:gridSpan w:val="6"/>
            <w:tcBorders>
              <w:top w:val="single" w:sz="6" w:space="0" w:color="auto"/>
              <w:left w:val="nil"/>
              <w:right w:val="nil"/>
            </w:tcBorders>
            <w:shd w:val="clear" w:color="auto" w:fill="auto"/>
            <w:vAlign w:val="bottom"/>
          </w:tcPr>
          <w:p w:rsidR="00A53D7D" w:rsidRPr="005E5444" w:rsidRDefault="00A53D7D" w:rsidP="005140B4">
            <w:pPr>
              <w:pStyle w:val="OGHeading2"/>
              <w:rPr>
                <w:lang w:eastAsia="en-AU"/>
              </w:rPr>
            </w:pPr>
            <w:r w:rsidRPr="00271ED3">
              <w:rPr>
                <w:lang w:eastAsia="en-AU"/>
              </w:rPr>
              <w:t>Small R</w:t>
            </w:r>
            <w:r>
              <w:rPr>
                <w:lang w:eastAsia="en-AU"/>
              </w:rPr>
              <w:t xml:space="preserve">ural Services – </w:t>
            </w:r>
            <w:r w:rsidRPr="00736DBC">
              <w:rPr>
                <w:lang w:eastAsia="en-AU"/>
              </w:rPr>
              <w:t xml:space="preserve">Home and Community Care Services </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rPr>
                <w:lang w:eastAsia="en-AU"/>
              </w:rPr>
            </w:pPr>
            <w:r w:rsidRPr="00736DBC">
              <w:rPr>
                <w:lang w:eastAsia="en-AU"/>
              </w:rPr>
              <w:t>This</w:t>
            </w:r>
            <w:r>
              <w:rPr>
                <w:lang w:eastAsia="en-AU"/>
              </w:rPr>
              <w:t xml:space="preserve"> output includes delivery of in</w:t>
            </w:r>
            <w:r>
              <w:rPr>
                <w:lang w:eastAsia="en-AU"/>
              </w:rPr>
              <w:noBreakHyphen/>
              <w:t>home, community</w:t>
            </w:r>
            <w:r>
              <w:rPr>
                <w:lang w:eastAsia="en-AU"/>
              </w:rPr>
              <w:noBreakHyphen/>
            </w:r>
            <w:r w:rsidRPr="00736DBC">
              <w:rPr>
                <w:lang w:eastAsia="en-AU"/>
              </w:rPr>
              <w:t>based care services for older people, and younger people with disabilities delivere</w:t>
            </w:r>
            <w:r>
              <w:rPr>
                <w:lang w:eastAsia="en-AU"/>
              </w:rPr>
              <w:t>d by small rural services.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66678A">
              <w:rPr>
                <w:lang w:eastAsia="en-AU"/>
              </w:rPr>
              <w:t>Home and Community Care service delivery hours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758 000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763 823</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763 823</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737 801</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Notes"/>
            </w:pPr>
            <w:r w:rsidRPr="0066678A">
              <w:t>The lower 2014</w:t>
            </w:r>
            <w:r>
              <w:noBreakHyphen/>
            </w:r>
            <w:r w:rsidRPr="0066678A">
              <w:t xml:space="preserve">15 </w:t>
            </w:r>
            <w:r>
              <w:t>target</w:t>
            </w:r>
            <w:r w:rsidRPr="0066678A">
              <w:t xml:space="preserve"> reflects the net effect of renegotiation of agency targets.</w:t>
            </w: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66678A">
              <w:rPr>
                <w:lang w:eastAsia="en-AU"/>
              </w:rPr>
              <w:t>Standard Equivalent Value Units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342 000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340 426</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340 426</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320 969</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Notes"/>
            </w:pPr>
            <w:r w:rsidRPr="0066678A">
              <w:t>The higher 2014</w:t>
            </w:r>
            <w:r>
              <w:noBreakHyphen/>
            </w:r>
            <w:r w:rsidRPr="0066678A">
              <w:t xml:space="preserve">15 </w:t>
            </w:r>
            <w:r>
              <w:t>target</w:t>
            </w:r>
            <w:r w:rsidRPr="0066678A">
              <w:t xml:space="preserve"> reflects the impact of the additional funding provided in the 2014</w:t>
            </w:r>
            <w:r>
              <w:noBreakHyphen/>
            </w:r>
            <w:r w:rsidRPr="0066678A">
              <w:t>15 Budget.</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sidRPr="002D55F8">
              <w:rPr>
                <w:lang w:eastAsia="en-AU"/>
              </w:rPr>
              <w:t>33.3</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33.5</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35.2</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34.7</w:t>
            </w:r>
          </w:p>
        </w:tc>
      </w:tr>
      <w:tr w:rsidR="00A53D7D" w:rsidRPr="005E5444" w:rsidTr="005140B4">
        <w:trPr>
          <w:cantSplit/>
        </w:trPr>
        <w:tc>
          <w:tcPr>
            <w:tcW w:w="7776" w:type="dxa"/>
            <w:gridSpan w:val="6"/>
            <w:tcBorders>
              <w:left w:val="nil"/>
              <w:bottom w:val="single" w:sz="6" w:space="0" w:color="auto"/>
              <w:right w:val="nil"/>
            </w:tcBorders>
            <w:shd w:val="clear" w:color="000000" w:fill="FFFFFF"/>
          </w:tcPr>
          <w:p w:rsidR="00A53D7D" w:rsidRDefault="00A53D7D" w:rsidP="005140B4">
            <w:pPr>
              <w:pStyle w:val="OGNotes"/>
            </w:pPr>
            <w:r>
              <w:t>The 2013</w:t>
            </w:r>
            <w:r>
              <w:noBreakHyphen/>
              <w:t>14 expected outcome is lower than the 2013</w:t>
            </w:r>
            <w:r>
              <w:noBreakHyphen/>
              <w:t>14 target due to realignment of funding within the Small Rural Services output group.</w:t>
            </w:r>
          </w:p>
          <w:p w:rsidR="00A53D7D" w:rsidRPr="002D55F8" w:rsidRDefault="00A53D7D" w:rsidP="005140B4">
            <w:pPr>
              <w:pStyle w:val="OGNotes"/>
            </w:pPr>
            <w:r>
              <w:t>The lower 2014</w:t>
            </w:r>
            <w:r>
              <w:noBreakHyphen/>
              <w:t>15 target reflects realignment of funding within the Small Rural Services output group.</w:t>
            </w:r>
          </w:p>
        </w:tc>
      </w:tr>
      <w:tr w:rsidR="00A53D7D" w:rsidRPr="005E5444" w:rsidTr="008C197D">
        <w:trPr>
          <w:cantSplit/>
        </w:trPr>
        <w:tc>
          <w:tcPr>
            <w:tcW w:w="7776" w:type="dxa"/>
            <w:gridSpan w:val="6"/>
            <w:tcBorders>
              <w:top w:val="single" w:sz="6" w:space="0" w:color="auto"/>
              <w:left w:val="nil"/>
              <w:right w:val="nil"/>
            </w:tcBorders>
            <w:shd w:val="clear" w:color="auto" w:fill="auto"/>
            <w:vAlign w:val="bottom"/>
          </w:tcPr>
          <w:p w:rsidR="00A53D7D" w:rsidRPr="005E5444" w:rsidRDefault="00A53D7D" w:rsidP="005140B4">
            <w:pPr>
              <w:pStyle w:val="OGHeading2"/>
            </w:pPr>
            <w:r w:rsidRPr="003101DB">
              <w:t xml:space="preserve">Small Rural </w:t>
            </w:r>
            <w:r>
              <w:t>Services – Primary Health</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pPr>
            <w:r w:rsidRPr="003101DB">
              <w:t>This</w:t>
            </w:r>
            <w:r>
              <w:t xml:space="preserve"> output includes delivery of in</w:t>
            </w:r>
            <w:r>
              <w:noBreakHyphen/>
            </w:r>
            <w:r w:rsidRPr="003101DB">
              <w:t>home, community</w:t>
            </w:r>
            <w:r>
              <w:noBreakHyphen/>
            </w:r>
            <w:r w:rsidRPr="003101DB">
              <w:t>based community and primary health services delivered by small rural services and designed to promote health and wellbeing and prevent the onse</w:t>
            </w:r>
            <w:r>
              <w:t>t of more serious illness.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keepNext/>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keepNext/>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keepNext/>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3B15EF" w:rsidRDefault="00A53D7D" w:rsidP="005140B4">
            <w:pPr>
              <w:pStyle w:val="OGTabText"/>
              <w:keepNext/>
              <w:rPr>
                <w:lang w:eastAsia="en-AU"/>
              </w:rPr>
            </w:pPr>
            <w:r w:rsidRPr="003B15EF">
              <w:rPr>
                <w:lang w:eastAsia="en-AU"/>
              </w:rPr>
              <w:t>Service delivery</w:t>
            </w:r>
            <w:r>
              <w:rPr>
                <w:lang w:eastAsia="en-AU"/>
              </w:rPr>
              <w:t xml:space="preserve"> hours in community health care</w:t>
            </w:r>
          </w:p>
        </w:tc>
        <w:tc>
          <w:tcPr>
            <w:tcW w:w="907" w:type="dxa"/>
            <w:tcBorders>
              <w:top w:val="nil"/>
              <w:left w:val="nil"/>
              <w:right w:val="nil"/>
            </w:tcBorders>
            <w:shd w:val="clear" w:color="000000" w:fill="FFFFFF"/>
          </w:tcPr>
          <w:p w:rsidR="00A53D7D" w:rsidRPr="005E5444" w:rsidRDefault="00A53D7D" w:rsidP="005140B4">
            <w:pPr>
              <w:pStyle w:val="OGUoM"/>
              <w:keepNext/>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keepNext/>
              <w:rPr>
                <w:lang w:eastAsia="en-AU"/>
              </w:rPr>
            </w:pPr>
            <w:r>
              <w:rPr>
                <w:lang w:eastAsia="en-AU"/>
              </w:rPr>
              <w:t>99 000</w:t>
            </w:r>
          </w:p>
        </w:tc>
        <w:tc>
          <w:tcPr>
            <w:tcW w:w="993" w:type="dxa"/>
            <w:tcBorders>
              <w:top w:val="nil"/>
              <w:left w:val="nil"/>
              <w:right w:val="nil"/>
            </w:tcBorders>
            <w:shd w:val="clear" w:color="000000" w:fill="FFFFFF"/>
          </w:tcPr>
          <w:p w:rsidR="00A53D7D" w:rsidRPr="005E5444" w:rsidRDefault="00A53D7D" w:rsidP="005140B4">
            <w:pPr>
              <w:pStyle w:val="OGTableofFigures"/>
              <w:keepNext/>
              <w:rPr>
                <w:lang w:eastAsia="en-AU"/>
              </w:rPr>
            </w:pPr>
            <w:r>
              <w:rPr>
                <w:lang w:eastAsia="en-AU"/>
              </w:rPr>
              <w:t>88 000</w:t>
            </w:r>
          </w:p>
        </w:tc>
        <w:tc>
          <w:tcPr>
            <w:tcW w:w="907" w:type="dxa"/>
            <w:tcBorders>
              <w:top w:val="nil"/>
              <w:left w:val="nil"/>
              <w:right w:val="nil"/>
            </w:tcBorders>
            <w:shd w:val="clear" w:color="000000" w:fill="FFFFFF"/>
          </w:tcPr>
          <w:p w:rsidR="00A53D7D" w:rsidRPr="005E5444" w:rsidRDefault="00A53D7D" w:rsidP="005140B4">
            <w:pPr>
              <w:pStyle w:val="OGTableofFigures"/>
              <w:keepNext/>
              <w:rPr>
                <w:lang w:eastAsia="en-AU"/>
              </w:rPr>
            </w:pPr>
            <w:r>
              <w:rPr>
                <w:lang w:eastAsia="en-AU"/>
              </w:rPr>
              <w:t>100 700</w:t>
            </w:r>
          </w:p>
        </w:tc>
        <w:tc>
          <w:tcPr>
            <w:tcW w:w="907" w:type="dxa"/>
            <w:tcBorders>
              <w:top w:val="nil"/>
              <w:left w:val="nil"/>
              <w:right w:val="nil"/>
            </w:tcBorders>
            <w:shd w:val="clear" w:color="000000" w:fill="FFFFFF"/>
          </w:tcPr>
          <w:p w:rsidR="00A53D7D" w:rsidRPr="005E5444" w:rsidRDefault="00A53D7D" w:rsidP="005140B4">
            <w:pPr>
              <w:pStyle w:val="OGTableofFigures"/>
              <w:keepNext/>
              <w:rPr>
                <w:lang w:eastAsia="en-AU"/>
              </w:rPr>
            </w:pPr>
            <w:r>
              <w:rPr>
                <w:lang w:eastAsia="en-AU"/>
              </w:rPr>
              <w:t>87 648</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rsidRPr="00A67429">
              <w:t>The 2013</w:t>
            </w:r>
            <w:r>
              <w:noBreakHyphen/>
            </w:r>
            <w:r w:rsidRPr="00A67429">
              <w:t xml:space="preserve">14 </w:t>
            </w:r>
            <w:r>
              <w:t>expected outcome</w:t>
            </w:r>
            <w:r w:rsidRPr="00A67429">
              <w:t xml:space="preserve"> is lower than</w:t>
            </w:r>
            <w:r>
              <w:t xml:space="preserve"> the</w:t>
            </w:r>
            <w:r w:rsidRPr="00A67429">
              <w:t xml:space="preserve"> 2013</w:t>
            </w:r>
            <w:r>
              <w:noBreakHyphen/>
            </w:r>
            <w:r w:rsidRPr="00A67429">
              <w:t xml:space="preserve">14 </w:t>
            </w:r>
            <w:r>
              <w:t>target</w:t>
            </w:r>
            <w:r w:rsidRPr="00A67429">
              <w:t xml:space="preserve"> partially due to </w:t>
            </w:r>
            <w:r>
              <w:t xml:space="preserve">the </w:t>
            </w:r>
            <w:r w:rsidRPr="00A67429">
              <w:t xml:space="preserve">Small Rural Health Services funding approach that allows substitution of acute, </w:t>
            </w:r>
            <w:proofErr w:type="gramStart"/>
            <w:r w:rsidRPr="00A67429">
              <w:t>aged</w:t>
            </w:r>
            <w:proofErr w:type="gramEnd"/>
            <w:r w:rsidRPr="00A67429">
              <w:t xml:space="preserve"> and home care, primary health services and other services to meet local needs.</w:t>
            </w:r>
          </w:p>
          <w:p w:rsidR="00A53D7D" w:rsidRPr="00A67429" w:rsidRDefault="00A53D7D" w:rsidP="005140B4">
            <w:pPr>
              <w:pStyle w:val="OGNotes"/>
            </w:pPr>
            <w:r>
              <w:t>The lower 2014</w:t>
            </w:r>
            <w:r>
              <w:noBreakHyphen/>
              <w:t>15 target reflects service levels funded.</w:t>
            </w:r>
          </w:p>
        </w:tc>
      </w:tr>
      <w:tr w:rsidR="00A53D7D" w:rsidRPr="005E5444" w:rsidTr="008C197D">
        <w:trPr>
          <w:cantSplit/>
        </w:trPr>
        <w:tc>
          <w:tcPr>
            <w:tcW w:w="3155" w:type="dxa"/>
            <w:tcBorders>
              <w:top w:val="nil"/>
              <w:left w:val="nil"/>
              <w:right w:val="nil"/>
            </w:tcBorders>
            <w:shd w:val="clear" w:color="000000" w:fill="FFFFFF"/>
          </w:tcPr>
          <w:p w:rsidR="00A53D7D" w:rsidRPr="00160E8F" w:rsidRDefault="00A53D7D" w:rsidP="005140B4">
            <w:pPr>
              <w:pStyle w:val="OGTabText"/>
              <w:rPr>
                <w:lang w:eastAsia="en-AU"/>
              </w:rPr>
            </w:pPr>
            <w:r>
              <w:rPr>
                <w:lang w:eastAsia="en-AU"/>
              </w:rPr>
              <w:t>Standard Equivalent Value Units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104 000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92 000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105 470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91 799</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t>The 2013</w:t>
            </w:r>
            <w:r>
              <w:noBreakHyphen/>
              <w:t>14 expected outcome is lower than the 2013</w:t>
            </w:r>
            <w:r>
              <w:noBreakHyphen/>
              <w:t xml:space="preserve">14 target partially due to the Small Rural Health Services funding approach that allows substitution of acute, </w:t>
            </w:r>
            <w:proofErr w:type="gramStart"/>
            <w:r>
              <w:t>aged</w:t>
            </w:r>
            <w:proofErr w:type="gramEnd"/>
            <w:r>
              <w:t xml:space="preserve"> and home care, primary health services and other services to meet local needs.</w:t>
            </w:r>
          </w:p>
          <w:p w:rsidR="00A53D7D" w:rsidRPr="00C61963" w:rsidRDefault="00A53D7D" w:rsidP="005140B4">
            <w:pPr>
              <w:pStyle w:val="OGNotes"/>
            </w:pPr>
            <w:r>
              <w:t>The lower 2014</w:t>
            </w:r>
            <w:r>
              <w:noBreakHyphen/>
              <w:t>15 target reflects service levels funded.</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sidRPr="002D55F8">
              <w:rPr>
                <w:lang w:eastAsia="en-AU"/>
              </w:rPr>
              <w:t>17.9</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17.5</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17.0</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16.8</w:t>
            </w:r>
          </w:p>
        </w:tc>
      </w:tr>
      <w:tr w:rsidR="00A53D7D" w:rsidRPr="005E5444" w:rsidTr="005140B4">
        <w:trPr>
          <w:cantSplit/>
        </w:trPr>
        <w:tc>
          <w:tcPr>
            <w:tcW w:w="7776" w:type="dxa"/>
            <w:gridSpan w:val="6"/>
            <w:tcBorders>
              <w:left w:val="nil"/>
              <w:bottom w:val="single" w:sz="12" w:space="0" w:color="auto"/>
              <w:right w:val="nil"/>
            </w:tcBorders>
            <w:shd w:val="clear" w:color="000000" w:fill="FFFFFF"/>
          </w:tcPr>
          <w:p w:rsidR="00A53D7D" w:rsidRPr="002D55F8" w:rsidRDefault="00A53D7D" w:rsidP="005140B4">
            <w:pPr>
              <w:pStyle w:val="OGNotes"/>
            </w:pPr>
            <w:r>
              <w:t>The higher 2014</w:t>
            </w:r>
            <w:r>
              <w:noBreakHyphen/>
              <w:t>15 target reflects the impact of the social and community services pay equity case.</w:t>
            </w:r>
          </w:p>
        </w:tc>
      </w:tr>
    </w:tbl>
    <w:p w:rsidR="00A53D7D" w:rsidRDefault="00A53D7D" w:rsidP="005140B4">
      <w:pPr>
        <w:pStyle w:val="Source"/>
        <w:rPr>
          <w:lang w:eastAsia="en-AU"/>
        </w:rPr>
      </w:pPr>
      <w:r>
        <w:rPr>
          <w:lang w:eastAsia="en-AU"/>
        </w:rPr>
        <w:t>Source: Department of Health</w:t>
      </w:r>
      <w:r>
        <w:rPr>
          <w:lang w:eastAsia="en-AU"/>
        </w:rPr>
        <w:fldChar w:fldCharType="begin"/>
      </w:r>
      <w:r>
        <w:instrText xml:space="preserve"> XE "</w:instrText>
      </w:r>
      <w:r w:rsidRPr="00AC217A">
        <w:instrText>Department of Health:Small Rural Services</w:instrText>
      </w:r>
      <w:r>
        <w:instrText xml:space="preserve">" \r "DHRural" </w:instrText>
      </w:r>
      <w:r>
        <w:rPr>
          <w:lang w:eastAsia="en-AU"/>
        </w:rPr>
        <w:fldChar w:fldCharType="end"/>
      </w:r>
      <w:r>
        <w:rPr>
          <w:lang w:eastAsia="en-AU"/>
        </w:rPr>
        <w:fldChar w:fldCharType="begin"/>
      </w:r>
      <w:r>
        <w:instrText xml:space="preserve"> XE "</w:instrText>
      </w:r>
      <w:r w:rsidRPr="00073605">
        <w:instrText>Health:Small Rural Services</w:instrText>
      </w:r>
      <w:r>
        <w:instrText xml:space="preserve">" \r "DHRural" </w:instrText>
      </w:r>
      <w:r>
        <w:rPr>
          <w:lang w:eastAsia="en-AU"/>
        </w:rPr>
        <w:fldChar w:fldCharType="end"/>
      </w:r>
      <w:r>
        <w:rPr>
          <w:lang w:eastAsia="en-AU"/>
        </w:rPr>
        <w:t xml:space="preserve"> </w:t>
      </w:r>
    </w:p>
    <w:bookmarkEnd w:id="93"/>
    <w:p w:rsidR="00A53D7D" w:rsidRDefault="00A53D7D" w:rsidP="005140B4">
      <w:pPr>
        <w:rPr>
          <w:lang w:eastAsia="en-AU"/>
        </w:rPr>
      </w:pPr>
    </w:p>
    <w:p w:rsidR="00A53D7D" w:rsidRDefault="00A53D7D" w:rsidP="005140B4">
      <w:r>
        <w:br w:type="page"/>
      </w:r>
    </w:p>
    <w:p w:rsidR="00A53D7D" w:rsidRDefault="00A53D7D" w:rsidP="005140B4">
      <w:pPr>
        <w:pStyle w:val="OGHeading1"/>
      </w:pPr>
      <w:bookmarkStart w:id="94" w:name="DHPubHlth"/>
      <w:r>
        <w:t>Public Health</w:t>
      </w:r>
    </w:p>
    <w:p w:rsidR="00A53D7D" w:rsidRDefault="00A53D7D" w:rsidP="005140B4">
      <w:pPr>
        <w:pStyle w:val="OGText"/>
      </w:pPr>
      <w:r w:rsidRPr="00374840">
        <w:t xml:space="preserve">Public Health outputs encompass services and support, including screening for health conditions and safety </w:t>
      </w:r>
      <w:proofErr w:type="gramStart"/>
      <w:r w:rsidRPr="00374840">
        <w:t>inspections, that</w:t>
      </w:r>
      <w:proofErr w:type="gramEnd"/>
      <w:r w:rsidRPr="00374840">
        <w:t xml:space="preserve"> promote and protect the health and wellbeing of all Victorians. These services are delivered in partnership with key stakeholders and communities.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8C197D">
        <w:trPr>
          <w:cantSplit/>
        </w:trPr>
        <w:tc>
          <w:tcPr>
            <w:tcW w:w="7776" w:type="dxa"/>
            <w:gridSpan w:val="6"/>
            <w:tcBorders>
              <w:top w:val="nil"/>
              <w:left w:val="nil"/>
              <w:right w:val="nil"/>
            </w:tcBorders>
            <w:shd w:val="clear" w:color="auto" w:fill="auto"/>
            <w:vAlign w:val="bottom"/>
          </w:tcPr>
          <w:p w:rsidR="00A53D7D" w:rsidRPr="005E5444" w:rsidRDefault="00A53D7D" w:rsidP="005140B4">
            <w:pPr>
              <w:pStyle w:val="OGHeading2"/>
              <w:rPr>
                <w:lang w:eastAsia="en-AU"/>
              </w:rPr>
            </w:pPr>
            <w:r>
              <w:rPr>
                <w:lang w:eastAsia="en-AU"/>
              </w:rPr>
              <w:t>Health Protection</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rPr>
                <w:lang w:eastAsia="en-AU"/>
              </w:rPr>
            </w:pPr>
            <w:r w:rsidRPr="008D528C">
              <w:rPr>
                <w:lang w:eastAsia="en-AU"/>
              </w:rPr>
              <w:t>Protects the health of Victorians through a range of prevention programs including regulation, surveillance and the provis</w:t>
            </w:r>
            <w:r>
              <w:rPr>
                <w:lang w:eastAsia="en-AU"/>
              </w:rPr>
              <w:t>ion of statutory services.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nil"/>
              <w:right w:val="nil"/>
            </w:tcBorders>
            <w:shd w:val="clear" w:color="000000" w:fill="FFFFFF"/>
          </w:tcPr>
          <w:p w:rsidR="00A53D7D" w:rsidRPr="005E5444" w:rsidRDefault="00A53D7D" w:rsidP="005140B4">
            <w:pPr>
              <w:pStyle w:val="OGTabText"/>
              <w:rPr>
                <w:lang w:eastAsia="en-AU"/>
              </w:rPr>
            </w:pPr>
            <w:r w:rsidRPr="008D528C">
              <w:rPr>
                <w:lang w:eastAsia="en-AU"/>
              </w:rPr>
              <w:t>Calls to food safety hotlines</w:t>
            </w:r>
          </w:p>
        </w:tc>
        <w:tc>
          <w:tcPr>
            <w:tcW w:w="907" w:type="dxa"/>
            <w:tcBorders>
              <w:top w:val="nil"/>
              <w:left w:val="nil"/>
              <w:bottom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bottom w:val="nil"/>
              <w:right w:val="nil"/>
            </w:tcBorders>
            <w:shd w:val="clear" w:color="auto" w:fill="D9D9D9"/>
          </w:tcPr>
          <w:p w:rsidR="00A53D7D" w:rsidRPr="005E5444" w:rsidRDefault="00A53D7D" w:rsidP="005140B4">
            <w:pPr>
              <w:pStyle w:val="OGTableofFigures"/>
              <w:rPr>
                <w:lang w:eastAsia="en-AU"/>
              </w:rPr>
            </w:pPr>
            <w:r>
              <w:rPr>
                <w:lang w:eastAsia="en-AU"/>
              </w:rPr>
              <w:t>4 500</w:t>
            </w:r>
          </w:p>
        </w:tc>
        <w:tc>
          <w:tcPr>
            <w:tcW w:w="993" w:type="dxa"/>
            <w:tcBorders>
              <w:top w:val="nil"/>
              <w:left w:val="nil"/>
              <w:bottom w:val="nil"/>
              <w:right w:val="nil"/>
            </w:tcBorders>
            <w:shd w:val="clear" w:color="000000" w:fill="FFFFFF"/>
          </w:tcPr>
          <w:p w:rsidR="00A53D7D" w:rsidRPr="005E5444" w:rsidRDefault="00A53D7D" w:rsidP="005140B4">
            <w:pPr>
              <w:pStyle w:val="OGTableofFigures"/>
              <w:rPr>
                <w:lang w:eastAsia="en-AU"/>
              </w:rPr>
            </w:pPr>
            <w:r>
              <w:rPr>
                <w:lang w:eastAsia="en-AU"/>
              </w:rPr>
              <w:t>4 200</w:t>
            </w:r>
          </w:p>
        </w:tc>
        <w:tc>
          <w:tcPr>
            <w:tcW w:w="907" w:type="dxa"/>
            <w:tcBorders>
              <w:top w:val="nil"/>
              <w:left w:val="nil"/>
              <w:bottom w:val="nil"/>
              <w:right w:val="nil"/>
            </w:tcBorders>
            <w:shd w:val="clear" w:color="000000" w:fill="FFFFFF"/>
          </w:tcPr>
          <w:p w:rsidR="00A53D7D" w:rsidRPr="005E5444" w:rsidRDefault="00A53D7D" w:rsidP="005140B4">
            <w:pPr>
              <w:pStyle w:val="OGTableofFigures"/>
              <w:rPr>
                <w:lang w:eastAsia="en-AU"/>
              </w:rPr>
            </w:pPr>
            <w:r>
              <w:rPr>
                <w:lang w:eastAsia="en-AU"/>
              </w:rPr>
              <w:t>4 500</w:t>
            </w:r>
          </w:p>
        </w:tc>
        <w:tc>
          <w:tcPr>
            <w:tcW w:w="907" w:type="dxa"/>
            <w:tcBorders>
              <w:top w:val="nil"/>
              <w:left w:val="nil"/>
              <w:bottom w:val="nil"/>
              <w:right w:val="nil"/>
            </w:tcBorders>
            <w:shd w:val="clear" w:color="000000" w:fill="FFFFFF"/>
          </w:tcPr>
          <w:p w:rsidR="00A53D7D" w:rsidRPr="005E5444" w:rsidRDefault="00A53D7D" w:rsidP="005140B4">
            <w:pPr>
              <w:pStyle w:val="OGTableofFigures"/>
              <w:rPr>
                <w:lang w:eastAsia="en-AU"/>
              </w:rPr>
            </w:pPr>
            <w:r>
              <w:rPr>
                <w:lang w:eastAsia="en-AU"/>
              </w:rPr>
              <w:t>4 269</w:t>
            </w:r>
          </w:p>
        </w:tc>
      </w:tr>
      <w:tr w:rsidR="00A53D7D" w:rsidRPr="005E5444" w:rsidTr="008C197D">
        <w:trPr>
          <w:cantSplit/>
        </w:trPr>
        <w:tc>
          <w:tcPr>
            <w:tcW w:w="7776" w:type="dxa"/>
            <w:gridSpan w:val="6"/>
            <w:tcBorders>
              <w:top w:val="nil"/>
              <w:left w:val="nil"/>
              <w:bottom w:val="single" w:sz="4" w:space="0" w:color="auto"/>
              <w:right w:val="nil"/>
            </w:tcBorders>
            <w:shd w:val="clear" w:color="auto" w:fill="auto"/>
            <w:vAlign w:val="bottom"/>
          </w:tcPr>
          <w:p w:rsidR="00A53D7D" w:rsidRPr="008D528C" w:rsidRDefault="00A53D7D" w:rsidP="005140B4">
            <w:pPr>
              <w:pStyle w:val="OGNotes"/>
            </w:pPr>
            <w:r w:rsidRPr="008D528C">
              <w:t>The 2013</w:t>
            </w:r>
            <w:r>
              <w:noBreakHyphen/>
            </w:r>
            <w:r w:rsidRPr="008D528C">
              <w:t xml:space="preserve">14 </w:t>
            </w:r>
            <w:r>
              <w:t>expected outcome</w:t>
            </w:r>
            <w:r w:rsidRPr="008D528C">
              <w:t xml:space="preserve"> is lower than the 2013</w:t>
            </w:r>
            <w:r>
              <w:noBreakHyphen/>
            </w:r>
            <w:r w:rsidRPr="008D528C">
              <w:t xml:space="preserve">14 </w:t>
            </w:r>
            <w:r>
              <w:t>target</w:t>
            </w:r>
            <w:r w:rsidRPr="008D528C">
              <w:t xml:space="preserve"> due to an increasing number of queries being submitted via email rather than telephone.</w:t>
            </w:r>
          </w:p>
        </w:tc>
      </w:tr>
      <w:tr w:rsidR="00A53D7D" w:rsidRPr="005E5444" w:rsidTr="005140B4">
        <w:trPr>
          <w:cantSplit/>
        </w:trPr>
        <w:tc>
          <w:tcPr>
            <w:tcW w:w="3155" w:type="dxa"/>
            <w:tcBorders>
              <w:top w:val="single" w:sz="4"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7230B2">
              <w:rPr>
                <w:lang w:eastAsia="en-AU"/>
              </w:rPr>
              <w:t>Inspections of cooling towers</w:t>
            </w:r>
          </w:p>
        </w:tc>
        <w:tc>
          <w:tcPr>
            <w:tcW w:w="907" w:type="dxa"/>
            <w:tcBorders>
              <w:top w:val="single" w:sz="4"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4"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1 000</w:t>
            </w:r>
          </w:p>
        </w:tc>
        <w:tc>
          <w:tcPr>
            <w:tcW w:w="993" w:type="dxa"/>
            <w:tcBorders>
              <w:top w:val="single" w:sz="4"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1 000</w:t>
            </w:r>
          </w:p>
        </w:tc>
        <w:tc>
          <w:tcPr>
            <w:tcW w:w="907" w:type="dxa"/>
            <w:tcBorders>
              <w:top w:val="single" w:sz="4"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1 000</w:t>
            </w:r>
          </w:p>
        </w:tc>
        <w:tc>
          <w:tcPr>
            <w:tcW w:w="907" w:type="dxa"/>
            <w:tcBorders>
              <w:top w:val="single" w:sz="4"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1 403</w:t>
            </w:r>
          </w:p>
        </w:tc>
      </w:tr>
      <w:tr w:rsidR="00A53D7D" w:rsidRPr="005E5444" w:rsidTr="008C197D">
        <w:trPr>
          <w:cantSplit/>
        </w:trPr>
        <w:tc>
          <w:tcPr>
            <w:tcW w:w="3155" w:type="dxa"/>
            <w:tcBorders>
              <w:top w:val="single" w:sz="6" w:space="0" w:color="auto"/>
              <w:left w:val="nil"/>
              <w:right w:val="nil"/>
            </w:tcBorders>
            <w:shd w:val="clear" w:color="000000" w:fill="FFFFFF"/>
          </w:tcPr>
          <w:p w:rsidR="00A53D7D" w:rsidRPr="009E16D5" w:rsidRDefault="00A53D7D" w:rsidP="005140B4">
            <w:pPr>
              <w:pStyle w:val="OGTabText"/>
              <w:rPr>
                <w:lang w:eastAsia="en-AU"/>
              </w:rPr>
            </w:pPr>
            <w:r w:rsidRPr="009E16D5">
              <w:rPr>
                <w:lang w:eastAsia="en-AU"/>
              </w:rPr>
              <w:t>Inspections of radia</w:t>
            </w:r>
            <w:r>
              <w:rPr>
                <w:lang w:eastAsia="en-AU"/>
              </w:rPr>
              <w:t>tion safety management licences</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480</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430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480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541</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1D37B0" w:rsidRDefault="00A53D7D" w:rsidP="005140B4">
            <w:pPr>
              <w:pStyle w:val="OGNotes"/>
            </w:pPr>
            <w:r w:rsidRPr="001D37B0">
              <w:t>The 2013</w:t>
            </w:r>
            <w:r>
              <w:noBreakHyphen/>
            </w:r>
            <w:r w:rsidRPr="001D37B0">
              <w:t xml:space="preserve">14 </w:t>
            </w:r>
            <w:r>
              <w:t>expected outcome</w:t>
            </w:r>
            <w:r w:rsidRPr="001D37B0">
              <w:t xml:space="preserve"> is lower than the 2013</w:t>
            </w:r>
            <w:r>
              <w:noBreakHyphen/>
            </w:r>
            <w:r w:rsidRPr="001D37B0">
              <w:t xml:space="preserve">14 </w:t>
            </w:r>
            <w:r>
              <w:t>target due to a range of factors including increased focus on inspection of higher risk practices which require more intensive and consequently longer inspection times.</w:t>
            </w:r>
          </w:p>
        </w:tc>
      </w:tr>
      <w:tr w:rsidR="00A53D7D" w:rsidRPr="005E5444" w:rsidTr="008C197D">
        <w:trPr>
          <w:cantSplit/>
        </w:trPr>
        <w:tc>
          <w:tcPr>
            <w:tcW w:w="3155" w:type="dxa"/>
            <w:tcBorders>
              <w:top w:val="nil"/>
              <w:left w:val="nil"/>
              <w:right w:val="nil"/>
            </w:tcBorders>
            <w:shd w:val="clear" w:color="000000" w:fill="FFFFFF"/>
          </w:tcPr>
          <w:p w:rsidR="00A53D7D" w:rsidRPr="003F6AFC" w:rsidRDefault="00A53D7D" w:rsidP="005140B4">
            <w:pPr>
              <w:pStyle w:val="OGTabText"/>
              <w:rPr>
                <w:lang w:eastAsia="en-AU"/>
              </w:rPr>
            </w:pPr>
            <w:r w:rsidRPr="003F6AFC">
              <w:rPr>
                <w:lang w:eastAsia="en-AU"/>
              </w:rPr>
              <w:t>Number of built, demountable and natural shade projects funded</w:t>
            </w:r>
            <w:r>
              <w:rPr>
                <w:lang w:eastAsia="en-AU"/>
              </w:rPr>
              <w:t xml:space="preserve"> under the Shade Grants Program</w:t>
            </w:r>
          </w:p>
        </w:tc>
        <w:tc>
          <w:tcPr>
            <w:tcW w:w="907" w:type="dxa"/>
            <w:tcBorders>
              <w:top w:val="nil"/>
              <w:left w:val="nil"/>
              <w:right w:val="nil"/>
            </w:tcBorders>
            <w:shd w:val="clear" w:color="000000" w:fill="FFFFFF"/>
          </w:tcPr>
          <w:p w:rsidR="00A53D7D" w:rsidRPr="003F6AFC"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40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BE0DDB" w:rsidRDefault="00A53D7D" w:rsidP="005140B4">
            <w:pPr>
              <w:pStyle w:val="OGNotes"/>
            </w:pPr>
            <w:r w:rsidRPr="003F6AFC">
              <w:t>New performance measure for 2014</w:t>
            </w:r>
            <w:r>
              <w:noBreakHyphen/>
            </w:r>
            <w:r w:rsidRPr="003F6AFC">
              <w:t xml:space="preserve">15 to reflect </w:t>
            </w:r>
            <w:r>
              <w:t>Government</w:t>
            </w:r>
            <w:r w:rsidRPr="003F6AFC">
              <w:t xml:space="preserve"> priority to provide protection from the harmful effects of the sun and support safe and hea</w:t>
            </w:r>
            <w:r>
              <w:t>lthy built environment projects.</w:t>
            </w:r>
          </w:p>
        </w:tc>
      </w:tr>
      <w:tr w:rsidR="00A53D7D" w:rsidRPr="005E5444" w:rsidTr="008C197D">
        <w:trPr>
          <w:cantSplit/>
        </w:trPr>
        <w:tc>
          <w:tcPr>
            <w:tcW w:w="3155" w:type="dxa"/>
            <w:tcBorders>
              <w:top w:val="nil"/>
              <w:left w:val="nil"/>
              <w:right w:val="nil"/>
            </w:tcBorders>
            <w:shd w:val="clear" w:color="000000" w:fill="FFFFFF"/>
          </w:tcPr>
          <w:p w:rsidR="00A53D7D" w:rsidRPr="009E57D1" w:rsidRDefault="00A53D7D" w:rsidP="005140B4">
            <w:pPr>
              <w:pStyle w:val="OGTabText"/>
              <w:rPr>
                <w:lang w:eastAsia="en-AU"/>
              </w:rPr>
            </w:pPr>
            <w:r>
              <w:rPr>
                <w:lang w:eastAsia="en-AU"/>
              </w:rPr>
              <w:t>Number</w:t>
            </w:r>
            <w:r w:rsidRPr="009E57D1">
              <w:rPr>
                <w:lang w:eastAsia="en-AU"/>
              </w:rPr>
              <w:t xml:space="preserve"> of available HIV rap</w:t>
            </w:r>
            <w:r>
              <w:rPr>
                <w:lang w:eastAsia="en-AU"/>
              </w:rPr>
              <w:t>id test trial appointments used</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2 688</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nm</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9E57D1" w:rsidRDefault="00A53D7D" w:rsidP="005140B4">
            <w:pPr>
              <w:pStyle w:val="OGNotes"/>
            </w:pPr>
            <w:r w:rsidRPr="009E57D1">
              <w:t>New performance measure for 2014</w:t>
            </w:r>
            <w:r>
              <w:noBreakHyphen/>
            </w:r>
            <w:r w:rsidRPr="009E57D1">
              <w:t>15 to reflect Government priorities r</w:t>
            </w:r>
            <w:r>
              <w:t>egarding rapid testing for HIV.</w:t>
            </w: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9E57D1">
              <w:rPr>
                <w:lang w:eastAsia="en-AU"/>
              </w:rPr>
              <w:t xml:space="preserve">Persons screened for prevention and early </w:t>
            </w:r>
            <w:r>
              <w:rPr>
                <w:lang w:eastAsia="en-AU"/>
              </w:rPr>
              <w:t>detection of health conditions –</w:t>
            </w:r>
            <w:r w:rsidRPr="009E57D1">
              <w:rPr>
                <w:lang w:eastAsia="en-AU"/>
              </w:rPr>
              <w:t xml:space="preserve"> breast cancer screening</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230 000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230 000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215 000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221 375</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rsidRPr="00860344">
              <w:t>The 2013</w:t>
            </w:r>
            <w:r>
              <w:noBreakHyphen/>
              <w:t>14 expected outcome is</w:t>
            </w:r>
            <w:r w:rsidRPr="00860344">
              <w:t xml:space="preserve"> higher than </w:t>
            </w:r>
            <w:r>
              <w:t xml:space="preserve">the </w:t>
            </w:r>
            <w:r w:rsidRPr="00860344">
              <w:t>2013</w:t>
            </w:r>
            <w:r>
              <w:noBreakHyphen/>
            </w:r>
            <w:r w:rsidRPr="00860344">
              <w:t xml:space="preserve">14 </w:t>
            </w:r>
            <w:r>
              <w:t>target</w:t>
            </w:r>
            <w:r w:rsidRPr="00860344">
              <w:t xml:space="preserve"> </w:t>
            </w:r>
            <w:r>
              <w:t>due to a</w:t>
            </w:r>
            <w:r w:rsidRPr="00860344">
              <w:t xml:space="preserve"> service model review and activities to increase productivity</w:t>
            </w:r>
            <w:r>
              <w:t xml:space="preserve">. </w:t>
            </w:r>
          </w:p>
          <w:p w:rsidR="00A53D7D" w:rsidRPr="00860344" w:rsidRDefault="00A53D7D" w:rsidP="005140B4">
            <w:pPr>
              <w:pStyle w:val="OGNotes"/>
            </w:pPr>
            <w:r>
              <w:t>The higher 2014</w:t>
            </w:r>
            <w:r>
              <w:noBreakHyphen/>
              <w:t>15 target reflects the continued increase in productivity.</w:t>
            </w: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sidRPr="00860344">
              <w:rPr>
                <w:lang w:eastAsia="en-AU"/>
              </w:rPr>
              <w:t>Persons screened for prevention and early detection of health conditions</w:t>
            </w:r>
            <w:r>
              <w:rPr>
                <w:lang w:eastAsia="en-AU"/>
              </w:rPr>
              <w:t xml:space="preserve"> – </w:t>
            </w:r>
            <w:r w:rsidRPr="00860344">
              <w:rPr>
                <w:lang w:eastAsia="en-AU"/>
              </w:rPr>
              <w:t>cervical cancer screening</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570 000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550 700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550 700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580 232</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BE0DDB" w:rsidRDefault="00A53D7D" w:rsidP="005140B4">
            <w:pPr>
              <w:pStyle w:val="OGNotes"/>
            </w:pPr>
            <w:r>
              <w:t>The higher 2014</w:t>
            </w:r>
            <w:r>
              <w:noBreakHyphen/>
              <w:t xml:space="preserve">15 target reflects </w:t>
            </w:r>
            <w:r w:rsidRPr="00DE4314">
              <w:t xml:space="preserve">growth in the eligible population and </w:t>
            </w:r>
            <w:r>
              <w:t>anticipated increases in screening due to direct mail and media campaigns.</w:t>
            </w:r>
          </w:p>
        </w:tc>
      </w:tr>
      <w:tr w:rsidR="00A53D7D" w:rsidRPr="005E5444" w:rsidTr="005140B4">
        <w:trPr>
          <w:cantSplit/>
        </w:trPr>
        <w:tc>
          <w:tcPr>
            <w:tcW w:w="3155" w:type="dxa"/>
            <w:tcBorders>
              <w:top w:val="nil"/>
              <w:left w:val="nil"/>
              <w:bottom w:val="nil"/>
              <w:right w:val="nil"/>
            </w:tcBorders>
            <w:shd w:val="clear" w:color="000000" w:fill="FFFFFF"/>
          </w:tcPr>
          <w:p w:rsidR="00A53D7D" w:rsidRPr="005E5444" w:rsidRDefault="00A53D7D" w:rsidP="005140B4">
            <w:pPr>
              <w:pStyle w:val="OGTabText"/>
              <w:keepNext/>
              <w:rPr>
                <w:lang w:eastAsia="en-AU"/>
              </w:rPr>
            </w:pPr>
            <w:r w:rsidRPr="00125B7A">
              <w:rPr>
                <w:lang w:eastAsia="en-AU"/>
              </w:rPr>
              <w:t xml:space="preserve">Persons screened for prevention and early detection of health conditions </w:t>
            </w:r>
            <w:r>
              <w:rPr>
                <w:lang w:eastAsia="en-AU"/>
              </w:rPr>
              <w:t>–</w:t>
            </w:r>
            <w:r w:rsidRPr="00125B7A">
              <w:rPr>
                <w:lang w:eastAsia="en-AU"/>
              </w:rPr>
              <w:t xml:space="preserve"> newborn and maternal serum screening</w:t>
            </w:r>
          </w:p>
        </w:tc>
        <w:tc>
          <w:tcPr>
            <w:tcW w:w="907" w:type="dxa"/>
            <w:tcBorders>
              <w:top w:val="nil"/>
              <w:left w:val="nil"/>
              <w:bottom w:val="nil"/>
              <w:right w:val="nil"/>
            </w:tcBorders>
            <w:shd w:val="clear" w:color="000000" w:fill="FFFFFF"/>
          </w:tcPr>
          <w:p w:rsidR="00A53D7D" w:rsidRPr="005E5444" w:rsidRDefault="00A53D7D" w:rsidP="005140B4">
            <w:pPr>
              <w:pStyle w:val="OGUoM"/>
              <w:keepNext/>
              <w:rPr>
                <w:lang w:eastAsia="en-AU"/>
              </w:rPr>
            </w:pPr>
            <w:r>
              <w:rPr>
                <w:lang w:eastAsia="en-AU"/>
              </w:rPr>
              <w:t>number</w:t>
            </w:r>
          </w:p>
        </w:tc>
        <w:tc>
          <w:tcPr>
            <w:tcW w:w="907" w:type="dxa"/>
            <w:tcBorders>
              <w:top w:val="nil"/>
              <w:left w:val="nil"/>
              <w:bottom w:val="nil"/>
              <w:right w:val="nil"/>
            </w:tcBorders>
            <w:shd w:val="clear" w:color="auto" w:fill="D9D9D9"/>
          </w:tcPr>
          <w:p w:rsidR="00A53D7D" w:rsidRPr="005E5444" w:rsidRDefault="00A53D7D" w:rsidP="005140B4">
            <w:pPr>
              <w:pStyle w:val="OGTableofFigures"/>
              <w:keepNext/>
              <w:rPr>
                <w:lang w:eastAsia="en-AU"/>
              </w:rPr>
            </w:pPr>
            <w:r>
              <w:rPr>
                <w:lang w:eastAsia="en-AU"/>
              </w:rPr>
              <w:t>80 000</w:t>
            </w:r>
          </w:p>
        </w:tc>
        <w:tc>
          <w:tcPr>
            <w:tcW w:w="993" w:type="dxa"/>
            <w:tcBorders>
              <w:top w:val="nil"/>
              <w:left w:val="nil"/>
              <w:bottom w:val="nil"/>
              <w:right w:val="nil"/>
            </w:tcBorders>
            <w:shd w:val="clear" w:color="000000" w:fill="FFFFFF"/>
          </w:tcPr>
          <w:p w:rsidR="00A53D7D" w:rsidRPr="005E5444" w:rsidRDefault="00A53D7D" w:rsidP="005140B4">
            <w:pPr>
              <w:pStyle w:val="OGTableofFigures"/>
              <w:keepNext/>
              <w:rPr>
                <w:lang w:eastAsia="en-AU"/>
              </w:rPr>
            </w:pPr>
            <w:r>
              <w:rPr>
                <w:lang w:eastAsia="en-AU"/>
              </w:rPr>
              <w:t>77 851</w:t>
            </w:r>
          </w:p>
        </w:tc>
        <w:tc>
          <w:tcPr>
            <w:tcW w:w="907" w:type="dxa"/>
            <w:tcBorders>
              <w:top w:val="nil"/>
              <w:left w:val="nil"/>
              <w:bottom w:val="nil"/>
              <w:right w:val="nil"/>
            </w:tcBorders>
            <w:shd w:val="clear" w:color="000000" w:fill="FFFFFF"/>
          </w:tcPr>
          <w:p w:rsidR="00A53D7D" w:rsidRPr="005E5444" w:rsidRDefault="00A53D7D" w:rsidP="005140B4">
            <w:pPr>
              <w:pStyle w:val="OGTableofFigures"/>
              <w:keepNext/>
              <w:rPr>
                <w:lang w:eastAsia="en-AU"/>
              </w:rPr>
            </w:pPr>
            <w:r>
              <w:rPr>
                <w:lang w:eastAsia="en-AU"/>
              </w:rPr>
              <w:t>77 851</w:t>
            </w:r>
          </w:p>
        </w:tc>
        <w:tc>
          <w:tcPr>
            <w:tcW w:w="907" w:type="dxa"/>
            <w:tcBorders>
              <w:top w:val="nil"/>
              <w:left w:val="nil"/>
              <w:bottom w:val="nil"/>
              <w:right w:val="nil"/>
            </w:tcBorders>
            <w:shd w:val="clear" w:color="000000" w:fill="FFFFFF"/>
          </w:tcPr>
          <w:p w:rsidR="00A53D7D" w:rsidRPr="005E5444" w:rsidRDefault="00A53D7D" w:rsidP="005140B4">
            <w:pPr>
              <w:pStyle w:val="OGTableofFigures"/>
              <w:keepNext/>
              <w:rPr>
                <w:lang w:eastAsia="en-AU"/>
              </w:rPr>
            </w:pPr>
            <w:r>
              <w:rPr>
                <w:lang w:eastAsia="en-AU"/>
              </w:rPr>
              <w:t>79 702</w:t>
            </w:r>
          </w:p>
        </w:tc>
      </w:tr>
      <w:tr w:rsidR="00A53D7D" w:rsidRPr="005E5444" w:rsidTr="008C197D">
        <w:trPr>
          <w:cantSplit/>
        </w:trPr>
        <w:tc>
          <w:tcPr>
            <w:tcW w:w="7776" w:type="dxa"/>
            <w:gridSpan w:val="6"/>
            <w:tcBorders>
              <w:top w:val="nil"/>
              <w:left w:val="nil"/>
              <w:bottom w:val="single" w:sz="6" w:space="0" w:color="auto"/>
              <w:right w:val="nil"/>
            </w:tcBorders>
            <w:shd w:val="clear" w:color="auto" w:fill="auto"/>
            <w:vAlign w:val="bottom"/>
          </w:tcPr>
          <w:p w:rsidR="00A53D7D" w:rsidRPr="00BE0DDB" w:rsidRDefault="00A53D7D" w:rsidP="005140B4">
            <w:pPr>
              <w:pStyle w:val="OGNotes"/>
            </w:pPr>
            <w:r>
              <w:t>The higher 2014</w:t>
            </w:r>
            <w:r>
              <w:noBreakHyphen/>
              <w:t>15 target reflects an anticipated projected increase in expected birth rate and consequent screenings.</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C701A2">
              <w:rPr>
                <w:lang w:eastAsia="en-AU"/>
              </w:rPr>
              <w:t xml:space="preserve">Persons screened for prevention and early </w:t>
            </w:r>
            <w:r>
              <w:rPr>
                <w:lang w:eastAsia="en-AU"/>
              </w:rPr>
              <w:t>detection of health conditions –</w:t>
            </w:r>
            <w:r w:rsidRPr="00C701A2">
              <w:rPr>
                <w:lang w:eastAsia="en-AU"/>
              </w:rPr>
              <w:t xml:space="preserve"> pulmonary tuberculosis screening</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2 500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2 500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2 500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1 575</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rPr>
                <w:lang w:eastAsia="en-AU"/>
              </w:rPr>
            </w:pPr>
            <w:r w:rsidRPr="0084128F">
              <w:rPr>
                <w:lang w:eastAsia="en-AU"/>
              </w:rPr>
              <w:t>Calls to food safety hotlines that are answered</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96</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96</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96</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98.4</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5C486C">
              <w:rPr>
                <w:lang w:eastAsia="en-AU"/>
              </w:rPr>
              <w:t xml:space="preserve">Immunisation coverage: adolescent (Year 10) students fully immunised for </w:t>
            </w:r>
            <w:proofErr w:type="spellStart"/>
            <w:r w:rsidRPr="005C486C">
              <w:rPr>
                <w:lang w:eastAsia="en-AU"/>
              </w:rPr>
              <w:t>DTPa</w:t>
            </w:r>
            <w:proofErr w:type="spellEnd"/>
            <w:r w:rsidRPr="005C486C">
              <w:rPr>
                <w:lang w:eastAsia="en-AU"/>
              </w:rPr>
              <w:t xml:space="preserve"> (diphtheria, tetanus and pertussis)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80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83</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5C486C">
              <w:rPr>
                <w:lang w:eastAsia="en-AU"/>
              </w:rPr>
              <w:t>Immunisation coverage: At 65+ years of age (influenza)</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80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80</w:t>
            </w:r>
          </w:p>
        </w:tc>
      </w:tr>
      <w:tr w:rsidR="00A53D7D" w:rsidRPr="005E5444" w:rsidTr="005140B4">
        <w:trPr>
          <w:cantSplit/>
        </w:trPr>
        <w:tc>
          <w:tcPr>
            <w:tcW w:w="3155" w:type="dxa"/>
            <w:tcBorders>
              <w:top w:val="single" w:sz="6" w:space="0" w:color="auto"/>
              <w:left w:val="nil"/>
              <w:bottom w:val="nil"/>
              <w:right w:val="nil"/>
            </w:tcBorders>
            <w:shd w:val="clear" w:color="000000" w:fill="FFFFFF"/>
          </w:tcPr>
          <w:p w:rsidR="00A53D7D" w:rsidRPr="005C486C" w:rsidRDefault="00A53D7D" w:rsidP="005140B4">
            <w:pPr>
              <w:pStyle w:val="OGTabText"/>
              <w:rPr>
                <w:lang w:eastAsia="en-AU"/>
              </w:rPr>
            </w:pPr>
            <w:r w:rsidRPr="005C486C">
              <w:rPr>
                <w:lang w:eastAsia="en-AU"/>
              </w:rPr>
              <w:t>Immunis</w:t>
            </w:r>
            <w:r>
              <w:rPr>
                <w:lang w:eastAsia="en-AU"/>
              </w:rPr>
              <w:t>ation coverage: At school entry</w:t>
            </w:r>
          </w:p>
        </w:tc>
        <w:tc>
          <w:tcPr>
            <w:tcW w:w="907" w:type="dxa"/>
            <w:tcBorders>
              <w:top w:val="single" w:sz="6" w:space="0" w:color="auto"/>
              <w:left w:val="nil"/>
              <w:bottom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nil"/>
              <w:right w:val="nil"/>
            </w:tcBorders>
            <w:shd w:val="clear" w:color="auto" w:fill="D9D9D9"/>
          </w:tcPr>
          <w:p w:rsidR="00A53D7D" w:rsidRPr="005E5444" w:rsidRDefault="00A53D7D" w:rsidP="005140B4">
            <w:pPr>
              <w:pStyle w:val="OGTableofFigures"/>
              <w:rPr>
                <w:lang w:eastAsia="en-AU"/>
              </w:rPr>
            </w:pPr>
            <w:r>
              <w:rPr>
                <w:lang w:eastAsia="en-AU"/>
              </w:rPr>
              <w:t>95</w:t>
            </w:r>
          </w:p>
        </w:tc>
        <w:tc>
          <w:tcPr>
            <w:tcW w:w="993" w:type="dxa"/>
            <w:tcBorders>
              <w:top w:val="single" w:sz="6" w:space="0" w:color="auto"/>
              <w:left w:val="nil"/>
              <w:bottom w:val="nil"/>
              <w:right w:val="nil"/>
            </w:tcBorders>
            <w:shd w:val="clear" w:color="000000" w:fill="FFFFFF"/>
          </w:tcPr>
          <w:p w:rsidR="00A53D7D" w:rsidRPr="005E5444" w:rsidRDefault="00A53D7D" w:rsidP="005140B4">
            <w:pPr>
              <w:pStyle w:val="OGTableofFigures"/>
              <w:rPr>
                <w:lang w:eastAsia="en-AU"/>
              </w:rPr>
            </w:pPr>
            <w:r>
              <w:rPr>
                <w:lang w:eastAsia="en-AU"/>
              </w:rPr>
              <w:t>92</w:t>
            </w:r>
          </w:p>
        </w:tc>
        <w:tc>
          <w:tcPr>
            <w:tcW w:w="907" w:type="dxa"/>
            <w:tcBorders>
              <w:top w:val="single" w:sz="6" w:space="0" w:color="auto"/>
              <w:left w:val="nil"/>
              <w:bottom w:val="nil"/>
              <w:right w:val="nil"/>
            </w:tcBorders>
            <w:shd w:val="clear" w:color="000000" w:fill="FFFFFF"/>
          </w:tcPr>
          <w:p w:rsidR="00A53D7D" w:rsidRPr="005E5444" w:rsidRDefault="00A53D7D" w:rsidP="005140B4">
            <w:pPr>
              <w:pStyle w:val="OGTableofFigures"/>
              <w:rPr>
                <w:lang w:eastAsia="en-AU"/>
              </w:rPr>
            </w:pPr>
            <w:r>
              <w:rPr>
                <w:lang w:eastAsia="en-AU"/>
              </w:rPr>
              <w:t>90</w:t>
            </w:r>
          </w:p>
        </w:tc>
        <w:tc>
          <w:tcPr>
            <w:tcW w:w="907" w:type="dxa"/>
            <w:tcBorders>
              <w:top w:val="single" w:sz="6" w:space="0" w:color="auto"/>
              <w:left w:val="nil"/>
              <w:bottom w:val="nil"/>
              <w:right w:val="nil"/>
            </w:tcBorders>
            <w:shd w:val="clear" w:color="000000" w:fill="FFFFFF"/>
          </w:tcPr>
          <w:p w:rsidR="00A53D7D" w:rsidRPr="005E5444" w:rsidRDefault="00A53D7D" w:rsidP="005140B4">
            <w:pPr>
              <w:pStyle w:val="OGTableofFigures"/>
              <w:rPr>
                <w:lang w:eastAsia="en-AU"/>
              </w:rPr>
            </w:pPr>
            <w:r>
              <w:rPr>
                <w:lang w:eastAsia="en-AU"/>
              </w:rPr>
              <w:t>93</w:t>
            </w:r>
          </w:p>
        </w:tc>
      </w:tr>
      <w:tr w:rsidR="00A53D7D" w:rsidRPr="005E5444" w:rsidTr="008C197D">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rsidRPr="00FA050A">
              <w:t>The</w:t>
            </w:r>
            <w:r>
              <w:t xml:space="preserve"> 2013</w:t>
            </w:r>
            <w:r>
              <w:noBreakHyphen/>
              <w:t>14 expected outcome is higher than the 2013</w:t>
            </w:r>
            <w:r>
              <w:noBreakHyphen/>
              <w:t>14 target due to higher than anticipated childhood immunisation.</w:t>
            </w:r>
          </w:p>
          <w:p w:rsidR="00A53D7D" w:rsidRPr="00BE0DDB" w:rsidRDefault="00A53D7D" w:rsidP="005140B4">
            <w:pPr>
              <w:pStyle w:val="OGNotes"/>
            </w:pPr>
            <w:r>
              <w:t>The higher 2014</w:t>
            </w:r>
            <w:r>
              <w:noBreakHyphen/>
              <w:t xml:space="preserve">15 target reflects the Government priority to boost </w:t>
            </w:r>
            <w:r w:rsidRPr="00823F3B">
              <w:t>the number of children fully immunised before they start school. A range of initiatives will be investigated to promote the uptake of immunisation and subsequent increase in the immunisation rate.</w:t>
            </w:r>
          </w:p>
        </w:tc>
      </w:tr>
      <w:tr w:rsidR="00A53D7D" w:rsidRPr="005E5444" w:rsidTr="008C197D">
        <w:trPr>
          <w:cantSplit/>
        </w:trPr>
        <w:tc>
          <w:tcPr>
            <w:tcW w:w="3155" w:type="dxa"/>
            <w:tcBorders>
              <w:top w:val="single" w:sz="6" w:space="0" w:color="auto"/>
              <w:left w:val="nil"/>
              <w:bottom w:val="nil"/>
              <w:right w:val="nil"/>
            </w:tcBorders>
            <w:shd w:val="clear" w:color="000000" w:fill="FFFFFF"/>
          </w:tcPr>
          <w:p w:rsidR="00A53D7D" w:rsidRPr="005E5444" w:rsidRDefault="00A53D7D" w:rsidP="005140B4">
            <w:pPr>
              <w:pStyle w:val="OGTabText"/>
              <w:rPr>
                <w:lang w:eastAsia="en-AU"/>
              </w:rPr>
            </w:pPr>
            <w:r w:rsidRPr="00170BE3">
              <w:rPr>
                <w:lang w:eastAsia="en-AU"/>
              </w:rPr>
              <w:t>Immunisation coverage: At two years of age</w:t>
            </w:r>
          </w:p>
        </w:tc>
        <w:tc>
          <w:tcPr>
            <w:tcW w:w="907" w:type="dxa"/>
            <w:tcBorders>
              <w:top w:val="single" w:sz="6" w:space="0" w:color="auto"/>
              <w:left w:val="nil"/>
              <w:bottom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nil"/>
              <w:right w:val="nil"/>
            </w:tcBorders>
            <w:shd w:val="clear" w:color="auto" w:fill="D9D9D9"/>
          </w:tcPr>
          <w:p w:rsidR="00A53D7D" w:rsidRPr="005E5444" w:rsidRDefault="00A53D7D" w:rsidP="005140B4">
            <w:pPr>
              <w:pStyle w:val="OGTableofFigures"/>
              <w:rPr>
                <w:lang w:eastAsia="en-AU"/>
              </w:rPr>
            </w:pPr>
            <w:r>
              <w:rPr>
                <w:lang w:eastAsia="en-AU"/>
              </w:rPr>
              <w:t>95</w:t>
            </w:r>
          </w:p>
        </w:tc>
        <w:tc>
          <w:tcPr>
            <w:tcW w:w="993" w:type="dxa"/>
            <w:tcBorders>
              <w:top w:val="single" w:sz="6" w:space="0" w:color="auto"/>
              <w:left w:val="nil"/>
              <w:bottom w:val="nil"/>
              <w:right w:val="nil"/>
            </w:tcBorders>
            <w:shd w:val="clear" w:color="000000" w:fill="FFFFFF"/>
          </w:tcPr>
          <w:p w:rsidR="00A53D7D" w:rsidRPr="005E5444" w:rsidRDefault="00A53D7D" w:rsidP="005140B4">
            <w:pPr>
              <w:pStyle w:val="OGTableofFigures"/>
              <w:rPr>
                <w:lang w:eastAsia="en-AU"/>
              </w:rPr>
            </w:pPr>
            <w:r>
              <w:rPr>
                <w:lang w:eastAsia="en-AU"/>
              </w:rPr>
              <w:t>92</w:t>
            </w:r>
          </w:p>
        </w:tc>
        <w:tc>
          <w:tcPr>
            <w:tcW w:w="907" w:type="dxa"/>
            <w:tcBorders>
              <w:top w:val="single" w:sz="6" w:space="0" w:color="auto"/>
              <w:left w:val="nil"/>
              <w:bottom w:val="nil"/>
              <w:right w:val="nil"/>
            </w:tcBorders>
            <w:shd w:val="clear" w:color="000000" w:fill="FFFFFF"/>
          </w:tcPr>
          <w:p w:rsidR="00A53D7D" w:rsidRPr="005E5444" w:rsidRDefault="00A53D7D" w:rsidP="005140B4">
            <w:pPr>
              <w:pStyle w:val="OGTableofFigures"/>
              <w:rPr>
                <w:lang w:eastAsia="en-AU"/>
              </w:rPr>
            </w:pPr>
            <w:r>
              <w:rPr>
                <w:lang w:eastAsia="en-AU"/>
              </w:rPr>
              <w:t>92</w:t>
            </w:r>
          </w:p>
        </w:tc>
        <w:tc>
          <w:tcPr>
            <w:tcW w:w="907" w:type="dxa"/>
            <w:tcBorders>
              <w:top w:val="single" w:sz="6" w:space="0" w:color="auto"/>
              <w:left w:val="nil"/>
              <w:bottom w:val="nil"/>
              <w:right w:val="nil"/>
            </w:tcBorders>
            <w:shd w:val="clear" w:color="000000" w:fill="FFFFFF"/>
          </w:tcPr>
          <w:p w:rsidR="00A53D7D" w:rsidRPr="005E5444" w:rsidRDefault="00A53D7D" w:rsidP="005140B4">
            <w:pPr>
              <w:pStyle w:val="OGTableofFigures"/>
              <w:rPr>
                <w:lang w:eastAsia="en-AU"/>
              </w:rPr>
            </w:pPr>
            <w:r>
              <w:rPr>
                <w:lang w:eastAsia="en-AU"/>
              </w:rPr>
              <w:t>93</w:t>
            </w:r>
          </w:p>
        </w:tc>
      </w:tr>
      <w:tr w:rsidR="00A53D7D" w:rsidRPr="005E5444" w:rsidTr="008C197D">
        <w:trPr>
          <w:cantSplit/>
        </w:trPr>
        <w:tc>
          <w:tcPr>
            <w:tcW w:w="7776" w:type="dxa"/>
            <w:gridSpan w:val="6"/>
            <w:tcBorders>
              <w:top w:val="nil"/>
              <w:left w:val="nil"/>
              <w:bottom w:val="single" w:sz="6" w:space="0" w:color="auto"/>
              <w:right w:val="nil"/>
            </w:tcBorders>
            <w:shd w:val="clear" w:color="auto" w:fill="auto"/>
            <w:vAlign w:val="bottom"/>
          </w:tcPr>
          <w:p w:rsidR="00A53D7D" w:rsidRPr="00BE0DDB" w:rsidRDefault="00A53D7D" w:rsidP="005140B4">
            <w:pPr>
              <w:pStyle w:val="OGNotes"/>
            </w:pPr>
            <w:r>
              <w:t>The higher 2014</w:t>
            </w:r>
            <w:r>
              <w:noBreakHyphen/>
              <w:t>15 target reflects the Government priority to boost the number of children fully immunised before they start school. A range of initiatives will be investigated to promote the uptake of immunisation and subsequent increase in the immunisation rate.</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E41439">
              <w:rPr>
                <w:lang w:eastAsia="en-AU"/>
              </w:rPr>
              <w:t>Public Health emergency response calls dealt within designated plans and procedure timelines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Timeliness</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rPr>
                <w:lang w:eastAsia="en-AU"/>
              </w:rPr>
            </w:pPr>
            <w:r w:rsidRPr="002E1154">
              <w:rPr>
                <w:lang w:eastAsia="en-AU"/>
              </w:rPr>
              <w:t>Average time taken from notification of a food complaint to commencement of appropriate action</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hours</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24</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24</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24</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24</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2E1154">
              <w:rPr>
                <w:lang w:eastAsia="en-AU"/>
              </w:rPr>
              <w:t>Infectious disease outbreaks responded to within 24 hours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2E1154">
              <w:rPr>
                <w:lang w:eastAsia="en-AU"/>
              </w:rPr>
              <w:t>Target population screened within specified timeframe for breast cancer</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54</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54</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54</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55</w:t>
            </w:r>
          </w:p>
        </w:tc>
      </w:tr>
      <w:tr w:rsidR="00A53D7D" w:rsidRPr="005E5444" w:rsidTr="008C197D">
        <w:trPr>
          <w:cantSplit/>
        </w:trPr>
        <w:tc>
          <w:tcPr>
            <w:tcW w:w="3155" w:type="dxa"/>
            <w:tcBorders>
              <w:top w:val="single" w:sz="6" w:space="0" w:color="auto"/>
              <w:left w:val="nil"/>
              <w:right w:val="nil"/>
            </w:tcBorders>
            <w:shd w:val="clear" w:color="000000" w:fill="FFFFFF"/>
          </w:tcPr>
          <w:p w:rsidR="00A53D7D" w:rsidRPr="005E5444" w:rsidRDefault="00A53D7D" w:rsidP="005140B4">
            <w:pPr>
              <w:pStyle w:val="OGTabText"/>
              <w:rPr>
                <w:lang w:eastAsia="en-AU"/>
              </w:rPr>
            </w:pPr>
            <w:r w:rsidRPr="008623CB">
              <w:rPr>
                <w:lang w:eastAsia="en-AU"/>
              </w:rPr>
              <w:t>Target population screened within specified timeframe for cervical cancer</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62</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61</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63</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60</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90CD3" w:rsidRDefault="00A53D7D" w:rsidP="005140B4">
            <w:pPr>
              <w:pStyle w:val="OGNotes"/>
            </w:pPr>
            <w:r w:rsidRPr="00590CD3">
              <w:t xml:space="preserve">The </w:t>
            </w:r>
            <w:r>
              <w:t xml:space="preserve">lower </w:t>
            </w:r>
            <w:r w:rsidRPr="00590CD3">
              <w:t>2014</w:t>
            </w:r>
            <w:r>
              <w:noBreakHyphen/>
            </w:r>
            <w:r w:rsidRPr="00590CD3">
              <w:t xml:space="preserve">15 </w:t>
            </w:r>
            <w:r>
              <w:t>target</w:t>
            </w:r>
            <w:r w:rsidRPr="00590CD3">
              <w:t xml:space="preserve"> </w:t>
            </w:r>
            <w:r>
              <w:t>reflects</w:t>
            </w:r>
            <w:r w:rsidRPr="00590CD3">
              <w:t xml:space="preserve"> a change in the counting methodology by the A</w:t>
            </w:r>
            <w:r>
              <w:t xml:space="preserve">ustralian </w:t>
            </w:r>
            <w:r w:rsidRPr="00590CD3">
              <w:t>I</w:t>
            </w:r>
            <w:r>
              <w:t xml:space="preserve">nstitute of </w:t>
            </w:r>
            <w:r w:rsidRPr="00590CD3">
              <w:t>H</w:t>
            </w:r>
            <w:r>
              <w:t xml:space="preserve">ealth and </w:t>
            </w:r>
            <w:r w:rsidRPr="00590CD3">
              <w:t>W</w:t>
            </w:r>
            <w:r>
              <w:t>elfare.</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TableofFigures"/>
              <w:rPr>
                <w:lang w:eastAsia="en-AU"/>
              </w:rPr>
            </w:pPr>
            <w:r w:rsidRPr="002D55F8">
              <w:rPr>
                <w:lang w:eastAsia="en-AU"/>
              </w:rPr>
              <w:t>231.3</w:t>
            </w:r>
          </w:p>
        </w:tc>
        <w:tc>
          <w:tcPr>
            <w:tcW w:w="993"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220.8</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229.6</w:t>
            </w:r>
          </w:p>
        </w:tc>
        <w:tc>
          <w:tcPr>
            <w:tcW w:w="907" w:type="dxa"/>
            <w:tcBorders>
              <w:top w:val="nil"/>
              <w:left w:val="nil"/>
              <w:right w:val="nil"/>
            </w:tcBorders>
            <w:shd w:val="clear" w:color="000000" w:fill="FFFFFF"/>
          </w:tcPr>
          <w:p w:rsidR="00A53D7D" w:rsidRPr="002D55F8" w:rsidRDefault="00A53D7D" w:rsidP="005140B4">
            <w:pPr>
              <w:pStyle w:val="OGTableofFigures"/>
              <w:rPr>
                <w:lang w:eastAsia="en-AU"/>
              </w:rPr>
            </w:pPr>
            <w:r w:rsidRPr="002D55F8">
              <w:rPr>
                <w:lang w:eastAsia="en-AU"/>
              </w:rPr>
              <w:t>212.9</w:t>
            </w:r>
          </w:p>
        </w:tc>
      </w:tr>
      <w:tr w:rsidR="00A53D7D" w:rsidRPr="005E5444" w:rsidTr="005140B4">
        <w:trPr>
          <w:cantSplit/>
        </w:trPr>
        <w:tc>
          <w:tcPr>
            <w:tcW w:w="7776" w:type="dxa"/>
            <w:gridSpan w:val="6"/>
            <w:tcBorders>
              <w:left w:val="nil"/>
              <w:bottom w:val="single" w:sz="6" w:space="0" w:color="auto"/>
              <w:right w:val="nil"/>
            </w:tcBorders>
            <w:shd w:val="clear" w:color="000000" w:fill="FFFFFF"/>
          </w:tcPr>
          <w:p w:rsidR="00A53D7D" w:rsidRPr="002D55F8" w:rsidRDefault="00A53D7D" w:rsidP="005140B4">
            <w:pPr>
              <w:pStyle w:val="OGNotes"/>
            </w:pPr>
            <w:r>
              <w:t>The higher 2014</w:t>
            </w:r>
            <w:r>
              <w:noBreakHyphen/>
              <w:t xml:space="preserve">15 target reflects adjustments to the National Partnership Agreement on Essential Vaccines, the cost of delivering services and the impact of the social and community services pay equity case. </w:t>
            </w:r>
          </w:p>
        </w:tc>
      </w:tr>
      <w:tr w:rsidR="00A53D7D" w:rsidRPr="005E5444" w:rsidTr="008C197D">
        <w:trPr>
          <w:cantSplit/>
        </w:trPr>
        <w:tc>
          <w:tcPr>
            <w:tcW w:w="7776" w:type="dxa"/>
            <w:gridSpan w:val="6"/>
            <w:tcBorders>
              <w:top w:val="single" w:sz="6" w:space="0" w:color="auto"/>
              <w:left w:val="nil"/>
              <w:right w:val="nil"/>
            </w:tcBorders>
            <w:shd w:val="clear" w:color="auto" w:fill="auto"/>
            <w:vAlign w:val="bottom"/>
          </w:tcPr>
          <w:p w:rsidR="00A53D7D" w:rsidRPr="005E5444" w:rsidRDefault="00A53D7D" w:rsidP="005140B4">
            <w:pPr>
              <w:pStyle w:val="OGHeading2"/>
              <w:rPr>
                <w:lang w:eastAsia="en-AU"/>
              </w:rPr>
            </w:pPr>
            <w:r w:rsidRPr="00B06D01">
              <w:rPr>
                <w:lang w:eastAsia="en-AU"/>
              </w:rPr>
              <w:t>Health A</w:t>
            </w:r>
            <w:r>
              <w:rPr>
                <w:lang w:eastAsia="en-AU"/>
              </w:rPr>
              <w:t>dvancement</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rPr>
                <w:lang w:eastAsia="en-AU"/>
              </w:rPr>
            </w:pPr>
            <w:r w:rsidRPr="00B06D01">
              <w:rPr>
                <w:lang w:eastAsia="en-AU"/>
              </w:rPr>
              <w:t>Improves the general health and wellbeing of Victorians through the provision of community information and the foster</w:t>
            </w:r>
            <w:r>
              <w:rPr>
                <w:lang w:eastAsia="en-AU"/>
              </w:rPr>
              <w:t>ing of healthy behaviours.</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rPr>
                <w:lang w:eastAsia="en-AU"/>
              </w:rPr>
            </w:pPr>
            <w:r>
              <w:rPr>
                <w:lang w:eastAsia="en-AU"/>
              </w:rPr>
              <w:t>Persons completing the Life! –</w:t>
            </w:r>
            <w:r w:rsidRPr="00B06D01">
              <w:rPr>
                <w:lang w:eastAsia="en-AU"/>
              </w:rPr>
              <w:t xml:space="preserve"> Diabetes and Cardiovascular Disease Prevention program</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5 616</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5 616</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5 616</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6 458</w:t>
            </w:r>
          </w:p>
        </w:tc>
      </w:tr>
      <w:tr w:rsidR="00A53D7D" w:rsidRPr="005E5444" w:rsidTr="005140B4">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B06D01">
              <w:rPr>
                <w:lang w:eastAsia="en-AU"/>
              </w:rPr>
              <w:t>Workplaces and pubs and clubs complying with smoke free environment laws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99</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99</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99</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99</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rPr>
                <w:lang w:eastAsia="en-AU"/>
              </w:rPr>
            </w:pPr>
            <w:r w:rsidRPr="00537E53">
              <w:rPr>
                <w:lang w:eastAsia="en-AU"/>
              </w:rPr>
              <w:t>Local Government Authorities with Municipal Public Health and Wellbeing Plans</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95</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95</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95</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96</w:t>
            </w:r>
          </w:p>
        </w:tc>
      </w:tr>
      <w:tr w:rsidR="00A53D7D" w:rsidRPr="005E5444" w:rsidTr="008C197D">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5E5444" w:rsidRDefault="00A53D7D" w:rsidP="005140B4">
            <w:pPr>
              <w:pStyle w:val="OGTabText"/>
              <w:rPr>
                <w:lang w:eastAsia="en-AU"/>
              </w:rPr>
            </w:pPr>
            <w:r>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9F6CC7" w:rsidRDefault="00A53D7D" w:rsidP="005140B4">
            <w:pPr>
              <w:pStyle w:val="OGTableofFigures"/>
              <w:rPr>
                <w:lang w:eastAsia="en-AU"/>
              </w:rPr>
            </w:pPr>
            <w:r w:rsidRPr="009F6CC7">
              <w:rPr>
                <w:lang w:eastAsia="en-AU"/>
              </w:rPr>
              <w:t>87.5</w:t>
            </w:r>
          </w:p>
        </w:tc>
        <w:tc>
          <w:tcPr>
            <w:tcW w:w="993" w:type="dxa"/>
            <w:tcBorders>
              <w:top w:val="nil"/>
              <w:left w:val="nil"/>
              <w:right w:val="nil"/>
            </w:tcBorders>
            <w:shd w:val="clear" w:color="000000" w:fill="FFFFFF"/>
          </w:tcPr>
          <w:p w:rsidR="00A53D7D" w:rsidRPr="009F6CC7" w:rsidRDefault="00A53D7D" w:rsidP="005140B4">
            <w:pPr>
              <w:pStyle w:val="OGTableofFigures"/>
              <w:rPr>
                <w:lang w:eastAsia="en-AU"/>
              </w:rPr>
            </w:pPr>
            <w:r w:rsidRPr="009F6CC7">
              <w:rPr>
                <w:lang w:eastAsia="en-AU"/>
              </w:rPr>
              <w:t>81.1</w:t>
            </w:r>
          </w:p>
        </w:tc>
        <w:tc>
          <w:tcPr>
            <w:tcW w:w="907" w:type="dxa"/>
            <w:tcBorders>
              <w:top w:val="nil"/>
              <w:left w:val="nil"/>
              <w:right w:val="nil"/>
            </w:tcBorders>
            <w:shd w:val="clear" w:color="000000" w:fill="FFFFFF"/>
          </w:tcPr>
          <w:p w:rsidR="00A53D7D" w:rsidRPr="009F6CC7" w:rsidRDefault="00A53D7D" w:rsidP="005140B4">
            <w:pPr>
              <w:pStyle w:val="OGTableofFigures"/>
              <w:rPr>
                <w:lang w:eastAsia="en-AU"/>
              </w:rPr>
            </w:pPr>
            <w:r w:rsidRPr="009F6CC7">
              <w:rPr>
                <w:lang w:eastAsia="en-AU"/>
              </w:rPr>
              <w:t>82.5</w:t>
            </w:r>
          </w:p>
        </w:tc>
        <w:tc>
          <w:tcPr>
            <w:tcW w:w="907" w:type="dxa"/>
            <w:tcBorders>
              <w:top w:val="nil"/>
              <w:left w:val="nil"/>
              <w:right w:val="nil"/>
            </w:tcBorders>
            <w:shd w:val="clear" w:color="000000" w:fill="FFFFFF"/>
          </w:tcPr>
          <w:p w:rsidR="00A53D7D" w:rsidRPr="009F6CC7" w:rsidRDefault="00A53D7D" w:rsidP="005140B4">
            <w:pPr>
              <w:pStyle w:val="OGTableofFigures"/>
              <w:rPr>
                <w:lang w:eastAsia="en-AU"/>
              </w:rPr>
            </w:pPr>
            <w:r w:rsidRPr="009F6CC7">
              <w:rPr>
                <w:lang w:eastAsia="en-AU"/>
              </w:rPr>
              <w:t>81.7</w:t>
            </w:r>
          </w:p>
        </w:tc>
      </w:tr>
      <w:tr w:rsidR="00A53D7D" w:rsidRPr="005E5444" w:rsidTr="005140B4">
        <w:trPr>
          <w:cantSplit/>
        </w:trPr>
        <w:tc>
          <w:tcPr>
            <w:tcW w:w="7776" w:type="dxa"/>
            <w:gridSpan w:val="6"/>
            <w:tcBorders>
              <w:top w:val="nil"/>
              <w:left w:val="nil"/>
              <w:bottom w:val="single" w:sz="6" w:space="0" w:color="auto"/>
              <w:right w:val="nil"/>
            </w:tcBorders>
            <w:shd w:val="clear" w:color="000000" w:fill="FFFFFF"/>
          </w:tcPr>
          <w:p w:rsidR="00A53D7D" w:rsidRPr="009F6CC7" w:rsidRDefault="00A53D7D" w:rsidP="005140B4">
            <w:pPr>
              <w:pStyle w:val="OGNotes"/>
            </w:pPr>
            <w:r w:rsidRPr="007F2FAC">
              <w:t>The higher 2014</w:t>
            </w:r>
            <w:r>
              <w:noBreakHyphen/>
            </w:r>
            <w:r w:rsidRPr="007F2FAC">
              <w:t xml:space="preserve">15 </w:t>
            </w:r>
            <w:r>
              <w:t>target</w:t>
            </w:r>
            <w:r w:rsidRPr="007F2FAC">
              <w:t xml:space="preserve"> reflects an increase in funding as a result of carryover.</w:t>
            </w:r>
          </w:p>
        </w:tc>
      </w:tr>
      <w:tr w:rsidR="00A53D7D" w:rsidRPr="005E5444" w:rsidTr="008C197D">
        <w:trPr>
          <w:cantSplit/>
        </w:trPr>
        <w:tc>
          <w:tcPr>
            <w:tcW w:w="7776" w:type="dxa"/>
            <w:gridSpan w:val="6"/>
            <w:tcBorders>
              <w:top w:val="single" w:sz="6" w:space="0" w:color="auto"/>
              <w:left w:val="nil"/>
              <w:right w:val="nil"/>
            </w:tcBorders>
            <w:shd w:val="clear" w:color="auto" w:fill="auto"/>
            <w:vAlign w:val="bottom"/>
          </w:tcPr>
          <w:p w:rsidR="00A53D7D" w:rsidRPr="005E5444" w:rsidRDefault="00A53D7D" w:rsidP="005140B4">
            <w:pPr>
              <w:pStyle w:val="OGHeading2"/>
            </w:pPr>
            <w:r w:rsidRPr="001953A3">
              <w:t>Public Health Developm</w:t>
            </w:r>
            <w:r>
              <w:t>ent, Research and Support</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pPr>
            <w:r w:rsidRPr="001953A3">
              <w:t>Develops and advocates for research and development activities, which support evidence</w:t>
            </w:r>
            <w:r>
              <w:noBreakHyphen/>
            </w:r>
            <w:r w:rsidRPr="001953A3">
              <w:t>bas</w:t>
            </w:r>
            <w:r>
              <w:t>ed public health policies.</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keepNext/>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keepNext/>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keepNext/>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keepNext/>
              <w:rPr>
                <w:lang w:eastAsia="en-AU"/>
              </w:rPr>
            </w:pPr>
            <w:r w:rsidRPr="001953A3">
              <w:rPr>
                <w:lang w:eastAsia="en-AU"/>
              </w:rPr>
              <w:t>Number of people trained in emergency response</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keepNext/>
              <w:rPr>
                <w:lang w:eastAsia="en-AU"/>
              </w:rPr>
            </w:pPr>
            <w:r>
              <w:rPr>
                <w:lang w:eastAsia="en-AU"/>
              </w:rPr>
              <w:t>number</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keepNext/>
              <w:rPr>
                <w:lang w:eastAsia="en-AU"/>
              </w:rPr>
            </w:pPr>
            <w:r>
              <w:rPr>
                <w:lang w:eastAsia="en-AU"/>
              </w:rPr>
              <w:t>2 000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keepNext/>
              <w:rPr>
                <w:lang w:eastAsia="en-AU"/>
              </w:rPr>
            </w:pPr>
            <w:r>
              <w:rPr>
                <w:lang w:eastAsia="en-AU"/>
              </w:rPr>
              <w:t>2 000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keepNext/>
              <w:rPr>
                <w:lang w:eastAsia="en-AU"/>
              </w:rPr>
            </w:pPr>
            <w:r>
              <w:rPr>
                <w:lang w:eastAsia="en-AU"/>
              </w:rPr>
              <w:t>2 000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keepNext/>
              <w:rPr>
                <w:lang w:eastAsia="en-AU"/>
              </w:rPr>
            </w:pPr>
            <w:r>
              <w:rPr>
                <w:lang w:eastAsia="en-AU"/>
              </w:rPr>
              <w:t>2 593</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keepNext/>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keepNext/>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keepNext/>
              <w:rPr>
                <w:lang w:eastAsia="en-AU"/>
              </w:rPr>
            </w:pPr>
          </w:p>
        </w:tc>
      </w:tr>
      <w:tr w:rsidR="00A53D7D" w:rsidRPr="005E5444" w:rsidTr="005140B4">
        <w:trPr>
          <w:cantSplit/>
        </w:trPr>
        <w:tc>
          <w:tcPr>
            <w:tcW w:w="3155" w:type="dxa"/>
            <w:tcBorders>
              <w:top w:val="nil"/>
              <w:left w:val="nil"/>
              <w:right w:val="nil"/>
            </w:tcBorders>
            <w:shd w:val="clear" w:color="000000" w:fill="FFFFFF"/>
          </w:tcPr>
          <w:p w:rsidR="00A53D7D" w:rsidRPr="005E5444" w:rsidRDefault="00A53D7D" w:rsidP="005140B4">
            <w:pPr>
              <w:pStyle w:val="OGTabText"/>
              <w:keepNext/>
              <w:rPr>
                <w:lang w:eastAsia="en-AU"/>
              </w:rPr>
            </w:pPr>
            <w:r>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keepNext/>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UoM"/>
              <w:keepNext/>
              <w:jc w:val="right"/>
              <w:rPr>
                <w:lang w:eastAsia="en-AU"/>
              </w:rPr>
            </w:pPr>
            <w:r w:rsidRPr="002D55F8">
              <w:rPr>
                <w:lang w:eastAsia="en-AU"/>
              </w:rPr>
              <w:t>10.1</w:t>
            </w:r>
          </w:p>
        </w:tc>
        <w:tc>
          <w:tcPr>
            <w:tcW w:w="993" w:type="dxa"/>
            <w:tcBorders>
              <w:top w:val="nil"/>
              <w:left w:val="nil"/>
              <w:right w:val="nil"/>
            </w:tcBorders>
            <w:shd w:val="clear" w:color="000000" w:fill="FFFFFF"/>
          </w:tcPr>
          <w:p w:rsidR="00A53D7D" w:rsidRPr="002D55F8" w:rsidRDefault="00A53D7D" w:rsidP="005140B4">
            <w:pPr>
              <w:pStyle w:val="OGUoM"/>
              <w:keepNext/>
              <w:jc w:val="right"/>
              <w:rPr>
                <w:lang w:eastAsia="en-AU"/>
              </w:rPr>
            </w:pPr>
            <w:r w:rsidRPr="002D55F8">
              <w:rPr>
                <w:lang w:eastAsia="en-AU"/>
              </w:rPr>
              <w:t>11.4</w:t>
            </w:r>
          </w:p>
        </w:tc>
        <w:tc>
          <w:tcPr>
            <w:tcW w:w="907" w:type="dxa"/>
            <w:tcBorders>
              <w:top w:val="nil"/>
              <w:left w:val="nil"/>
              <w:right w:val="nil"/>
            </w:tcBorders>
            <w:shd w:val="clear" w:color="000000" w:fill="FFFFFF"/>
          </w:tcPr>
          <w:p w:rsidR="00A53D7D" w:rsidRPr="002D55F8" w:rsidRDefault="00A53D7D" w:rsidP="005140B4">
            <w:pPr>
              <w:pStyle w:val="OGUoM"/>
              <w:keepNext/>
              <w:jc w:val="right"/>
              <w:rPr>
                <w:lang w:eastAsia="en-AU"/>
              </w:rPr>
            </w:pPr>
            <w:r w:rsidRPr="002D55F8">
              <w:rPr>
                <w:lang w:eastAsia="en-AU"/>
              </w:rPr>
              <w:t>7.2</w:t>
            </w:r>
          </w:p>
        </w:tc>
        <w:tc>
          <w:tcPr>
            <w:tcW w:w="907" w:type="dxa"/>
            <w:tcBorders>
              <w:top w:val="nil"/>
              <w:left w:val="nil"/>
              <w:right w:val="nil"/>
            </w:tcBorders>
            <w:shd w:val="clear" w:color="000000" w:fill="FFFFFF"/>
          </w:tcPr>
          <w:p w:rsidR="00A53D7D" w:rsidRPr="002D55F8" w:rsidRDefault="00A53D7D" w:rsidP="005140B4">
            <w:pPr>
              <w:pStyle w:val="OGUoM"/>
              <w:keepNext/>
              <w:jc w:val="right"/>
              <w:rPr>
                <w:lang w:eastAsia="en-AU"/>
              </w:rPr>
            </w:pPr>
            <w:r w:rsidRPr="002D55F8">
              <w:rPr>
                <w:lang w:eastAsia="en-AU"/>
              </w:rPr>
              <w:t>11.3</w:t>
            </w:r>
          </w:p>
        </w:tc>
      </w:tr>
      <w:tr w:rsidR="00A53D7D" w:rsidRPr="005E5444" w:rsidTr="005140B4">
        <w:trPr>
          <w:cantSplit/>
        </w:trPr>
        <w:tc>
          <w:tcPr>
            <w:tcW w:w="7776" w:type="dxa"/>
            <w:gridSpan w:val="6"/>
            <w:tcBorders>
              <w:left w:val="nil"/>
              <w:bottom w:val="single" w:sz="12" w:space="0" w:color="auto"/>
              <w:right w:val="nil"/>
            </w:tcBorders>
            <w:shd w:val="clear" w:color="000000" w:fill="FFFFFF"/>
          </w:tcPr>
          <w:p w:rsidR="00A53D7D" w:rsidRDefault="00A53D7D" w:rsidP="005140B4">
            <w:pPr>
              <w:pStyle w:val="OGNotes"/>
            </w:pPr>
            <w:r>
              <w:t>The 2013</w:t>
            </w:r>
            <w:r>
              <w:noBreakHyphen/>
              <w:t>14 expected outcome is higher than the 2013</w:t>
            </w:r>
            <w:r>
              <w:noBreakHyphen/>
              <w:t>14 target due to an increase in trust fund revenue for the Streamlining Ethical Review program and output costs realignments.</w:t>
            </w:r>
          </w:p>
          <w:p w:rsidR="00A53D7D" w:rsidRPr="002D55F8" w:rsidRDefault="00A53D7D" w:rsidP="005140B4">
            <w:pPr>
              <w:pStyle w:val="OGNotes"/>
            </w:pPr>
            <w:r>
              <w:t>The higher 2014</w:t>
            </w:r>
            <w:r>
              <w:noBreakHyphen/>
              <w:t xml:space="preserve">15 target reflects the impact of the cost of delivering services and the impact of the social and community services pay equity case. </w:t>
            </w:r>
          </w:p>
        </w:tc>
      </w:tr>
    </w:tbl>
    <w:p w:rsidR="00A53D7D" w:rsidRDefault="00A53D7D" w:rsidP="005140B4">
      <w:pPr>
        <w:pStyle w:val="Source"/>
        <w:rPr>
          <w:lang w:eastAsia="en-AU"/>
        </w:rPr>
      </w:pPr>
      <w:r>
        <w:rPr>
          <w:lang w:eastAsia="en-AU"/>
        </w:rPr>
        <w:t>Source: Department of Health</w:t>
      </w:r>
      <w:r>
        <w:rPr>
          <w:lang w:eastAsia="en-AU"/>
        </w:rPr>
        <w:fldChar w:fldCharType="begin"/>
      </w:r>
      <w:r>
        <w:instrText xml:space="preserve"> XE "</w:instrText>
      </w:r>
      <w:r w:rsidRPr="00EA539F">
        <w:instrText>Department of Health:Public Health</w:instrText>
      </w:r>
      <w:r>
        <w:instrText xml:space="preserve">" \r "DHPubHlth" </w:instrText>
      </w:r>
      <w:r>
        <w:rPr>
          <w:lang w:eastAsia="en-AU"/>
        </w:rPr>
        <w:fldChar w:fldCharType="end"/>
      </w:r>
      <w:r>
        <w:rPr>
          <w:lang w:eastAsia="en-AU"/>
        </w:rPr>
        <w:fldChar w:fldCharType="begin"/>
      </w:r>
      <w:r>
        <w:instrText xml:space="preserve"> XE "</w:instrText>
      </w:r>
      <w:r w:rsidRPr="008F564C">
        <w:instrText>Public Health</w:instrText>
      </w:r>
      <w:r>
        <w:instrText xml:space="preserve">" \r "DHPubHlth" </w:instrText>
      </w:r>
      <w:r>
        <w:rPr>
          <w:lang w:eastAsia="en-AU"/>
        </w:rPr>
        <w:fldChar w:fldCharType="end"/>
      </w:r>
      <w:r>
        <w:rPr>
          <w:lang w:eastAsia="en-AU"/>
        </w:rPr>
        <w:t xml:space="preserve"> </w:t>
      </w:r>
    </w:p>
    <w:p w:rsidR="00A53D7D" w:rsidRDefault="00A53D7D" w:rsidP="005140B4">
      <w:pPr>
        <w:pStyle w:val="OGHeading1"/>
      </w:pPr>
      <w:bookmarkStart w:id="95" w:name="DHDrugSvces"/>
      <w:bookmarkEnd w:id="94"/>
      <w:r>
        <w:t>Drugs Services</w:t>
      </w:r>
    </w:p>
    <w:p w:rsidR="00A53D7D" w:rsidRDefault="00A53D7D" w:rsidP="005140B4">
      <w:pPr>
        <w:pStyle w:val="OGText"/>
      </w:pPr>
      <w:r w:rsidRPr="00FF0171">
        <w:t>Drug</w:t>
      </w:r>
      <w:r>
        <w:t>s</w:t>
      </w:r>
      <w:r w:rsidRPr="00FF0171">
        <w:t xml:space="preserve"> Services outputs include programs and services aimed at promoting and protecting health by reducing death, </w:t>
      </w:r>
      <w:proofErr w:type="gramStart"/>
      <w:r w:rsidRPr="00FF0171">
        <w:t>disease</w:t>
      </w:r>
      <w:proofErr w:type="gramEnd"/>
      <w:r w:rsidRPr="00FF0171">
        <w:t xml:space="preserve"> and social harm caused by the use and misuse of</w:t>
      </w:r>
      <w:r>
        <w:t xml:space="preserve"> licit and illicit drugs.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5444" w:rsidTr="008C197D">
        <w:trPr>
          <w:cantSplit/>
        </w:trPr>
        <w:tc>
          <w:tcPr>
            <w:tcW w:w="7776" w:type="dxa"/>
            <w:gridSpan w:val="6"/>
            <w:tcBorders>
              <w:top w:val="nil"/>
              <w:left w:val="nil"/>
              <w:right w:val="nil"/>
            </w:tcBorders>
            <w:shd w:val="clear" w:color="auto" w:fill="auto"/>
            <w:vAlign w:val="bottom"/>
          </w:tcPr>
          <w:p w:rsidR="00A53D7D" w:rsidRPr="005E5444" w:rsidRDefault="00A53D7D" w:rsidP="005140B4">
            <w:pPr>
              <w:pStyle w:val="OGHeading2"/>
              <w:rPr>
                <w:lang w:eastAsia="en-AU"/>
              </w:rPr>
            </w:pPr>
            <w:r w:rsidRPr="00FC6896">
              <w:rPr>
                <w:lang w:eastAsia="en-AU"/>
              </w:rPr>
              <w:t>Dr</w:t>
            </w:r>
            <w:r>
              <w:rPr>
                <w:lang w:eastAsia="en-AU"/>
              </w:rPr>
              <w:t>ug Prevention and Control</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rPr>
                <w:lang w:eastAsia="en-AU"/>
              </w:rPr>
            </w:pPr>
            <w:r w:rsidRPr="00FC6896">
              <w:rPr>
                <w:lang w:eastAsia="en-AU"/>
              </w:rPr>
              <w:t>Encourages all Victorians to minimise the harmful effects of illicit and licit drugs, including alcohol, by providing a comprehensive range of strategies, which focus on enhanced community and professional education, targeted prevention and early intervention, and the us</w:t>
            </w:r>
            <w:r>
              <w:rPr>
                <w:lang w:eastAsia="en-AU"/>
              </w:rPr>
              <w:t>e of effective regulation.</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tcPr>
          <w:p w:rsidR="00A53D7D" w:rsidRPr="00EE2C26" w:rsidRDefault="00A53D7D" w:rsidP="005140B4">
            <w:pPr>
              <w:pStyle w:val="OGTabText"/>
              <w:rPr>
                <w:lang w:eastAsia="en-AU"/>
              </w:rPr>
            </w:pPr>
            <w:r w:rsidRPr="00EE2C26">
              <w:rPr>
                <w:lang w:eastAsia="en-AU"/>
              </w:rPr>
              <w:t>Co</w:t>
            </w:r>
            <w:r>
              <w:rPr>
                <w:lang w:eastAsia="en-AU"/>
              </w:rPr>
              <w:t>ntacts through Family Drug Help</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5 000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5 200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5 000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5 801</w:t>
            </w:r>
          </w:p>
        </w:tc>
      </w:tr>
      <w:tr w:rsidR="00A53D7D" w:rsidRPr="005E5444" w:rsidTr="005140B4">
        <w:trPr>
          <w:cantSplit/>
        </w:trPr>
        <w:tc>
          <w:tcPr>
            <w:tcW w:w="3155" w:type="dxa"/>
            <w:tcBorders>
              <w:top w:val="single" w:sz="6" w:space="0" w:color="auto"/>
              <w:left w:val="nil"/>
              <w:bottom w:val="nil"/>
              <w:right w:val="nil"/>
            </w:tcBorders>
            <w:shd w:val="clear" w:color="000000" w:fill="FFFFFF"/>
          </w:tcPr>
          <w:p w:rsidR="00A53D7D" w:rsidRPr="005E5444" w:rsidRDefault="00A53D7D" w:rsidP="005140B4">
            <w:pPr>
              <w:pStyle w:val="OGTabText"/>
              <w:rPr>
                <w:lang w:eastAsia="en-AU"/>
              </w:rPr>
            </w:pPr>
            <w:r w:rsidRPr="008F199B">
              <w:rPr>
                <w:lang w:eastAsia="en-AU"/>
              </w:rPr>
              <w:t>Licences and permits issued to health services or businesses for the manufacture, use</w:t>
            </w:r>
            <w:r>
              <w:rPr>
                <w:lang w:eastAsia="en-AU"/>
              </w:rPr>
              <w:t xml:space="preserve"> or supply of drugs and poisons</w:t>
            </w:r>
          </w:p>
        </w:tc>
        <w:tc>
          <w:tcPr>
            <w:tcW w:w="907" w:type="dxa"/>
            <w:tcBorders>
              <w:top w:val="single" w:sz="6" w:space="0" w:color="auto"/>
              <w:left w:val="nil"/>
              <w:bottom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nil"/>
              <w:right w:val="nil"/>
            </w:tcBorders>
            <w:shd w:val="clear" w:color="auto" w:fill="D9D9D9"/>
          </w:tcPr>
          <w:p w:rsidR="00A53D7D" w:rsidRPr="005E5444" w:rsidRDefault="00A53D7D" w:rsidP="005140B4">
            <w:pPr>
              <w:pStyle w:val="OGTableofFigures"/>
              <w:rPr>
                <w:lang w:eastAsia="en-AU"/>
              </w:rPr>
            </w:pPr>
            <w:r>
              <w:rPr>
                <w:lang w:eastAsia="en-AU"/>
              </w:rPr>
              <w:t>1 425</w:t>
            </w:r>
          </w:p>
        </w:tc>
        <w:tc>
          <w:tcPr>
            <w:tcW w:w="993" w:type="dxa"/>
            <w:tcBorders>
              <w:top w:val="single" w:sz="6" w:space="0" w:color="auto"/>
              <w:left w:val="nil"/>
              <w:bottom w:val="nil"/>
              <w:right w:val="nil"/>
            </w:tcBorders>
            <w:shd w:val="clear" w:color="000000" w:fill="FFFFFF"/>
          </w:tcPr>
          <w:p w:rsidR="00A53D7D" w:rsidRPr="005E5444" w:rsidRDefault="00A53D7D" w:rsidP="005140B4">
            <w:pPr>
              <w:pStyle w:val="OGTableofFigures"/>
              <w:rPr>
                <w:lang w:eastAsia="en-AU"/>
              </w:rPr>
            </w:pPr>
            <w:r>
              <w:rPr>
                <w:lang w:eastAsia="en-AU"/>
              </w:rPr>
              <w:t>1 425</w:t>
            </w:r>
          </w:p>
        </w:tc>
        <w:tc>
          <w:tcPr>
            <w:tcW w:w="907" w:type="dxa"/>
            <w:tcBorders>
              <w:top w:val="single" w:sz="6" w:space="0" w:color="auto"/>
              <w:left w:val="nil"/>
              <w:bottom w:val="nil"/>
              <w:right w:val="nil"/>
            </w:tcBorders>
            <w:shd w:val="clear" w:color="000000" w:fill="FFFFFF"/>
          </w:tcPr>
          <w:p w:rsidR="00A53D7D" w:rsidRPr="005E5444" w:rsidRDefault="00A53D7D" w:rsidP="005140B4">
            <w:pPr>
              <w:pStyle w:val="OGTableofFigures"/>
              <w:rPr>
                <w:lang w:eastAsia="en-AU"/>
              </w:rPr>
            </w:pPr>
            <w:r>
              <w:rPr>
                <w:lang w:eastAsia="en-AU"/>
              </w:rPr>
              <w:t>1 380</w:t>
            </w:r>
          </w:p>
        </w:tc>
        <w:tc>
          <w:tcPr>
            <w:tcW w:w="907" w:type="dxa"/>
            <w:tcBorders>
              <w:top w:val="single" w:sz="6" w:space="0" w:color="auto"/>
              <w:left w:val="nil"/>
              <w:bottom w:val="nil"/>
              <w:right w:val="nil"/>
            </w:tcBorders>
            <w:shd w:val="clear" w:color="000000" w:fill="FFFFFF"/>
          </w:tcPr>
          <w:p w:rsidR="00A53D7D" w:rsidRPr="005E5444" w:rsidRDefault="00A53D7D" w:rsidP="005140B4">
            <w:pPr>
              <w:pStyle w:val="OGTableofFigures"/>
              <w:rPr>
                <w:lang w:eastAsia="en-AU"/>
              </w:rPr>
            </w:pPr>
            <w:r>
              <w:rPr>
                <w:lang w:eastAsia="en-AU"/>
              </w:rPr>
              <w:t>1 375</w:t>
            </w:r>
          </w:p>
        </w:tc>
      </w:tr>
      <w:tr w:rsidR="00A53D7D" w:rsidRPr="005E5444" w:rsidTr="008C197D">
        <w:trPr>
          <w:cantSplit/>
        </w:trPr>
        <w:tc>
          <w:tcPr>
            <w:tcW w:w="7776" w:type="dxa"/>
            <w:gridSpan w:val="6"/>
            <w:tcBorders>
              <w:top w:val="nil"/>
              <w:left w:val="nil"/>
              <w:bottom w:val="single" w:sz="6" w:space="0" w:color="auto"/>
              <w:right w:val="nil"/>
            </w:tcBorders>
            <w:shd w:val="clear" w:color="auto" w:fill="auto"/>
            <w:vAlign w:val="bottom"/>
          </w:tcPr>
          <w:p w:rsidR="00A53D7D" w:rsidRPr="008D528C" w:rsidRDefault="00A53D7D" w:rsidP="005140B4">
            <w:pPr>
              <w:pStyle w:val="OGNotes"/>
            </w:pPr>
            <w:r w:rsidRPr="008F199B">
              <w:t xml:space="preserve">The </w:t>
            </w:r>
            <w:r>
              <w:t xml:space="preserve">higher </w:t>
            </w:r>
            <w:r w:rsidRPr="008F199B">
              <w:t>2014</w:t>
            </w:r>
            <w:r>
              <w:noBreakHyphen/>
            </w:r>
            <w:r w:rsidRPr="008F199B">
              <w:t xml:space="preserve">15 </w:t>
            </w:r>
            <w:r>
              <w:t>target</w:t>
            </w:r>
            <w:r w:rsidRPr="008F199B">
              <w:t xml:space="preserve"> </w:t>
            </w:r>
            <w:r>
              <w:t xml:space="preserve">reflects </w:t>
            </w:r>
            <w:r w:rsidRPr="008F199B">
              <w:t>increased demand.</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F5372F" w:rsidRDefault="00A53D7D" w:rsidP="005140B4">
            <w:pPr>
              <w:pStyle w:val="OGTabText"/>
              <w:rPr>
                <w:lang w:eastAsia="en-AU"/>
              </w:rPr>
            </w:pPr>
            <w:r w:rsidRPr="00F5372F">
              <w:rPr>
                <w:lang w:eastAsia="en-AU"/>
              </w:rPr>
              <w:t>Needles and syringes provided through</w:t>
            </w:r>
            <w:r>
              <w:rPr>
                <w:lang w:eastAsia="en-AU"/>
              </w:rPr>
              <w:t xml:space="preserve"> the Needle and Syringe Program</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 (000)</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8 800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9 200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8 800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8 935</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Text"/>
              <w:rPr>
                <w:lang w:eastAsia="en-AU"/>
              </w:rPr>
            </w:pPr>
            <w:r w:rsidRPr="00836E11">
              <w:rPr>
                <w:lang w:eastAsia="en-AU"/>
              </w:rPr>
              <w:t>Number of telephone, email, website contacts and in person responses to queries and requests for information on alcohol and drug issues (through the Australian Drug Foundation)</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450 000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450 000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450 000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3 991</w:t>
            </w:r>
          </w:p>
        </w:tc>
      </w:tr>
      <w:tr w:rsidR="00A53D7D" w:rsidRPr="005E5444" w:rsidTr="008C197D">
        <w:trPr>
          <w:cantSplit/>
        </w:trPr>
        <w:tc>
          <w:tcPr>
            <w:tcW w:w="3155" w:type="dxa"/>
            <w:tcBorders>
              <w:top w:val="single" w:sz="6" w:space="0" w:color="auto"/>
              <w:left w:val="nil"/>
              <w:right w:val="nil"/>
            </w:tcBorders>
            <w:shd w:val="clear" w:color="000000" w:fill="FFFFFF"/>
          </w:tcPr>
          <w:p w:rsidR="00A53D7D" w:rsidRPr="007F59EF" w:rsidRDefault="00A53D7D" w:rsidP="005140B4">
            <w:pPr>
              <w:pStyle w:val="OGTabText"/>
              <w:rPr>
                <w:lang w:eastAsia="en-AU"/>
              </w:rPr>
            </w:pPr>
            <w:r w:rsidRPr="007F59EF">
              <w:rPr>
                <w:lang w:eastAsia="en-AU"/>
              </w:rPr>
              <w:t>Treatment permits issued to medical practitioners or nurse practitioners to prescribe Schedule 8 d</w:t>
            </w:r>
            <w:r>
              <w:rPr>
                <w:lang w:eastAsia="en-AU"/>
              </w:rPr>
              <w:t>rugs, including pharmacotherapy</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54 000</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54 340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40 700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38 789</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rsidRPr="005B5E5F">
              <w:t>The 2013</w:t>
            </w:r>
            <w:r>
              <w:noBreakHyphen/>
            </w:r>
            <w:r w:rsidRPr="005B5E5F">
              <w:t xml:space="preserve">14 </w:t>
            </w:r>
            <w:r>
              <w:t>expected outcome</w:t>
            </w:r>
            <w:r w:rsidRPr="005B5E5F">
              <w:t xml:space="preserve"> is higher than the 2013</w:t>
            </w:r>
            <w:r>
              <w:noBreakHyphen/>
            </w:r>
            <w:r w:rsidRPr="005B5E5F">
              <w:t xml:space="preserve">14 </w:t>
            </w:r>
            <w:r>
              <w:t>target</w:t>
            </w:r>
            <w:r w:rsidRPr="005B5E5F">
              <w:t xml:space="preserve"> due to the greater number of applications received from prescribers for permits. </w:t>
            </w:r>
          </w:p>
          <w:p w:rsidR="00A53D7D" w:rsidRPr="005B5E5F" w:rsidRDefault="00A53D7D" w:rsidP="005140B4">
            <w:pPr>
              <w:pStyle w:val="OGNotes"/>
            </w:pPr>
            <w:r w:rsidRPr="005B5E5F">
              <w:t>The higher 2014</w:t>
            </w:r>
            <w:r>
              <w:noBreakHyphen/>
            </w:r>
            <w:r w:rsidRPr="005B5E5F">
              <w:t xml:space="preserve">15 </w:t>
            </w:r>
            <w:r>
              <w:t>target</w:t>
            </w:r>
            <w:r w:rsidRPr="005B5E5F">
              <w:t xml:space="preserve"> reflects the effect of increased deman</w:t>
            </w:r>
            <w:r>
              <w:t>d from prescribers for permits.</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tcPr>
          <w:p w:rsidR="00A53D7D" w:rsidRPr="005E5444" w:rsidRDefault="00A53D7D" w:rsidP="005140B4">
            <w:pPr>
              <w:pStyle w:val="OGTabText"/>
              <w:rPr>
                <w:lang w:eastAsia="en-AU"/>
              </w:rPr>
            </w:pPr>
            <w:r w:rsidRPr="007B08EB">
              <w:rPr>
                <w:lang w:eastAsia="en-AU"/>
              </w:rPr>
              <w:t>Pharmacotherapy permits processed within designated timeframe</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100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97</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96</w:t>
            </w:r>
          </w:p>
        </w:tc>
      </w:tr>
      <w:tr w:rsidR="00A53D7D" w:rsidRPr="005E5444" w:rsidTr="005140B4">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keepNext/>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keepNext/>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keepNext/>
              <w:rPr>
                <w:lang w:eastAsia="en-AU"/>
              </w:rPr>
            </w:pPr>
          </w:p>
        </w:tc>
      </w:tr>
      <w:tr w:rsidR="00A53D7D" w:rsidRPr="005E5444" w:rsidTr="008C197D">
        <w:trPr>
          <w:cantSplit/>
        </w:trPr>
        <w:tc>
          <w:tcPr>
            <w:tcW w:w="3155" w:type="dxa"/>
            <w:tcBorders>
              <w:left w:val="nil"/>
              <w:right w:val="nil"/>
            </w:tcBorders>
            <w:shd w:val="clear" w:color="auto" w:fill="auto"/>
            <w:vAlign w:val="bottom"/>
            <w:hideMark/>
          </w:tcPr>
          <w:p w:rsidR="00A53D7D" w:rsidRPr="005E5444" w:rsidRDefault="00A53D7D" w:rsidP="005140B4">
            <w:pPr>
              <w:pStyle w:val="OGTabText"/>
              <w:keepNext/>
              <w:rPr>
                <w:lang w:eastAsia="en-AU"/>
              </w:rPr>
            </w:pPr>
            <w:r>
              <w:rPr>
                <w:lang w:eastAsia="en-AU"/>
              </w:rPr>
              <w:t>Total output cost</w:t>
            </w:r>
          </w:p>
        </w:tc>
        <w:tc>
          <w:tcPr>
            <w:tcW w:w="907" w:type="dxa"/>
            <w:tcBorders>
              <w:left w:val="nil"/>
              <w:right w:val="nil"/>
            </w:tcBorders>
            <w:shd w:val="clear" w:color="auto" w:fill="auto"/>
            <w:vAlign w:val="bottom"/>
            <w:hideMark/>
          </w:tcPr>
          <w:p w:rsidR="00A53D7D" w:rsidRPr="005E5444" w:rsidRDefault="00A53D7D" w:rsidP="005140B4">
            <w:pPr>
              <w:pStyle w:val="OGUoM"/>
              <w:keepNext/>
              <w:rPr>
                <w:lang w:eastAsia="en-AU"/>
              </w:rPr>
            </w:pPr>
            <w:r>
              <w:rPr>
                <w:lang w:eastAsia="en-AU"/>
              </w:rPr>
              <w:t>$ million</w:t>
            </w:r>
          </w:p>
        </w:tc>
        <w:tc>
          <w:tcPr>
            <w:tcW w:w="907" w:type="dxa"/>
            <w:tcBorders>
              <w:left w:val="nil"/>
              <w:right w:val="nil"/>
            </w:tcBorders>
            <w:shd w:val="clear" w:color="auto" w:fill="D9D9D9"/>
            <w:hideMark/>
          </w:tcPr>
          <w:p w:rsidR="00A53D7D" w:rsidRPr="002D55F8" w:rsidRDefault="00A53D7D" w:rsidP="005140B4">
            <w:pPr>
              <w:pStyle w:val="OGUoM"/>
              <w:keepNext/>
              <w:jc w:val="right"/>
              <w:rPr>
                <w:lang w:eastAsia="en-AU"/>
              </w:rPr>
            </w:pPr>
            <w:r w:rsidRPr="002D55F8">
              <w:rPr>
                <w:lang w:eastAsia="en-AU"/>
              </w:rPr>
              <w:t>28.6</w:t>
            </w:r>
          </w:p>
        </w:tc>
        <w:tc>
          <w:tcPr>
            <w:tcW w:w="993" w:type="dxa"/>
            <w:tcBorders>
              <w:left w:val="nil"/>
              <w:right w:val="nil"/>
            </w:tcBorders>
            <w:shd w:val="clear" w:color="auto" w:fill="auto"/>
            <w:hideMark/>
          </w:tcPr>
          <w:p w:rsidR="00A53D7D" w:rsidRPr="002D55F8" w:rsidRDefault="00A53D7D" w:rsidP="005140B4">
            <w:pPr>
              <w:pStyle w:val="OGUoM"/>
              <w:keepNext/>
              <w:jc w:val="right"/>
              <w:rPr>
                <w:lang w:eastAsia="en-AU"/>
              </w:rPr>
            </w:pPr>
            <w:r w:rsidRPr="002D55F8">
              <w:rPr>
                <w:lang w:eastAsia="en-AU"/>
              </w:rPr>
              <w:t>28.1</w:t>
            </w:r>
          </w:p>
        </w:tc>
        <w:tc>
          <w:tcPr>
            <w:tcW w:w="907" w:type="dxa"/>
            <w:tcBorders>
              <w:left w:val="nil"/>
              <w:right w:val="nil"/>
            </w:tcBorders>
            <w:shd w:val="clear" w:color="auto" w:fill="auto"/>
            <w:hideMark/>
          </w:tcPr>
          <w:p w:rsidR="00A53D7D" w:rsidRPr="002D55F8" w:rsidRDefault="00A53D7D" w:rsidP="005140B4">
            <w:pPr>
              <w:pStyle w:val="OGUoM"/>
              <w:keepNext/>
              <w:jc w:val="right"/>
              <w:rPr>
                <w:lang w:eastAsia="en-AU"/>
              </w:rPr>
            </w:pPr>
            <w:r w:rsidRPr="002D55F8">
              <w:rPr>
                <w:lang w:eastAsia="en-AU"/>
              </w:rPr>
              <w:t>28.1</w:t>
            </w:r>
          </w:p>
        </w:tc>
        <w:tc>
          <w:tcPr>
            <w:tcW w:w="907" w:type="dxa"/>
            <w:tcBorders>
              <w:left w:val="nil"/>
              <w:right w:val="nil"/>
            </w:tcBorders>
            <w:shd w:val="clear" w:color="auto" w:fill="auto"/>
            <w:hideMark/>
          </w:tcPr>
          <w:p w:rsidR="00A53D7D" w:rsidRPr="002D55F8" w:rsidRDefault="00A53D7D" w:rsidP="005140B4">
            <w:pPr>
              <w:pStyle w:val="OGUoM"/>
              <w:keepNext/>
              <w:jc w:val="right"/>
              <w:rPr>
                <w:lang w:eastAsia="en-AU"/>
              </w:rPr>
            </w:pPr>
            <w:r w:rsidRPr="002D55F8">
              <w:rPr>
                <w:lang w:eastAsia="en-AU"/>
              </w:rPr>
              <w:t>28.4</w:t>
            </w:r>
          </w:p>
        </w:tc>
      </w:tr>
      <w:tr w:rsidR="00A53D7D" w:rsidRPr="005E5444" w:rsidTr="005140B4">
        <w:trPr>
          <w:cantSplit/>
        </w:trPr>
        <w:tc>
          <w:tcPr>
            <w:tcW w:w="7776" w:type="dxa"/>
            <w:gridSpan w:val="6"/>
            <w:tcBorders>
              <w:left w:val="nil"/>
              <w:bottom w:val="single" w:sz="6" w:space="0" w:color="auto"/>
              <w:right w:val="nil"/>
            </w:tcBorders>
            <w:shd w:val="clear" w:color="auto" w:fill="auto"/>
            <w:vAlign w:val="bottom"/>
          </w:tcPr>
          <w:p w:rsidR="00A53D7D" w:rsidRPr="002D55F8" w:rsidRDefault="00A53D7D" w:rsidP="005140B4">
            <w:pPr>
              <w:pStyle w:val="OGNotes"/>
            </w:pPr>
            <w:r>
              <w:t>The higher 2014</w:t>
            </w:r>
            <w:r>
              <w:noBreakHyphen/>
              <w:t xml:space="preserve">15 target reflects changes in the attribution of overheads and the impact of the social and community services pay equity case. </w:t>
            </w:r>
          </w:p>
        </w:tc>
      </w:tr>
      <w:tr w:rsidR="00A53D7D" w:rsidRPr="005E5444" w:rsidTr="008C197D">
        <w:trPr>
          <w:cantSplit/>
        </w:trPr>
        <w:tc>
          <w:tcPr>
            <w:tcW w:w="7776" w:type="dxa"/>
            <w:gridSpan w:val="6"/>
            <w:tcBorders>
              <w:top w:val="single" w:sz="6" w:space="0" w:color="auto"/>
              <w:left w:val="nil"/>
              <w:right w:val="nil"/>
            </w:tcBorders>
            <w:shd w:val="clear" w:color="auto" w:fill="auto"/>
            <w:vAlign w:val="bottom"/>
          </w:tcPr>
          <w:p w:rsidR="00A53D7D" w:rsidRPr="005E5444" w:rsidRDefault="00A53D7D" w:rsidP="005140B4">
            <w:pPr>
              <w:pStyle w:val="OGHeading2"/>
              <w:rPr>
                <w:lang w:eastAsia="en-AU"/>
              </w:rPr>
            </w:pPr>
            <w:r w:rsidRPr="00E85EB6">
              <w:rPr>
                <w:lang w:eastAsia="en-AU"/>
              </w:rPr>
              <w:t>Drug Tre</w:t>
            </w:r>
            <w:r>
              <w:rPr>
                <w:lang w:eastAsia="en-AU"/>
              </w:rPr>
              <w:t>atment and Rehabilitation</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5E5444" w:rsidRDefault="00A53D7D" w:rsidP="005140B4">
            <w:pPr>
              <w:pStyle w:val="OGText"/>
              <w:rPr>
                <w:lang w:eastAsia="en-AU"/>
              </w:rPr>
            </w:pPr>
            <w:r w:rsidRPr="00E85EB6">
              <w:rPr>
                <w:lang w:eastAsia="en-AU"/>
              </w:rPr>
              <w:t>Assists the community and individuals to control and reduce the harmful effects of illicit and licit drugs, including alcohol, in Victoria through the provision of comm</w:t>
            </w:r>
            <w:r>
              <w:rPr>
                <w:lang w:eastAsia="en-AU"/>
              </w:rPr>
              <w:t>unity</w:t>
            </w:r>
            <w:r>
              <w:rPr>
                <w:lang w:eastAsia="en-AU"/>
              </w:rPr>
              <w:noBreakHyphen/>
              <w:t>based non</w:t>
            </w:r>
            <w:r>
              <w:rPr>
                <w:lang w:eastAsia="en-AU"/>
              </w:rPr>
              <w:noBreakHyphen/>
            </w:r>
            <w:r w:rsidRPr="00E85EB6">
              <w:rPr>
                <w:lang w:eastAsia="en-AU"/>
              </w:rPr>
              <w:t>residential and residential treatment services, education and train</w:t>
            </w:r>
            <w:r>
              <w:rPr>
                <w:lang w:eastAsia="en-AU"/>
              </w:rPr>
              <w:t>ing, and support services.</w:t>
            </w:r>
          </w:p>
        </w:tc>
      </w:tr>
      <w:tr w:rsidR="00A53D7D" w:rsidRPr="005E5444" w:rsidTr="005140B4">
        <w:trPr>
          <w:cantSplit/>
        </w:trPr>
        <w:tc>
          <w:tcPr>
            <w:tcW w:w="3155"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Head"/>
              <w:rPr>
                <w:lang w:eastAsia="en-AU"/>
              </w:rPr>
            </w:pPr>
            <w:r w:rsidRPr="005E5444">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right w:val="nil"/>
            </w:tcBorders>
            <w:shd w:val="clear" w:color="000000" w:fill="FFFFFF"/>
          </w:tcPr>
          <w:p w:rsidR="00A53D7D" w:rsidRPr="00B95894" w:rsidRDefault="00A53D7D" w:rsidP="005140B4">
            <w:pPr>
              <w:pStyle w:val="OGTabText"/>
              <w:rPr>
                <w:lang w:eastAsia="en-AU"/>
              </w:rPr>
            </w:pPr>
            <w:r w:rsidRPr="00B95894">
              <w:rPr>
                <w:lang w:eastAsia="en-AU"/>
              </w:rPr>
              <w:t>Clients</w:t>
            </w:r>
            <w:r>
              <w:rPr>
                <w:lang w:eastAsia="en-AU"/>
              </w:rPr>
              <w:t xml:space="preserve"> on the pharmacotherapy program</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14 000</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14 000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13 000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13 997</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Default="00A53D7D" w:rsidP="005140B4">
            <w:pPr>
              <w:pStyle w:val="OGNotes"/>
            </w:pPr>
            <w:r w:rsidRPr="00B95894">
              <w:t>The 2013</w:t>
            </w:r>
            <w:r>
              <w:noBreakHyphen/>
            </w:r>
            <w:r w:rsidRPr="00B95894">
              <w:t xml:space="preserve">14 </w:t>
            </w:r>
            <w:r>
              <w:t>expected outcome</w:t>
            </w:r>
            <w:r w:rsidRPr="00B95894">
              <w:t xml:space="preserve"> is higher tha</w:t>
            </w:r>
            <w:r>
              <w:t>n</w:t>
            </w:r>
            <w:r w:rsidRPr="00B95894">
              <w:t xml:space="preserve"> the 2013</w:t>
            </w:r>
            <w:r>
              <w:noBreakHyphen/>
            </w:r>
            <w:r w:rsidRPr="00B95894">
              <w:t xml:space="preserve">14 </w:t>
            </w:r>
            <w:r>
              <w:t>target due to increased demand.</w:t>
            </w:r>
            <w:r w:rsidRPr="00B95894">
              <w:t xml:space="preserve"> </w:t>
            </w:r>
          </w:p>
          <w:p w:rsidR="00A53D7D" w:rsidRPr="00B95894" w:rsidRDefault="00A53D7D" w:rsidP="005140B4">
            <w:pPr>
              <w:pStyle w:val="OGNotes"/>
            </w:pPr>
            <w:r w:rsidRPr="00B95894">
              <w:t>The higher 2014</w:t>
            </w:r>
            <w:r>
              <w:noBreakHyphen/>
            </w:r>
            <w:r w:rsidRPr="00B95894">
              <w:t xml:space="preserve">15 </w:t>
            </w:r>
            <w:r>
              <w:t>target</w:t>
            </w:r>
            <w:r w:rsidRPr="00B95894">
              <w:t xml:space="preserve"> reflects the effect of pharmacothera</w:t>
            </w:r>
            <w:r>
              <w:t>py reforms implemented in 2014.</w:t>
            </w:r>
          </w:p>
        </w:tc>
      </w:tr>
      <w:tr w:rsidR="00A53D7D" w:rsidRPr="005E5444" w:rsidTr="008C197D">
        <w:trPr>
          <w:cantSplit/>
        </w:trPr>
        <w:tc>
          <w:tcPr>
            <w:tcW w:w="3155" w:type="dxa"/>
            <w:tcBorders>
              <w:top w:val="nil"/>
              <w:left w:val="nil"/>
              <w:right w:val="nil"/>
            </w:tcBorders>
            <w:shd w:val="clear" w:color="000000" w:fill="FFFFFF"/>
          </w:tcPr>
          <w:p w:rsidR="00A53D7D" w:rsidRPr="00FB6DB7" w:rsidRDefault="00A53D7D" w:rsidP="005140B4">
            <w:pPr>
              <w:pStyle w:val="OGTabText"/>
              <w:rPr>
                <w:lang w:eastAsia="en-AU"/>
              </w:rPr>
            </w:pPr>
            <w:r w:rsidRPr="00FB6DB7">
              <w:rPr>
                <w:lang w:eastAsia="en-AU"/>
              </w:rPr>
              <w:t>Commenced courses of treatment: communit</w:t>
            </w:r>
            <w:r>
              <w:rPr>
                <w:lang w:eastAsia="en-AU"/>
              </w:rPr>
              <w:t>y</w:t>
            </w:r>
            <w:r>
              <w:rPr>
                <w:lang w:eastAsia="en-AU"/>
              </w:rPr>
              <w:noBreakHyphen/>
              <w:t>based drug treatment services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6 455</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44 000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37 905</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50 942</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DF33E9" w:rsidRDefault="00A53D7D" w:rsidP="005140B4">
            <w:pPr>
              <w:pStyle w:val="OGNotes"/>
            </w:pPr>
            <w:r w:rsidRPr="00DF33E9">
              <w:t>The lower 2014</w:t>
            </w:r>
            <w:r>
              <w:noBreakHyphen/>
            </w:r>
            <w:r w:rsidRPr="00DF33E9">
              <w:t xml:space="preserve">15 </w:t>
            </w:r>
            <w:r>
              <w:t>target</w:t>
            </w:r>
            <w:r w:rsidRPr="00DF33E9">
              <w:t xml:space="preserve"> reflects the effect of introduci</w:t>
            </w:r>
            <w:r>
              <w:t>ng the new performance measure ‘</w:t>
            </w:r>
            <w:r w:rsidRPr="00DF33E9">
              <w:t>Number o</w:t>
            </w:r>
            <w:r>
              <w:t>f Drug Treatment Activity Units’</w:t>
            </w:r>
            <w:r w:rsidRPr="00DF33E9">
              <w:t xml:space="preserve"> as part of changes in th</w:t>
            </w:r>
            <w:r>
              <w:t>e Drug treatment funding model, which now reflects activity previously picked up in this measure.</w:t>
            </w:r>
          </w:p>
        </w:tc>
      </w:tr>
      <w:tr w:rsidR="00A53D7D" w:rsidRPr="005E5444" w:rsidTr="008C197D">
        <w:trPr>
          <w:cantSplit/>
        </w:trPr>
        <w:tc>
          <w:tcPr>
            <w:tcW w:w="3155" w:type="dxa"/>
            <w:tcBorders>
              <w:top w:val="nil"/>
              <w:left w:val="nil"/>
              <w:right w:val="nil"/>
            </w:tcBorders>
            <w:shd w:val="clear" w:color="000000" w:fill="FFFFFF"/>
          </w:tcPr>
          <w:p w:rsidR="00A53D7D" w:rsidRPr="00C41035" w:rsidRDefault="00A53D7D" w:rsidP="005140B4">
            <w:pPr>
              <w:pStyle w:val="OGTabText"/>
              <w:rPr>
                <w:lang w:eastAsia="en-AU"/>
              </w:rPr>
            </w:pPr>
            <w:r w:rsidRPr="00C41035">
              <w:rPr>
                <w:lang w:eastAsia="en-AU"/>
              </w:rPr>
              <w:t>Commenced courses of treatment: residentia</w:t>
            </w:r>
            <w:r>
              <w:rPr>
                <w:lang w:eastAsia="en-AU"/>
              </w:rPr>
              <w:t>l</w:t>
            </w:r>
            <w:r>
              <w:rPr>
                <w:lang w:eastAsia="en-AU"/>
              </w:rPr>
              <w:noBreakHyphen/>
              <w:t>based drug treatment services</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right w:val="nil"/>
            </w:tcBorders>
            <w:shd w:val="clear" w:color="auto" w:fill="D9D9D9"/>
          </w:tcPr>
          <w:p w:rsidR="00A53D7D" w:rsidRPr="005E5444" w:rsidRDefault="00A53D7D" w:rsidP="005140B4">
            <w:pPr>
              <w:pStyle w:val="OGTableofFigures"/>
              <w:rPr>
                <w:lang w:eastAsia="en-AU"/>
              </w:rPr>
            </w:pPr>
            <w:r>
              <w:rPr>
                <w:lang w:eastAsia="en-AU"/>
              </w:rPr>
              <w:t>6 062</w:t>
            </w:r>
          </w:p>
        </w:tc>
        <w:tc>
          <w:tcPr>
            <w:tcW w:w="993"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6 500</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6 062</w:t>
            </w:r>
          </w:p>
        </w:tc>
        <w:tc>
          <w:tcPr>
            <w:tcW w:w="907" w:type="dxa"/>
            <w:tcBorders>
              <w:top w:val="nil"/>
              <w:left w:val="nil"/>
              <w:right w:val="nil"/>
            </w:tcBorders>
            <w:shd w:val="clear" w:color="000000" w:fill="FFFFFF"/>
          </w:tcPr>
          <w:p w:rsidR="00A53D7D" w:rsidRPr="005E5444" w:rsidRDefault="00A53D7D" w:rsidP="005140B4">
            <w:pPr>
              <w:pStyle w:val="OGTableofFigures"/>
              <w:rPr>
                <w:lang w:eastAsia="en-AU"/>
              </w:rPr>
            </w:pPr>
            <w:r>
              <w:rPr>
                <w:lang w:eastAsia="en-AU"/>
              </w:rPr>
              <w:t>5 968</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0C56A3" w:rsidRDefault="00A53D7D" w:rsidP="005140B4">
            <w:pPr>
              <w:pStyle w:val="OGNotes"/>
            </w:pPr>
            <w:r w:rsidRPr="000C56A3">
              <w:t>The 2013</w:t>
            </w:r>
            <w:r>
              <w:noBreakHyphen/>
            </w:r>
            <w:r w:rsidRPr="000C56A3">
              <w:t xml:space="preserve">14 </w:t>
            </w:r>
            <w:r>
              <w:t>expected outcome</w:t>
            </w:r>
            <w:r w:rsidRPr="000C56A3">
              <w:t xml:space="preserve"> is higher than the 2013</w:t>
            </w:r>
            <w:r>
              <w:noBreakHyphen/>
            </w:r>
            <w:r w:rsidRPr="000C56A3">
              <w:t xml:space="preserve">14 </w:t>
            </w:r>
            <w:r>
              <w:t>target</w:t>
            </w:r>
            <w:r w:rsidRPr="000C56A3">
              <w:t xml:space="preserve"> </w:t>
            </w:r>
            <w:r>
              <w:t xml:space="preserve">due to </w:t>
            </w:r>
            <w:r w:rsidRPr="000C56A3">
              <w:t>an increase in demand for resid</w:t>
            </w:r>
            <w:r>
              <w:t>ential drug treatment services.</w:t>
            </w:r>
          </w:p>
        </w:tc>
      </w:tr>
      <w:tr w:rsidR="00A53D7D" w:rsidRPr="005E5444" w:rsidTr="005140B4">
        <w:trPr>
          <w:cantSplit/>
        </w:trPr>
        <w:tc>
          <w:tcPr>
            <w:tcW w:w="3155" w:type="dxa"/>
            <w:tcBorders>
              <w:top w:val="nil"/>
              <w:left w:val="nil"/>
              <w:bottom w:val="nil"/>
              <w:right w:val="nil"/>
            </w:tcBorders>
            <w:shd w:val="clear" w:color="000000" w:fill="FFFFFF"/>
          </w:tcPr>
          <w:p w:rsidR="00A53D7D" w:rsidRPr="00EE2C26" w:rsidRDefault="00A53D7D" w:rsidP="005140B4">
            <w:pPr>
              <w:pStyle w:val="OGTabText"/>
              <w:rPr>
                <w:lang w:eastAsia="en-AU"/>
              </w:rPr>
            </w:pPr>
            <w:r w:rsidRPr="000C56A3">
              <w:rPr>
                <w:lang w:eastAsia="en-AU"/>
              </w:rPr>
              <w:t>Number of Drug Treatment Activity Units (DTAUs)</w:t>
            </w:r>
          </w:p>
        </w:tc>
        <w:tc>
          <w:tcPr>
            <w:tcW w:w="907" w:type="dxa"/>
            <w:tcBorders>
              <w:top w:val="nil"/>
              <w:left w:val="nil"/>
              <w:bottom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nil"/>
              <w:left w:val="nil"/>
              <w:bottom w:val="nil"/>
              <w:right w:val="nil"/>
            </w:tcBorders>
            <w:shd w:val="clear" w:color="auto" w:fill="D9D9D9"/>
          </w:tcPr>
          <w:p w:rsidR="00A53D7D" w:rsidRPr="005E5444" w:rsidRDefault="00A53D7D" w:rsidP="005140B4">
            <w:pPr>
              <w:pStyle w:val="OGTableofFigures"/>
              <w:rPr>
                <w:lang w:eastAsia="en-AU"/>
              </w:rPr>
            </w:pPr>
            <w:r>
              <w:rPr>
                <w:lang w:eastAsia="en-AU"/>
              </w:rPr>
              <w:t>67 394</w:t>
            </w:r>
          </w:p>
        </w:tc>
        <w:tc>
          <w:tcPr>
            <w:tcW w:w="993" w:type="dxa"/>
            <w:tcBorders>
              <w:top w:val="nil"/>
              <w:left w:val="nil"/>
              <w:bottom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bottom w:val="nil"/>
              <w:right w:val="nil"/>
            </w:tcBorders>
            <w:shd w:val="clear" w:color="000000" w:fill="FFFFFF"/>
          </w:tcPr>
          <w:p w:rsidR="00A53D7D" w:rsidRPr="005E5444" w:rsidRDefault="00A53D7D" w:rsidP="005140B4">
            <w:pPr>
              <w:pStyle w:val="OGTableofFigures"/>
              <w:rPr>
                <w:lang w:eastAsia="en-AU"/>
              </w:rPr>
            </w:pPr>
            <w:r>
              <w:rPr>
                <w:lang w:eastAsia="en-AU"/>
              </w:rPr>
              <w:t>nm</w:t>
            </w:r>
          </w:p>
        </w:tc>
        <w:tc>
          <w:tcPr>
            <w:tcW w:w="907" w:type="dxa"/>
            <w:tcBorders>
              <w:top w:val="nil"/>
              <w:left w:val="nil"/>
              <w:bottom w:val="nil"/>
              <w:right w:val="nil"/>
            </w:tcBorders>
            <w:shd w:val="clear" w:color="000000" w:fill="FFFFFF"/>
          </w:tcPr>
          <w:p w:rsidR="00A53D7D" w:rsidRPr="005E5444" w:rsidRDefault="00A53D7D" w:rsidP="005140B4">
            <w:pPr>
              <w:pStyle w:val="OGTableofFigures"/>
              <w:rPr>
                <w:lang w:eastAsia="en-AU"/>
              </w:rPr>
            </w:pPr>
            <w:r>
              <w:rPr>
                <w:lang w:eastAsia="en-AU"/>
              </w:rPr>
              <w:t>nm</w:t>
            </w:r>
          </w:p>
        </w:tc>
      </w:tr>
      <w:tr w:rsidR="00A53D7D" w:rsidRPr="005E5444" w:rsidTr="008C197D">
        <w:trPr>
          <w:cantSplit/>
        </w:trPr>
        <w:tc>
          <w:tcPr>
            <w:tcW w:w="7776" w:type="dxa"/>
            <w:gridSpan w:val="6"/>
            <w:tcBorders>
              <w:top w:val="nil"/>
              <w:left w:val="nil"/>
              <w:bottom w:val="single" w:sz="6" w:space="0" w:color="auto"/>
              <w:right w:val="nil"/>
            </w:tcBorders>
            <w:shd w:val="clear" w:color="auto" w:fill="auto"/>
            <w:vAlign w:val="bottom"/>
          </w:tcPr>
          <w:p w:rsidR="00A53D7D" w:rsidRPr="008D528C" w:rsidRDefault="00A53D7D" w:rsidP="005140B4">
            <w:pPr>
              <w:pStyle w:val="OGNotes"/>
            </w:pPr>
            <w:r w:rsidRPr="000C56A3">
              <w:t>New performance measure for 2014</w:t>
            </w:r>
            <w:r>
              <w:noBreakHyphen/>
            </w:r>
            <w:r w:rsidRPr="000C56A3">
              <w:t>15 to reflect Government priorities regarding the reform of Drug Treatment Services.</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0C56A3" w:rsidRDefault="00A53D7D" w:rsidP="005140B4">
            <w:pPr>
              <w:pStyle w:val="OGTabText"/>
              <w:rPr>
                <w:lang w:eastAsia="en-AU"/>
              </w:rPr>
            </w:pPr>
            <w:r w:rsidRPr="000C56A3">
              <w:rPr>
                <w:lang w:eastAsia="en-AU"/>
              </w:rPr>
              <w:t>Number of new residential withdrawal clien</w:t>
            </w:r>
            <w:r>
              <w:rPr>
                <w:lang w:eastAsia="en-AU"/>
              </w:rPr>
              <w:t>ts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2 200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2 300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2 200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2 200</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EE2C26" w:rsidRDefault="00A53D7D" w:rsidP="005140B4">
            <w:pPr>
              <w:pStyle w:val="OGTabText"/>
              <w:rPr>
                <w:lang w:eastAsia="en-AU"/>
              </w:rPr>
            </w:pPr>
            <w:r w:rsidRPr="00FD7852">
              <w:rPr>
                <w:lang w:eastAsia="en-AU"/>
              </w:rPr>
              <w:t>Residential bed days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107 310</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107 310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107 310</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176 055</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Quality</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5140B4">
        <w:trPr>
          <w:cantSplit/>
        </w:trPr>
        <w:tc>
          <w:tcPr>
            <w:tcW w:w="3155" w:type="dxa"/>
            <w:tcBorders>
              <w:top w:val="nil"/>
              <w:left w:val="nil"/>
              <w:bottom w:val="single" w:sz="6" w:space="0" w:color="auto"/>
              <w:right w:val="nil"/>
            </w:tcBorders>
            <w:shd w:val="clear" w:color="000000" w:fill="FFFFFF"/>
          </w:tcPr>
          <w:p w:rsidR="00A53D7D" w:rsidRPr="00EE2C26" w:rsidRDefault="00A53D7D" w:rsidP="005140B4">
            <w:pPr>
              <w:pStyle w:val="OGTabText"/>
              <w:rPr>
                <w:lang w:eastAsia="en-AU"/>
              </w:rPr>
            </w:pPr>
            <w:r w:rsidRPr="009D1A41">
              <w:rPr>
                <w:lang w:eastAsia="en-AU"/>
              </w:rPr>
              <w:t>Percentage of new clients to existing clients</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50</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48</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50</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51</w:t>
            </w:r>
          </w:p>
        </w:tc>
      </w:tr>
      <w:tr w:rsidR="00A53D7D" w:rsidRPr="005E5444" w:rsidTr="008C197D">
        <w:trPr>
          <w:cantSplit/>
        </w:trPr>
        <w:tc>
          <w:tcPr>
            <w:tcW w:w="3155" w:type="dxa"/>
            <w:tcBorders>
              <w:top w:val="single" w:sz="6" w:space="0" w:color="auto"/>
              <w:left w:val="nil"/>
              <w:right w:val="nil"/>
            </w:tcBorders>
            <w:shd w:val="clear" w:color="000000" w:fill="FFFFFF"/>
          </w:tcPr>
          <w:p w:rsidR="00A53D7D" w:rsidRPr="009F025B" w:rsidRDefault="00A53D7D" w:rsidP="005140B4">
            <w:pPr>
              <w:pStyle w:val="OGTabText"/>
              <w:rPr>
                <w:lang w:eastAsia="en-AU"/>
              </w:rPr>
            </w:pPr>
            <w:r w:rsidRPr="004272F5">
              <w:rPr>
                <w:lang w:eastAsia="en-AU"/>
              </w:rPr>
              <w:t>Percentage of residential rehabilitation courses of</w:t>
            </w:r>
            <w:r>
              <w:rPr>
                <w:lang w:eastAsia="en-AU"/>
              </w:rPr>
              <w:t xml:space="preserve"> treatment greater than 65 days</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50</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40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50</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50</w:t>
            </w:r>
          </w:p>
        </w:tc>
      </w:tr>
      <w:tr w:rsidR="00A53D7D" w:rsidRPr="005E5444" w:rsidTr="005140B4">
        <w:trPr>
          <w:cantSplit/>
        </w:trPr>
        <w:tc>
          <w:tcPr>
            <w:tcW w:w="7776" w:type="dxa"/>
            <w:gridSpan w:val="6"/>
            <w:tcBorders>
              <w:left w:val="nil"/>
              <w:bottom w:val="single" w:sz="6" w:space="0" w:color="auto"/>
              <w:right w:val="nil"/>
            </w:tcBorders>
            <w:shd w:val="clear" w:color="000000" w:fill="FFFFFF"/>
          </w:tcPr>
          <w:p w:rsidR="00A53D7D" w:rsidRDefault="00A53D7D" w:rsidP="005140B4">
            <w:pPr>
              <w:pStyle w:val="OGNotes"/>
            </w:pPr>
            <w:r w:rsidRPr="007F2FAC">
              <w:t>The 2013</w:t>
            </w:r>
            <w:r>
              <w:noBreakHyphen/>
            </w:r>
            <w:r w:rsidRPr="007F2FAC">
              <w:t xml:space="preserve">14 </w:t>
            </w:r>
            <w:r>
              <w:t>expected outcome is lower than the 2013</w:t>
            </w:r>
            <w:r>
              <w:noBreakHyphen/>
              <w:t xml:space="preserve">14 target </w:t>
            </w:r>
            <w:r w:rsidRPr="007F2FAC">
              <w:t xml:space="preserve">due to a recent downward trend in the number of clients engaging in residential rehabilitation for greater than 65 days. </w:t>
            </w:r>
            <w:r w:rsidR="00D418A8">
              <w:t>T</w:t>
            </w:r>
            <w:r>
              <w:t>arget</w:t>
            </w:r>
            <w:r w:rsidRPr="007F2FAC">
              <w:t>s for duration of stay and the appropriateness of models of care are being considered as part of residential treatment reforms.</w:t>
            </w:r>
          </w:p>
        </w:tc>
      </w:tr>
      <w:tr w:rsidR="00A53D7D" w:rsidRPr="005E5444" w:rsidTr="008C197D">
        <w:trPr>
          <w:cantSplit/>
        </w:trPr>
        <w:tc>
          <w:tcPr>
            <w:tcW w:w="3155" w:type="dxa"/>
            <w:tcBorders>
              <w:top w:val="single" w:sz="6" w:space="0" w:color="auto"/>
              <w:left w:val="nil"/>
              <w:right w:val="nil"/>
            </w:tcBorders>
            <w:shd w:val="clear" w:color="000000" w:fill="FFFFFF"/>
          </w:tcPr>
          <w:p w:rsidR="00A53D7D" w:rsidRPr="00EE2C26" w:rsidRDefault="00A53D7D" w:rsidP="005140B4">
            <w:pPr>
              <w:pStyle w:val="OGTabText"/>
              <w:rPr>
                <w:lang w:eastAsia="en-AU"/>
              </w:rPr>
            </w:pPr>
            <w:r w:rsidRPr="001A57CD">
              <w:rPr>
                <w:lang w:eastAsia="en-AU"/>
              </w:rPr>
              <w:t>Successful courses of treatment (episodes of care): community</w:t>
            </w:r>
            <w:r>
              <w:rPr>
                <w:lang w:eastAsia="en-AU"/>
              </w:rPr>
              <w:noBreakHyphen/>
            </w:r>
            <w:r w:rsidRPr="001A57CD">
              <w:rPr>
                <w:lang w:eastAsia="en-AU"/>
              </w:rPr>
              <w:t>based drug treatment services</w:t>
            </w:r>
          </w:p>
        </w:tc>
        <w:tc>
          <w:tcPr>
            <w:tcW w:w="907" w:type="dxa"/>
            <w:tcBorders>
              <w:top w:val="single" w:sz="6" w:space="0" w:color="auto"/>
              <w:left w:val="nil"/>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right w:val="nil"/>
            </w:tcBorders>
            <w:shd w:val="clear" w:color="auto" w:fill="D9D9D9"/>
          </w:tcPr>
          <w:p w:rsidR="00A53D7D" w:rsidRPr="005E5444" w:rsidRDefault="00A53D7D" w:rsidP="005140B4">
            <w:pPr>
              <w:pStyle w:val="OGTableofFigures"/>
              <w:rPr>
                <w:lang w:eastAsia="en-AU"/>
              </w:rPr>
            </w:pPr>
            <w:r>
              <w:rPr>
                <w:lang w:eastAsia="en-AU"/>
              </w:rPr>
              <w:t>5 868</w:t>
            </w:r>
          </w:p>
        </w:tc>
        <w:tc>
          <w:tcPr>
            <w:tcW w:w="993"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34 897</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34 897</w:t>
            </w:r>
          </w:p>
        </w:tc>
        <w:tc>
          <w:tcPr>
            <w:tcW w:w="907" w:type="dxa"/>
            <w:tcBorders>
              <w:top w:val="single" w:sz="6" w:space="0" w:color="auto"/>
              <w:left w:val="nil"/>
              <w:right w:val="nil"/>
            </w:tcBorders>
            <w:shd w:val="clear" w:color="000000" w:fill="FFFFFF"/>
          </w:tcPr>
          <w:p w:rsidR="00A53D7D" w:rsidRPr="005E5444" w:rsidRDefault="00A53D7D" w:rsidP="005140B4">
            <w:pPr>
              <w:pStyle w:val="OGTableofFigures"/>
              <w:rPr>
                <w:lang w:eastAsia="en-AU"/>
              </w:rPr>
            </w:pPr>
            <w:r>
              <w:rPr>
                <w:lang w:eastAsia="en-AU"/>
              </w:rPr>
              <w:t>46 636</w:t>
            </w:r>
          </w:p>
        </w:tc>
      </w:tr>
      <w:tr w:rsidR="00A53D7D" w:rsidRPr="005E5444"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8D528C" w:rsidRDefault="00A53D7D" w:rsidP="005140B4">
            <w:pPr>
              <w:pStyle w:val="OGNotes"/>
            </w:pPr>
            <w:r w:rsidRPr="001A57CD">
              <w:t xml:space="preserve">The </w:t>
            </w:r>
            <w:r>
              <w:t>lower</w:t>
            </w:r>
            <w:r w:rsidRPr="001A57CD">
              <w:t xml:space="preserve"> 2014</w:t>
            </w:r>
            <w:r>
              <w:noBreakHyphen/>
            </w:r>
            <w:r w:rsidRPr="001A57CD">
              <w:t xml:space="preserve">15 </w:t>
            </w:r>
            <w:r>
              <w:t>target</w:t>
            </w:r>
            <w:r w:rsidRPr="001A57CD">
              <w:t xml:space="preserve"> reflects the effect of introduci</w:t>
            </w:r>
            <w:r>
              <w:t>ng the new performance measure ‘</w:t>
            </w:r>
            <w:r w:rsidRPr="001A57CD">
              <w:t>Number o</w:t>
            </w:r>
            <w:r>
              <w:t>f Drug Treatment Activity Units (DTAUs)’</w:t>
            </w:r>
            <w:r w:rsidRPr="001A57CD">
              <w:t xml:space="preserve"> as part of changes in t</w:t>
            </w:r>
            <w:r>
              <w:t>he Drug treatment funding model, which now reflects activity previously picked up in this measure.</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EE2C26" w:rsidRDefault="00A53D7D" w:rsidP="005140B4">
            <w:pPr>
              <w:pStyle w:val="OGTabText"/>
              <w:rPr>
                <w:lang w:eastAsia="en-AU"/>
              </w:rPr>
            </w:pPr>
            <w:r w:rsidRPr="001A57CD">
              <w:rPr>
                <w:lang w:eastAsia="en-AU"/>
              </w:rPr>
              <w:t>Successful courses of treatment (episodes of care): residential</w:t>
            </w:r>
            <w:r>
              <w:rPr>
                <w:lang w:eastAsia="en-AU"/>
              </w:rPr>
              <w:noBreakHyphen/>
            </w:r>
            <w:r w:rsidRPr="001A57CD">
              <w:rPr>
                <w:lang w:eastAsia="en-AU"/>
              </w:rPr>
              <w:t>based drug treatment services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5 636</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5 636</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5 636</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5 023</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EE2C26" w:rsidRDefault="00A53D7D" w:rsidP="005140B4">
            <w:pPr>
              <w:pStyle w:val="OGTabText"/>
              <w:rPr>
                <w:lang w:eastAsia="en-AU"/>
              </w:rPr>
            </w:pPr>
            <w:r w:rsidRPr="001A57CD">
              <w:rPr>
                <w:lang w:eastAsia="en-AU"/>
              </w:rPr>
              <w:t>Trained Alcohol and drug workers</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85</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85</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85</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67</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Timeliness</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8C197D">
        <w:trPr>
          <w:cantSplit/>
        </w:trPr>
        <w:tc>
          <w:tcPr>
            <w:tcW w:w="3155" w:type="dxa"/>
            <w:tcBorders>
              <w:top w:val="nil"/>
              <w:left w:val="nil"/>
              <w:bottom w:val="single" w:sz="6" w:space="0" w:color="auto"/>
              <w:right w:val="nil"/>
            </w:tcBorders>
            <w:shd w:val="clear" w:color="000000" w:fill="FFFFFF"/>
          </w:tcPr>
          <w:p w:rsidR="00A53D7D" w:rsidRPr="00EE2C26" w:rsidRDefault="00A53D7D" w:rsidP="005140B4">
            <w:pPr>
              <w:pStyle w:val="OGTabText"/>
              <w:rPr>
                <w:lang w:eastAsia="en-AU"/>
              </w:rPr>
            </w:pPr>
            <w:r w:rsidRPr="008E3B34">
              <w:rPr>
                <w:lang w:eastAsia="en-AU"/>
              </w:rPr>
              <w:t>Average working days between screening of client and commencement of community</w:t>
            </w:r>
            <w:r>
              <w:rPr>
                <w:lang w:eastAsia="en-AU"/>
              </w:rPr>
              <w:noBreakHyphen/>
            </w:r>
            <w:r w:rsidRPr="008E3B34">
              <w:rPr>
                <w:lang w:eastAsia="en-AU"/>
              </w:rPr>
              <w:t>based drug treatment</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days</w:t>
            </w:r>
          </w:p>
        </w:tc>
        <w:tc>
          <w:tcPr>
            <w:tcW w:w="907" w:type="dxa"/>
            <w:tcBorders>
              <w:top w:val="nil"/>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3</w:t>
            </w:r>
          </w:p>
        </w:tc>
        <w:tc>
          <w:tcPr>
            <w:tcW w:w="993"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3</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3</w:t>
            </w:r>
          </w:p>
        </w:tc>
        <w:tc>
          <w:tcPr>
            <w:tcW w:w="907" w:type="dxa"/>
            <w:tcBorders>
              <w:top w:val="nil"/>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0.9</w:t>
            </w:r>
          </w:p>
        </w:tc>
      </w:tr>
      <w:tr w:rsidR="00A53D7D" w:rsidRPr="005E5444" w:rsidTr="008C197D">
        <w:trPr>
          <w:cantSplit/>
        </w:trPr>
        <w:tc>
          <w:tcPr>
            <w:tcW w:w="3155" w:type="dxa"/>
            <w:tcBorders>
              <w:top w:val="single" w:sz="6" w:space="0" w:color="auto"/>
              <w:left w:val="nil"/>
              <w:bottom w:val="single" w:sz="6" w:space="0" w:color="auto"/>
              <w:right w:val="nil"/>
            </w:tcBorders>
            <w:shd w:val="clear" w:color="000000" w:fill="FFFFFF"/>
          </w:tcPr>
          <w:p w:rsidR="00A53D7D" w:rsidRPr="00EE2C26" w:rsidRDefault="00A53D7D" w:rsidP="005140B4">
            <w:pPr>
              <w:pStyle w:val="OGTabText"/>
              <w:rPr>
                <w:lang w:eastAsia="en-AU"/>
              </w:rPr>
            </w:pPr>
            <w:r w:rsidRPr="008E3B34">
              <w:rPr>
                <w:lang w:eastAsia="en-AU"/>
              </w:rPr>
              <w:t>Average working days between screening of client and commencement of residential</w:t>
            </w:r>
            <w:r>
              <w:rPr>
                <w:lang w:eastAsia="en-AU"/>
              </w:rPr>
              <w:noBreakHyphen/>
            </w:r>
            <w:r w:rsidRPr="008E3B34">
              <w:rPr>
                <w:lang w:eastAsia="en-AU"/>
              </w:rPr>
              <w:t>based drug treatment</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UoM"/>
              <w:rPr>
                <w:lang w:eastAsia="en-AU"/>
              </w:rPr>
            </w:pPr>
            <w:r>
              <w:rPr>
                <w:lang w:eastAsia="en-AU"/>
              </w:rPr>
              <w:t>days</w:t>
            </w:r>
          </w:p>
        </w:tc>
        <w:tc>
          <w:tcPr>
            <w:tcW w:w="907" w:type="dxa"/>
            <w:tcBorders>
              <w:top w:val="single" w:sz="6" w:space="0" w:color="auto"/>
              <w:left w:val="nil"/>
              <w:bottom w:val="single" w:sz="6" w:space="0" w:color="auto"/>
              <w:right w:val="nil"/>
            </w:tcBorders>
            <w:shd w:val="clear" w:color="auto" w:fill="D9D9D9"/>
          </w:tcPr>
          <w:p w:rsidR="00A53D7D" w:rsidRPr="005E5444" w:rsidRDefault="00A53D7D" w:rsidP="005140B4">
            <w:pPr>
              <w:pStyle w:val="OGTableofFigures"/>
              <w:rPr>
                <w:lang w:eastAsia="en-AU"/>
              </w:rPr>
            </w:pPr>
            <w:r>
              <w:rPr>
                <w:lang w:eastAsia="en-AU"/>
              </w:rPr>
              <w:t>6</w:t>
            </w:r>
          </w:p>
        </w:tc>
        <w:tc>
          <w:tcPr>
            <w:tcW w:w="993"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6</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6</w:t>
            </w:r>
          </w:p>
        </w:tc>
        <w:tc>
          <w:tcPr>
            <w:tcW w:w="907" w:type="dxa"/>
            <w:tcBorders>
              <w:top w:val="single" w:sz="6" w:space="0" w:color="auto"/>
              <w:left w:val="nil"/>
              <w:bottom w:val="single" w:sz="6" w:space="0" w:color="auto"/>
              <w:right w:val="nil"/>
            </w:tcBorders>
            <w:shd w:val="clear" w:color="000000" w:fill="FFFFFF"/>
          </w:tcPr>
          <w:p w:rsidR="00A53D7D" w:rsidRPr="005E5444" w:rsidRDefault="00A53D7D" w:rsidP="005140B4">
            <w:pPr>
              <w:pStyle w:val="OGTableofFigures"/>
              <w:rPr>
                <w:lang w:eastAsia="en-AU"/>
              </w:rPr>
            </w:pPr>
            <w:r>
              <w:rPr>
                <w:lang w:eastAsia="en-AU"/>
              </w:rPr>
              <w:t>4.8</w:t>
            </w:r>
          </w:p>
        </w:tc>
      </w:tr>
      <w:tr w:rsidR="00A53D7D" w:rsidRPr="005E5444" w:rsidTr="008C197D">
        <w:trPr>
          <w:cantSplit/>
        </w:trPr>
        <w:tc>
          <w:tcPr>
            <w:tcW w:w="3155" w:type="dxa"/>
            <w:tcBorders>
              <w:top w:val="single" w:sz="6" w:space="0" w:color="auto"/>
              <w:left w:val="nil"/>
              <w:right w:val="nil"/>
            </w:tcBorders>
            <w:shd w:val="clear" w:color="auto" w:fill="auto"/>
            <w:vAlign w:val="bottom"/>
            <w:hideMark/>
          </w:tcPr>
          <w:p w:rsidR="00A53D7D" w:rsidRPr="005E5444" w:rsidRDefault="00A53D7D" w:rsidP="005140B4">
            <w:pPr>
              <w:pStyle w:val="OGTabHead"/>
              <w:rPr>
                <w:lang w:eastAsia="en-AU"/>
              </w:rPr>
            </w:pPr>
            <w:r>
              <w:rPr>
                <w:lang w:eastAsia="en-AU"/>
              </w:rPr>
              <w:t>Cost</w:t>
            </w: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5444"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5444" w:rsidRDefault="00A53D7D" w:rsidP="005140B4">
            <w:pPr>
              <w:pStyle w:val="OGTableofFigures"/>
              <w:rPr>
                <w:lang w:eastAsia="en-AU"/>
              </w:rPr>
            </w:pPr>
          </w:p>
        </w:tc>
      </w:tr>
      <w:tr w:rsidR="00A53D7D" w:rsidRPr="005E5444" w:rsidTr="00A06FE0">
        <w:trPr>
          <w:cantSplit/>
        </w:trPr>
        <w:tc>
          <w:tcPr>
            <w:tcW w:w="3155" w:type="dxa"/>
            <w:tcBorders>
              <w:top w:val="nil"/>
              <w:left w:val="nil"/>
              <w:right w:val="nil"/>
            </w:tcBorders>
            <w:shd w:val="clear" w:color="000000" w:fill="FFFFFF"/>
          </w:tcPr>
          <w:p w:rsidR="00A53D7D" w:rsidRPr="00EE2C26" w:rsidRDefault="00A53D7D" w:rsidP="005140B4">
            <w:pPr>
              <w:pStyle w:val="OGTabText"/>
              <w:rPr>
                <w:lang w:eastAsia="en-AU"/>
              </w:rPr>
            </w:pPr>
            <w:r>
              <w:rPr>
                <w:lang w:eastAsia="en-AU"/>
              </w:rPr>
              <w:t>Total output cost</w:t>
            </w:r>
          </w:p>
        </w:tc>
        <w:tc>
          <w:tcPr>
            <w:tcW w:w="907" w:type="dxa"/>
            <w:tcBorders>
              <w:top w:val="nil"/>
              <w:left w:val="nil"/>
              <w:right w:val="nil"/>
            </w:tcBorders>
            <w:shd w:val="clear" w:color="000000" w:fill="FFFFFF"/>
          </w:tcPr>
          <w:p w:rsidR="00A53D7D" w:rsidRPr="005E5444"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tcPr>
          <w:p w:rsidR="00A53D7D" w:rsidRPr="002D55F8" w:rsidRDefault="00A53D7D" w:rsidP="005140B4">
            <w:pPr>
              <w:pStyle w:val="OGUoM"/>
              <w:jc w:val="right"/>
              <w:rPr>
                <w:lang w:eastAsia="en-AU"/>
              </w:rPr>
            </w:pPr>
            <w:r w:rsidRPr="002D55F8">
              <w:rPr>
                <w:lang w:eastAsia="en-AU"/>
              </w:rPr>
              <w:t>136.5</w:t>
            </w:r>
          </w:p>
        </w:tc>
        <w:tc>
          <w:tcPr>
            <w:tcW w:w="993" w:type="dxa"/>
            <w:tcBorders>
              <w:top w:val="nil"/>
              <w:left w:val="nil"/>
              <w:right w:val="nil"/>
            </w:tcBorders>
            <w:shd w:val="clear" w:color="000000" w:fill="FFFFFF"/>
          </w:tcPr>
          <w:p w:rsidR="00A53D7D" w:rsidRPr="002D55F8" w:rsidRDefault="00A53D7D" w:rsidP="005140B4">
            <w:pPr>
              <w:pStyle w:val="OGUoM"/>
              <w:jc w:val="right"/>
              <w:rPr>
                <w:lang w:eastAsia="en-AU"/>
              </w:rPr>
            </w:pPr>
            <w:r w:rsidRPr="002D55F8">
              <w:rPr>
                <w:lang w:eastAsia="en-AU"/>
              </w:rPr>
              <w:t>127.6</w:t>
            </w:r>
          </w:p>
        </w:tc>
        <w:tc>
          <w:tcPr>
            <w:tcW w:w="907" w:type="dxa"/>
            <w:tcBorders>
              <w:top w:val="nil"/>
              <w:left w:val="nil"/>
              <w:right w:val="nil"/>
            </w:tcBorders>
            <w:shd w:val="clear" w:color="000000" w:fill="FFFFFF"/>
          </w:tcPr>
          <w:p w:rsidR="00A53D7D" w:rsidRPr="002D55F8" w:rsidRDefault="00A53D7D" w:rsidP="005140B4">
            <w:pPr>
              <w:pStyle w:val="OGUoM"/>
              <w:jc w:val="right"/>
              <w:rPr>
                <w:lang w:eastAsia="en-AU"/>
              </w:rPr>
            </w:pPr>
            <w:r w:rsidRPr="002D55F8">
              <w:rPr>
                <w:lang w:eastAsia="en-AU"/>
              </w:rPr>
              <w:t>125.4</w:t>
            </w:r>
          </w:p>
        </w:tc>
        <w:tc>
          <w:tcPr>
            <w:tcW w:w="907" w:type="dxa"/>
            <w:tcBorders>
              <w:top w:val="nil"/>
              <w:left w:val="nil"/>
              <w:right w:val="nil"/>
            </w:tcBorders>
            <w:shd w:val="clear" w:color="000000" w:fill="FFFFFF"/>
          </w:tcPr>
          <w:p w:rsidR="00A53D7D" w:rsidRPr="002D55F8" w:rsidRDefault="00A53D7D" w:rsidP="005140B4">
            <w:pPr>
              <w:pStyle w:val="OGUoM"/>
              <w:jc w:val="right"/>
              <w:rPr>
                <w:lang w:eastAsia="en-AU"/>
              </w:rPr>
            </w:pPr>
            <w:r w:rsidRPr="002D55F8">
              <w:rPr>
                <w:lang w:eastAsia="en-AU"/>
              </w:rPr>
              <w:t>119.4</w:t>
            </w:r>
          </w:p>
        </w:tc>
      </w:tr>
      <w:tr w:rsidR="00A53D7D" w:rsidRPr="005E5444" w:rsidTr="005140B4">
        <w:trPr>
          <w:cantSplit/>
        </w:trPr>
        <w:tc>
          <w:tcPr>
            <w:tcW w:w="7776" w:type="dxa"/>
            <w:gridSpan w:val="6"/>
            <w:tcBorders>
              <w:top w:val="nil"/>
              <w:left w:val="nil"/>
              <w:bottom w:val="single" w:sz="12" w:space="0" w:color="auto"/>
              <w:right w:val="nil"/>
            </w:tcBorders>
            <w:shd w:val="clear" w:color="000000" w:fill="FFFFFF"/>
          </w:tcPr>
          <w:p w:rsidR="00A53D7D" w:rsidRPr="002D55F8" w:rsidRDefault="00A53D7D" w:rsidP="005140B4">
            <w:pPr>
              <w:pStyle w:val="OGNotes"/>
            </w:pPr>
            <w:r>
              <w:t>The higher 2014</w:t>
            </w:r>
            <w:r>
              <w:noBreakHyphen/>
              <w:t xml:space="preserve">15 target reflects funding for tackling ice and other drug use, the cost of delivering services and the impact of the social and community services pay equity case. </w:t>
            </w:r>
          </w:p>
        </w:tc>
      </w:tr>
    </w:tbl>
    <w:p w:rsidR="00A53D7D" w:rsidRDefault="00A53D7D" w:rsidP="005140B4">
      <w:pPr>
        <w:pStyle w:val="Source"/>
        <w:rPr>
          <w:lang w:eastAsia="en-AU"/>
        </w:rPr>
      </w:pPr>
      <w:r>
        <w:rPr>
          <w:lang w:eastAsia="en-AU"/>
        </w:rPr>
        <w:t>Source: Department of Health</w:t>
      </w:r>
      <w:r>
        <w:rPr>
          <w:lang w:eastAsia="en-AU"/>
        </w:rPr>
        <w:fldChar w:fldCharType="begin"/>
      </w:r>
      <w:r>
        <w:instrText xml:space="preserve"> XE "</w:instrText>
      </w:r>
      <w:r w:rsidRPr="00E01282">
        <w:instrText>Department of Health:Drug Services</w:instrText>
      </w:r>
      <w:r>
        <w:instrText xml:space="preserve">" \r "DHDrugSvces" </w:instrText>
      </w:r>
      <w:r>
        <w:rPr>
          <w:lang w:eastAsia="en-AU"/>
        </w:rPr>
        <w:fldChar w:fldCharType="end"/>
      </w:r>
      <w:r>
        <w:rPr>
          <w:lang w:eastAsia="en-AU"/>
        </w:rPr>
        <w:fldChar w:fldCharType="begin"/>
      </w:r>
      <w:r>
        <w:instrText xml:space="preserve"> XE "</w:instrText>
      </w:r>
      <w:r w:rsidRPr="008F564C">
        <w:instrText>Drug Services</w:instrText>
      </w:r>
      <w:r>
        <w:instrText xml:space="preserve">" \r "DHDrugSvces" </w:instrText>
      </w:r>
      <w:r>
        <w:rPr>
          <w:lang w:eastAsia="en-AU"/>
        </w:rPr>
        <w:fldChar w:fldCharType="end"/>
      </w:r>
      <w:r>
        <w:rPr>
          <w:lang w:eastAsia="en-AU"/>
        </w:rPr>
        <w:t xml:space="preserve"> </w:t>
      </w:r>
    </w:p>
    <w:bookmarkEnd w:id="95"/>
    <w:p w:rsidR="00A53D7D" w:rsidRDefault="00A53D7D" w:rsidP="005140B4"/>
    <w:p w:rsidR="00A53D7D" w:rsidRDefault="00A53D7D" w:rsidP="00497606"/>
    <w:p w:rsidR="00A53D7D" w:rsidRDefault="00A53D7D" w:rsidP="004463C6">
      <w:pPr>
        <w:sectPr w:rsidR="00A53D7D" w:rsidSect="00CD2017">
          <w:footerReference w:type="even" r:id="rId27"/>
          <w:footerReference w:type="default" r:id="rId28"/>
          <w:pgSz w:w="9979" w:h="14181" w:code="138"/>
          <w:pgMar w:top="1140" w:right="1140" w:bottom="1140" w:left="1140" w:header="720" w:footer="431" w:gutter="0"/>
          <w:cols w:space="708"/>
          <w:docGrid w:linePitch="360"/>
        </w:sectPr>
      </w:pPr>
    </w:p>
    <w:p w:rsidR="00A53D7D" w:rsidRDefault="00A53D7D" w:rsidP="005140B4">
      <w:pPr>
        <w:pStyle w:val="Heading1"/>
      </w:pPr>
      <w:bookmarkStart w:id="96" w:name="_Toc386541219"/>
      <w:bookmarkStart w:id="97" w:name="_Toc407116911"/>
      <w:r>
        <w:t>Department of Human Services</w:t>
      </w:r>
      <w:bookmarkEnd w:id="96"/>
      <w:bookmarkEnd w:id="97"/>
    </w:p>
    <w:p w:rsidR="00A53D7D" w:rsidRDefault="00A53D7D" w:rsidP="005140B4">
      <w:pPr>
        <w:pStyle w:val="Heading2"/>
      </w:pPr>
      <w:r>
        <w:t>Ministerial portfolios</w:t>
      </w:r>
    </w:p>
    <w:p w:rsidR="00A53D7D" w:rsidRDefault="00A53D7D" w:rsidP="005140B4">
      <w:r w:rsidRPr="001C2BEA">
        <w:t>The Department supports the ministerial portfolios of Community Services, Disability Services and Reform, Women</w:t>
      </w:r>
      <w:r>
        <w:t>’</w:t>
      </w:r>
      <w:r w:rsidRPr="001C2BEA">
        <w:t>s Affairs, Youth Affairs and Housing.</w:t>
      </w:r>
    </w:p>
    <w:p w:rsidR="00A53D7D" w:rsidRDefault="00A53D7D" w:rsidP="005140B4">
      <w:pPr>
        <w:pStyle w:val="Heading2"/>
      </w:pPr>
      <w:r>
        <w:t>Departmental mission statement</w:t>
      </w:r>
    </w:p>
    <w:p w:rsidR="00A53D7D" w:rsidRDefault="00A53D7D" w:rsidP="005140B4">
      <w:r>
        <w:t>The Department of Human Services supports Victorians in need to build better lives and achieve their potential.</w:t>
      </w:r>
    </w:p>
    <w:p w:rsidR="00A53D7D" w:rsidRDefault="00A53D7D" w:rsidP="005140B4">
      <w:r>
        <w:t xml:space="preserve">The Department does this by providing housing and community services and programs so that individuals and families are supported and can participate in their community, the </w:t>
      </w:r>
      <w:proofErr w:type="gramStart"/>
      <w:r>
        <w:t>economy</w:t>
      </w:r>
      <w:proofErr w:type="gramEnd"/>
      <w:r>
        <w:t xml:space="preserve"> and life.</w:t>
      </w:r>
    </w:p>
    <w:p w:rsidR="00A53D7D" w:rsidRDefault="00A53D7D" w:rsidP="005140B4">
      <w:pPr>
        <w:pStyle w:val="Heading2"/>
      </w:pPr>
      <w:r>
        <w:t>Departmental objectives, indicators and outputs</w:t>
      </w:r>
    </w:p>
    <w:p w:rsidR="00A53D7D" w:rsidRDefault="00A53D7D" w:rsidP="005140B4">
      <w:r w:rsidRPr="001C2BEA">
        <w:t>The Department of Human Services</w:t>
      </w:r>
      <w:r>
        <w:t>’</w:t>
      </w:r>
      <w:r w:rsidRPr="001C2BEA">
        <w:t xml:space="preserve"> objectives, </w:t>
      </w:r>
      <w:proofErr w:type="gramStart"/>
      <w:r w:rsidRPr="001C2BEA">
        <w:t>indicators</w:t>
      </w:r>
      <w:proofErr w:type="gramEnd"/>
      <w:r w:rsidRPr="001C2BEA">
        <w:t xml:space="preserve"> and linked outputs are:</w:t>
      </w:r>
    </w:p>
    <w:tbl>
      <w:tblPr>
        <w:tblW w:w="5000" w:type="pct"/>
        <w:tblInd w:w="29" w:type="dxa"/>
        <w:tblLayout w:type="fixed"/>
        <w:tblCellMar>
          <w:top w:w="45" w:type="dxa"/>
          <w:left w:w="43" w:type="dxa"/>
          <w:right w:w="43" w:type="dxa"/>
        </w:tblCellMar>
        <w:tblLook w:val="01E0" w:firstRow="1" w:lastRow="1" w:firstColumn="1" w:lastColumn="1" w:noHBand="0" w:noVBand="0"/>
      </w:tblPr>
      <w:tblGrid>
        <w:gridCol w:w="2593"/>
        <w:gridCol w:w="2596"/>
        <w:gridCol w:w="2596"/>
      </w:tblGrid>
      <w:tr w:rsidR="00A53D7D" w:rsidRPr="00560216" w:rsidTr="005140B4">
        <w:trPr>
          <w:cantSplit/>
          <w:tblHeader/>
        </w:trPr>
        <w:tc>
          <w:tcPr>
            <w:tcW w:w="2595" w:type="dxa"/>
            <w:tcBorders>
              <w:top w:val="single" w:sz="6" w:space="0" w:color="auto"/>
              <w:left w:val="single" w:sz="6" w:space="0" w:color="auto"/>
              <w:bottom w:val="single" w:sz="4" w:space="0" w:color="auto"/>
            </w:tcBorders>
            <w:shd w:val="clear" w:color="auto" w:fill="000000"/>
          </w:tcPr>
          <w:p w:rsidR="00A53D7D" w:rsidRPr="00560216" w:rsidRDefault="00A53D7D" w:rsidP="005140B4">
            <w:pPr>
              <w:pStyle w:val="Tabletextheadingleft"/>
              <w:spacing w:after="80"/>
              <w:rPr>
                <w:sz w:val="19"/>
                <w:szCs w:val="19"/>
                <w:lang w:eastAsia="en-AU"/>
              </w:rPr>
            </w:pPr>
            <w:r w:rsidRPr="00560216">
              <w:rPr>
                <w:sz w:val="19"/>
                <w:szCs w:val="19"/>
                <w:lang w:eastAsia="en-AU"/>
              </w:rPr>
              <w:t>Departmental objectives</w:t>
            </w:r>
          </w:p>
        </w:tc>
        <w:tc>
          <w:tcPr>
            <w:tcW w:w="2597" w:type="dxa"/>
            <w:tcBorders>
              <w:top w:val="single" w:sz="6" w:space="0" w:color="auto"/>
              <w:bottom w:val="single" w:sz="4" w:space="0" w:color="auto"/>
            </w:tcBorders>
            <w:shd w:val="clear" w:color="auto" w:fill="000000"/>
          </w:tcPr>
          <w:p w:rsidR="00A53D7D" w:rsidRPr="00560216" w:rsidRDefault="00A53D7D" w:rsidP="005140B4">
            <w:pPr>
              <w:pStyle w:val="Tabletextheadingleft"/>
              <w:spacing w:after="80"/>
              <w:rPr>
                <w:sz w:val="19"/>
                <w:szCs w:val="19"/>
                <w:lang w:eastAsia="en-AU"/>
              </w:rPr>
            </w:pPr>
            <w:r w:rsidRPr="00560216">
              <w:rPr>
                <w:sz w:val="19"/>
                <w:szCs w:val="19"/>
                <w:lang w:eastAsia="en-AU"/>
              </w:rPr>
              <w:t>Indicators</w:t>
            </w:r>
          </w:p>
        </w:tc>
        <w:tc>
          <w:tcPr>
            <w:tcW w:w="2597" w:type="dxa"/>
            <w:tcBorders>
              <w:top w:val="single" w:sz="6" w:space="0" w:color="auto"/>
              <w:bottom w:val="single" w:sz="4" w:space="0" w:color="auto"/>
              <w:right w:val="single" w:sz="6" w:space="0" w:color="auto"/>
            </w:tcBorders>
            <w:shd w:val="clear" w:color="auto" w:fill="000000"/>
          </w:tcPr>
          <w:p w:rsidR="00A53D7D" w:rsidRPr="00560216" w:rsidRDefault="00A53D7D" w:rsidP="005140B4">
            <w:pPr>
              <w:pStyle w:val="Tabletextheadingleft"/>
              <w:spacing w:after="80"/>
              <w:rPr>
                <w:sz w:val="19"/>
                <w:szCs w:val="19"/>
                <w:lang w:eastAsia="en-AU"/>
              </w:rPr>
            </w:pPr>
            <w:r w:rsidRPr="00560216">
              <w:rPr>
                <w:sz w:val="19"/>
                <w:szCs w:val="19"/>
                <w:lang w:eastAsia="en-AU"/>
              </w:rPr>
              <w:t>Outputs</w:t>
            </w:r>
          </w:p>
        </w:tc>
      </w:tr>
      <w:tr w:rsidR="00A53D7D" w:rsidRPr="00560216" w:rsidTr="005140B4">
        <w:trPr>
          <w:cantSplit/>
        </w:trPr>
        <w:tc>
          <w:tcPr>
            <w:tcW w:w="2595" w:type="dxa"/>
            <w:tcBorders>
              <w:top w:val="single" w:sz="4" w:space="0" w:color="auto"/>
              <w:bottom w:val="single" w:sz="6" w:space="0" w:color="auto"/>
            </w:tcBorders>
            <w:shd w:val="clear" w:color="auto" w:fill="auto"/>
          </w:tcPr>
          <w:p w:rsidR="00A53D7D" w:rsidRPr="00560216" w:rsidRDefault="00A53D7D" w:rsidP="005140B4">
            <w:pPr>
              <w:pStyle w:val="Tabletext"/>
              <w:ind w:left="0" w:firstLine="0"/>
              <w:rPr>
                <w:b/>
                <w:sz w:val="19"/>
                <w:szCs w:val="19"/>
              </w:rPr>
            </w:pPr>
            <w:r w:rsidRPr="00560216">
              <w:rPr>
                <w:b/>
                <w:sz w:val="19"/>
                <w:szCs w:val="19"/>
              </w:rPr>
              <w:t>Immediate support</w:t>
            </w:r>
          </w:p>
          <w:p w:rsidR="00A53D7D" w:rsidRPr="00560216" w:rsidRDefault="00A53D7D" w:rsidP="005140B4">
            <w:pPr>
              <w:pStyle w:val="Tabletext"/>
              <w:ind w:left="0" w:firstLine="0"/>
              <w:rPr>
                <w:sz w:val="19"/>
                <w:szCs w:val="19"/>
              </w:rPr>
            </w:pPr>
            <w:r w:rsidRPr="00560216">
              <w:rPr>
                <w:sz w:val="19"/>
                <w:szCs w:val="19"/>
              </w:rPr>
              <w:t>With its partners, the Department supports people in crisis, and helps individuals and families get their lives back on track.</w:t>
            </w:r>
          </w:p>
        </w:tc>
        <w:tc>
          <w:tcPr>
            <w:tcW w:w="2597" w:type="dxa"/>
            <w:tcBorders>
              <w:top w:val="single" w:sz="4" w:space="0" w:color="auto"/>
              <w:bottom w:val="single" w:sz="6" w:space="0" w:color="auto"/>
            </w:tcBorders>
            <w:shd w:val="clear" w:color="auto" w:fill="auto"/>
          </w:tcPr>
          <w:p w:rsidR="00A53D7D" w:rsidRPr="00560216" w:rsidRDefault="00A53D7D" w:rsidP="005140B4">
            <w:pPr>
              <w:pStyle w:val="Tabletext"/>
              <w:ind w:left="0" w:firstLine="0"/>
              <w:rPr>
                <w:sz w:val="19"/>
                <w:szCs w:val="19"/>
              </w:rPr>
            </w:pPr>
            <w:r w:rsidRPr="00560216">
              <w:rPr>
                <w:sz w:val="19"/>
                <w:szCs w:val="19"/>
              </w:rPr>
              <w:t>Stability of out of home care placements.</w:t>
            </w:r>
          </w:p>
          <w:p w:rsidR="00A53D7D" w:rsidRPr="00560216" w:rsidRDefault="00A53D7D" w:rsidP="005140B4">
            <w:pPr>
              <w:pStyle w:val="Tabletext"/>
              <w:ind w:left="0" w:firstLine="0"/>
              <w:rPr>
                <w:sz w:val="19"/>
                <w:szCs w:val="19"/>
              </w:rPr>
            </w:pPr>
            <w:r w:rsidRPr="00560216">
              <w:rPr>
                <w:sz w:val="19"/>
                <w:szCs w:val="19"/>
              </w:rPr>
              <w:t>Improved safety of children reported to child protection.</w:t>
            </w:r>
          </w:p>
          <w:p w:rsidR="00A53D7D" w:rsidRPr="00560216" w:rsidRDefault="00A53D7D" w:rsidP="005140B4">
            <w:pPr>
              <w:pStyle w:val="Tabletext"/>
              <w:ind w:left="0" w:firstLine="0"/>
              <w:rPr>
                <w:sz w:val="19"/>
                <w:szCs w:val="19"/>
              </w:rPr>
            </w:pPr>
            <w:r w:rsidRPr="00560216">
              <w:rPr>
                <w:sz w:val="19"/>
                <w:szCs w:val="19"/>
              </w:rPr>
              <w:t>Achievement of independent and sustainable housing on exit from homelessness services.</w:t>
            </w:r>
          </w:p>
        </w:tc>
        <w:tc>
          <w:tcPr>
            <w:tcW w:w="2597" w:type="dxa"/>
            <w:tcBorders>
              <w:top w:val="single" w:sz="4" w:space="0" w:color="auto"/>
              <w:bottom w:val="single" w:sz="6" w:space="0" w:color="auto"/>
            </w:tcBorders>
          </w:tcPr>
          <w:p w:rsidR="00A53D7D" w:rsidRPr="00560216" w:rsidRDefault="00A53D7D" w:rsidP="005140B4">
            <w:pPr>
              <w:pStyle w:val="Tabletext"/>
              <w:ind w:left="0" w:firstLine="0"/>
              <w:rPr>
                <w:sz w:val="19"/>
                <w:szCs w:val="19"/>
              </w:rPr>
            </w:pPr>
            <w:r w:rsidRPr="00560216">
              <w:rPr>
                <w:sz w:val="19"/>
                <w:szCs w:val="19"/>
              </w:rPr>
              <w:t>Child Protection and Family Services</w:t>
            </w:r>
          </w:p>
          <w:p w:rsidR="00A53D7D" w:rsidRPr="00560216" w:rsidRDefault="00A53D7D" w:rsidP="005140B4">
            <w:pPr>
              <w:pStyle w:val="Tabletext"/>
              <w:ind w:left="0" w:firstLine="0"/>
              <w:rPr>
                <w:sz w:val="19"/>
                <w:szCs w:val="19"/>
              </w:rPr>
            </w:pPr>
            <w:r w:rsidRPr="00560216">
              <w:rPr>
                <w:sz w:val="19"/>
                <w:szCs w:val="19"/>
              </w:rPr>
              <w:t>Youth Justice Custodial Services</w:t>
            </w:r>
          </w:p>
          <w:p w:rsidR="00A53D7D" w:rsidRPr="00560216" w:rsidRDefault="00A53D7D" w:rsidP="005140B4">
            <w:pPr>
              <w:pStyle w:val="Tabletext"/>
              <w:ind w:left="0" w:firstLine="0"/>
              <w:rPr>
                <w:sz w:val="19"/>
                <w:szCs w:val="19"/>
              </w:rPr>
            </w:pPr>
            <w:r w:rsidRPr="00560216">
              <w:rPr>
                <w:sz w:val="19"/>
                <w:szCs w:val="19"/>
              </w:rPr>
              <w:t>Community based Services</w:t>
            </w:r>
          </w:p>
          <w:p w:rsidR="00A53D7D" w:rsidRPr="00560216" w:rsidRDefault="00A53D7D" w:rsidP="005140B4">
            <w:pPr>
              <w:pStyle w:val="Tabletext"/>
              <w:ind w:left="0" w:firstLine="0"/>
              <w:rPr>
                <w:sz w:val="19"/>
                <w:szCs w:val="19"/>
              </w:rPr>
            </w:pPr>
            <w:r w:rsidRPr="00560216">
              <w:rPr>
                <w:sz w:val="19"/>
                <w:szCs w:val="19"/>
              </w:rPr>
              <w:t>Housing Assistance</w:t>
            </w:r>
          </w:p>
        </w:tc>
      </w:tr>
      <w:tr w:rsidR="00A53D7D" w:rsidRPr="00560216" w:rsidTr="005140B4">
        <w:trPr>
          <w:cantSplit/>
        </w:trPr>
        <w:tc>
          <w:tcPr>
            <w:tcW w:w="2595" w:type="dxa"/>
            <w:tcBorders>
              <w:top w:val="single" w:sz="6" w:space="0" w:color="auto"/>
              <w:bottom w:val="single" w:sz="6" w:space="0" w:color="auto"/>
            </w:tcBorders>
            <w:shd w:val="clear" w:color="auto" w:fill="auto"/>
          </w:tcPr>
          <w:p w:rsidR="00A53D7D" w:rsidRPr="00560216" w:rsidRDefault="00A53D7D" w:rsidP="005140B4">
            <w:pPr>
              <w:pStyle w:val="Tabletext"/>
              <w:ind w:left="0" w:firstLine="0"/>
              <w:rPr>
                <w:b/>
                <w:sz w:val="19"/>
                <w:szCs w:val="19"/>
              </w:rPr>
            </w:pPr>
            <w:r w:rsidRPr="00560216">
              <w:rPr>
                <w:b/>
                <w:sz w:val="19"/>
                <w:szCs w:val="19"/>
              </w:rPr>
              <w:t>Capabilities and participation</w:t>
            </w:r>
          </w:p>
          <w:p w:rsidR="00A53D7D" w:rsidRPr="00560216" w:rsidRDefault="00A53D7D" w:rsidP="005140B4">
            <w:pPr>
              <w:pStyle w:val="Tabletext"/>
              <w:ind w:left="0" w:firstLine="0"/>
              <w:rPr>
                <w:sz w:val="19"/>
                <w:szCs w:val="19"/>
              </w:rPr>
            </w:pPr>
            <w:r w:rsidRPr="00560216">
              <w:rPr>
                <w:sz w:val="19"/>
                <w:szCs w:val="19"/>
              </w:rPr>
              <w:t>With its partners, the Department works with families, individuals, young people and communities to improve their lives through building capabilities and resilience</w:t>
            </w:r>
            <w:proofErr w:type="gramStart"/>
            <w:r w:rsidRPr="00560216">
              <w:rPr>
                <w:sz w:val="19"/>
                <w:szCs w:val="19"/>
              </w:rPr>
              <w:t>, supporting</w:t>
            </w:r>
            <w:proofErr w:type="gramEnd"/>
            <w:r w:rsidRPr="00560216">
              <w:rPr>
                <w:sz w:val="19"/>
                <w:szCs w:val="19"/>
              </w:rPr>
              <w:t xml:space="preserve"> participation in work, education and the community.</w:t>
            </w:r>
          </w:p>
        </w:tc>
        <w:tc>
          <w:tcPr>
            <w:tcW w:w="2597" w:type="dxa"/>
            <w:tcBorders>
              <w:top w:val="single" w:sz="6" w:space="0" w:color="auto"/>
              <w:bottom w:val="single" w:sz="6" w:space="0" w:color="auto"/>
            </w:tcBorders>
            <w:shd w:val="clear" w:color="auto" w:fill="auto"/>
          </w:tcPr>
          <w:p w:rsidR="00A53D7D" w:rsidRPr="00560216" w:rsidRDefault="00A53D7D" w:rsidP="005140B4">
            <w:pPr>
              <w:pStyle w:val="Tabletext"/>
              <w:ind w:left="0" w:firstLine="0"/>
              <w:rPr>
                <w:sz w:val="19"/>
                <w:szCs w:val="19"/>
              </w:rPr>
            </w:pPr>
            <w:r w:rsidRPr="00560216">
              <w:rPr>
                <w:sz w:val="19"/>
                <w:szCs w:val="19"/>
              </w:rPr>
              <w:t>People with a disability who participate in social and community activities.</w:t>
            </w:r>
          </w:p>
          <w:p w:rsidR="00A53D7D" w:rsidRPr="00560216" w:rsidRDefault="00A53D7D" w:rsidP="005140B4">
            <w:pPr>
              <w:pStyle w:val="Tabletext"/>
              <w:ind w:left="0" w:firstLine="0"/>
              <w:rPr>
                <w:sz w:val="19"/>
                <w:szCs w:val="19"/>
              </w:rPr>
            </w:pPr>
            <w:r w:rsidRPr="00560216">
              <w:rPr>
                <w:sz w:val="19"/>
                <w:szCs w:val="19"/>
              </w:rPr>
              <w:t>Attendance of young people in detention in accredited education or training.</w:t>
            </w:r>
          </w:p>
          <w:p w:rsidR="00A53D7D" w:rsidRPr="00560216" w:rsidRDefault="00A53D7D" w:rsidP="005140B4">
            <w:pPr>
              <w:pStyle w:val="Tabletext"/>
              <w:ind w:left="0" w:firstLine="0"/>
              <w:rPr>
                <w:sz w:val="19"/>
                <w:szCs w:val="19"/>
              </w:rPr>
            </w:pPr>
            <w:r w:rsidRPr="00560216">
              <w:rPr>
                <w:sz w:val="19"/>
                <w:szCs w:val="19"/>
              </w:rPr>
              <w:t>Children in out of home care meeting literacy and numeracy benchmarks.</w:t>
            </w:r>
          </w:p>
        </w:tc>
        <w:tc>
          <w:tcPr>
            <w:tcW w:w="2597" w:type="dxa"/>
            <w:tcBorders>
              <w:top w:val="single" w:sz="6" w:space="0" w:color="auto"/>
              <w:bottom w:val="single" w:sz="6" w:space="0" w:color="auto"/>
            </w:tcBorders>
          </w:tcPr>
          <w:p w:rsidR="00A53D7D" w:rsidRPr="00560216" w:rsidRDefault="00A53D7D" w:rsidP="005140B4">
            <w:pPr>
              <w:pStyle w:val="Tabletext"/>
              <w:ind w:left="0" w:firstLine="0"/>
              <w:rPr>
                <w:sz w:val="19"/>
                <w:szCs w:val="19"/>
              </w:rPr>
            </w:pPr>
            <w:r w:rsidRPr="00560216">
              <w:rPr>
                <w:sz w:val="19"/>
                <w:szCs w:val="19"/>
              </w:rPr>
              <w:t>Disability Services</w:t>
            </w:r>
          </w:p>
          <w:p w:rsidR="00A53D7D" w:rsidRPr="00560216" w:rsidRDefault="00A53D7D" w:rsidP="005140B4">
            <w:pPr>
              <w:pStyle w:val="Tabletext"/>
              <w:ind w:left="0" w:firstLine="0"/>
              <w:rPr>
                <w:sz w:val="19"/>
                <w:szCs w:val="19"/>
              </w:rPr>
            </w:pPr>
            <w:r w:rsidRPr="00560216">
              <w:rPr>
                <w:sz w:val="19"/>
                <w:szCs w:val="19"/>
              </w:rPr>
              <w:t>Child Protection and Family Services</w:t>
            </w:r>
          </w:p>
          <w:p w:rsidR="00A53D7D" w:rsidRPr="00560216" w:rsidRDefault="00A53D7D" w:rsidP="005140B4">
            <w:pPr>
              <w:pStyle w:val="Tabletext"/>
              <w:ind w:left="0" w:firstLine="0"/>
              <w:rPr>
                <w:sz w:val="19"/>
                <w:szCs w:val="19"/>
              </w:rPr>
            </w:pPr>
            <w:r w:rsidRPr="00560216">
              <w:rPr>
                <w:sz w:val="19"/>
                <w:szCs w:val="19"/>
              </w:rPr>
              <w:t>Youth Justice Custodial Services</w:t>
            </w:r>
          </w:p>
          <w:p w:rsidR="00A53D7D" w:rsidRPr="00560216" w:rsidRDefault="00A53D7D" w:rsidP="005140B4">
            <w:pPr>
              <w:pStyle w:val="Tabletext"/>
              <w:ind w:left="0" w:firstLine="0"/>
              <w:rPr>
                <w:sz w:val="19"/>
                <w:szCs w:val="19"/>
              </w:rPr>
            </w:pPr>
            <w:r w:rsidRPr="00560216">
              <w:rPr>
                <w:sz w:val="19"/>
                <w:szCs w:val="19"/>
              </w:rPr>
              <w:t>Community based Services</w:t>
            </w:r>
          </w:p>
          <w:p w:rsidR="00A53D7D" w:rsidRPr="00560216" w:rsidRDefault="00A53D7D" w:rsidP="005140B4">
            <w:pPr>
              <w:pStyle w:val="Tabletext"/>
              <w:ind w:left="0" w:firstLine="0"/>
              <w:rPr>
                <w:sz w:val="19"/>
                <w:szCs w:val="19"/>
              </w:rPr>
            </w:pPr>
            <w:r w:rsidRPr="00560216">
              <w:rPr>
                <w:sz w:val="19"/>
                <w:szCs w:val="19"/>
              </w:rPr>
              <w:t>Youth Affairs</w:t>
            </w:r>
          </w:p>
          <w:p w:rsidR="00A53D7D" w:rsidRPr="00560216" w:rsidRDefault="00A53D7D" w:rsidP="005140B4">
            <w:pPr>
              <w:pStyle w:val="Tabletext"/>
              <w:ind w:left="0" w:firstLine="0"/>
              <w:rPr>
                <w:sz w:val="19"/>
                <w:szCs w:val="19"/>
              </w:rPr>
            </w:pPr>
            <w:r w:rsidRPr="00560216">
              <w:rPr>
                <w:sz w:val="19"/>
                <w:szCs w:val="19"/>
              </w:rPr>
              <w:t>Women’s Affairs</w:t>
            </w:r>
          </w:p>
          <w:p w:rsidR="00A53D7D" w:rsidRPr="00560216" w:rsidRDefault="00A53D7D" w:rsidP="005140B4">
            <w:pPr>
              <w:pStyle w:val="Tabletext"/>
              <w:ind w:left="0" w:firstLine="0"/>
              <w:rPr>
                <w:sz w:val="19"/>
                <w:szCs w:val="19"/>
              </w:rPr>
            </w:pPr>
            <w:r w:rsidRPr="00560216">
              <w:rPr>
                <w:sz w:val="19"/>
                <w:szCs w:val="19"/>
              </w:rPr>
              <w:t>Office for Disability</w:t>
            </w:r>
          </w:p>
          <w:p w:rsidR="00A53D7D" w:rsidRPr="00560216" w:rsidRDefault="00A53D7D" w:rsidP="005140B4">
            <w:pPr>
              <w:pStyle w:val="Tabletext"/>
              <w:ind w:left="0" w:firstLine="0"/>
              <w:rPr>
                <w:sz w:val="19"/>
                <w:szCs w:val="19"/>
              </w:rPr>
            </w:pPr>
            <w:r w:rsidRPr="00560216">
              <w:rPr>
                <w:sz w:val="19"/>
                <w:szCs w:val="19"/>
              </w:rPr>
              <w:t>Community Participation</w:t>
            </w:r>
          </w:p>
        </w:tc>
      </w:tr>
      <w:tr w:rsidR="00A53D7D" w:rsidRPr="00560216" w:rsidTr="005140B4">
        <w:trPr>
          <w:cantSplit/>
        </w:trPr>
        <w:tc>
          <w:tcPr>
            <w:tcW w:w="2595" w:type="dxa"/>
            <w:tcBorders>
              <w:top w:val="single" w:sz="6" w:space="0" w:color="auto"/>
              <w:bottom w:val="single" w:sz="12" w:space="0" w:color="auto"/>
            </w:tcBorders>
            <w:shd w:val="clear" w:color="auto" w:fill="auto"/>
          </w:tcPr>
          <w:p w:rsidR="00A53D7D" w:rsidRPr="00560216" w:rsidRDefault="00A53D7D" w:rsidP="005140B4">
            <w:pPr>
              <w:pStyle w:val="Tabletext"/>
              <w:ind w:left="0" w:firstLine="0"/>
              <w:rPr>
                <w:b/>
                <w:sz w:val="19"/>
                <w:szCs w:val="19"/>
              </w:rPr>
            </w:pPr>
            <w:r w:rsidRPr="00560216">
              <w:rPr>
                <w:b/>
                <w:sz w:val="19"/>
                <w:szCs w:val="19"/>
              </w:rPr>
              <w:t>Quality of life</w:t>
            </w:r>
          </w:p>
          <w:p w:rsidR="00A53D7D" w:rsidRPr="00560216" w:rsidRDefault="00A53D7D" w:rsidP="005140B4">
            <w:pPr>
              <w:pStyle w:val="Tabletext"/>
              <w:ind w:left="0" w:firstLine="0"/>
              <w:rPr>
                <w:sz w:val="19"/>
                <w:szCs w:val="19"/>
              </w:rPr>
            </w:pPr>
            <w:r w:rsidRPr="00560216">
              <w:rPr>
                <w:sz w:val="19"/>
                <w:szCs w:val="19"/>
              </w:rPr>
              <w:t>With its partners, the Department provides services to support people in need to enjoy a positive life.</w:t>
            </w:r>
          </w:p>
        </w:tc>
        <w:tc>
          <w:tcPr>
            <w:tcW w:w="2597" w:type="dxa"/>
            <w:tcBorders>
              <w:top w:val="single" w:sz="6" w:space="0" w:color="auto"/>
              <w:bottom w:val="single" w:sz="12" w:space="0" w:color="auto"/>
            </w:tcBorders>
            <w:shd w:val="clear" w:color="auto" w:fill="auto"/>
          </w:tcPr>
          <w:p w:rsidR="00A53D7D" w:rsidRPr="00560216" w:rsidRDefault="00A53D7D" w:rsidP="005140B4">
            <w:pPr>
              <w:pStyle w:val="Tabletext"/>
              <w:ind w:left="0" w:firstLine="0"/>
              <w:rPr>
                <w:sz w:val="19"/>
                <w:szCs w:val="19"/>
              </w:rPr>
            </w:pPr>
            <w:r w:rsidRPr="00560216">
              <w:rPr>
                <w:sz w:val="19"/>
                <w:szCs w:val="19"/>
              </w:rPr>
              <w:t>New housing allocations to those in greatest need.</w:t>
            </w:r>
          </w:p>
          <w:p w:rsidR="00A53D7D" w:rsidRPr="00560216" w:rsidRDefault="00A53D7D" w:rsidP="005140B4">
            <w:pPr>
              <w:pStyle w:val="Tabletext"/>
              <w:ind w:left="0" w:firstLine="0"/>
              <w:rPr>
                <w:sz w:val="19"/>
                <w:szCs w:val="19"/>
              </w:rPr>
            </w:pPr>
            <w:r w:rsidRPr="00560216">
              <w:rPr>
                <w:sz w:val="19"/>
                <w:szCs w:val="19"/>
              </w:rPr>
              <w:t>Efficient management of housing stock (including occupancy rate and turnaround time).</w:t>
            </w:r>
          </w:p>
          <w:p w:rsidR="00A53D7D" w:rsidRPr="00560216" w:rsidRDefault="00A53D7D" w:rsidP="005140B4">
            <w:pPr>
              <w:pStyle w:val="Tabletext"/>
              <w:ind w:left="0" w:firstLine="0"/>
              <w:rPr>
                <w:sz w:val="19"/>
                <w:szCs w:val="19"/>
              </w:rPr>
            </w:pPr>
            <w:r w:rsidRPr="00560216">
              <w:rPr>
                <w:sz w:val="19"/>
                <w:szCs w:val="19"/>
              </w:rPr>
              <w:t>Disability clients receiving individualised support to live in the community.</w:t>
            </w:r>
          </w:p>
        </w:tc>
        <w:tc>
          <w:tcPr>
            <w:tcW w:w="2597" w:type="dxa"/>
            <w:tcBorders>
              <w:top w:val="single" w:sz="6" w:space="0" w:color="auto"/>
              <w:bottom w:val="single" w:sz="12" w:space="0" w:color="auto"/>
            </w:tcBorders>
          </w:tcPr>
          <w:p w:rsidR="00A53D7D" w:rsidRPr="00560216" w:rsidRDefault="00A53D7D" w:rsidP="005140B4">
            <w:pPr>
              <w:pStyle w:val="Tabletext"/>
              <w:ind w:left="0" w:firstLine="0"/>
              <w:rPr>
                <w:sz w:val="19"/>
                <w:szCs w:val="19"/>
              </w:rPr>
            </w:pPr>
            <w:r w:rsidRPr="00560216">
              <w:rPr>
                <w:sz w:val="19"/>
                <w:szCs w:val="19"/>
              </w:rPr>
              <w:t>Disability Services</w:t>
            </w:r>
          </w:p>
          <w:p w:rsidR="00A53D7D" w:rsidRPr="00560216" w:rsidRDefault="00A53D7D" w:rsidP="005140B4">
            <w:pPr>
              <w:pStyle w:val="Tabletext"/>
              <w:ind w:left="0" w:firstLine="0"/>
              <w:rPr>
                <w:sz w:val="19"/>
                <w:szCs w:val="19"/>
              </w:rPr>
            </w:pPr>
            <w:r w:rsidRPr="00560216">
              <w:rPr>
                <w:sz w:val="19"/>
                <w:szCs w:val="19"/>
              </w:rPr>
              <w:t>Concessions to Pensioners and Beneficiaries</w:t>
            </w:r>
          </w:p>
          <w:p w:rsidR="00A53D7D" w:rsidRPr="00560216" w:rsidRDefault="00A53D7D" w:rsidP="005140B4">
            <w:pPr>
              <w:pStyle w:val="Tabletext"/>
              <w:ind w:left="0" w:firstLine="0"/>
              <w:rPr>
                <w:sz w:val="19"/>
                <w:szCs w:val="19"/>
              </w:rPr>
            </w:pPr>
            <w:r w:rsidRPr="00560216">
              <w:rPr>
                <w:sz w:val="19"/>
                <w:szCs w:val="19"/>
              </w:rPr>
              <w:t>Housing Assistance</w:t>
            </w:r>
          </w:p>
        </w:tc>
      </w:tr>
    </w:tbl>
    <w:p w:rsidR="00A53D7D" w:rsidRDefault="00A53D7D" w:rsidP="005140B4">
      <w:pPr>
        <w:pStyle w:val="Source"/>
      </w:pPr>
      <w:r>
        <w:t>Source: Department of Human Services</w:t>
      </w:r>
    </w:p>
    <w:p w:rsidR="00A53D7D" w:rsidRDefault="00A53D7D" w:rsidP="005140B4">
      <w:pPr>
        <w:pStyle w:val="Heading2"/>
      </w:pPr>
      <w:r>
        <w:t>Changes to the output structure</w:t>
      </w:r>
    </w:p>
    <w:p w:rsidR="00A53D7D" w:rsidRDefault="00A53D7D" w:rsidP="005140B4">
      <w:r>
        <w:t>The Department has made no changes to its output structure for 2014</w:t>
      </w:r>
      <w:r>
        <w:noBreakHyphen/>
        <w:t>15.</w:t>
      </w:r>
    </w:p>
    <w:p w:rsidR="00A53D7D" w:rsidRDefault="00A53D7D" w:rsidP="005140B4">
      <w:r>
        <w:t xml:space="preserve">The following table summarises the Department’s total output cost. </w:t>
      </w:r>
    </w:p>
    <w:p w:rsidR="00A53D7D" w:rsidRDefault="00A53D7D" w:rsidP="005140B4">
      <w:pPr>
        <w:pStyle w:val="Tableheading"/>
      </w:pPr>
      <w:r>
        <w:t>Table 2.11:</w:t>
      </w:r>
      <w:r>
        <w:tab/>
        <w:t xml:space="preserve">Output summary </w:t>
      </w:r>
    </w:p>
    <w:p w:rsidR="00A53D7D" w:rsidRPr="000670F1"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6"/>
        <w:gridCol w:w="319"/>
        <w:gridCol w:w="601"/>
        <w:gridCol w:w="920"/>
        <w:gridCol w:w="920"/>
        <w:gridCol w:w="1210"/>
      </w:tblGrid>
      <w:tr w:rsidR="00A53D7D" w:rsidRPr="000670F1" w:rsidTr="005140B4">
        <w:tc>
          <w:tcPr>
            <w:tcW w:w="3806" w:type="dxa"/>
            <w:tcBorders>
              <w:top w:val="single" w:sz="4" w:space="0" w:color="auto"/>
              <w:left w:val="single" w:sz="4" w:space="0" w:color="auto"/>
              <w:bottom w:val="nil"/>
              <w:right w:val="nil"/>
            </w:tcBorders>
            <w:shd w:val="clear" w:color="auto" w:fill="000000"/>
          </w:tcPr>
          <w:p w:rsidR="00A53D7D" w:rsidRPr="000670F1" w:rsidRDefault="00A53D7D" w:rsidP="005140B4">
            <w:pPr>
              <w:pStyle w:val="Tabletext"/>
              <w:rPr>
                <w:rFonts w:eastAsiaTheme="minorEastAsia"/>
                <w:lang w:eastAsia="en-AU"/>
              </w:rPr>
            </w:pPr>
          </w:p>
        </w:tc>
        <w:tc>
          <w:tcPr>
            <w:tcW w:w="920" w:type="dxa"/>
            <w:gridSpan w:val="2"/>
            <w:tcBorders>
              <w:top w:val="single" w:sz="4" w:space="0" w:color="auto"/>
              <w:left w:val="nil"/>
              <w:bottom w:val="nil"/>
              <w:right w:val="nil"/>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2013-14</w:t>
            </w:r>
          </w:p>
        </w:tc>
        <w:tc>
          <w:tcPr>
            <w:tcW w:w="920" w:type="dxa"/>
            <w:tcBorders>
              <w:top w:val="single" w:sz="4" w:space="0" w:color="auto"/>
              <w:left w:val="nil"/>
              <w:bottom w:val="nil"/>
              <w:right w:val="nil"/>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2013-14</w:t>
            </w:r>
          </w:p>
        </w:tc>
        <w:tc>
          <w:tcPr>
            <w:tcW w:w="920" w:type="dxa"/>
            <w:tcBorders>
              <w:top w:val="single" w:sz="4" w:space="0" w:color="auto"/>
              <w:left w:val="nil"/>
              <w:bottom w:val="nil"/>
              <w:right w:val="nil"/>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2014-15</w:t>
            </w:r>
          </w:p>
        </w:tc>
        <w:tc>
          <w:tcPr>
            <w:tcW w:w="1210" w:type="dxa"/>
            <w:tcBorders>
              <w:top w:val="single" w:sz="4" w:space="0" w:color="auto"/>
              <w:left w:val="nil"/>
              <w:bottom w:val="nil"/>
              <w:right w:val="single" w:sz="4" w:space="0" w:color="auto"/>
            </w:tcBorders>
            <w:shd w:val="clear" w:color="auto" w:fill="000000"/>
          </w:tcPr>
          <w:p w:rsidR="00A53D7D" w:rsidRPr="000670F1" w:rsidRDefault="00A53D7D" w:rsidP="005140B4">
            <w:pPr>
              <w:pStyle w:val="Tabletextheading"/>
              <w:ind w:left="-149"/>
              <w:rPr>
                <w:rFonts w:eastAsiaTheme="minorEastAsia" w:cs="Calibri"/>
                <w:iCs/>
                <w:color w:val="000000"/>
                <w:lang w:eastAsia="en-AU"/>
              </w:rPr>
            </w:pPr>
            <w:r w:rsidRPr="000670F1">
              <w:rPr>
                <w:rFonts w:eastAsiaTheme="minorEastAsia"/>
                <w:lang w:eastAsia="en-AU"/>
              </w:rPr>
              <w:t>Variation</w:t>
            </w:r>
            <w:r w:rsidRPr="000670F1">
              <w:rPr>
                <w:rFonts w:eastAsiaTheme="minorEastAsia" w:cs="Calibri"/>
                <w:iCs/>
                <w:color w:val="FFFFFF" w:themeColor="background1"/>
                <w:vertAlign w:val="superscript"/>
                <w:lang w:eastAsia="en-AU"/>
              </w:rPr>
              <w:t xml:space="preserve"> (a) (b)</w:t>
            </w:r>
          </w:p>
        </w:tc>
      </w:tr>
      <w:tr w:rsidR="00A53D7D" w:rsidRPr="000670F1" w:rsidTr="005140B4">
        <w:tc>
          <w:tcPr>
            <w:tcW w:w="3806" w:type="dxa"/>
            <w:tcBorders>
              <w:top w:val="nil"/>
              <w:left w:val="single" w:sz="4" w:space="0" w:color="auto"/>
              <w:bottom w:val="single" w:sz="4" w:space="0" w:color="auto"/>
              <w:right w:val="nil"/>
            </w:tcBorders>
            <w:shd w:val="clear" w:color="auto" w:fill="000000"/>
          </w:tcPr>
          <w:p w:rsidR="00A53D7D" w:rsidRPr="000670F1" w:rsidRDefault="00A53D7D" w:rsidP="005140B4">
            <w:pPr>
              <w:pStyle w:val="Tabletext"/>
              <w:rPr>
                <w:rFonts w:eastAsiaTheme="minorEastAsia"/>
                <w:lang w:eastAsia="en-AU"/>
              </w:rPr>
            </w:pPr>
          </w:p>
        </w:tc>
        <w:tc>
          <w:tcPr>
            <w:tcW w:w="920" w:type="dxa"/>
            <w:gridSpan w:val="2"/>
            <w:tcBorders>
              <w:top w:val="nil"/>
              <w:left w:val="nil"/>
              <w:bottom w:val="single" w:sz="4" w:space="0" w:color="auto"/>
              <w:right w:val="nil"/>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Budget</w:t>
            </w:r>
          </w:p>
        </w:tc>
        <w:tc>
          <w:tcPr>
            <w:tcW w:w="920" w:type="dxa"/>
            <w:tcBorders>
              <w:top w:val="nil"/>
              <w:left w:val="nil"/>
              <w:bottom w:val="single" w:sz="4" w:space="0" w:color="auto"/>
              <w:right w:val="nil"/>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Revised</w:t>
            </w:r>
          </w:p>
        </w:tc>
        <w:tc>
          <w:tcPr>
            <w:tcW w:w="920" w:type="dxa"/>
            <w:tcBorders>
              <w:top w:val="nil"/>
              <w:left w:val="nil"/>
              <w:bottom w:val="single" w:sz="4" w:space="0" w:color="auto"/>
              <w:right w:val="nil"/>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Budget</w:t>
            </w:r>
          </w:p>
        </w:tc>
        <w:tc>
          <w:tcPr>
            <w:tcW w:w="1210" w:type="dxa"/>
            <w:tcBorders>
              <w:top w:val="nil"/>
              <w:left w:val="nil"/>
              <w:bottom w:val="single" w:sz="4" w:space="0" w:color="auto"/>
              <w:right w:val="single" w:sz="4" w:space="0" w:color="auto"/>
            </w:tcBorders>
            <w:shd w:val="clear" w:color="auto" w:fill="000000"/>
          </w:tcPr>
          <w:p w:rsidR="00A53D7D" w:rsidRPr="000670F1" w:rsidRDefault="00A53D7D" w:rsidP="005140B4">
            <w:pPr>
              <w:pStyle w:val="Tabletextheading"/>
              <w:rPr>
                <w:rFonts w:eastAsiaTheme="minorEastAsia" w:cs="Calibri"/>
                <w:iCs/>
                <w:color w:val="000000"/>
                <w:lang w:eastAsia="en-AU"/>
              </w:rPr>
            </w:pPr>
            <w:r w:rsidRPr="000670F1">
              <w:rPr>
                <w:rFonts w:eastAsiaTheme="minorEastAsia" w:cs="Calibri"/>
                <w:iCs/>
                <w:color w:val="FFFFFF" w:themeColor="background1"/>
                <w:lang w:eastAsia="en-AU"/>
              </w:rPr>
              <w:t>%</w:t>
            </w:r>
          </w:p>
        </w:tc>
      </w:tr>
      <w:tr w:rsidR="00A53D7D" w:rsidRPr="000670F1" w:rsidTr="005140B4">
        <w:tc>
          <w:tcPr>
            <w:tcW w:w="3806" w:type="dxa"/>
            <w:tcBorders>
              <w:top w:val="single" w:sz="4" w:space="0" w:color="auto"/>
              <w:left w:val="nil"/>
              <w:bottom w:val="nil"/>
              <w:right w:val="nil"/>
            </w:tcBorders>
          </w:tcPr>
          <w:p w:rsidR="00A53D7D" w:rsidRPr="000670F1" w:rsidRDefault="00A53D7D" w:rsidP="005140B4">
            <w:pPr>
              <w:pStyle w:val="Tabletext"/>
              <w:rPr>
                <w:rFonts w:eastAsiaTheme="minorEastAsia" w:cs="Calibri"/>
                <w:color w:val="000000"/>
                <w:lang w:eastAsia="en-AU"/>
              </w:rPr>
            </w:pPr>
            <w:r w:rsidRPr="000670F1">
              <w:rPr>
                <w:rFonts w:eastAsiaTheme="minorEastAsia"/>
                <w:lang w:eastAsia="en-AU"/>
              </w:rPr>
              <w:t xml:space="preserve">Disability Services </w:t>
            </w:r>
            <w:r w:rsidRPr="000670F1">
              <w:rPr>
                <w:rFonts w:eastAsiaTheme="minorEastAsia" w:cs="Calibri"/>
                <w:color w:val="000000"/>
                <w:vertAlign w:val="superscript"/>
                <w:lang w:eastAsia="en-AU"/>
              </w:rPr>
              <w:t xml:space="preserve">(c) </w:t>
            </w:r>
          </w:p>
        </w:tc>
        <w:tc>
          <w:tcPr>
            <w:tcW w:w="920" w:type="dxa"/>
            <w:gridSpan w:val="2"/>
            <w:tcBorders>
              <w:top w:val="single" w:sz="4" w:space="0" w:color="auto"/>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1 587.7</w:t>
            </w:r>
          </w:p>
        </w:tc>
        <w:tc>
          <w:tcPr>
            <w:tcW w:w="920" w:type="dxa"/>
            <w:tcBorders>
              <w:top w:val="single" w:sz="4" w:space="0" w:color="auto"/>
              <w:left w:val="nil"/>
              <w:bottom w:val="nil"/>
              <w:right w:val="nil"/>
            </w:tcBorders>
          </w:tcPr>
          <w:p w:rsidR="00A53D7D" w:rsidRPr="000670F1" w:rsidRDefault="00A53D7D" w:rsidP="005140B4">
            <w:pPr>
              <w:pStyle w:val="TableofFigures"/>
              <w:rPr>
                <w:rFonts w:eastAsiaTheme="minorEastAsia" w:cs="Calibri"/>
                <w:color w:val="000000"/>
                <w:lang w:eastAsia="en-AU"/>
              </w:rPr>
            </w:pPr>
            <w:r w:rsidRPr="000670F1">
              <w:rPr>
                <w:rFonts w:eastAsiaTheme="minorEastAsia"/>
                <w:lang w:eastAsia="en-AU"/>
              </w:rPr>
              <w:t>1</w:t>
            </w:r>
            <w:r w:rsidRPr="000670F1">
              <w:rPr>
                <w:rFonts w:eastAsiaTheme="minorEastAsia" w:cs="Calibri"/>
                <w:color w:val="000000"/>
                <w:lang w:eastAsia="en-AU"/>
              </w:rPr>
              <w:t xml:space="preserve"> 578.0</w:t>
            </w:r>
          </w:p>
        </w:tc>
        <w:tc>
          <w:tcPr>
            <w:tcW w:w="920" w:type="dxa"/>
            <w:tcBorders>
              <w:top w:val="single" w:sz="4" w:space="0" w:color="auto"/>
              <w:left w:val="nil"/>
              <w:bottom w:val="nil"/>
              <w:right w:val="nil"/>
            </w:tcBorders>
          </w:tcPr>
          <w:p w:rsidR="00A53D7D" w:rsidRPr="000670F1" w:rsidRDefault="00A53D7D" w:rsidP="005140B4">
            <w:pPr>
              <w:pStyle w:val="TableofFigures"/>
              <w:rPr>
                <w:rFonts w:eastAsiaTheme="minorEastAsia" w:cs="Calibri"/>
                <w:color w:val="000000"/>
                <w:lang w:eastAsia="en-AU"/>
              </w:rPr>
            </w:pPr>
            <w:r w:rsidRPr="000670F1">
              <w:rPr>
                <w:rFonts w:eastAsiaTheme="minorEastAsia"/>
                <w:lang w:eastAsia="en-AU"/>
              </w:rPr>
              <w:t>1</w:t>
            </w:r>
            <w:r w:rsidRPr="000670F1">
              <w:rPr>
                <w:rFonts w:eastAsiaTheme="minorEastAsia" w:cs="Calibri"/>
                <w:color w:val="000000"/>
                <w:lang w:eastAsia="en-AU"/>
              </w:rPr>
              <w:t xml:space="preserve"> 677.3</w:t>
            </w:r>
          </w:p>
        </w:tc>
        <w:tc>
          <w:tcPr>
            <w:tcW w:w="1210" w:type="dxa"/>
            <w:tcBorders>
              <w:top w:val="single" w:sz="4" w:space="0" w:color="auto"/>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5.6</w:t>
            </w:r>
          </w:p>
        </w:tc>
      </w:tr>
      <w:tr w:rsidR="00A53D7D" w:rsidRPr="000670F1" w:rsidTr="005140B4">
        <w:tc>
          <w:tcPr>
            <w:tcW w:w="3806" w:type="dxa"/>
            <w:tcBorders>
              <w:top w:val="nil"/>
              <w:left w:val="nil"/>
              <w:bottom w:val="nil"/>
              <w:right w:val="nil"/>
            </w:tcBorders>
          </w:tcPr>
          <w:p w:rsidR="00A53D7D" w:rsidRPr="000670F1" w:rsidRDefault="00A53D7D" w:rsidP="005140B4">
            <w:pPr>
              <w:pStyle w:val="Tabletext"/>
              <w:rPr>
                <w:rFonts w:eastAsiaTheme="minorEastAsia" w:cs="Calibri"/>
                <w:color w:val="000000"/>
                <w:lang w:eastAsia="en-AU"/>
              </w:rPr>
            </w:pPr>
            <w:r w:rsidRPr="000670F1">
              <w:rPr>
                <w:rFonts w:eastAsiaTheme="minorEastAsia"/>
                <w:lang w:eastAsia="en-AU"/>
              </w:rPr>
              <w:t xml:space="preserve">Child Protection and Family Services </w:t>
            </w:r>
            <w:r w:rsidRPr="000670F1">
              <w:rPr>
                <w:rFonts w:eastAsiaTheme="minorEastAsia" w:cs="Calibri"/>
                <w:color w:val="000000"/>
                <w:vertAlign w:val="superscript"/>
                <w:lang w:eastAsia="en-AU"/>
              </w:rPr>
              <w:t>(d)</w:t>
            </w:r>
          </w:p>
        </w:tc>
        <w:tc>
          <w:tcPr>
            <w:tcW w:w="920" w:type="dxa"/>
            <w:gridSpan w:val="2"/>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795.3</w:t>
            </w:r>
          </w:p>
        </w:tc>
        <w:tc>
          <w:tcPr>
            <w:tcW w:w="920" w:type="dxa"/>
            <w:tcBorders>
              <w:top w:val="nil"/>
              <w:left w:val="nil"/>
              <w:bottom w:val="nil"/>
              <w:right w:val="nil"/>
            </w:tcBorders>
          </w:tcPr>
          <w:p w:rsidR="00A53D7D" w:rsidRPr="000670F1" w:rsidRDefault="00A53D7D" w:rsidP="005140B4">
            <w:pPr>
              <w:pStyle w:val="TableofFigures"/>
              <w:rPr>
                <w:rFonts w:eastAsiaTheme="minorEastAsia" w:cs="Calibri"/>
                <w:color w:val="000000"/>
                <w:lang w:eastAsia="en-AU"/>
              </w:rPr>
            </w:pPr>
            <w:r w:rsidRPr="000670F1">
              <w:rPr>
                <w:rFonts w:eastAsiaTheme="minorEastAsia"/>
                <w:lang w:eastAsia="en-AU"/>
              </w:rPr>
              <w:t>793.1</w:t>
            </w:r>
          </w:p>
        </w:tc>
        <w:tc>
          <w:tcPr>
            <w:tcW w:w="920" w:type="dxa"/>
            <w:tcBorders>
              <w:top w:val="nil"/>
              <w:left w:val="nil"/>
              <w:bottom w:val="nil"/>
              <w:right w:val="nil"/>
            </w:tcBorders>
          </w:tcPr>
          <w:p w:rsidR="00A53D7D" w:rsidRPr="000670F1" w:rsidRDefault="00A53D7D" w:rsidP="005140B4">
            <w:pPr>
              <w:pStyle w:val="TableofFigures"/>
              <w:rPr>
                <w:rFonts w:eastAsiaTheme="minorEastAsia" w:cs="Calibri"/>
                <w:color w:val="000000"/>
                <w:lang w:eastAsia="en-AU"/>
              </w:rPr>
            </w:pPr>
            <w:r w:rsidRPr="000670F1">
              <w:rPr>
                <w:rFonts w:eastAsiaTheme="minorEastAsia"/>
                <w:lang w:eastAsia="en-AU"/>
              </w:rPr>
              <w:t>847.1</w:t>
            </w:r>
          </w:p>
        </w:tc>
        <w:tc>
          <w:tcPr>
            <w:tcW w:w="1210"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6.5</w:t>
            </w:r>
          </w:p>
        </w:tc>
      </w:tr>
      <w:tr w:rsidR="00A53D7D" w:rsidRPr="000670F1" w:rsidTr="005140B4">
        <w:tc>
          <w:tcPr>
            <w:tcW w:w="3806" w:type="dxa"/>
            <w:tcBorders>
              <w:top w:val="nil"/>
              <w:left w:val="nil"/>
              <w:bottom w:val="nil"/>
              <w:right w:val="nil"/>
            </w:tcBorders>
          </w:tcPr>
          <w:p w:rsidR="00A53D7D" w:rsidRPr="000670F1" w:rsidRDefault="00A53D7D" w:rsidP="005140B4">
            <w:pPr>
              <w:pStyle w:val="Tabletext"/>
              <w:rPr>
                <w:rFonts w:eastAsiaTheme="minorEastAsia" w:cs="Calibri"/>
                <w:color w:val="000000"/>
                <w:lang w:eastAsia="en-AU"/>
              </w:rPr>
            </w:pPr>
            <w:r w:rsidRPr="000670F1">
              <w:rPr>
                <w:rFonts w:eastAsiaTheme="minorEastAsia"/>
                <w:lang w:eastAsia="en-AU"/>
              </w:rPr>
              <w:t xml:space="preserve">Youth Services and Youth Justice </w:t>
            </w:r>
            <w:r w:rsidRPr="000670F1">
              <w:rPr>
                <w:rFonts w:eastAsiaTheme="minorEastAsia" w:cs="Calibri"/>
                <w:color w:val="000000"/>
                <w:vertAlign w:val="superscript"/>
                <w:lang w:eastAsia="en-AU"/>
              </w:rPr>
              <w:t xml:space="preserve">(e) </w:t>
            </w:r>
          </w:p>
        </w:tc>
        <w:tc>
          <w:tcPr>
            <w:tcW w:w="920" w:type="dxa"/>
            <w:gridSpan w:val="2"/>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136.3</w:t>
            </w:r>
          </w:p>
        </w:tc>
        <w:tc>
          <w:tcPr>
            <w:tcW w:w="920" w:type="dxa"/>
            <w:tcBorders>
              <w:top w:val="nil"/>
              <w:left w:val="nil"/>
              <w:bottom w:val="nil"/>
              <w:right w:val="nil"/>
            </w:tcBorders>
          </w:tcPr>
          <w:p w:rsidR="00A53D7D" w:rsidRPr="000670F1" w:rsidRDefault="00A53D7D" w:rsidP="005140B4">
            <w:pPr>
              <w:pStyle w:val="TableofFigures"/>
              <w:rPr>
                <w:rFonts w:eastAsiaTheme="minorEastAsia" w:cs="Calibri"/>
                <w:color w:val="000000"/>
                <w:lang w:eastAsia="en-AU"/>
              </w:rPr>
            </w:pPr>
            <w:r w:rsidRPr="000670F1">
              <w:rPr>
                <w:rFonts w:eastAsiaTheme="minorEastAsia"/>
                <w:lang w:eastAsia="en-AU"/>
              </w:rPr>
              <w:t>135</w:t>
            </w:r>
          </w:p>
        </w:tc>
        <w:tc>
          <w:tcPr>
            <w:tcW w:w="920" w:type="dxa"/>
            <w:tcBorders>
              <w:top w:val="nil"/>
              <w:left w:val="nil"/>
              <w:bottom w:val="nil"/>
              <w:right w:val="nil"/>
            </w:tcBorders>
          </w:tcPr>
          <w:p w:rsidR="00A53D7D" w:rsidRPr="000670F1" w:rsidRDefault="00A53D7D" w:rsidP="005140B4">
            <w:pPr>
              <w:pStyle w:val="TableofFigures"/>
              <w:rPr>
                <w:rFonts w:eastAsiaTheme="minorEastAsia" w:cs="Calibri"/>
                <w:color w:val="000000"/>
                <w:lang w:eastAsia="en-AU"/>
              </w:rPr>
            </w:pPr>
            <w:r w:rsidRPr="000670F1">
              <w:rPr>
                <w:rFonts w:eastAsiaTheme="minorEastAsia"/>
                <w:lang w:eastAsia="en-AU"/>
              </w:rPr>
              <w:t>141.1</w:t>
            </w:r>
          </w:p>
        </w:tc>
        <w:tc>
          <w:tcPr>
            <w:tcW w:w="1210"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3.5</w:t>
            </w:r>
          </w:p>
        </w:tc>
      </w:tr>
      <w:tr w:rsidR="00A53D7D" w:rsidRPr="000670F1" w:rsidTr="005140B4">
        <w:tc>
          <w:tcPr>
            <w:tcW w:w="4125" w:type="dxa"/>
            <w:gridSpan w:val="2"/>
            <w:tcBorders>
              <w:top w:val="nil"/>
              <w:left w:val="nil"/>
              <w:bottom w:val="nil"/>
              <w:right w:val="nil"/>
            </w:tcBorders>
          </w:tcPr>
          <w:p w:rsidR="00A53D7D" w:rsidRPr="000670F1" w:rsidRDefault="00A53D7D" w:rsidP="005140B4">
            <w:pPr>
              <w:pStyle w:val="Tabletext"/>
              <w:rPr>
                <w:rFonts w:eastAsiaTheme="minorEastAsia" w:cs="Calibri"/>
                <w:color w:val="000000"/>
                <w:lang w:eastAsia="en-AU"/>
              </w:rPr>
            </w:pPr>
            <w:r w:rsidRPr="000670F1">
              <w:rPr>
                <w:rFonts w:eastAsiaTheme="minorEastAsia"/>
                <w:lang w:eastAsia="en-AU"/>
              </w:rPr>
              <w:t xml:space="preserve">Concessions to Pensioners and Beneficiaries </w:t>
            </w:r>
            <w:r w:rsidRPr="000670F1">
              <w:rPr>
                <w:rFonts w:eastAsiaTheme="minorEastAsia" w:cs="Calibri"/>
                <w:color w:val="000000"/>
                <w:vertAlign w:val="superscript"/>
                <w:lang w:eastAsia="en-AU"/>
              </w:rPr>
              <w:t>(f) (g)</w:t>
            </w:r>
          </w:p>
        </w:tc>
        <w:tc>
          <w:tcPr>
            <w:tcW w:w="601"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670.2</w:t>
            </w:r>
          </w:p>
        </w:tc>
        <w:tc>
          <w:tcPr>
            <w:tcW w:w="920" w:type="dxa"/>
            <w:tcBorders>
              <w:top w:val="nil"/>
              <w:left w:val="nil"/>
              <w:bottom w:val="nil"/>
              <w:right w:val="nil"/>
            </w:tcBorders>
          </w:tcPr>
          <w:p w:rsidR="00A53D7D" w:rsidRPr="000670F1" w:rsidRDefault="00A53D7D" w:rsidP="005140B4">
            <w:pPr>
              <w:pStyle w:val="TableofFigures"/>
              <w:rPr>
                <w:rFonts w:eastAsiaTheme="minorEastAsia" w:cs="Calibri"/>
                <w:color w:val="000000"/>
                <w:lang w:eastAsia="en-AU"/>
              </w:rPr>
            </w:pPr>
            <w:r w:rsidRPr="000670F1">
              <w:rPr>
                <w:rFonts w:eastAsiaTheme="minorEastAsia"/>
                <w:lang w:eastAsia="en-AU"/>
              </w:rPr>
              <w:t>671.4</w:t>
            </w:r>
          </w:p>
        </w:tc>
        <w:tc>
          <w:tcPr>
            <w:tcW w:w="920" w:type="dxa"/>
            <w:tcBorders>
              <w:top w:val="nil"/>
              <w:left w:val="nil"/>
              <w:bottom w:val="nil"/>
              <w:right w:val="nil"/>
            </w:tcBorders>
          </w:tcPr>
          <w:p w:rsidR="00A53D7D" w:rsidRPr="000670F1" w:rsidRDefault="00A53D7D" w:rsidP="005140B4">
            <w:pPr>
              <w:pStyle w:val="TableofFigures"/>
              <w:rPr>
                <w:rFonts w:eastAsiaTheme="minorEastAsia" w:cs="Calibri"/>
                <w:color w:val="000000"/>
                <w:lang w:eastAsia="en-AU"/>
              </w:rPr>
            </w:pPr>
            <w:r w:rsidRPr="000670F1">
              <w:rPr>
                <w:rFonts w:eastAsiaTheme="minorEastAsia"/>
                <w:lang w:eastAsia="en-AU"/>
              </w:rPr>
              <w:t>718.1</w:t>
            </w:r>
          </w:p>
        </w:tc>
        <w:tc>
          <w:tcPr>
            <w:tcW w:w="1210"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7.1</w:t>
            </w:r>
          </w:p>
        </w:tc>
      </w:tr>
      <w:tr w:rsidR="00A53D7D" w:rsidRPr="000670F1" w:rsidTr="005140B4">
        <w:tc>
          <w:tcPr>
            <w:tcW w:w="3806" w:type="dxa"/>
            <w:tcBorders>
              <w:top w:val="nil"/>
              <w:left w:val="nil"/>
              <w:bottom w:val="nil"/>
              <w:right w:val="nil"/>
            </w:tcBorders>
          </w:tcPr>
          <w:p w:rsidR="00A53D7D" w:rsidRPr="000670F1" w:rsidRDefault="00A53D7D" w:rsidP="005140B4">
            <w:pPr>
              <w:pStyle w:val="Tabletext"/>
              <w:rPr>
                <w:rFonts w:eastAsiaTheme="minorEastAsia" w:cs="Calibri"/>
                <w:color w:val="000000"/>
                <w:lang w:eastAsia="en-AU"/>
              </w:rPr>
            </w:pPr>
            <w:r w:rsidRPr="000670F1">
              <w:rPr>
                <w:rFonts w:eastAsiaTheme="minorEastAsia"/>
                <w:lang w:eastAsia="en-AU"/>
              </w:rPr>
              <w:t xml:space="preserve">Housing Assistance </w:t>
            </w:r>
            <w:r w:rsidRPr="000670F1">
              <w:rPr>
                <w:rFonts w:eastAsiaTheme="minorEastAsia" w:cs="Calibri"/>
                <w:color w:val="000000"/>
                <w:vertAlign w:val="superscript"/>
                <w:lang w:eastAsia="en-AU"/>
              </w:rPr>
              <w:t>(h)</w:t>
            </w:r>
          </w:p>
        </w:tc>
        <w:tc>
          <w:tcPr>
            <w:tcW w:w="920" w:type="dxa"/>
            <w:gridSpan w:val="2"/>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387.0</w:t>
            </w:r>
          </w:p>
        </w:tc>
        <w:tc>
          <w:tcPr>
            <w:tcW w:w="920" w:type="dxa"/>
            <w:tcBorders>
              <w:top w:val="nil"/>
              <w:left w:val="nil"/>
              <w:bottom w:val="nil"/>
              <w:right w:val="nil"/>
            </w:tcBorders>
          </w:tcPr>
          <w:p w:rsidR="00A53D7D" w:rsidRPr="000670F1" w:rsidRDefault="00A53D7D" w:rsidP="005140B4">
            <w:pPr>
              <w:pStyle w:val="TableofFigures"/>
              <w:rPr>
                <w:rFonts w:eastAsiaTheme="minorEastAsia" w:cs="Calibri"/>
                <w:color w:val="000000"/>
                <w:lang w:eastAsia="en-AU"/>
              </w:rPr>
            </w:pPr>
            <w:r w:rsidRPr="000670F1">
              <w:rPr>
                <w:rFonts w:eastAsiaTheme="minorEastAsia"/>
                <w:lang w:eastAsia="en-AU"/>
              </w:rPr>
              <w:t>411.5</w:t>
            </w:r>
          </w:p>
        </w:tc>
        <w:tc>
          <w:tcPr>
            <w:tcW w:w="920" w:type="dxa"/>
            <w:tcBorders>
              <w:top w:val="nil"/>
              <w:left w:val="nil"/>
              <w:bottom w:val="nil"/>
              <w:right w:val="nil"/>
            </w:tcBorders>
          </w:tcPr>
          <w:p w:rsidR="00A53D7D" w:rsidRPr="000670F1" w:rsidRDefault="00A53D7D" w:rsidP="005140B4">
            <w:pPr>
              <w:pStyle w:val="TableofFigures"/>
              <w:rPr>
                <w:rFonts w:eastAsiaTheme="minorEastAsia" w:cs="Calibri"/>
                <w:color w:val="000000"/>
                <w:lang w:eastAsia="en-AU"/>
              </w:rPr>
            </w:pPr>
            <w:r w:rsidRPr="000670F1">
              <w:rPr>
                <w:rFonts w:eastAsiaTheme="minorEastAsia"/>
                <w:lang w:eastAsia="en-AU"/>
              </w:rPr>
              <w:t>398.9</w:t>
            </w:r>
          </w:p>
        </w:tc>
        <w:tc>
          <w:tcPr>
            <w:tcW w:w="1210"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3.1</w:t>
            </w:r>
          </w:p>
        </w:tc>
      </w:tr>
      <w:tr w:rsidR="00A53D7D" w:rsidRPr="000670F1" w:rsidTr="005140B4">
        <w:tc>
          <w:tcPr>
            <w:tcW w:w="3806" w:type="dxa"/>
            <w:tcBorders>
              <w:top w:val="nil"/>
              <w:left w:val="nil"/>
              <w:bottom w:val="nil"/>
              <w:right w:val="nil"/>
            </w:tcBorders>
          </w:tcPr>
          <w:p w:rsidR="00A53D7D" w:rsidRPr="000670F1" w:rsidRDefault="00A53D7D" w:rsidP="005140B4">
            <w:pPr>
              <w:pStyle w:val="Tabletext"/>
              <w:rPr>
                <w:rFonts w:eastAsiaTheme="minorEastAsia" w:cs="Calibri"/>
                <w:color w:val="000000"/>
                <w:lang w:eastAsia="en-AU"/>
              </w:rPr>
            </w:pPr>
            <w:r w:rsidRPr="000670F1">
              <w:rPr>
                <w:rFonts w:eastAsiaTheme="minorEastAsia"/>
                <w:lang w:eastAsia="en-AU"/>
              </w:rPr>
              <w:t xml:space="preserve">Empowering Individuals and Communities </w:t>
            </w:r>
            <w:r w:rsidRPr="000670F1">
              <w:rPr>
                <w:rFonts w:eastAsiaTheme="minorEastAsia" w:cs="Calibri"/>
                <w:color w:val="000000"/>
                <w:vertAlign w:val="superscript"/>
                <w:lang w:eastAsia="en-AU"/>
              </w:rPr>
              <w:t>(</w:t>
            </w:r>
            <w:proofErr w:type="spellStart"/>
            <w:r w:rsidRPr="000670F1">
              <w:rPr>
                <w:rFonts w:eastAsiaTheme="minorEastAsia" w:cs="Calibri"/>
                <w:color w:val="000000"/>
                <w:vertAlign w:val="superscript"/>
                <w:lang w:eastAsia="en-AU"/>
              </w:rPr>
              <w:t>i</w:t>
            </w:r>
            <w:proofErr w:type="spellEnd"/>
            <w:r w:rsidRPr="000670F1">
              <w:rPr>
                <w:rFonts w:eastAsiaTheme="minorEastAsia" w:cs="Calibri"/>
                <w:color w:val="000000"/>
                <w:vertAlign w:val="superscript"/>
                <w:lang w:eastAsia="en-AU"/>
              </w:rPr>
              <w:t>)</w:t>
            </w:r>
          </w:p>
        </w:tc>
        <w:tc>
          <w:tcPr>
            <w:tcW w:w="920" w:type="dxa"/>
            <w:gridSpan w:val="2"/>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69.9</w:t>
            </w:r>
          </w:p>
        </w:tc>
        <w:tc>
          <w:tcPr>
            <w:tcW w:w="920" w:type="dxa"/>
            <w:tcBorders>
              <w:top w:val="nil"/>
              <w:left w:val="nil"/>
              <w:bottom w:val="nil"/>
              <w:right w:val="nil"/>
            </w:tcBorders>
          </w:tcPr>
          <w:p w:rsidR="00A53D7D" w:rsidRPr="000670F1" w:rsidRDefault="00A53D7D" w:rsidP="005140B4">
            <w:pPr>
              <w:pStyle w:val="TableofFigures"/>
              <w:rPr>
                <w:rFonts w:eastAsiaTheme="minorEastAsia" w:cs="Calibri"/>
                <w:color w:val="000000"/>
                <w:lang w:eastAsia="en-AU"/>
              </w:rPr>
            </w:pPr>
            <w:r w:rsidRPr="000670F1">
              <w:rPr>
                <w:rFonts w:eastAsiaTheme="minorEastAsia"/>
                <w:lang w:eastAsia="en-AU"/>
              </w:rPr>
              <w:t>69</w:t>
            </w:r>
          </w:p>
        </w:tc>
        <w:tc>
          <w:tcPr>
            <w:tcW w:w="920" w:type="dxa"/>
            <w:tcBorders>
              <w:top w:val="nil"/>
              <w:left w:val="nil"/>
              <w:bottom w:val="nil"/>
              <w:right w:val="nil"/>
            </w:tcBorders>
          </w:tcPr>
          <w:p w:rsidR="00A53D7D" w:rsidRPr="000670F1" w:rsidRDefault="00A53D7D" w:rsidP="005140B4">
            <w:pPr>
              <w:pStyle w:val="TableofFigures"/>
              <w:rPr>
                <w:rFonts w:eastAsiaTheme="minorEastAsia" w:cs="Calibri"/>
                <w:color w:val="000000"/>
                <w:lang w:eastAsia="en-AU"/>
              </w:rPr>
            </w:pPr>
            <w:r w:rsidRPr="000670F1">
              <w:rPr>
                <w:rFonts w:eastAsiaTheme="minorEastAsia"/>
                <w:lang w:eastAsia="en-AU"/>
              </w:rPr>
              <w:t>66</w:t>
            </w:r>
          </w:p>
        </w:tc>
        <w:tc>
          <w:tcPr>
            <w:tcW w:w="1210"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-5.6</w:t>
            </w:r>
          </w:p>
        </w:tc>
      </w:tr>
      <w:tr w:rsidR="00A53D7D" w:rsidRPr="000670F1" w:rsidTr="005140B4">
        <w:tc>
          <w:tcPr>
            <w:tcW w:w="3806" w:type="dxa"/>
            <w:tcBorders>
              <w:top w:val="single" w:sz="6" w:space="0" w:color="auto"/>
              <w:left w:val="nil"/>
              <w:bottom w:val="single" w:sz="12" w:space="0" w:color="auto"/>
              <w:right w:val="nil"/>
            </w:tcBorders>
          </w:tcPr>
          <w:p w:rsidR="00A53D7D" w:rsidRPr="000670F1" w:rsidRDefault="00A53D7D" w:rsidP="005140B4">
            <w:pPr>
              <w:pStyle w:val="Tabletext"/>
              <w:rPr>
                <w:rFonts w:eastAsiaTheme="minorEastAsia" w:cs="Calibri"/>
                <w:b/>
                <w:bCs/>
                <w:color w:val="000000"/>
                <w:lang w:eastAsia="en-AU"/>
              </w:rPr>
            </w:pPr>
            <w:r w:rsidRPr="000670F1">
              <w:rPr>
                <w:rFonts w:eastAsiaTheme="minorEastAsia"/>
                <w:b/>
                <w:bCs/>
                <w:lang w:eastAsia="en-AU"/>
              </w:rPr>
              <w:t>Total</w:t>
            </w:r>
            <w:r w:rsidRPr="000670F1">
              <w:rPr>
                <w:rFonts w:eastAsiaTheme="minorEastAsia" w:cs="Calibri"/>
                <w:bCs/>
                <w:color w:val="000000"/>
                <w:vertAlign w:val="superscript"/>
                <w:lang w:eastAsia="en-AU"/>
              </w:rPr>
              <w:t xml:space="preserve"> (j)</w:t>
            </w:r>
          </w:p>
        </w:tc>
        <w:tc>
          <w:tcPr>
            <w:tcW w:w="920" w:type="dxa"/>
            <w:gridSpan w:val="2"/>
            <w:tcBorders>
              <w:top w:val="single" w:sz="6" w:space="0" w:color="auto"/>
              <w:left w:val="nil"/>
              <w:bottom w:val="single" w:sz="12" w:space="0" w:color="auto"/>
              <w:right w:val="nil"/>
            </w:tcBorders>
          </w:tcPr>
          <w:p w:rsidR="00A53D7D" w:rsidRPr="000670F1" w:rsidRDefault="00A53D7D" w:rsidP="005140B4">
            <w:pPr>
              <w:pStyle w:val="TableofFigures"/>
              <w:rPr>
                <w:rFonts w:eastAsiaTheme="minorEastAsia"/>
                <w:b/>
                <w:bCs/>
                <w:lang w:eastAsia="en-AU"/>
              </w:rPr>
            </w:pPr>
            <w:r w:rsidRPr="000670F1">
              <w:rPr>
                <w:rFonts w:eastAsiaTheme="minorEastAsia"/>
                <w:b/>
                <w:bCs/>
                <w:lang w:eastAsia="en-AU"/>
              </w:rPr>
              <w:t>3 646.4</w:t>
            </w:r>
          </w:p>
        </w:tc>
        <w:tc>
          <w:tcPr>
            <w:tcW w:w="920" w:type="dxa"/>
            <w:tcBorders>
              <w:top w:val="single" w:sz="6" w:space="0" w:color="auto"/>
              <w:left w:val="nil"/>
              <w:bottom w:val="single" w:sz="12" w:space="0" w:color="auto"/>
              <w:right w:val="nil"/>
            </w:tcBorders>
          </w:tcPr>
          <w:p w:rsidR="00A53D7D" w:rsidRPr="000670F1" w:rsidRDefault="00A53D7D" w:rsidP="005140B4">
            <w:pPr>
              <w:pStyle w:val="TableofFigures"/>
              <w:rPr>
                <w:rFonts w:eastAsiaTheme="minorEastAsia"/>
                <w:b/>
                <w:bCs/>
                <w:lang w:eastAsia="en-AU"/>
              </w:rPr>
            </w:pPr>
            <w:r w:rsidRPr="000670F1">
              <w:rPr>
                <w:rFonts w:eastAsiaTheme="minorEastAsia"/>
                <w:b/>
                <w:bCs/>
                <w:lang w:eastAsia="en-AU"/>
              </w:rPr>
              <w:t>3 658.0</w:t>
            </w:r>
          </w:p>
        </w:tc>
        <w:tc>
          <w:tcPr>
            <w:tcW w:w="920" w:type="dxa"/>
            <w:tcBorders>
              <w:top w:val="single" w:sz="6" w:space="0" w:color="auto"/>
              <w:left w:val="nil"/>
              <w:bottom w:val="single" w:sz="12" w:space="0" w:color="auto"/>
              <w:right w:val="nil"/>
            </w:tcBorders>
          </w:tcPr>
          <w:p w:rsidR="00A53D7D" w:rsidRPr="000670F1" w:rsidRDefault="00A53D7D" w:rsidP="005140B4">
            <w:pPr>
              <w:pStyle w:val="TableofFigures"/>
              <w:rPr>
                <w:rFonts w:eastAsiaTheme="minorEastAsia"/>
                <w:b/>
                <w:bCs/>
                <w:lang w:eastAsia="en-AU"/>
              </w:rPr>
            </w:pPr>
            <w:r w:rsidRPr="000670F1">
              <w:rPr>
                <w:rFonts w:eastAsiaTheme="minorEastAsia"/>
                <w:b/>
                <w:bCs/>
                <w:lang w:eastAsia="en-AU"/>
              </w:rPr>
              <w:t>3 848.5</w:t>
            </w:r>
          </w:p>
        </w:tc>
        <w:tc>
          <w:tcPr>
            <w:tcW w:w="1210" w:type="dxa"/>
            <w:tcBorders>
              <w:top w:val="single" w:sz="6" w:space="0" w:color="auto"/>
              <w:left w:val="nil"/>
              <w:bottom w:val="single" w:sz="12" w:space="0" w:color="auto"/>
              <w:right w:val="nil"/>
            </w:tcBorders>
          </w:tcPr>
          <w:p w:rsidR="00A53D7D" w:rsidRPr="000670F1" w:rsidRDefault="00A53D7D" w:rsidP="005140B4">
            <w:pPr>
              <w:pStyle w:val="TableofFigures"/>
              <w:rPr>
                <w:rFonts w:eastAsiaTheme="minorEastAsia"/>
                <w:b/>
                <w:bCs/>
                <w:lang w:eastAsia="en-AU"/>
              </w:rPr>
            </w:pPr>
            <w:r w:rsidRPr="000670F1">
              <w:rPr>
                <w:rFonts w:eastAsiaTheme="minorEastAsia"/>
                <w:b/>
                <w:bCs/>
                <w:lang w:eastAsia="en-AU"/>
              </w:rPr>
              <w:t>5.5</w:t>
            </w:r>
          </w:p>
        </w:tc>
      </w:tr>
    </w:tbl>
    <w:p w:rsidR="00A53D7D" w:rsidRDefault="00A53D7D" w:rsidP="005140B4">
      <w:pPr>
        <w:pStyle w:val="Source"/>
      </w:pPr>
      <w:r>
        <w:t xml:space="preserve">Source: Department of Human Services </w:t>
      </w:r>
      <w:r>
        <w:fldChar w:fldCharType="begin"/>
      </w:r>
      <w:r>
        <w:instrText xml:space="preserve"> XE "</w:instrText>
      </w:r>
      <w:r w:rsidRPr="00B15ECE">
        <w:instrText xml:space="preserve">Department of </w:instrText>
      </w:r>
      <w:r>
        <w:instrText>Human Services</w:instrText>
      </w:r>
      <w:r w:rsidRPr="00B15ECE">
        <w:instrText>:Output summary</w:instrText>
      </w:r>
      <w:r>
        <w:instrText xml:space="preserve">" </w:instrText>
      </w:r>
      <w:r>
        <w:fldChar w:fldCharType="end"/>
      </w:r>
    </w:p>
    <w:p w:rsidR="00A53D7D" w:rsidRDefault="00A53D7D" w:rsidP="005140B4">
      <w:pPr>
        <w:pStyle w:val="Notes"/>
      </w:pPr>
      <w:r>
        <w:t>Notes:</w:t>
      </w:r>
    </w:p>
    <w:p w:rsidR="00A53D7D" w:rsidRPr="0008366D" w:rsidRDefault="00A53D7D" w:rsidP="005140B4">
      <w:pPr>
        <w:pStyle w:val="Notes"/>
      </w:pPr>
      <w:r>
        <w:t>(a)</w:t>
      </w:r>
      <w:r>
        <w:tab/>
      </w:r>
      <w:r w:rsidRPr="0008366D">
        <w:t>Variation between 2013</w:t>
      </w:r>
      <w:r>
        <w:noBreakHyphen/>
      </w:r>
      <w:r w:rsidRPr="0008366D">
        <w:t>14 budget and 2014</w:t>
      </w:r>
      <w:r>
        <w:noBreakHyphen/>
      </w:r>
      <w:r w:rsidRPr="0008366D">
        <w:t>15 budget.</w:t>
      </w:r>
    </w:p>
    <w:p w:rsidR="00A53D7D" w:rsidRPr="0008366D" w:rsidRDefault="00A53D7D" w:rsidP="005140B4">
      <w:pPr>
        <w:pStyle w:val="Notes"/>
      </w:pPr>
      <w:r w:rsidRPr="0008366D">
        <w:t>(b)</w:t>
      </w:r>
      <w:r w:rsidRPr="0008366D">
        <w:tab/>
        <w:t>Variations in the Department of Human Services</w:t>
      </w:r>
      <w:r>
        <w:t>’</w:t>
      </w:r>
      <w:r w:rsidRPr="0008366D">
        <w:t xml:space="preserve"> 2014</w:t>
      </w:r>
      <w:r>
        <w:noBreakHyphen/>
      </w:r>
      <w:r w:rsidRPr="0008366D">
        <w:t>15 budget compared with the 2013</w:t>
      </w:r>
      <w:r>
        <w:noBreakHyphen/>
      </w:r>
      <w:r w:rsidRPr="0008366D">
        <w:t>14 budget are primarily due to funding provided for government policy commitments including the full</w:t>
      </w:r>
      <w:r>
        <w:noBreakHyphen/>
      </w:r>
      <w:r w:rsidRPr="0008366D">
        <w:t>year effect of initiative funding announced in previous years</w:t>
      </w:r>
      <w:r>
        <w:t>’</w:t>
      </w:r>
      <w:r w:rsidRPr="0008366D">
        <w:t xml:space="preserve"> budgets.</w:t>
      </w:r>
    </w:p>
    <w:p w:rsidR="00A53D7D" w:rsidRPr="0008366D" w:rsidRDefault="00A53D7D" w:rsidP="005140B4">
      <w:pPr>
        <w:pStyle w:val="Notes"/>
      </w:pPr>
      <w:r w:rsidRPr="0008366D">
        <w:t>(c)</w:t>
      </w:r>
      <w:r w:rsidRPr="0008366D">
        <w:tab/>
        <w:t>The higher 2014</w:t>
      </w:r>
      <w:r>
        <w:noBreakHyphen/>
      </w:r>
      <w:r w:rsidRPr="0008366D">
        <w:t>15 budget primarily reflects additional government investment provided in the 2014</w:t>
      </w:r>
      <w:r>
        <w:noBreakHyphen/>
      </w:r>
      <w:r w:rsidRPr="0008366D">
        <w:t>15 budget, the impact of the social and community services pay equity case and the full year effect of prior year initiatives</w:t>
      </w:r>
      <w:r>
        <w:t>.</w:t>
      </w:r>
    </w:p>
    <w:p w:rsidR="00A53D7D" w:rsidRPr="0008366D" w:rsidRDefault="00A53D7D" w:rsidP="005140B4">
      <w:pPr>
        <w:pStyle w:val="Notes"/>
      </w:pPr>
      <w:r w:rsidRPr="0008366D">
        <w:t>(d)</w:t>
      </w:r>
      <w:r w:rsidRPr="0008366D">
        <w:tab/>
        <w:t>The higher 2014</w:t>
      </w:r>
      <w:r>
        <w:noBreakHyphen/>
      </w:r>
      <w:r w:rsidRPr="0008366D">
        <w:t>15 budget primarily reflects additional government investment provided in the 2014</w:t>
      </w:r>
      <w:r>
        <w:noBreakHyphen/>
      </w:r>
      <w:r w:rsidRPr="0008366D">
        <w:t>15 budget, the impact of the social and community services pay equity case and the full year effect of prior year initiatives.</w:t>
      </w:r>
    </w:p>
    <w:p w:rsidR="00A53D7D" w:rsidRPr="0008366D" w:rsidRDefault="00A53D7D" w:rsidP="005140B4">
      <w:pPr>
        <w:pStyle w:val="Notes"/>
      </w:pPr>
      <w:r w:rsidRPr="0008366D">
        <w:t>(e)</w:t>
      </w:r>
      <w:r w:rsidRPr="0008366D">
        <w:tab/>
        <w:t>The higher 2014</w:t>
      </w:r>
      <w:r>
        <w:noBreakHyphen/>
      </w:r>
      <w:r w:rsidRPr="0008366D">
        <w:t>15 budget primarily reflects additional government investment provided in the 2014</w:t>
      </w:r>
      <w:r>
        <w:noBreakHyphen/>
      </w:r>
      <w:r w:rsidRPr="0008366D">
        <w:t>15 budget, and the full year effect of initiative funding announced in previous years</w:t>
      </w:r>
      <w:r>
        <w:t>’</w:t>
      </w:r>
      <w:r w:rsidRPr="0008366D">
        <w:t xml:space="preserve"> budgets.</w:t>
      </w:r>
    </w:p>
    <w:p w:rsidR="00A53D7D" w:rsidRPr="0008366D" w:rsidRDefault="00A53D7D" w:rsidP="005140B4">
      <w:pPr>
        <w:pStyle w:val="Notes"/>
      </w:pPr>
      <w:r w:rsidRPr="0008366D">
        <w:t>(f)</w:t>
      </w:r>
      <w:r w:rsidRPr="0008366D">
        <w:tab/>
        <w:t>The higher 2014</w:t>
      </w:r>
      <w:r>
        <w:noBreakHyphen/>
      </w:r>
      <w:r w:rsidRPr="0008366D">
        <w:t>15 budget primarily reflects additional government investment provided in the 2014</w:t>
      </w:r>
      <w:r>
        <w:noBreakHyphen/>
      </w:r>
      <w:r w:rsidRPr="0008366D">
        <w:t>15 budget, the impact of the social and community services pay equity case and the full year effect of initiative funding announced in previous years</w:t>
      </w:r>
      <w:r>
        <w:t>’</w:t>
      </w:r>
      <w:r w:rsidRPr="0008366D">
        <w:t xml:space="preserve"> budgets.</w:t>
      </w:r>
    </w:p>
    <w:p w:rsidR="00A53D7D" w:rsidRPr="0008366D" w:rsidRDefault="00A53D7D" w:rsidP="005140B4">
      <w:pPr>
        <w:pStyle w:val="Notes"/>
      </w:pPr>
      <w:r w:rsidRPr="0008366D">
        <w:t>(g)</w:t>
      </w:r>
      <w:r w:rsidRPr="0008366D">
        <w:tab/>
        <w:t xml:space="preserve">The output summary includes funding for transport concessions transferred to the Department of Transport, </w:t>
      </w:r>
      <w:proofErr w:type="gramStart"/>
      <w:r w:rsidRPr="0008366D">
        <w:t>Planning</w:t>
      </w:r>
      <w:proofErr w:type="gramEnd"/>
      <w:r w:rsidRPr="0008366D">
        <w:t xml:space="preserve"> and Local Infrastructure. This funding is reflected in the Department of Transport, Planning and Local Infrastructures</w:t>
      </w:r>
      <w:r>
        <w:t>’</w:t>
      </w:r>
      <w:r w:rsidRPr="0008366D">
        <w:t xml:space="preserve"> Integrated Transport Services output.</w:t>
      </w:r>
    </w:p>
    <w:p w:rsidR="00A53D7D" w:rsidRPr="0008366D" w:rsidRDefault="00A53D7D" w:rsidP="005140B4">
      <w:pPr>
        <w:pStyle w:val="Notes"/>
      </w:pPr>
      <w:r w:rsidRPr="0008366D">
        <w:t>(h)</w:t>
      </w:r>
      <w:r w:rsidRPr="0008366D">
        <w:tab/>
        <w:t>The higher 2014</w:t>
      </w:r>
      <w:r>
        <w:noBreakHyphen/>
      </w:r>
      <w:r w:rsidRPr="0008366D">
        <w:t>15 budget primarily reflects additional government investment provided in the 2014</w:t>
      </w:r>
      <w:r>
        <w:noBreakHyphen/>
      </w:r>
      <w:r w:rsidRPr="0008366D">
        <w:t>15 budget, the impact of the social and community services pay equity case and the full year effect of prior year initiatives. The 2014</w:t>
      </w:r>
      <w:r>
        <w:noBreakHyphen/>
      </w:r>
      <w:r w:rsidRPr="0008366D">
        <w:t>15 budget includes Victoria</w:t>
      </w:r>
      <w:r>
        <w:t>’</w:t>
      </w:r>
      <w:r w:rsidRPr="0008366D">
        <w:t xml:space="preserve">s contribution under the National Partnership Agreement on Homelessness but does not include the Commonwealth funding contribution expected. </w:t>
      </w:r>
    </w:p>
    <w:p w:rsidR="00A53D7D" w:rsidRPr="0008366D" w:rsidRDefault="00A53D7D" w:rsidP="005140B4">
      <w:pPr>
        <w:pStyle w:val="Notes"/>
      </w:pPr>
      <w:r w:rsidRPr="0008366D">
        <w:t>(</w:t>
      </w:r>
      <w:proofErr w:type="spellStart"/>
      <w:r w:rsidRPr="0008366D">
        <w:t>i</w:t>
      </w:r>
      <w:proofErr w:type="spellEnd"/>
      <w:r w:rsidRPr="0008366D">
        <w:t>)</w:t>
      </w:r>
      <w:r w:rsidRPr="0008366D">
        <w:tab/>
        <w:t>The lower 2014</w:t>
      </w:r>
      <w:r>
        <w:noBreakHyphen/>
      </w:r>
      <w:r w:rsidRPr="0008366D">
        <w:t xml:space="preserve">15 budget reflects the phasing of earlier budget allocations and timing of payments to providers. </w:t>
      </w:r>
    </w:p>
    <w:p w:rsidR="00A53D7D" w:rsidRDefault="00A53D7D" w:rsidP="005140B4">
      <w:pPr>
        <w:pStyle w:val="Notes"/>
      </w:pPr>
      <w:r>
        <w:t>(j)</w:t>
      </w:r>
      <w:r>
        <w:tab/>
      </w:r>
      <w:r w:rsidRPr="00654588">
        <w:t xml:space="preserve">Total output expense may not equate to the total expense reported in Budget Paper No. 5, Chapter 3, </w:t>
      </w:r>
      <w:r w:rsidRPr="00144D01">
        <w:rPr>
          <w:i w:val="0"/>
        </w:rPr>
        <w:t>Departmental Financial Statement</w:t>
      </w:r>
      <w:r w:rsidRPr="00654588">
        <w:t xml:space="preserve"> due to additional expenses in Budget Paper No. 5 that are not included in departmental output costs.</w:t>
      </w:r>
    </w:p>
    <w:p w:rsidR="00A53D7D" w:rsidRDefault="00A53D7D">
      <w:pPr>
        <w:spacing w:after="0"/>
        <w:rPr>
          <w:rFonts w:ascii="Calibri" w:hAnsi="Calibri"/>
          <w:b/>
          <w:kern w:val="28"/>
          <w:sz w:val="26"/>
          <w:szCs w:val="22"/>
        </w:rPr>
      </w:pPr>
      <w:r>
        <w:br w:type="page"/>
      </w:r>
    </w:p>
    <w:p w:rsidR="00A53D7D" w:rsidRDefault="00A53D7D" w:rsidP="005140B4">
      <w:pPr>
        <w:pStyle w:val="Heading2"/>
      </w:pPr>
      <w:r>
        <w:t>Amounts available</w:t>
      </w:r>
    </w:p>
    <w:p w:rsidR="00A53D7D" w:rsidRDefault="00A53D7D" w:rsidP="005140B4">
      <w:r>
        <w:t>The following tables detail the amounts available to the Department from Parliamentary authority and income generated through transactions.</w:t>
      </w:r>
    </w:p>
    <w:p w:rsidR="00A53D7D" w:rsidRPr="005A7A2D" w:rsidRDefault="00A53D7D" w:rsidP="005140B4">
      <w:r>
        <w:t>Table 2.12 outlines the Department’s income from transactions and Table 2.13 summarises the sources of Parliamentary authority available to the Department to fund the provision of outputs, additions to net asset base and payments made on behalf of the State.</w:t>
      </w:r>
    </w:p>
    <w:p w:rsidR="00A53D7D" w:rsidRDefault="00A53D7D" w:rsidP="005140B4">
      <w:pPr>
        <w:pStyle w:val="Tableheading"/>
      </w:pPr>
      <w:r>
        <w:t>Table 2.12:</w:t>
      </w:r>
      <w:r>
        <w:tab/>
        <w:t xml:space="preserve">Income from transactions </w:t>
      </w:r>
    </w:p>
    <w:p w:rsidR="00A53D7D" w:rsidRPr="000670F1"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0670F1" w:rsidTr="005140B4">
        <w:tc>
          <w:tcPr>
            <w:tcW w:w="3801" w:type="dxa"/>
            <w:tcBorders>
              <w:top w:val="single" w:sz="4" w:space="0" w:color="auto"/>
              <w:left w:val="single" w:sz="4" w:space="0" w:color="auto"/>
              <w:bottom w:val="nil"/>
              <w:right w:val="nil"/>
            </w:tcBorders>
            <w:shd w:val="clear" w:color="auto" w:fill="000000"/>
          </w:tcPr>
          <w:p w:rsidR="00A53D7D" w:rsidRPr="000670F1" w:rsidRDefault="00A53D7D" w:rsidP="005140B4">
            <w:pPr>
              <w:pStyle w:val="Tabletext"/>
              <w:rPr>
                <w:rFonts w:eastAsiaTheme="minorEastAsia"/>
                <w:lang w:eastAsia="en-AU"/>
              </w:rPr>
            </w:pPr>
            <w:r w:rsidRPr="000670F1">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2012-13</w:t>
            </w:r>
          </w:p>
        </w:tc>
        <w:tc>
          <w:tcPr>
            <w:tcW w:w="993" w:type="dxa"/>
            <w:tcBorders>
              <w:top w:val="single" w:sz="4" w:space="0" w:color="auto"/>
              <w:left w:val="nil"/>
              <w:bottom w:val="nil"/>
              <w:right w:val="nil"/>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2013-14</w:t>
            </w:r>
          </w:p>
        </w:tc>
        <w:tc>
          <w:tcPr>
            <w:tcW w:w="993" w:type="dxa"/>
            <w:tcBorders>
              <w:top w:val="single" w:sz="4" w:space="0" w:color="auto"/>
              <w:left w:val="nil"/>
              <w:bottom w:val="nil"/>
              <w:right w:val="single" w:sz="4" w:space="0" w:color="auto"/>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2014-15</w:t>
            </w:r>
          </w:p>
        </w:tc>
      </w:tr>
      <w:tr w:rsidR="00A53D7D" w:rsidRPr="000670F1" w:rsidTr="005140B4">
        <w:tc>
          <w:tcPr>
            <w:tcW w:w="3801" w:type="dxa"/>
            <w:tcBorders>
              <w:top w:val="nil"/>
              <w:left w:val="single" w:sz="4" w:space="0" w:color="auto"/>
              <w:bottom w:val="single" w:sz="4" w:space="0" w:color="auto"/>
              <w:right w:val="nil"/>
            </w:tcBorders>
            <w:shd w:val="clear" w:color="auto" w:fill="000000"/>
          </w:tcPr>
          <w:p w:rsidR="00A53D7D" w:rsidRPr="000670F1" w:rsidRDefault="00A53D7D" w:rsidP="005140B4">
            <w:pPr>
              <w:pStyle w:val="Tabletext"/>
              <w:rPr>
                <w:rFonts w:eastAsiaTheme="minorEastAsia"/>
                <w:lang w:eastAsia="en-AU"/>
              </w:rPr>
            </w:pPr>
            <w:r w:rsidRPr="000670F1">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Actual</w:t>
            </w:r>
          </w:p>
        </w:tc>
        <w:tc>
          <w:tcPr>
            <w:tcW w:w="993" w:type="dxa"/>
            <w:tcBorders>
              <w:top w:val="nil"/>
              <w:left w:val="nil"/>
              <w:bottom w:val="single" w:sz="4" w:space="0" w:color="auto"/>
              <w:right w:val="nil"/>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 xml:space="preserve">Budget </w:t>
            </w:r>
          </w:p>
        </w:tc>
        <w:tc>
          <w:tcPr>
            <w:tcW w:w="993" w:type="dxa"/>
            <w:tcBorders>
              <w:top w:val="nil"/>
              <w:left w:val="nil"/>
              <w:bottom w:val="single" w:sz="4" w:space="0" w:color="auto"/>
              <w:right w:val="nil"/>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Revised</w:t>
            </w:r>
          </w:p>
        </w:tc>
        <w:tc>
          <w:tcPr>
            <w:tcW w:w="993" w:type="dxa"/>
            <w:tcBorders>
              <w:top w:val="nil"/>
              <w:left w:val="nil"/>
              <w:bottom w:val="single" w:sz="4" w:space="0" w:color="auto"/>
              <w:right w:val="single" w:sz="4" w:space="0" w:color="auto"/>
            </w:tcBorders>
            <w:shd w:val="clear" w:color="auto" w:fill="000000"/>
          </w:tcPr>
          <w:p w:rsidR="00A53D7D" w:rsidRPr="000670F1" w:rsidRDefault="00A53D7D" w:rsidP="005140B4">
            <w:pPr>
              <w:pStyle w:val="Tabletextheading"/>
              <w:rPr>
                <w:rFonts w:eastAsiaTheme="minorEastAsia"/>
                <w:lang w:eastAsia="en-AU"/>
              </w:rPr>
            </w:pPr>
            <w:r w:rsidRPr="000670F1">
              <w:rPr>
                <w:rFonts w:eastAsiaTheme="minorEastAsia"/>
                <w:lang w:eastAsia="en-AU"/>
              </w:rPr>
              <w:t>Budget</w:t>
            </w:r>
          </w:p>
        </w:tc>
      </w:tr>
      <w:tr w:rsidR="00A53D7D" w:rsidRPr="000670F1" w:rsidTr="005140B4">
        <w:tc>
          <w:tcPr>
            <w:tcW w:w="3801" w:type="dxa"/>
            <w:tcBorders>
              <w:top w:val="single" w:sz="4" w:space="0" w:color="auto"/>
              <w:left w:val="nil"/>
              <w:bottom w:val="nil"/>
              <w:right w:val="nil"/>
            </w:tcBorders>
          </w:tcPr>
          <w:p w:rsidR="00A53D7D" w:rsidRPr="000670F1" w:rsidRDefault="00A53D7D" w:rsidP="005140B4">
            <w:pPr>
              <w:pStyle w:val="Tabletext"/>
              <w:rPr>
                <w:rFonts w:eastAsiaTheme="minorEastAsia"/>
                <w:lang w:eastAsia="en-AU"/>
              </w:rPr>
            </w:pPr>
            <w:r w:rsidRPr="000670F1">
              <w:rPr>
                <w:rFonts w:eastAsiaTheme="minorEastAsia"/>
                <w:lang w:eastAsia="en-AU"/>
              </w:rPr>
              <w:t>Output appropriations</w:t>
            </w:r>
          </w:p>
        </w:tc>
        <w:tc>
          <w:tcPr>
            <w:tcW w:w="993" w:type="dxa"/>
            <w:tcBorders>
              <w:top w:val="single" w:sz="4" w:space="0" w:color="auto"/>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3 448.3</w:t>
            </w:r>
          </w:p>
        </w:tc>
        <w:tc>
          <w:tcPr>
            <w:tcW w:w="993" w:type="dxa"/>
            <w:tcBorders>
              <w:top w:val="single" w:sz="4" w:space="0" w:color="auto"/>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3 581.3</w:t>
            </w:r>
          </w:p>
        </w:tc>
        <w:tc>
          <w:tcPr>
            <w:tcW w:w="993" w:type="dxa"/>
            <w:tcBorders>
              <w:top w:val="single" w:sz="4" w:space="0" w:color="auto"/>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3 589.7</w:t>
            </w:r>
          </w:p>
        </w:tc>
        <w:tc>
          <w:tcPr>
            <w:tcW w:w="993" w:type="dxa"/>
            <w:tcBorders>
              <w:top w:val="single" w:sz="4" w:space="0" w:color="auto"/>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3 779.2</w:t>
            </w:r>
          </w:p>
        </w:tc>
      </w:tr>
      <w:tr w:rsidR="00A53D7D" w:rsidRPr="000670F1" w:rsidTr="005140B4">
        <w:tc>
          <w:tcPr>
            <w:tcW w:w="3801" w:type="dxa"/>
            <w:tcBorders>
              <w:top w:val="nil"/>
              <w:left w:val="nil"/>
              <w:bottom w:val="nil"/>
              <w:right w:val="nil"/>
            </w:tcBorders>
          </w:tcPr>
          <w:p w:rsidR="00A53D7D" w:rsidRPr="000670F1" w:rsidRDefault="00A53D7D" w:rsidP="005140B4">
            <w:pPr>
              <w:pStyle w:val="Tabletext"/>
              <w:rPr>
                <w:rFonts w:eastAsiaTheme="minorEastAsia"/>
                <w:lang w:eastAsia="en-AU"/>
              </w:rPr>
            </w:pPr>
            <w:r w:rsidRPr="000670F1">
              <w:rPr>
                <w:rFonts w:eastAsiaTheme="minorEastAsia"/>
                <w:lang w:eastAsia="en-AU"/>
              </w:rPr>
              <w:t>Special appropriations</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63.9</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63.9</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63.9</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63.9</w:t>
            </w:r>
          </w:p>
        </w:tc>
      </w:tr>
      <w:tr w:rsidR="00A53D7D" w:rsidRPr="000670F1" w:rsidTr="005140B4">
        <w:tc>
          <w:tcPr>
            <w:tcW w:w="3801" w:type="dxa"/>
            <w:tcBorders>
              <w:top w:val="nil"/>
              <w:left w:val="nil"/>
              <w:bottom w:val="nil"/>
              <w:right w:val="nil"/>
            </w:tcBorders>
          </w:tcPr>
          <w:p w:rsidR="00A53D7D" w:rsidRPr="000670F1" w:rsidRDefault="00A53D7D" w:rsidP="005140B4">
            <w:pPr>
              <w:pStyle w:val="Tabletext"/>
              <w:rPr>
                <w:rFonts w:eastAsiaTheme="minorEastAsia"/>
                <w:lang w:eastAsia="en-AU"/>
              </w:rPr>
            </w:pPr>
            <w:r w:rsidRPr="000670F1">
              <w:rPr>
                <w:rFonts w:eastAsiaTheme="minorEastAsia"/>
                <w:lang w:eastAsia="en-AU"/>
              </w:rPr>
              <w:t>Interest</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0.2</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0.4</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0.4</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0.4</w:t>
            </w:r>
          </w:p>
        </w:tc>
      </w:tr>
      <w:tr w:rsidR="00A53D7D" w:rsidRPr="000670F1" w:rsidTr="005140B4">
        <w:tc>
          <w:tcPr>
            <w:tcW w:w="3801" w:type="dxa"/>
            <w:tcBorders>
              <w:top w:val="nil"/>
              <w:left w:val="nil"/>
              <w:bottom w:val="nil"/>
              <w:right w:val="nil"/>
            </w:tcBorders>
          </w:tcPr>
          <w:p w:rsidR="00A53D7D" w:rsidRPr="000670F1" w:rsidRDefault="00A53D7D" w:rsidP="005140B4">
            <w:pPr>
              <w:pStyle w:val="Tabletext"/>
              <w:rPr>
                <w:rFonts w:eastAsiaTheme="minorEastAsia"/>
                <w:lang w:eastAsia="en-AU"/>
              </w:rPr>
            </w:pPr>
            <w:r w:rsidRPr="000670F1">
              <w:rPr>
                <w:rFonts w:eastAsiaTheme="minorEastAsia"/>
                <w:lang w:eastAsia="en-AU"/>
              </w:rPr>
              <w:t>Sale of goods and services</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18.7</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16.4</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16.4</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16.3</w:t>
            </w:r>
          </w:p>
        </w:tc>
      </w:tr>
      <w:tr w:rsidR="00A53D7D" w:rsidRPr="000670F1" w:rsidTr="005140B4">
        <w:tc>
          <w:tcPr>
            <w:tcW w:w="3801" w:type="dxa"/>
            <w:tcBorders>
              <w:top w:val="nil"/>
              <w:left w:val="nil"/>
              <w:bottom w:val="nil"/>
              <w:right w:val="nil"/>
            </w:tcBorders>
          </w:tcPr>
          <w:p w:rsidR="00A53D7D" w:rsidRPr="000670F1" w:rsidRDefault="00A53D7D" w:rsidP="005140B4">
            <w:pPr>
              <w:pStyle w:val="Tabletext"/>
              <w:rPr>
                <w:rFonts w:eastAsiaTheme="minorEastAsia"/>
                <w:lang w:eastAsia="en-AU"/>
              </w:rPr>
            </w:pPr>
            <w:r w:rsidRPr="000670F1">
              <w:rPr>
                <w:rFonts w:eastAsiaTheme="minorEastAsia"/>
                <w:lang w:eastAsia="en-AU"/>
              </w:rPr>
              <w:t>Grants</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12.3</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8.2</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12.4</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12.0</w:t>
            </w:r>
          </w:p>
        </w:tc>
      </w:tr>
      <w:tr w:rsidR="00A53D7D" w:rsidRPr="000670F1" w:rsidTr="005140B4">
        <w:tc>
          <w:tcPr>
            <w:tcW w:w="3801" w:type="dxa"/>
            <w:tcBorders>
              <w:top w:val="nil"/>
              <w:left w:val="nil"/>
              <w:bottom w:val="nil"/>
              <w:right w:val="nil"/>
            </w:tcBorders>
          </w:tcPr>
          <w:p w:rsidR="00A53D7D" w:rsidRPr="000670F1" w:rsidRDefault="00A53D7D" w:rsidP="005140B4">
            <w:pPr>
              <w:pStyle w:val="Tabletext"/>
              <w:rPr>
                <w:rFonts w:eastAsiaTheme="minorEastAsia"/>
                <w:lang w:eastAsia="en-AU"/>
              </w:rPr>
            </w:pPr>
            <w:r w:rsidRPr="000670F1">
              <w:rPr>
                <w:rFonts w:eastAsiaTheme="minorEastAsia"/>
                <w:lang w:eastAsia="en-AU"/>
              </w:rPr>
              <w:t>Fair value of assets and services received free of charge or for nominal consideration</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0.3</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w:t>
            </w:r>
          </w:p>
        </w:tc>
      </w:tr>
      <w:tr w:rsidR="00A53D7D" w:rsidRPr="000670F1" w:rsidTr="005140B4">
        <w:tc>
          <w:tcPr>
            <w:tcW w:w="3801" w:type="dxa"/>
            <w:tcBorders>
              <w:top w:val="nil"/>
              <w:left w:val="nil"/>
              <w:bottom w:val="nil"/>
              <w:right w:val="nil"/>
            </w:tcBorders>
          </w:tcPr>
          <w:p w:rsidR="00A53D7D" w:rsidRPr="000670F1" w:rsidRDefault="00A53D7D" w:rsidP="005140B4">
            <w:pPr>
              <w:pStyle w:val="Tabletext"/>
              <w:rPr>
                <w:rFonts w:eastAsiaTheme="minorEastAsia"/>
                <w:lang w:eastAsia="en-AU"/>
              </w:rPr>
            </w:pPr>
            <w:r w:rsidRPr="000670F1">
              <w:rPr>
                <w:rFonts w:eastAsiaTheme="minorEastAsia"/>
                <w:lang w:eastAsia="en-AU"/>
              </w:rPr>
              <w:t>Other income</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3.9</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0.7</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0.7</w:t>
            </w:r>
          </w:p>
        </w:tc>
        <w:tc>
          <w:tcPr>
            <w:tcW w:w="993" w:type="dxa"/>
            <w:tcBorders>
              <w:top w:val="nil"/>
              <w:left w:val="nil"/>
              <w:bottom w:val="nil"/>
              <w:right w:val="nil"/>
            </w:tcBorders>
          </w:tcPr>
          <w:p w:rsidR="00A53D7D" w:rsidRPr="000670F1" w:rsidRDefault="00A53D7D" w:rsidP="005140B4">
            <w:pPr>
              <w:pStyle w:val="TableofFigures"/>
              <w:rPr>
                <w:rFonts w:eastAsiaTheme="minorEastAsia"/>
                <w:lang w:eastAsia="en-AU"/>
              </w:rPr>
            </w:pPr>
            <w:r w:rsidRPr="000670F1">
              <w:rPr>
                <w:rFonts w:eastAsiaTheme="minorEastAsia"/>
                <w:lang w:eastAsia="en-AU"/>
              </w:rPr>
              <w:t xml:space="preserve"> 0.7</w:t>
            </w:r>
          </w:p>
        </w:tc>
      </w:tr>
      <w:tr w:rsidR="00A53D7D" w:rsidRPr="000670F1" w:rsidTr="005140B4">
        <w:tc>
          <w:tcPr>
            <w:tcW w:w="3801" w:type="dxa"/>
            <w:tcBorders>
              <w:top w:val="single" w:sz="6" w:space="0" w:color="auto"/>
              <w:left w:val="nil"/>
              <w:bottom w:val="single" w:sz="12" w:space="0" w:color="auto"/>
              <w:right w:val="nil"/>
            </w:tcBorders>
          </w:tcPr>
          <w:p w:rsidR="00A53D7D" w:rsidRPr="000670F1" w:rsidRDefault="00A53D7D" w:rsidP="005140B4">
            <w:pPr>
              <w:pStyle w:val="Tabletext"/>
              <w:rPr>
                <w:rFonts w:eastAsiaTheme="minorEastAsia"/>
                <w:b/>
                <w:bCs/>
                <w:lang w:eastAsia="en-AU"/>
              </w:rPr>
            </w:pPr>
            <w:r w:rsidRPr="000670F1">
              <w:rPr>
                <w:rFonts w:eastAsiaTheme="minorEastAsia"/>
                <w:b/>
                <w:bCs/>
                <w:lang w:eastAsia="en-AU"/>
              </w:rPr>
              <w:t>Total income from transactions</w:t>
            </w:r>
          </w:p>
        </w:tc>
        <w:tc>
          <w:tcPr>
            <w:tcW w:w="993" w:type="dxa"/>
            <w:tcBorders>
              <w:top w:val="single" w:sz="6" w:space="0" w:color="auto"/>
              <w:left w:val="nil"/>
              <w:bottom w:val="single" w:sz="12" w:space="0" w:color="auto"/>
              <w:right w:val="nil"/>
            </w:tcBorders>
          </w:tcPr>
          <w:p w:rsidR="00A53D7D" w:rsidRPr="000670F1" w:rsidRDefault="00A53D7D" w:rsidP="005140B4">
            <w:pPr>
              <w:pStyle w:val="TableofFigures"/>
              <w:rPr>
                <w:rFonts w:eastAsiaTheme="minorEastAsia"/>
                <w:b/>
                <w:bCs/>
                <w:lang w:eastAsia="en-AU"/>
              </w:rPr>
            </w:pPr>
            <w:r w:rsidRPr="000670F1">
              <w:rPr>
                <w:rFonts w:eastAsiaTheme="minorEastAsia"/>
                <w:b/>
                <w:bCs/>
                <w:lang w:eastAsia="en-AU"/>
              </w:rPr>
              <w:t>3 547.7</w:t>
            </w:r>
          </w:p>
        </w:tc>
        <w:tc>
          <w:tcPr>
            <w:tcW w:w="993" w:type="dxa"/>
            <w:tcBorders>
              <w:top w:val="single" w:sz="6" w:space="0" w:color="auto"/>
              <w:left w:val="nil"/>
              <w:bottom w:val="single" w:sz="12" w:space="0" w:color="auto"/>
              <w:right w:val="nil"/>
            </w:tcBorders>
          </w:tcPr>
          <w:p w:rsidR="00A53D7D" w:rsidRPr="000670F1" w:rsidRDefault="00A53D7D" w:rsidP="005140B4">
            <w:pPr>
              <w:pStyle w:val="TableofFigures"/>
              <w:rPr>
                <w:rFonts w:eastAsiaTheme="minorEastAsia"/>
                <w:b/>
                <w:bCs/>
                <w:lang w:eastAsia="en-AU"/>
              </w:rPr>
            </w:pPr>
            <w:r w:rsidRPr="000670F1">
              <w:rPr>
                <w:rFonts w:eastAsiaTheme="minorEastAsia"/>
                <w:b/>
                <w:bCs/>
                <w:lang w:eastAsia="en-AU"/>
              </w:rPr>
              <w:t>3 670.9</w:t>
            </w:r>
          </w:p>
        </w:tc>
        <w:tc>
          <w:tcPr>
            <w:tcW w:w="993" w:type="dxa"/>
            <w:tcBorders>
              <w:top w:val="single" w:sz="6" w:space="0" w:color="auto"/>
              <w:left w:val="nil"/>
              <w:bottom w:val="single" w:sz="12" w:space="0" w:color="auto"/>
              <w:right w:val="nil"/>
            </w:tcBorders>
          </w:tcPr>
          <w:p w:rsidR="00A53D7D" w:rsidRPr="000670F1" w:rsidRDefault="00A53D7D" w:rsidP="005140B4">
            <w:pPr>
              <w:pStyle w:val="TableofFigures"/>
              <w:rPr>
                <w:rFonts w:eastAsiaTheme="minorEastAsia"/>
                <w:b/>
                <w:bCs/>
                <w:lang w:eastAsia="en-AU"/>
              </w:rPr>
            </w:pPr>
            <w:r w:rsidRPr="000670F1">
              <w:rPr>
                <w:rFonts w:eastAsiaTheme="minorEastAsia"/>
                <w:b/>
                <w:bCs/>
                <w:lang w:eastAsia="en-AU"/>
              </w:rPr>
              <w:t>3 683.4</w:t>
            </w:r>
          </w:p>
        </w:tc>
        <w:tc>
          <w:tcPr>
            <w:tcW w:w="993" w:type="dxa"/>
            <w:tcBorders>
              <w:top w:val="single" w:sz="6" w:space="0" w:color="auto"/>
              <w:left w:val="nil"/>
              <w:bottom w:val="single" w:sz="12" w:space="0" w:color="auto"/>
              <w:right w:val="nil"/>
            </w:tcBorders>
          </w:tcPr>
          <w:p w:rsidR="00A53D7D" w:rsidRPr="000670F1" w:rsidRDefault="00A53D7D" w:rsidP="005140B4">
            <w:pPr>
              <w:pStyle w:val="TableofFigures"/>
              <w:rPr>
                <w:rFonts w:eastAsiaTheme="minorEastAsia"/>
                <w:b/>
                <w:bCs/>
                <w:lang w:eastAsia="en-AU"/>
              </w:rPr>
            </w:pPr>
            <w:r w:rsidRPr="000670F1">
              <w:rPr>
                <w:rFonts w:eastAsiaTheme="minorEastAsia"/>
                <w:b/>
                <w:bCs/>
                <w:lang w:eastAsia="en-AU"/>
              </w:rPr>
              <w:t>3 872.6</w:t>
            </w:r>
          </w:p>
        </w:tc>
      </w:tr>
    </w:tbl>
    <w:p w:rsidR="00A53D7D" w:rsidRDefault="00A53D7D" w:rsidP="005140B4">
      <w:pPr>
        <w:pStyle w:val="Source"/>
      </w:pPr>
      <w:r>
        <w:t xml:space="preserve">Source: Departments of Human Services and Treasury and Finance </w:t>
      </w:r>
      <w:r>
        <w:fldChar w:fldCharType="begin"/>
      </w:r>
      <w:r>
        <w:instrText xml:space="preserve"> XE "Department of Human Services</w:instrText>
      </w:r>
      <w:r w:rsidRPr="00C642EA">
        <w:instrText>:Income from transactions</w:instrText>
      </w:r>
      <w:r>
        <w:instrText xml:space="preserve">" </w:instrText>
      </w:r>
      <w:r>
        <w:fldChar w:fldCharType="end"/>
      </w:r>
    </w:p>
    <w:p w:rsidR="00A53D7D" w:rsidRDefault="00A53D7D" w:rsidP="00035582">
      <w:pPr>
        <w:pStyle w:val="Notes"/>
      </w:pPr>
    </w:p>
    <w:p w:rsidR="00A53D7D" w:rsidRDefault="00A53D7D" w:rsidP="005140B4">
      <w:pPr>
        <w:pStyle w:val="Tableheading"/>
      </w:pPr>
      <w:r>
        <w:t>Table 2.13:</w:t>
      </w:r>
      <w:r>
        <w:tab/>
        <w:t xml:space="preserve">Parliamentary authority for resources </w:t>
      </w:r>
    </w:p>
    <w:p w:rsidR="00A53D7D" w:rsidRPr="00E85892"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53D7D" w:rsidRPr="00E85892" w:rsidTr="005140B4">
        <w:tc>
          <w:tcPr>
            <w:tcW w:w="4665" w:type="dxa"/>
            <w:tcBorders>
              <w:top w:val="single" w:sz="4" w:space="0" w:color="auto"/>
              <w:left w:val="single" w:sz="4" w:space="0" w:color="auto"/>
              <w:bottom w:val="nil"/>
              <w:right w:val="nil"/>
            </w:tcBorders>
            <w:shd w:val="clear" w:color="auto" w:fill="000000"/>
          </w:tcPr>
          <w:p w:rsidR="00A53D7D" w:rsidRPr="00E85892" w:rsidRDefault="00A53D7D" w:rsidP="005140B4">
            <w:pPr>
              <w:pStyle w:val="Tabletext"/>
              <w:rPr>
                <w:rFonts w:eastAsiaTheme="minorEastAsia"/>
                <w:lang w:eastAsia="en-AU"/>
              </w:rPr>
            </w:pPr>
            <w:r w:rsidRPr="00E85892">
              <w:rPr>
                <w:rFonts w:eastAsiaTheme="minorEastAsia"/>
                <w:lang w:eastAsia="en-AU"/>
              </w:rPr>
              <w:t xml:space="preserve"> </w:t>
            </w:r>
          </w:p>
        </w:tc>
        <w:tc>
          <w:tcPr>
            <w:tcW w:w="1036" w:type="dxa"/>
            <w:tcBorders>
              <w:top w:val="single" w:sz="4" w:space="0" w:color="auto"/>
              <w:left w:val="nil"/>
              <w:bottom w:val="nil"/>
              <w:right w:val="nil"/>
            </w:tcBorders>
            <w:shd w:val="clear" w:color="auto" w:fill="000000"/>
          </w:tcPr>
          <w:p w:rsidR="00A53D7D" w:rsidRPr="00E85892" w:rsidRDefault="00A53D7D" w:rsidP="005140B4">
            <w:pPr>
              <w:pStyle w:val="Tabletextheading"/>
              <w:rPr>
                <w:rFonts w:eastAsiaTheme="minorEastAsia"/>
                <w:lang w:eastAsia="en-AU"/>
              </w:rPr>
            </w:pPr>
            <w:r w:rsidRPr="00E85892">
              <w:rPr>
                <w:rFonts w:eastAsiaTheme="minorEastAsia"/>
                <w:lang w:eastAsia="en-AU"/>
              </w:rPr>
              <w:t>2013-14</w:t>
            </w:r>
          </w:p>
        </w:tc>
        <w:tc>
          <w:tcPr>
            <w:tcW w:w="1036" w:type="dxa"/>
            <w:tcBorders>
              <w:top w:val="single" w:sz="4" w:space="0" w:color="auto"/>
              <w:left w:val="nil"/>
              <w:bottom w:val="nil"/>
              <w:right w:val="nil"/>
            </w:tcBorders>
            <w:shd w:val="clear" w:color="auto" w:fill="000000"/>
          </w:tcPr>
          <w:p w:rsidR="00A53D7D" w:rsidRPr="00E85892" w:rsidRDefault="00A53D7D" w:rsidP="005140B4">
            <w:pPr>
              <w:pStyle w:val="Tabletextheading"/>
              <w:rPr>
                <w:rFonts w:eastAsiaTheme="minorEastAsia"/>
                <w:lang w:eastAsia="en-AU"/>
              </w:rPr>
            </w:pPr>
            <w:r w:rsidRPr="00E85892">
              <w:rPr>
                <w:rFonts w:eastAsiaTheme="minorEastAsia"/>
                <w:lang w:eastAsia="en-AU"/>
              </w:rPr>
              <w:t>2013-14</w:t>
            </w:r>
          </w:p>
        </w:tc>
        <w:tc>
          <w:tcPr>
            <w:tcW w:w="1036" w:type="dxa"/>
            <w:tcBorders>
              <w:top w:val="single" w:sz="4" w:space="0" w:color="auto"/>
              <w:left w:val="nil"/>
              <w:bottom w:val="nil"/>
              <w:right w:val="single" w:sz="4" w:space="0" w:color="auto"/>
            </w:tcBorders>
            <w:shd w:val="clear" w:color="auto" w:fill="000000"/>
          </w:tcPr>
          <w:p w:rsidR="00A53D7D" w:rsidRPr="00E85892" w:rsidRDefault="00A53D7D" w:rsidP="005140B4">
            <w:pPr>
              <w:pStyle w:val="Tabletextheading"/>
              <w:rPr>
                <w:rFonts w:eastAsiaTheme="minorEastAsia"/>
                <w:lang w:eastAsia="en-AU"/>
              </w:rPr>
            </w:pPr>
            <w:r w:rsidRPr="00E85892">
              <w:rPr>
                <w:rFonts w:eastAsiaTheme="minorEastAsia"/>
                <w:lang w:eastAsia="en-AU"/>
              </w:rPr>
              <w:t>2014-15</w:t>
            </w:r>
          </w:p>
        </w:tc>
      </w:tr>
      <w:tr w:rsidR="00A53D7D" w:rsidRPr="00E85892" w:rsidTr="005140B4">
        <w:tc>
          <w:tcPr>
            <w:tcW w:w="4665" w:type="dxa"/>
            <w:tcBorders>
              <w:top w:val="nil"/>
              <w:left w:val="single" w:sz="4" w:space="0" w:color="auto"/>
              <w:bottom w:val="single" w:sz="4" w:space="0" w:color="auto"/>
              <w:right w:val="nil"/>
            </w:tcBorders>
            <w:shd w:val="clear" w:color="auto" w:fill="000000"/>
          </w:tcPr>
          <w:p w:rsidR="00A53D7D" w:rsidRPr="00E85892" w:rsidRDefault="00A53D7D" w:rsidP="005140B4">
            <w:pPr>
              <w:pStyle w:val="Tabletext"/>
              <w:rPr>
                <w:rFonts w:eastAsiaTheme="minorEastAsia"/>
                <w:lang w:eastAsia="en-AU"/>
              </w:rPr>
            </w:pPr>
            <w:r w:rsidRPr="00E85892">
              <w:rPr>
                <w:rFonts w:eastAsiaTheme="minorEastAsia"/>
                <w:lang w:eastAsia="en-AU"/>
              </w:rPr>
              <w:t xml:space="preserve"> </w:t>
            </w:r>
          </w:p>
        </w:tc>
        <w:tc>
          <w:tcPr>
            <w:tcW w:w="1036" w:type="dxa"/>
            <w:tcBorders>
              <w:top w:val="nil"/>
              <w:left w:val="nil"/>
              <w:bottom w:val="single" w:sz="4" w:space="0" w:color="auto"/>
              <w:right w:val="nil"/>
            </w:tcBorders>
            <w:shd w:val="clear" w:color="auto" w:fill="000000"/>
          </w:tcPr>
          <w:p w:rsidR="00A53D7D" w:rsidRPr="00E85892" w:rsidRDefault="00A53D7D" w:rsidP="005140B4">
            <w:pPr>
              <w:pStyle w:val="Tabletextheading"/>
              <w:rPr>
                <w:rFonts w:eastAsiaTheme="minorEastAsia"/>
                <w:lang w:eastAsia="en-AU"/>
              </w:rPr>
            </w:pPr>
            <w:r w:rsidRPr="00E85892">
              <w:rPr>
                <w:rFonts w:eastAsiaTheme="minorEastAsia"/>
                <w:lang w:eastAsia="en-AU"/>
              </w:rPr>
              <w:t>Budget</w:t>
            </w:r>
          </w:p>
        </w:tc>
        <w:tc>
          <w:tcPr>
            <w:tcW w:w="1036" w:type="dxa"/>
            <w:tcBorders>
              <w:top w:val="nil"/>
              <w:left w:val="nil"/>
              <w:bottom w:val="single" w:sz="4" w:space="0" w:color="auto"/>
              <w:right w:val="nil"/>
            </w:tcBorders>
            <w:shd w:val="clear" w:color="auto" w:fill="000000"/>
          </w:tcPr>
          <w:p w:rsidR="00A53D7D" w:rsidRPr="00E85892" w:rsidRDefault="00A53D7D" w:rsidP="005140B4">
            <w:pPr>
              <w:pStyle w:val="Tabletextheading"/>
              <w:rPr>
                <w:rFonts w:eastAsiaTheme="minorEastAsia"/>
                <w:lang w:eastAsia="en-AU"/>
              </w:rPr>
            </w:pPr>
            <w:r w:rsidRPr="00E85892">
              <w:rPr>
                <w:rFonts w:eastAsiaTheme="minorEastAsia"/>
                <w:lang w:eastAsia="en-AU"/>
              </w:rPr>
              <w:t>Revised</w:t>
            </w:r>
          </w:p>
        </w:tc>
        <w:tc>
          <w:tcPr>
            <w:tcW w:w="1036" w:type="dxa"/>
            <w:tcBorders>
              <w:top w:val="nil"/>
              <w:left w:val="nil"/>
              <w:bottom w:val="single" w:sz="4" w:space="0" w:color="auto"/>
              <w:right w:val="single" w:sz="4" w:space="0" w:color="auto"/>
            </w:tcBorders>
            <w:shd w:val="clear" w:color="auto" w:fill="000000"/>
          </w:tcPr>
          <w:p w:rsidR="00A53D7D" w:rsidRPr="00E85892" w:rsidRDefault="00A53D7D" w:rsidP="005140B4">
            <w:pPr>
              <w:pStyle w:val="Tabletextheading"/>
              <w:rPr>
                <w:rFonts w:eastAsiaTheme="minorEastAsia"/>
                <w:lang w:eastAsia="en-AU"/>
              </w:rPr>
            </w:pPr>
            <w:r w:rsidRPr="00E85892">
              <w:rPr>
                <w:rFonts w:eastAsiaTheme="minorEastAsia"/>
                <w:lang w:eastAsia="en-AU"/>
              </w:rPr>
              <w:t>Budget</w:t>
            </w:r>
          </w:p>
        </w:tc>
      </w:tr>
      <w:tr w:rsidR="00A53D7D" w:rsidRPr="00E85892" w:rsidTr="005140B4">
        <w:tc>
          <w:tcPr>
            <w:tcW w:w="4665" w:type="dxa"/>
            <w:tcBorders>
              <w:top w:val="single" w:sz="4" w:space="0" w:color="auto"/>
              <w:left w:val="nil"/>
              <w:bottom w:val="nil"/>
              <w:right w:val="nil"/>
            </w:tcBorders>
            <w:shd w:val="solid" w:color="FFFFFF" w:fill="auto"/>
          </w:tcPr>
          <w:p w:rsidR="00A53D7D" w:rsidRPr="00E85892" w:rsidRDefault="00A53D7D" w:rsidP="005140B4">
            <w:pPr>
              <w:pStyle w:val="Tabletext"/>
              <w:rPr>
                <w:rFonts w:eastAsiaTheme="minorEastAsia"/>
                <w:b/>
                <w:bCs/>
                <w:lang w:eastAsia="en-AU"/>
              </w:rPr>
            </w:pPr>
            <w:r w:rsidRPr="00E85892">
              <w:rPr>
                <w:rFonts w:eastAsiaTheme="minorEastAsia"/>
                <w:b/>
                <w:bCs/>
                <w:lang w:eastAsia="en-AU"/>
              </w:rPr>
              <w:t>Annual appropriations</w:t>
            </w:r>
          </w:p>
        </w:tc>
        <w:tc>
          <w:tcPr>
            <w:tcW w:w="1036" w:type="dxa"/>
            <w:tcBorders>
              <w:top w:val="single" w:sz="4" w:space="0" w:color="auto"/>
              <w:left w:val="nil"/>
              <w:bottom w:val="nil"/>
              <w:right w:val="nil"/>
            </w:tcBorders>
            <w:shd w:val="solid" w:color="FFFFFF" w:fill="auto"/>
          </w:tcPr>
          <w:p w:rsidR="00A53D7D" w:rsidRPr="00E85892" w:rsidRDefault="00A53D7D" w:rsidP="005140B4">
            <w:pPr>
              <w:pStyle w:val="TableofFigures"/>
              <w:rPr>
                <w:rFonts w:eastAsiaTheme="minorEastAsia"/>
                <w:b/>
                <w:bCs/>
                <w:lang w:eastAsia="en-AU"/>
              </w:rPr>
            </w:pPr>
            <w:r w:rsidRPr="00E85892">
              <w:rPr>
                <w:rFonts w:eastAsiaTheme="minorEastAsia"/>
                <w:b/>
                <w:bCs/>
                <w:lang w:eastAsia="en-AU"/>
              </w:rPr>
              <w:t>3 618.6</w:t>
            </w:r>
          </w:p>
        </w:tc>
        <w:tc>
          <w:tcPr>
            <w:tcW w:w="1036" w:type="dxa"/>
            <w:tcBorders>
              <w:top w:val="single" w:sz="4" w:space="0" w:color="auto"/>
              <w:left w:val="nil"/>
              <w:bottom w:val="nil"/>
              <w:right w:val="nil"/>
            </w:tcBorders>
            <w:shd w:val="solid" w:color="FFFFFF" w:fill="auto"/>
          </w:tcPr>
          <w:p w:rsidR="00A53D7D" w:rsidRPr="00E85892" w:rsidRDefault="00A53D7D" w:rsidP="005140B4">
            <w:pPr>
              <w:pStyle w:val="TableofFigures"/>
              <w:rPr>
                <w:rFonts w:eastAsiaTheme="minorEastAsia"/>
                <w:b/>
                <w:bCs/>
                <w:lang w:eastAsia="en-AU"/>
              </w:rPr>
            </w:pPr>
            <w:r w:rsidRPr="00E85892">
              <w:rPr>
                <w:rFonts w:eastAsiaTheme="minorEastAsia"/>
                <w:b/>
                <w:bCs/>
                <w:lang w:eastAsia="en-AU"/>
              </w:rPr>
              <w:t>3 583.1</w:t>
            </w:r>
          </w:p>
        </w:tc>
        <w:tc>
          <w:tcPr>
            <w:tcW w:w="1036" w:type="dxa"/>
            <w:tcBorders>
              <w:top w:val="single" w:sz="4" w:space="0" w:color="auto"/>
              <w:left w:val="nil"/>
              <w:bottom w:val="nil"/>
              <w:right w:val="nil"/>
            </w:tcBorders>
            <w:shd w:val="solid" w:color="FFFFFF" w:fill="auto"/>
          </w:tcPr>
          <w:p w:rsidR="00A53D7D" w:rsidRPr="00E85892" w:rsidRDefault="00A53D7D" w:rsidP="005140B4">
            <w:pPr>
              <w:pStyle w:val="TableofFigures"/>
              <w:rPr>
                <w:rFonts w:eastAsiaTheme="minorEastAsia"/>
                <w:b/>
                <w:bCs/>
                <w:lang w:eastAsia="en-AU"/>
              </w:rPr>
            </w:pPr>
            <w:r w:rsidRPr="00E85892">
              <w:rPr>
                <w:rFonts w:eastAsiaTheme="minorEastAsia"/>
                <w:b/>
                <w:bCs/>
                <w:lang w:eastAsia="en-AU"/>
              </w:rPr>
              <w:t>3 774.9</w:t>
            </w:r>
          </w:p>
        </w:tc>
      </w:tr>
      <w:tr w:rsidR="00A53D7D" w:rsidRPr="00E85892" w:rsidTr="005140B4">
        <w:tc>
          <w:tcPr>
            <w:tcW w:w="4665" w:type="dxa"/>
            <w:tcBorders>
              <w:top w:val="nil"/>
              <w:left w:val="nil"/>
              <w:bottom w:val="nil"/>
              <w:right w:val="nil"/>
            </w:tcBorders>
            <w:shd w:val="solid" w:color="FFFFFF" w:fill="auto"/>
          </w:tcPr>
          <w:p w:rsidR="00A53D7D" w:rsidRPr="00E85892" w:rsidRDefault="00A53D7D" w:rsidP="005140B4">
            <w:pPr>
              <w:pStyle w:val="Tabletext"/>
              <w:rPr>
                <w:rFonts w:eastAsiaTheme="minorEastAsia"/>
                <w:lang w:eastAsia="en-AU"/>
              </w:rPr>
            </w:pPr>
            <w:r w:rsidRPr="00E85892">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3 534.6</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3 522.5</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3 711.3</w:t>
            </w:r>
          </w:p>
        </w:tc>
      </w:tr>
      <w:tr w:rsidR="00A53D7D" w:rsidRPr="00E85892" w:rsidTr="005140B4">
        <w:tc>
          <w:tcPr>
            <w:tcW w:w="4665" w:type="dxa"/>
            <w:tcBorders>
              <w:top w:val="nil"/>
              <w:left w:val="nil"/>
              <w:bottom w:val="nil"/>
              <w:right w:val="nil"/>
            </w:tcBorders>
            <w:shd w:val="solid" w:color="FFFFFF" w:fill="auto"/>
          </w:tcPr>
          <w:p w:rsidR="00A53D7D" w:rsidRPr="00E85892" w:rsidRDefault="00A53D7D" w:rsidP="005140B4">
            <w:pPr>
              <w:pStyle w:val="Tabletext"/>
              <w:rPr>
                <w:rFonts w:eastAsiaTheme="minorEastAsia"/>
                <w:lang w:eastAsia="en-AU"/>
              </w:rPr>
            </w:pPr>
            <w:r w:rsidRPr="00E85892">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84.0</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60.7</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63.7</w:t>
            </w:r>
          </w:p>
        </w:tc>
      </w:tr>
      <w:tr w:rsidR="00A53D7D" w:rsidRPr="00E85892" w:rsidTr="005140B4">
        <w:tc>
          <w:tcPr>
            <w:tcW w:w="4665" w:type="dxa"/>
            <w:tcBorders>
              <w:top w:val="nil"/>
              <w:left w:val="nil"/>
              <w:bottom w:val="nil"/>
              <w:right w:val="nil"/>
            </w:tcBorders>
            <w:shd w:val="solid" w:color="FFFFFF" w:fill="auto"/>
          </w:tcPr>
          <w:p w:rsidR="00A53D7D" w:rsidRPr="00E85892" w:rsidRDefault="00A53D7D" w:rsidP="005140B4">
            <w:pPr>
              <w:pStyle w:val="Tabletext"/>
              <w:rPr>
                <w:rFonts w:eastAsiaTheme="minorEastAsia"/>
                <w:lang w:eastAsia="en-AU"/>
              </w:rPr>
            </w:pPr>
            <w:r w:rsidRPr="00E85892">
              <w:rPr>
                <w:rFonts w:eastAsiaTheme="minorEastAsia"/>
                <w:lang w:eastAsia="en-AU"/>
              </w:rPr>
              <w:t>Receipts credited to appropriations</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50.3</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68.6</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56.8</w:t>
            </w:r>
          </w:p>
        </w:tc>
      </w:tr>
      <w:tr w:rsidR="00A53D7D" w:rsidRPr="00E85892" w:rsidTr="005140B4">
        <w:tc>
          <w:tcPr>
            <w:tcW w:w="4665" w:type="dxa"/>
            <w:tcBorders>
              <w:top w:val="nil"/>
              <w:left w:val="nil"/>
              <w:bottom w:val="nil"/>
              <w:right w:val="nil"/>
            </w:tcBorders>
            <w:shd w:val="solid" w:color="FFFFFF" w:fill="auto"/>
          </w:tcPr>
          <w:p w:rsidR="00A53D7D" w:rsidRPr="00E85892" w:rsidRDefault="00A53D7D" w:rsidP="005140B4">
            <w:pPr>
              <w:pStyle w:val="Tabletext"/>
              <w:rPr>
                <w:rFonts w:eastAsiaTheme="minorEastAsia"/>
                <w:b/>
                <w:lang w:eastAsia="en-AU"/>
              </w:rPr>
            </w:pPr>
            <w:r w:rsidRPr="00E85892">
              <w:rPr>
                <w:rFonts w:eastAsiaTheme="minorEastAsia"/>
                <w:b/>
                <w:lang w:eastAsia="en-AU"/>
              </w:rPr>
              <w:t>Unapplied previous years appropriation</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b/>
                <w:lang w:eastAsia="en-AU"/>
              </w:rPr>
            </w:pPr>
            <w:r w:rsidRPr="00E85892">
              <w:rPr>
                <w:rFonts w:eastAsiaTheme="minorEastAsia"/>
                <w:b/>
                <w:lang w:eastAsia="en-AU"/>
              </w:rPr>
              <w:t xml:space="preserve"> 14.9</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b/>
                <w:lang w:eastAsia="en-AU"/>
              </w:rPr>
            </w:pPr>
            <w:r w:rsidRPr="00E85892">
              <w:rPr>
                <w:rFonts w:eastAsiaTheme="minorEastAsia"/>
                <w:b/>
                <w:lang w:eastAsia="en-AU"/>
              </w:rPr>
              <w:t xml:space="preserve"> 33.4</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b/>
                <w:lang w:eastAsia="en-AU"/>
              </w:rPr>
            </w:pPr>
            <w:r w:rsidRPr="00E85892">
              <w:rPr>
                <w:rFonts w:eastAsiaTheme="minorEastAsia"/>
                <w:b/>
                <w:lang w:eastAsia="en-AU"/>
              </w:rPr>
              <w:t xml:space="preserve"> 33.6</w:t>
            </w:r>
          </w:p>
        </w:tc>
      </w:tr>
      <w:tr w:rsidR="00A53D7D" w:rsidRPr="00E85892" w:rsidTr="005140B4">
        <w:tc>
          <w:tcPr>
            <w:tcW w:w="4665" w:type="dxa"/>
            <w:tcBorders>
              <w:top w:val="nil"/>
              <w:left w:val="nil"/>
              <w:bottom w:val="nil"/>
              <w:right w:val="nil"/>
            </w:tcBorders>
            <w:shd w:val="solid" w:color="FFFFFF" w:fill="auto"/>
          </w:tcPr>
          <w:p w:rsidR="00A53D7D" w:rsidRPr="00E85892" w:rsidRDefault="00A53D7D" w:rsidP="005140B4">
            <w:pPr>
              <w:pStyle w:val="Tabletext"/>
              <w:rPr>
                <w:rFonts w:eastAsiaTheme="minorEastAsia"/>
                <w:bCs/>
                <w:lang w:eastAsia="en-AU"/>
              </w:rPr>
            </w:pPr>
            <w:r w:rsidRPr="00E85892">
              <w:rPr>
                <w:rFonts w:eastAsiaTheme="minorEastAsia"/>
                <w:bCs/>
                <w:lang w:eastAsia="en-AU"/>
              </w:rPr>
              <w:t xml:space="preserve"> Provision of outputs</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2.9</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13.2</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17.4</w:t>
            </w:r>
          </w:p>
        </w:tc>
      </w:tr>
      <w:tr w:rsidR="00A53D7D" w:rsidRPr="00E85892" w:rsidTr="005140B4">
        <w:tc>
          <w:tcPr>
            <w:tcW w:w="4665" w:type="dxa"/>
            <w:tcBorders>
              <w:top w:val="nil"/>
              <w:left w:val="nil"/>
              <w:bottom w:val="nil"/>
              <w:right w:val="nil"/>
            </w:tcBorders>
            <w:shd w:val="solid" w:color="FFFFFF" w:fill="auto"/>
          </w:tcPr>
          <w:p w:rsidR="00A53D7D" w:rsidRPr="00E85892" w:rsidRDefault="00A53D7D" w:rsidP="005140B4">
            <w:pPr>
              <w:pStyle w:val="Tabletext"/>
              <w:rPr>
                <w:rFonts w:eastAsiaTheme="minorEastAsia" w:cs="Calibri"/>
                <w:lang w:eastAsia="en-AU"/>
              </w:rPr>
            </w:pPr>
            <w:r w:rsidRPr="00E85892">
              <w:rPr>
                <w:rFonts w:eastAsiaTheme="minorEastAsia"/>
                <w:lang w:eastAsia="en-AU"/>
              </w:rPr>
              <w:t xml:space="preserve"> Additions to the </w:t>
            </w:r>
            <w:r w:rsidRPr="00E85892">
              <w:rPr>
                <w:rFonts w:eastAsiaTheme="minorEastAsia" w:cs="Calibri"/>
                <w:lang w:eastAsia="en-AU"/>
              </w:rPr>
              <w:t>net asset base</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12.0</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20.2</w:t>
            </w:r>
          </w:p>
        </w:tc>
        <w:tc>
          <w:tcPr>
            <w:tcW w:w="1036" w:type="dxa"/>
            <w:tcBorders>
              <w:top w:val="nil"/>
              <w:left w:val="nil"/>
              <w:bottom w:val="nil"/>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16.2</w:t>
            </w:r>
          </w:p>
        </w:tc>
      </w:tr>
      <w:tr w:rsidR="00A53D7D" w:rsidRPr="00E85892" w:rsidTr="005140B4">
        <w:tc>
          <w:tcPr>
            <w:tcW w:w="4665" w:type="dxa"/>
            <w:tcBorders>
              <w:top w:val="nil"/>
              <w:left w:val="nil"/>
              <w:bottom w:val="single" w:sz="6" w:space="0" w:color="auto"/>
              <w:right w:val="nil"/>
            </w:tcBorders>
            <w:shd w:val="solid" w:color="FFFFFF" w:fill="auto"/>
          </w:tcPr>
          <w:p w:rsidR="00A53D7D" w:rsidRPr="00E85892" w:rsidRDefault="00A53D7D" w:rsidP="005140B4">
            <w:pPr>
              <w:pStyle w:val="Tabletext"/>
              <w:rPr>
                <w:rFonts w:eastAsiaTheme="minorEastAsia"/>
                <w:lang w:eastAsia="en-AU"/>
              </w:rPr>
            </w:pPr>
            <w:r w:rsidRPr="00E85892">
              <w:rPr>
                <w:rFonts w:eastAsiaTheme="minorEastAsia"/>
                <w:lang w:eastAsia="en-AU"/>
              </w:rPr>
              <w:t>Accumulated surplus – previously applied appropriation</w:t>
            </w:r>
          </w:p>
        </w:tc>
        <w:tc>
          <w:tcPr>
            <w:tcW w:w="1036" w:type="dxa"/>
            <w:tcBorders>
              <w:top w:val="nil"/>
              <w:left w:val="nil"/>
              <w:bottom w:val="single" w:sz="6" w:space="0" w:color="auto"/>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w:t>
            </w:r>
          </w:p>
        </w:tc>
        <w:tc>
          <w:tcPr>
            <w:tcW w:w="1036" w:type="dxa"/>
            <w:tcBorders>
              <w:top w:val="nil"/>
              <w:left w:val="nil"/>
              <w:bottom w:val="single" w:sz="6" w:space="0" w:color="auto"/>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7.2</w:t>
            </w:r>
          </w:p>
        </w:tc>
        <w:tc>
          <w:tcPr>
            <w:tcW w:w="1036" w:type="dxa"/>
            <w:tcBorders>
              <w:top w:val="nil"/>
              <w:left w:val="nil"/>
              <w:bottom w:val="single" w:sz="6" w:space="0" w:color="auto"/>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16.1</w:t>
            </w:r>
          </w:p>
        </w:tc>
      </w:tr>
      <w:tr w:rsidR="00A53D7D" w:rsidRPr="00E85892" w:rsidTr="005140B4">
        <w:tc>
          <w:tcPr>
            <w:tcW w:w="4665" w:type="dxa"/>
            <w:tcBorders>
              <w:top w:val="single" w:sz="6" w:space="0" w:color="auto"/>
              <w:left w:val="nil"/>
              <w:right w:val="nil"/>
            </w:tcBorders>
            <w:shd w:val="solid" w:color="FFFFFF" w:fill="auto"/>
          </w:tcPr>
          <w:p w:rsidR="00A53D7D" w:rsidRPr="00E85892" w:rsidRDefault="00A53D7D" w:rsidP="005140B4">
            <w:pPr>
              <w:pStyle w:val="Tabletext"/>
              <w:rPr>
                <w:rFonts w:eastAsiaTheme="minorEastAsia"/>
                <w:b/>
                <w:lang w:eastAsia="en-AU"/>
              </w:rPr>
            </w:pPr>
            <w:r w:rsidRPr="00E85892">
              <w:rPr>
                <w:rFonts w:eastAsiaTheme="minorEastAsia"/>
                <w:b/>
                <w:lang w:eastAsia="en-AU"/>
              </w:rPr>
              <w:t>Gross annual appropriation</w:t>
            </w:r>
          </w:p>
        </w:tc>
        <w:tc>
          <w:tcPr>
            <w:tcW w:w="1036" w:type="dxa"/>
            <w:tcBorders>
              <w:top w:val="single" w:sz="6" w:space="0" w:color="auto"/>
              <w:left w:val="nil"/>
              <w:right w:val="nil"/>
            </w:tcBorders>
            <w:shd w:val="solid" w:color="FFFFFF" w:fill="auto"/>
          </w:tcPr>
          <w:p w:rsidR="00A53D7D" w:rsidRPr="00E85892" w:rsidRDefault="00A53D7D" w:rsidP="005140B4">
            <w:pPr>
              <w:pStyle w:val="TableofFigures"/>
              <w:rPr>
                <w:rFonts w:eastAsiaTheme="minorEastAsia" w:cs="Calibri"/>
                <w:b/>
                <w:bCs/>
                <w:lang w:eastAsia="en-AU"/>
              </w:rPr>
            </w:pPr>
            <w:r w:rsidRPr="00E85892">
              <w:rPr>
                <w:rFonts w:eastAsiaTheme="minorEastAsia"/>
                <w:b/>
                <w:lang w:eastAsia="en-AU"/>
              </w:rPr>
              <w:t>3 683.8</w:t>
            </w:r>
          </w:p>
        </w:tc>
        <w:tc>
          <w:tcPr>
            <w:tcW w:w="1036" w:type="dxa"/>
            <w:tcBorders>
              <w:top w:val="single" w:sz="6" w:space="0" w:color="auto"/>
              <w:left w:val="nil"/>
              <w:right w:val="nil"/>
            </w:tcBorders>
            <w:shd w:val="solid" w:color="FFFFFF" w:fill="auto"/>
          </w:tcPr>
          <w:p w:rsidR="00A53D7D" w:rsidRPr="00E85892" w:rsidRDefault="00A53D7D" w:rsidP="005140B4">
            <w:pPr>
              <w:pStyle w:val="TableofFigures"/>
              <w:rPr>
                <w:rFonts w:eastAsiaTheme="minorEastAsia" w:cs="Calibri"/>
                <w:b/>
                <w:bCs/>
                <w:lang w:eastAsia="en-AU"/>
              </w:rPr>
            </w:pPr>
            <w:r w:rsidRPr="00E85892">
              <w:rPr>
                <w:rFonts w:eastAsiaTheme="minorEastAsia"/>
                <w:b/>
                <w:lang w:eastAsia="en-AU"/>
              </w:rPr>
              <w:t>3 692.2</w:t>
            </w:r>
          </w:p>
        </w:tc>
        <w:tc>
          <w:tcPr>
            <w:tcW w:w="1036" w:type="dxa"/>
            <w:tcBorders>
              <w:top w:val="single" w:sz="6" w:space="0" w:color="auto"/>
              <w:left w:val="nil"/>
              <w:right w:val="nil"/>
            </w:tcBorders>
            <w:shd w:val="solid" w:color="FFFFFF" w:fill="auto"/>
          </w:tcPr>
          <w:p w:rsidR="00A53D7D" w:rsidRPr="00E85892" w:rsidRDefault="00A53D7D" w:rsidP="005140B4">
            <w:pPr>
              <w:pStyle w:val="TableofFigures"/>
              <w:rPr>
                <w:rFonts w:eastAsiaTheme="minorEastAsia" w:cs="Calibri"/>
                <w:b/>
                <w:bCs/>
                <w:lang w:eastAsia="en-AU"/>
              </w:rPr>
            </w:pPr>
            <w:r w:rsidRPr="00E85892">
              <w:rPr>
                <w:rFonts w:eastAsiaTheme="minorEastAsia"/>
                <w:b/>
                <w:lang w:eastAsia="en-AU"/>
              </w:rPr>
              <w:t>3 881.4</w:t>
            </w:r>
          </w:p>
        </w:tc>
      </w:tr>
      <w:tr w:rsidR="00A53D7D" w:rsidRPr="00E85892" w:rsidTr="005140B4">
        <w:tc>
          <w:tcPr>
            <w:tcW w:w="4665" w:type="dxa"/>
            <w:tcBorders>
              <w:left w:val="nil"/>
              <w:bottom w:val="nil"/>
              <w:right w:val="nil"/>
            </w:tcBorders>
            <w:shd w:val="solid" w:color="FFFFFF" w:fill="auto"/>
          </w:tcPr>
          <w:p w:rsidR="00A53D7D" w:rsidRPr="00E85892" w:rsidRDefault="00A53D7D" w:rsidP="005140B4">
            <w:pPr>
              <w:pStyle w:val="Tabletext"/>
              <w:rPr>
                <w:rFonts w:eastAsiaTheme="minorEastAsia"/>
                <w:bCs/>
                <w:lang w:eastAsia="en-AU"/>
              </w:rPr>
            </w:pPr>
            <w:r w:rsidRPr="00E85892">
              <w:rPr>
                <w:rFonts w:eastAsiaTheme="minorEastAsia"/>
                <w:bCs/>
                <w:lang w:eastAsia="en-AU"/>
              </w:rPr>
              <w:t>Special appropriations</w:t>
            </w:r>
          </w:p>
        </w:tc>
        <w:tc>
          <w:tcPr>
            <w:tcW w:w="1036" w:type="dxa"/>
            <w:tcBorders>
              <w:left w:val="nil"/>
              <w:bottom w:val="nil"/>
              <w:right w:val="nil"/>
            </w:tcBorders>
            <w:shd w:val="solid" w:color="FFFFFF" w:fill="auto"/>
          </w:tcPr>
          <w:p w:rsidR="00A53D7D" w:rsidRPr="00E85892" w:rsidRDefault="00A53D7D" w:rsidP="005140B4">
            <w:pPr>
              <w:pStyle w:val="TableofFigures"/>
              <w:rPr>
                <w:rFonts w:eastAsiaTheme="minorEastAsia"/>
                <w:bCs/>
                <w:lang w:eastAsia="en-AU"/>
              </w:rPr>
            </w:pPr>
            <w:r w:rsidRPr="00E85892">
              <w:rPr>
                <w:rFonts w:eastAsiaTheme="minorEastAsia"/>
                <w:bCs/>
                <w:lang w:eastAsia="en-AU"/>
              </w:rPr>
              <w:t xml:space="preserve"> 63.9</w:t>
            </w:r>
          </w:p>
        </w:tc>
        <w:tc>
          <w:tcPr>
            <w:tcW w:w="1036" w:type="dxa"/>
            <w:tcBorders>
              <w:left w:val="nil"/>
              <w:bottom w:val="nil"/>
              <w:right w:val="nil"/>
            </w:tcBorders>
            <w:shd w:val="solid" w:color="FFFFFF" w:fill="auto"/>
          </w:tcPr>
          <w:p w:rsidR="00A53D7D" w:rsidRPr="00E85892" w:rsidRDefault="00A53D7D" w:rsidP="005140B4">
            <w:pPr>
              <w:pStyle w:val="TableofFigures"/>
              <w:rPr>
                <w:rFonts w:eastAsiaTheme="minorEastAsia"/>
                <w:bCs/>
                <w:lang w:eastAsia="en-AU"/>
              </w:rPr>
            </w:pPr>
            <w:r w:rsidRPr="00E85892">
              <w:rPr>
                <w:rFonts w:eastAsiaTheme="minorEastAsia"/>
                <w:bCs/>
                <w:lang w:eastAsia="en-AU"/>
              </w:rPr>
              <w:t xml:space="preserve"> 63.9</w:t>
            </w:r>
          </w:p>
        </w:tc>
        <w:tc>
          <w:tcPr>
            <w:tcW w:w="1036" w:type="dxa"/>
            <w:tcBorders>
              <w:left w:val="nil"/>
              <w:bottom w:val="nil"/>
              <w:right w:val="nil"/>
            </w:tcBorders>
            <w:shd w:val="solid" w:color="FFFFFF" w:fill="auto"/>
          </w:tcPr>
          <w:p w:rsidR="00A53D7D" w:rsidRPr="00E85892" w:rsidRDefault="00A53D7D" w:rsidP="005140B4">
            <w:pPr>
              <w:pStyle w:val="TableofFigures"/>
              <w:rPr>
                <w:rFonts w:eastAsiaTheme="minorEastAsia"/>
                <w:bCs/>
                <w:lang w:eastAsia="en-AU"/>
              </w:rPr>
            </w:pPr>
            <w:r w:rsidRPr="00E85892">
              <w:rPr>
                <w:rFonts w:eastAsiaTheme="minorEastAsia"/>
                <w:bCs/>
                <w:lang w:eastAsia="en-AU"/>
              </w:rPr>
              <w:t xml:space="preserve"> 63.9</w:t>
            </w:r>
          </w:p>
        </w:tc>
      </w:tr>
      <w:tr w:rsidR="00A53D7D" w:rsidRPr="00E85892" w:rsidTr="005140B4">
        <w:tc>
          <w:tcPr>
            <w:tcW w:w="4665" w:type="dxa"/>
            <w:tcBorders>
              <w:top w:val="nil"/>
              <w:left w:val="nil"/>
              <w:bottom w:val="single" w:sz="6" w:space="0" w:color="auto"/>
              <w:right w:val="nil"/>
            </w:tcBorders>
            <w:shd w:val="solid" w:color="FFFFFF" w:fill="auto"/>
          </w:tcPr>
          <w:p w:rsidR="00A53D7D" w:rsidRPr="00E85892" w:rsidRDefault="00A53D7D" w:rsidP="005140B4">
            <w:pPr>
              <w:pStyle w:val="Tabletext"/>
              <w:rPr>
                <w:rFonts w:eastAsiaTheme="minorEastAsia"/>
                <w:lang w:eastAsia="en-AU"/>
              </w:rPr>
            </w:pPr>
            <w:r w:rsidRPr="00E85892">
              <w:rPr>
                <w:rFonts w:eastAsiaTheme="minorEastAsia"/>
                <w:lang w:eastAsia="en-AU"/>
              </w:rPr>
              <w:t>Trust funds</w:t>
            </w:r>
          </w:p>
        </w:tc>
        <w:tc>
          <w:tcPr>
            <w:tcW w:w="1036" w:type="dxa"/>
            <w:tcBorders>
              <w:top w:val="nil"/>
              <w:left w:val="nil"/>
              <w:bottom w:val="single" w:sz="6" w:space="0" w:color="auto"/>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23.7</w:t>
            </w:r>
          </w:p>
        </w:tc>
        <w:tc>
          <w:tcPr>
            <w:tcW w:w="1036" w:type="dxa"/>
            <w:tcBorders>
              <w:top w:val="nil"/>
              <w:left w:val="nil"/>
              <w:bottom w:val="single" w:sz="6" w:space="0" w:color="auto"/>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27.8</w:t>
            </w:r>
          </w:p>
        </w:tc>
        <w:tc>
          <w:tcPr>
            <w:tcW w:w="1036" w:type="dxa"/>
            <w:tcBorders>
              <w:top w:val="nil"/>
              <w:left w:val="nil"/>
              <w:bottom w:val="single" w:sz="6" w:space="0" w:color="auto"/>
              <w:right w:val="nil"/>
            </w:tcBorders>
            <w:shd w:val="solid" w:color="FFFFFF" w:fill="auto"/>
          </w:tcPr>
          <w:p w:rsidR="00A53D7D" w:rsidRPr="00E85892" w:rsidRDefault="00A53D7D" w:rsidP="005140B4">
            <w:pPr>
              <w:pStyle w:val="TableofFigures"/>
              <w:rPr>
                <w:rFonts w:eastAsiaTheme="minorEastAsia"/>
                <w:lang w:eastAsia="en-AU"/>
              </w:rPr>
            </w:pPr>
            <w:r w:rsidRPr="00E85892">
              <w:rPr>
                <w:rFonts w:eastAsiaTheme="minorEastAsia"/>
                <w:lang w:eastAsia="en-AU"/>
              </w:rPr>
              <w:t xml:space="preserve"> 27.4</w:t>
            </w:r>
          </w:p>
        </w:tc>
      </w:tr>
      <w:tr w:rsidR="00A53D7D" w:rsidRPr="00E85892" w:rsidTr="005140B4">
        <w:tc>
          <w:tcPr>
            <w:tcW w:w="4665" w:type="dxa"/>
            <w:tcBorders>
              <w:top w:val="single" w:sz="6" w:space="0" w:color="auto"/>
              <w:left w:val="nil"/>
              <w:bottom w:val="single" w:sz="12" w:space="0" w:color="auto"/>
              <w:right w:val="nil"/>
            </w:tcBorders>
            <w:shd w:val="solid" w:color="FFFFFF" w:fill="auto"/>
          </w:tcPr>
          <w:p w:rsidR="00A53D7D" w:rsidRPr="00E85892" w:rsidRDefault="00A53D7D" w:rsidP="005140B4">
            <w:pPr>
              <w:pStyle w:val="Tabletext"/>
              <w:rPr>
                <w:rFonts w:eastAsiaTheme="minorEastAsia" w:cs="Calibri"/>
                <w:b/>
                <w:bCs/>
                <w:lang w:eastAsia="en-AU"/>
              </w:rPr>
            </w:pPr>
            <w:r w:rsidRPr="00E85892">
              <w:rPr>
                <w:rFonts w:eastAsiaTheme="minorEastAsia"/>
                <w:b/>
                <w:lang w:eastAsia="en-AU"/>
              </w:rPr>
              <w:t xml:space="preserve">Total parliamentary </w:t>
            </w:r>
            <w:r w:rsidRPr="00E85892">
              <w:rPr>
                <w:rFonts w:eastAsiaTheme="minorEastAsia" w:cs="Calibri"/>
                <w:b/>
                <w:bCs/>
                <w:lang w:eastAsia="en-AU"/>
              </w:rPr>
              <w:t>authority</w:t>
            </w:r>
          </w:p>
        </w:tc>
        <w:tc>
          <w:tcPr>
            <w:tcW w:w="1036" w:type="dxa"/>
            <w:tcBorders>
              <w:top w:val="single" w:sz="6" w:space="0" w:color="auto"/>
              <w:left w:val="nil"/>
              <w:bottom w:val="single" w:sz="12" w:space="0" w:color="auto"/>
              <w:right w:val="nil"/>
            </w:tcBorders>
            <w:shd w:val="solid" w:color="FFFFFF" w:fill="auto"/>
          </w:tcPr>
          <w:p w:rsidR="00A53D7D" w:rsidRPr="00E85892" w:rsidRDefault="00A53D7D" w:rsidP="005140B4">
            <w:pPr>
              <w:pStyle w:val="TableofFigures"/>
              <w:rPr>
                <w:rFonts w:eastAsiaTheme="minorEastAsia" w:cs="Calibri"/>
                <w:b/>
                <w:bCs/>
                <w:lang w:eastAsia="en-AU"/>
              </w:rPr>
            </w:pPr>
            <w:r w:rsidRPr="00E85892">
              <w:rPr>
                <w:rFonts w:eastAsiaTheme="minorEastAsia"/>
                <w:b/>
                <w:lang w:eastAsia="en-AU"/>
              </w:rPr>
              <w:t>3 771.4</w:t>
            </w:r>
          </w:p>
        </w:tc>
        <w:tc>
          <w:tcPr>
            <w:tcW w:w="1036" w:type="dxa"/>
            <w:tcBorders>
              <w:top w:val="single" w:sz="6" w:space="0" w:color="auto"/>
              <w:left w:val="nil"/>
              <w:bottom w:val="single" w:sz="12" w:space="0" w:color="auto"/>
              <w:right w:val="nil"/>
            </w:tcBorders>
            <w:shd w:val="solid" w:color="FFFFFF" w:fill="auto"/>
          </w:tcPr>
          <w:p w:rsidR="00A53D7D" w:rsidRPr="00E85892" w:rsidRDefault="00A53D7D" w:rsidP="005140B4">
            <w:pPr>
              <w:pStyle w:val="TableofFigures"/>
              <w:rPr>
                <w:rFonts w:eastAsiaTheme="minorEastAsia" w:cs="Calibri"/>
                <w:b/>
                <w:bCs/>
                <w:lang w:eastAsia="en-AU"/>
              </w:rPr>
            </w:pPr>
            <w:r w:rsidRPr="00E85892">
              <w:rPr>
                <w:rFonts w:eastAsiaTheme="minorEastAsia"/>
                <w:b/>
                <w:lang w:eastAsia="en-AU"/>
              </w:rPr>
              <w:t>3 784.0</w:t>
            </w:r>
          </w:p>
        </w:tc>
        <w:tc>
          <w:tcPr>
            <w:tcW w:w="1036" w:type="dxa"/>
            <w:tcBorders>
              <w:top w:val="single" w:sz="6" w:space="0" w:color="auto"/>
              <w:left w:val="nil"/>
              <w:bottom w:val="single" w:sz="12" w:space="0" w:color="auto"/>
              <w:right w:val="nil"/>
            </w:tcBorders>
            <w:shd w:val="solid" w:color="FFFFFF" w:fill="auto"/>
          </w:tcPr>
          <w:p w:rsidR="00A53D7D" w:rsidRPr="00E85892" w:rsidRDefault="00A53D7D" w:rsidP="005140B4">
            <w:pPr>
              <w:pStyle w:val="TableofFigures"/>
              <w:rPr>
                <w:rFonts w:eastAsiaTheme="minorEastAsia" w:cs="Calibri"/>
                <w:b/>
                <w:bCs/>
                <w:lang w:eastAsia="en-AU"/>
              </w:rPr>
            </w:pPr>
            <w:r w:rsidRPr="00E85892">
              <w:rPr>
                <w:rFonts w:eastAsiaTheme="minorEastAsia"/>
                <w:b/>
                <w:lang w:eastAsia="en-AU"/>
              </w:rPr>
              <w:t>3 972.8</w:t>
            </w:r>
          </w:p>
        </w:tc>
      </w:tr>
    </w:tbl>
    <w:p w:rsidR="00A53D7D" w:rsidRDefault="00A53D7D" w:rsidP="005140B4">
      <w:pPr>
        <w:pStyle w:val="Source"/>
      </w:pPr>
      <w:r>
        <w:t xml:space="preserve">Source: Departments of Human Services and Treasury and Finance </w:t>
      </w:r>
      <w:r>
        <w:fldChar w:fldCharType="begin"/>
      </w:r>
      <w:r>
        <w:instrText xml:space="preserve"> XE "Department of Human Services</w:instrText>
      </w:r>
      <w:r w:rsidRPr="00ED1DC7">
        <w:instrText>:Parliamentary authority for resources</w:instrText>
      </w:r>
      <w:r>
        <w:instrText xml:space="preserve">" </w:instrText>
      </w:r>
      <w:r>
        <w:fldChar w:fldCharType="end"/>
      </w:r>
    </w:p>
    <w:p w:rsidR="00A53D7D" w:rsidRDefault="00A53D7D">
      <w:pPr>
        <w:spacing w:after="0"/>
      </w:pPr>
      <w:r>
        <w:br w:type="page"/>
      </w:r>
    </w:p>
    <w:p w:rsidR="00A53D7D" w:rsidRPr="001C2BEA" w:rsidRDefault="00A53D7D" w:rsidP="005140B4">
      <w:pPr>
        <w:pStyle w:val="OGHeading1"/>
        <w:rPr>
          <w:lang w:eastAsia="en-AU"/>
        </w:rPr>
      </w:pPr>
      <w:bookmarkStart w:id="98" w:name="DHSDisab"/>
      <w:r w:rsidRPr="001C2BEA">
        <w:rPr>
          <w:lang w:eastAsia="en-AU"/>
        </w:rPr>
        <w:t>Disability Services</w:t>
      </w:r>
    </w:p>
    <w:p w:rsidR="00A53D7D" w:rsidRPr="001C2BEA" w:rsidRDefault="00A53D7D" w:rsidP="005140B4">
      <w:pPr>
        <w:pStyle w:val="OGText"/>
        <w:rPr>
          <w:lang w:eastAsia="en-AU"/>
        </w:rPr>
      </w:pPr>
      <w:r w:rsidRPr="001C2BEA">
        <w:rPr>
          <w:lang w:eastAsia="en-AU"/>
        </w:rPr>
        <w:t xml:space="preserve">The Disability Services output, through the provision of continuing care and support services for people with disabilities, their </w:t>
      </w:r>
      <w:proofErr w:type="spellStart"/>
      <w:r w:rsidRPr="001C2BEA">
        <w:rPr>
          <w:lang w:eastAsia="en-AU"/>
        </w:rPr>
        <w:t>carers</w:t>
      </w:r>
      <w:proofErr w:type="spellEnd"/>
      <w:r w:rsidRPr="001C2BEA">
        <w:rPr>
          <w:lang w:eastAsia="en-AU"/>
        </w:rPr>
        <w:t xml:space="preserve"> and their families, aims to make a positive difference for Victorians experiencing disadvantage and provide excellent community services to meet clients</w:t>
      </w:r>
      <w:r>
        <w:rPr>
          <w:lang w:eastAsia="en-AU"/>
        </w:rPr>
        <w:t>’</w:t>
      </w:r>
      <w:r w:rsidRPr="001C2BEA">
        <w:rPr>
          <w:lang w:eastAsia="en-AU"/>
        </w:rPr>
        <w:t xml:space="preserve"> needs.</w:t>
      </w:r>
    </w:p>
    <w:p w:rsidR="00A53D7D" w:rsidRPr="001C2BEA" w:rsidRDefault="00A53D7D" w:rsidP="005140B4">
      <w:pPr>
        <w:pStyle w:val="OGText"/>
        <w:rPr>
          <w:lang w:eastAsia="en-AU"/>
        </w:rPr>
      </w:pPr>
      <w:r w:rsidRPr="001C2BEA">
        <w:rPr>
          <w:lang w:eastAsia="en-AU"/>
        </w:rPr>
        <w:t>This output provides:</w:t>
      </w:r>
    </w:p>
    <w:p w:rsidR="00A53D7D" w:rsidRDefault="00A53D7D" w:rsidP="005140B4">
      <w:pPr>
        <w:pStyle w:val="OGBullet"/>
      </w:pPr>
      <w:r w:rsidRPr="001C2BEA">
        <w:t>programs and resources that enable clients with a disability to exercise choice and control through the use of packages of individualised funding;</w:t>
      </w:r>
    </w:p>
    <w:p w:rsidR="00A53D7D" w:rsidRPr="001C2BEA" w:rsidRDefault="00A53D7D" w:rsidP="005140B4">
      <w:pPr>
        <w:pStyle w:val="OGBullet"/>
      </w:pPr>
      <w:r w:rsidRPr="001C2BEA">
        <w:t>specialised support for people with a disability and resources and programs that build capacity to respond to the needs of people with a disability; and</w:t>
      </w:r>
    </w:p>
    <w:p w:rsidR="00A53D7D" w:rsidRPr="001C2BEA" w:rsidRDefault="00A53D7D" w:rsidP="005140B4">
      <w:pPr>
        <w:pStyle w:val="OGBullet"/>
      </w:pPr>
      <w:proofErr w:type="gramStart"/>
      <w:r w:rsidRPr="001C2BEA">
        <w:t>bed</w:t>
      </w:r>
      <w:proofErr w:type="gramEnd"/>
      <w:r w:rsidRPr="001C2BEA">
        <w:t xml:space="preserve"> and facility</w:t>
      </w:r>
      <w:r>
        <w:noBreakHyphen/>
      </w:r>
      <w:r w:rsidRPr="001C2BEA">
        <w:t>based services characterised by the bundling of accommodation services and disability support.</w:t>
      </w:r>
    </w:p>
    <w:p w:rsidR="00A53D7D" w:rsidRDefault="00A53D7D" w:rsidP="005140B4">
      <w:pPr>
        <w:pStyle w:val="OGText"/>
        <w:rPr>
          <w:lang w:eastAsia="en-AU"/>
        </w:rPr>
      </w:pPr>
      <w:r w:rsidRPr="001C2BEA">
        <w:rPr>
          <w:lang w:eastAsia="en-AU"/>
        </w:rPr>
        <w:t>This output supports the Department</w:t>
      </w:r>
      <w:r>
        <w:rPr>
          <w:lang w:eastAsia="en-AU"/>
        </w:rPr>
        <w:t>’</w:t>
      </w:r>
      <w:r w:rsidRPr="001C2BEA">
        <w:rPr>
          <w:lang w:eastAsia="en-AU"/>
        </w:rPr>
        <w:t>s capabilities and participation and quality of life objectives.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Heading2"/>
              <w:rPr>
                <w:lang w:eastAsia="en-AU"/>
              </w:rPr>
            </w:pPr>
            <w:r w:rsidRPr="001C2BEA">
              <w:rPr>
                <w:lang w:eastAsia="en-AU"/>
              </w:rPr>
              <w:t>Disability Services</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Clients accessing aids and equipment</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30</w:t>
            </w:r>
            <w:r>
              <w:rPr>
                <w:lang w:eastAsia="en-AU"/>
              </w:rPr>
              <w:t> </w:t>
            </w:r>
            <w:r w:rsidRPr="001C2BEA">
              <w:rPr>
                <w:lang w:eastAsia="en-AU"/>
              </w:rPr>
              <w:t>307</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29</w:t>
            </w:r>
            <w:r>
              <w:rPr>
                <w:lang w:eastAsia="en-AU"/>
              </w:rPr>
              <w:t> </w:t>
            </w:r>
            <w:r w:rsidRPr="001C2BEA">
              <w:rPr>
                <w:lang w:eastAsia="en-AU"/>
              </w:rPr>
              <w:t>827</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29</w:t>
            </w:r>
            <w:r>
              <w:rPr>
                <w:lang w:eastAsia="en-AU"/>
              </w:rPr>
              <w:t> </w:t>
            </w:r>
            <w:r w:rsidRPr="001C2BEA">
              <w:rPr>
                <w:lang w:eastAsia="en-AU"/>
              </w:rPr>
              <w:t>827</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29</w:t>
            </w:r>
            <w:r>
              <w:rPr>
                <w:lang w:eastAsia="en-AU"/>
              </w:rPr>
              <w:t> </w:t>
            </w:r>
            <w:r w:rsidRPr="001C2BEA">
              <w:rPr>
                <w:lang w:eastAsia="en-AU"/>
              </w:rPr>
              <w:t>813</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FB23A6" w:rsidRDefault="00A53D7D" w:rsidP="005140B4">
            <w:pPr>
              <w:pStyle w:val="OGNotes"/>
              <w:rPr>
                <w:i w:val="0"/>
              </w:rPr>
            </w:pPr>
            <w:r w:rsidRPr="001C2BEA">
              <w:t>The higher 2014</w:t>
            </w:r>
            <w:r>
              <w:noBreakHyphen/>
            </w:r>
            <w:r w:rsidRPr="001C2BEA">
              <w:t xml:space="preserve">15 </w:t>
            </w:r>
            <w:r>
              <w:t>target</w:t>
            </w:r>
            <w:r w:rsidRPr="001C2BEA">
              <w:t xml:space="preserve"> reflects additional </w:t>
            </w:r>
            <w:r>
              <w:t xml:space="preserve">funding provided in the </w:t>
            </w:r>
            <w:r>
              <w:rPr>
                <w:i w:val="0"/>
              </w:rPr>
              <w:t>2013</w:t>
            </w:r>
            <w:r>
              <w:rPr>
                <w:i w:val="0"/>
              </w:rPr>
              <w:noBreakHyphen/>
              <w:t xml:space="preserve">14 Budget. </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Clients in residential institutions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126</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126</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128</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129</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lower 2014</w:t>
            </w:r>
            <w:r>
              <w:noBreakHyphen/>
            </w:r>
            <w:r w:rsidRPr="001C2BEA">
              <w:t xml:space="preserve">15 </w:t>
            </w:r>
            <w:r>
              <w:t>target</w:t>
            </w:r>
            <w:r w:rsidRPr="001C2BEA">
              <w:t xml:space="preserve"> reflects the Government</w:t>
            </w:r>
            <w:r>
              <w:t>’</w:t>
            </w:r>
            <w:r w:rsidRPr="001C2BEA">
              <w:t>s decision to close residential institutions, with no new entrants.</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Clients receiving case management services</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5</w:t>
            </w:r>
            <w:r>
              <w:rPr>
                <w:lang w:eastAsia="en-AU"/>
              </w:rPr>
              <w:t> </w:t>
            </w:r>
            <w:r w:rsidRPr="001C2BEA">
              <w:rPr>
                <w:lang w:eastAsia="en-AU"/>
              </w:rPr>
              <w:t>300</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5</w:t>
            </w:r>
            <w:r>
              <w:rPr>
                <w:lang w:eastAsia="en-AU"/>
              </w:rPr>
              <w:t> </w:t>
            </w:r>
            <w:r w:rsidRPr="001C2BEA">
              <w:rPr>
                <w:lang w:eastAsia="en-AU"/>
              </w:rPr>
              <w:t>473</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5</w:t>
            </w:r>
            <w:r>
              <w:rPr>
                <w:lang w:eastAsia="en-AU"/>
              </w:rPr>
              <w:t> </w:t>
            </w:r>
            <w:r w:rsidRPr="001C2BEA">
              <w:rPr>
                <w:lang w:eastAsia="en-AU"/>
              </w:rPr>
              <w:t>300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5</w:t>
            </w:r>
            <w:r>
              <w:rPr>
                <w:lang w:eastAsia="en-AU"/>
              </w:rPr>
              <w:t> </w:t>
            </w:r>
            <w:r w:rsidRPr="001C2BEA">
              <w:rPr>
                <w:lang w:eastAsia="en-AU"/>
              </w:rPr>
              <w:t>396</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Clients receiving individualised support</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15</w:t>
            </w:r>
            <w:r>
              <w:rPr>
                <w:lang w:eastAsia="en-AU"/>
              </w:rPr>
              <w:t> </w:t>
            </w:r>
            <w:r w:rsidRPr="001C2BEA">
              <w:rPr>
                <w:lang w:eastAsia="en-AU"/>
              </w:rPr>
              <w:t>365</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14</w:t>
            </w:r>
            <w:r>
              <w:rPr>
                <w:lang w:eastAsia="en-AU"/>
              </w:rPr>
              <w:t> </w:t>
            </w:r>
            <w:r w:rsidRPr="001C2BEA">
              <w:rPr>
                <w:lang w:eastAsia="en-AU"/>
              </w:rPr>
              <w:t>707</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14</w:t>
            </w:r>
            <w:r>
              <w:rPr>
                <w:lang w:eastAsia="en-AU"/>
              </w:rPr>
              <w:t> </w:t>
            </w:r>
            <w:r w:rsidRPr="001C2BEA">
              <w:rPr>
                <w:lang w:eastAsia="en-AU"/>
              </w:rPr>
              <w:t>924</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13</w:t>
            </w:r>
            <w:r>
              <w:rPr>
                <w:lang w:eastAsia="en-AU"/>
              </w:rPr>
              <w:t> </w:t>
            </w:r>
            <w:r w:rsidRPr="001C2BEA">
              <w:rPr>
                <w:lang w:eastAsia="en-AU"/>
              </w:rPr>
              <w:t>938</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6C6D" w:rsidRDefault="00A53D7D" w:rsidP="005140B4">
            <w:pPr>
              <w:pStyle w:val="OGNotes"/>
              <w:rPr>
                <w:i w:val="0"/>
              </w:rPr>
            </w:pPr>
            <w:r w:rsidRPr="001C2BEA">
              <w:t>The higher 2014</w:t>
            </w:r>
            <w:r>
              <w:noBreakHyphen/>
            </w:r>
            <w:r w:rsidRPr="001C2BEA">
              <w:t xml:space="preserve">15 </w:t>
            </w:r>
            <w:r>
              <w:t>target</w:t>
            </w:r>
            <w:r w:rsidRPr="001C2BEA">
              <w:t xml:space="preserve"> reflects additional </w:t>
            </w:r>
            <w:r>
              <w:t xml:space="preserve">funding provided in the </w:t>
            </w:r>
            <w:r>
              <w:rPr>
                <w:i w:val="0"/>
              </w:rPr>
              <w:t>2014</w:t>
            </w:r>
            <w:r>
              <w:rPr>
                <w:i w:val="0"/>
              </w:rPr>
              <w:noBreakHyphen/>
              <w:t xml:space="preserve">15 Budget. </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Hours of community</w:t>
            </w:r>
            <w:r>
              <w:rPr>
                <w:lang w:eastAsia="en-AU"/>
              </w:rPr>
              <w:noBreakHyphen/>
            </w:r>
            <w:r w:rsidRPr="001C2BEA">
              <w:rPr>
                <w:lang w:eastAsia="en-AU"/>
              </w:rPr>
              <w:t>based respite</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000</w:t>
            </w:r>
            <w:r>
              <w:rPr>
                <w:lang w:eastAsia="en-AU"/>
              </w:rPr>
              <w:t> </w:t>
            </w:r>
            <w:r w:rsidRPr="001C2BEA">
              <w:rPr>
                <w:lang w:eastAsia="en-AU"/>
              </w:rPr>
              <w:t>000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000</w:t>
            </w:r>
            <w:r>
              <w:rPr>
                <w:lang w:eastAsia="en-AU"/>
              </w:rPr>
              <w:t> </w:t>
            </w:r>
            <w:r w:rsidRPr="001C2BEA">
              <w:rPr>
                <w:lang w:eastAsia="en-AU"/>
              </w:rPr>
              <w:t>000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000</w:t>
            </w:r>
            <w:r>
              <w:rPr>
                <w:lang w:eastAsia="en-AU"/>
              </w:rPr>
              <w:t> </w:t>
            </w:r>
            <w:r w:rsidRPr="001C2BEA">
              <w:rPr>
                <w:lang w:eastAsia="en-AU"/>
              </w:rPr>
              <w:t>000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598</w:t>
            </w:r>
            <w:r>
              <w:rPr>
                <w:lang w:eastAsia="en-AU"/>
              </w:rPr>
              <w:t> </w:t>
            </w:r>
            <w:r w:rsidRPr="001C2BEA">
              <w:rPr>
                <w:lang w:eastAsia="en-AU"/>
              </w:rPr>
              <w:t>067</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42589" w:rsidRDefault="00A53D7D" w:rsidP="005140B4">
            <w:pPr>
              <w:pStyle w:val="OGNotes"/>
            </w:pPr>
            <w:r w:rsidRPr="00D42589">
              <w:t>This measure is based on a conversion of agency respite episodes to hours that commenced in 2012</w:t>
            </w:r>
            <w:r>
              <w:noBreakHyphen/>
            </w:r>
            <w:r w:rsidRPr="00D42589">
              <w:t>13.</w:t>
            </w:r>
          </w:p>
          <w:p w:rsidR="00A53D7D" w:rsidRPr="001C2BEA" w:rsidRDefault="00A53D7D" w:rsidP="005140B4">
            <w:pPr>
              <w:pStyle w:val="OGNotes"/>
            </w:pPr>
            <w:r w:rsidRPr="00821B44">
              <w:t>The lower 2012</w:t>
            </w:r>
            <w:r>
              <w:noBreakHyphen/>
            </w:r>
            <w:r w:rsidRPr="00821B44">
              <w:t xml:space="preserve">13 </w:t>
            </w:r>
            <w:r>
              <w:t xml:space="preserve">actual </w:t>
            </w:r>
            <w:r w:rsidRPr="00821B44">
              <w:t xml:space="preserve">was related to agencies misreporting as a result of this new conversion, as identified in the </w:t>
            </w:r>
            <w:r w:rsidRPr="0009655A">
              <w:rPr>
                <w:i w:val="0"/>
              </w:rPr>
              <w:t>DHS 2012</w:t>
            </w:r>
            <w:r w:rsidRPr="0009655A">
              <w:rPr>
                <w:i w:val="0"/>
              </w:rPr>
              <w:noBreakHyphen/>
              <w:t>13 Annual Report</w:t>
            </w:r>
            <w:r w:rsidRPr="00821B44">
              <w:t>. There was also</w:t>
            </w:r>
            <w:r>
              <w:t>,</w:t>
            </w:r>
            <w:r w:rsidRPr="00821B44">
              <w:t xml:space="preserve"> correspondingly</w:t>
            </w:r>
            <w:r>
              <w:t>,</w:t>
            </w:r>
            <w:r w:rsidRPr="00821B44">
              <w:t xml:space="preserve"> significant over</w:t>
            </w:r>
            <w:r>
              <w:t>-</w:t>
            </w:r>
            <w:r w:rsidRPr="00821B44">
              <w:t>reporting in facility</w:t>
            </w:r>
            <w:r>
              <w:noBreakHyphen/>
            </w:r>
            <w:r w:rsidRPr="00821B44">
              <w:t>based respite. The department has now undertaken work to ensure conversions from old agency episodes into client hours are correct and community</w:t>
            </w:r>
            <w:r>
              <w:noBreakHyphen/>
            </w:r>
            <w:r w:rsidRPr="00821B44">
              <w:t>based respite is correctly reported.</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Number of respite days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96</w:t>
            </w:r>
            <w:r>
              <w:rPr>
                <w:lang w:eastAsia="en-AU"/>
              </w:rPr>
              <w:t> </w:t>
            </w:r>
            <w:r w:rsidRPr="001C2BEA">
              <w:rPr>
                <w:lang w:eastAsia="en-AU"/>
              </w:rPr>
              <w:t>000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96</w:t>
            </w:r>
            <w:r>
              <w:rPr>
                <w:lang w:eastAsia="en-AU"/>
              </w:rPr>
              <w:t> </w:t>
            </w:r>
            <w:r w:rsidRPr="001C2BEA">
              <w:rPr>
                <w:lang w:eastAsia="en-AU"/>
              </w:rPr>
              <w:t>000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96</w:t>
            </w:r>
            <w:r>
              <w:rPr>
                <w:lang w:eastAsia="en-AU"/>
              </w:rPr>
              <w:t> </w:t>
            </w:r>
            <w:r w:rsidRPr="001C2BEA">
              <w:rPr>
                <w:lang w:eastAsia="en-AU"/>
              </w:rPr>
              <w:t>000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135</w:t>
            </w:r>
            <w:r>
              <w:rPr>
                <w:lang w:eastAsia="en-AU"/>
              </w:rPr>
              <w:t> </w:t>
            </w:r>
            <w:r w:rsidRPr="001C2BEA">
              <w:rPr>
                <w:lang w:eastAsia="en-AU"/>
              </w:rPr>
              <w:t>550</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higher 2012</w:t>
            </w:r>
            <w:r>
              <w:noBreakHyphen/>
            </w:r>
            <w:r w:rsidRPr="001C2BEA">
              <w:t xml:space="preserve">13 </w:t>
            </w:r>
            <w:r>
              <w:t xml:space="preserve">actual </w:t>
            </w:r>
            <w:r w:rsidRPr="001C2BEA">
              <w:t>represented significant over</w:t>
            </w:r>
            <w:r>
              <w:t>-</w:t>
            </w:r>
            <w:r w:rsidRPr="001C2BEA">
              <w:t>reporting of this service and</w:t>
            </w:r>
            <w:r>
              <w:t>,</w:t>
            </w:r>
            <w:r w:rsidRPr="001C2BEA">
              <w:t xml:space="preserve"> correspondingly</w:t>
            </w:r>
            <w:r>
              <w:t>,</w:t>
            </w:r>
            <w:r w:rsidRPr="001C2BEA">
              <w:t xml:space="preserve"> significa</w:t>
            </w:r>
            <w:r>
              <w:t>nt under- reporting in community</w:t>
            </w:r>
            <w:r>
              <w:noBreakHyphen/>
            </w:r>
            <w:r w:rsidRPr="001C2BEA">
              <w:t>based respite. The department has resolved the 2012</w:t>
            </w:r>
            <w:r>
              <w:noBreakHyphen/>
            </w:r>
            <w:r w:rsidRPr="001C2BEA">
              <w:t>13 year issue with over</w:t>
            </w:r>
            <w:r>
              <w:noBreakHyphen/>
            </w:r>
            <w:r w:rsidRPr="001C2BEA">
              <w:t>reporting in facility</w:t>
            </w:r>
            <w:r>
              <w:noBreakHyphen/>
            </w:r>
            <w:r w:rsidRPr="001C2BEA">
              <w:t>based respite and under</w:t>
            </w:r>
            <w:r>
              <w:t>-</w:t>
            </w:r>
            <w:r w:rsidRPr="001C2BEA">
              <w:t>reporting in community</w:t>
            </w:r>
            <w:r>
              <w:noBreakHyphen/>
            </w:r>
            <w:r w:rsidRPr="001C2BEA">
              <w:t>based respite.</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Number of supported accommodation beds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830CD9" w:rsidRDefault="00A53D7D" w:rsidP="005140B4">
            <w:pPr>
              <w:pStyle w:val="OGTableofFigures"/>
              <w:rPr>
                <w:lang w:eastAsia="en-AU"/>
              </w:rPr>
            </w:pPr>
            <w:r w:rsidRPr="00830CD9">
              <w:rPr>
                <w:lang w:eastAsia="en-AU"/>
              </w:rPr>
              <w:t>5 112</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w:t>
            </w:r>
            <w:r>
              <w:rPr>
                <w:lang w:eastAsia="en-AU"/>
              </w:rPr>
              <w:t> </w:t>
            </w:r>
            <w:r w:rsidRPr="001C2BEA">
              <w:rPr>
                <w:lang w:eastAsia="en-AU"/>
              </w:rPr>
              <w:t>053</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w:t>
            </w:r>
            <w:r>
              <w:rPr>
                <w:lang w:eastAsia="en-AU"/>
              </w:rPr>
              <w:t> </w:t>
            </w:r>
            <w:r w:rsidRPr="001C2BEA">
              <w:rPr>
                <w:lang w:eastAsia="en-AU"/>
              </w:rPr>
              <w:t>043</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w:t>
            </w:r>
            <w:r>
              <w:rPr>
                <w:lang w:eastAsia="en-AU"/>
              </w:rPr>
              <w:t> </w:t>
            </w:r>
            <w:r w:rsidRPr="001C2BEA">
              <w:rPr>
                <w:lang w:eastAsia="en-AU"/>
              </w:rPr>
              <w:t>043</w:t>
            </w:r>
          </w:p>
        </w:tc>
      </w:tr>
      <w:tr w:rsidR="00A53D7D" w:rsidRPr="001C2BEA" w:rsidTr="005140B4">
        <w:trPr>
          <w:cantSplit/>
        </w:trPr>
        <w:tc>
          <w:tcPr>
            <w:tcW w:w="7776" w:type="dxa"/>
            <w:gridSpan w:val="6"/>
            <w:tcBorders>
              <w:left w:val="nil"/>
              <w:bottom w:val="single" w:sz="6" w:space="0" w:color="auto"/>
              <w:right w:val="nil"/>
            </w:tcBorders>
            <w:shd w:val="clear" w:color="000000" w:fill="FFFFFF"/>
          </w:tcPr>
          <w:p w:rsidR="00A53D7D" w:rsidRPr="00830CD9" w:rsidRDefault="00A53D7D" w:rsidP="005140B4">
            <w:pPr>
              <w:pStyle w:val="OGNotes"/>
            </w:pPr>
            <w:r w:rsidRPr="00830CD9">
              <w:t>The higher 2014</w:t>
            </w:r>
            <w:r>
              <w:noBreakHyphen/>
            </w:r>
            <w:r w:rsidRPr="00830CD9">
              <w:t xml:space="preserve">15 </w:t>
            </w:r>
            <w:r>
              <w:t>target</w:t>
            </w:r>
            <w:r w:rsidRPr="00830CD9">
              <w:t xml:space="preserve"> reflects additional Supported Accommodation Innovation Fund investment. </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keepNext/>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keepNext/>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keepNext/>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Clients satisfied with the aids and equipment services system</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85</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85</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2013</w:t>
            </w:r>
            <w:r>
              <w:noBreakHyphen/>
            </w:r>
            <w:r w:rsidRPr="001C2BEA">
              <w:t xml:space="preserve">14 </w:t>
            </w:r>
            <w:r>
              <w:t>expected outcome</w:t>
            </w:r>
            <w:r w:rsidRPr="001C2BEA">
              <w:t xml:space="preserve"> is higher than the 2013</w:t>
            </w:r>
            <w:r>
              <w:noBreakHyphen/>
            </w:r>
            <w:r w:rsidRPr="001C2BEA">
              <w:t xml:space="preserve">14 </w:t>
            </w:r>
            <w:r>
              <w:t>target</w:t>
            </w:r>
            <w:r w:rsidRPr="001C2BEA">
              <w:t xml:space="preserve"> reflecting a positive outcome.</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Clients who have had a comprehensive health status review</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90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98</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70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96</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3816EC">
              <w:t>The 2013</w:t>
            </w:r>
            <w:r>
              <w:noBreakHyphen/>
            </w:r>
            <w:r w:rsidRPr="003816EC">
              <w:t xml:space="preserve">14 </w:t>
            </w:r>
            <w:r>
              <w:t>expected outcome</w:t>
            </w:r>
            <w:r w:rsidRPr="003816EC">
              <w:t xml:space="preserve"> is higher than the 2013</w:t>
            </w:r>
            <w:r>
              <w:noBreakHyphen/>
            </w:r>
            <w:r w:rsidRPr="003816EC">
              <w:t xml:space="preserve">14 </w:t>
            </w:r>
            <w:r>
              <w:t>target</w:t>
            </w:r>
            <w:r w:rsidRPr="003816EC">
              <w:t xml:space="preserve"> reflecting a str</w:t>
            </w:r>
            <w:r>
              <w:t xml:space="preserve">ong focus on quality disability </w:t>
            </w:r>
            <w:r w:rsidRPr="003816EC">
              <w:t xml:space="preserve">services. </w:t>
            </w:r>
          </w:p>
          <w:p w:rsidR="00A53D7D" w:rsidRPr="003816EC" w:rsidRDefault="00A53D7D" w:rsidP="005140B4">
            <w:pPr>
              <w:pStyle w:val="OGNotes"/>
            </w:pPr>
            <w:r w:rsidRPr="003816EC">
              <w:t>The higher 2014</w:t>
            </w:r>
            <w:r>
              <w:noBreakHyphen/>
            </w:r>
            <w:r w:rsidRPr="003816EC">
              <w:t xml:space="preserve">15 </w:t>
            </w:r>
            <w:r>
              <w:t>target</w:t>
            </w:r>
            <w:r w:rsidRPr="003816EC">
              <w:t xml:space="preserve"> reflects this improved performance.</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Organisations that have successfully completed a quality review (accommodation supports)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95</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95</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3816EC" w:rsidRDefault="00A53D7D" w:rsidP="005140B4">
            <w:pPr>
              <w:pStyle w:val="OGNotes"/>
            </w:pPr>
            <w:r w:rsidRPr="003816EC">
              <w:t>The 2013</w:t>
            </w:r>
            <w:r>
              <w:noBreakHyphen/>
            </w:r>
            <w:r w:rsidRPr="003816EC">
              <w:t xml:space="preserve">14 </w:t>
            </w:r>
            <w:r>
              <w:t>expected outcome</w:t>
            </w:r>
            <w:r w:rsidRPr="003816EC">
              <w:t xml:space="preserve"> is higher than the 2013</w:t>
            </w:r>
            <w:r>
              <w:noBreakHyphen/>
            </w:r>
            <w:r w:rsidRPr="003816EC">
              <w:t xml:space="preserve">14 </w:t>
            </w:r>
            <w:r>
              <w:t>target</w:t>
            </w:r>
            <w:r w:rsidRPr="003816EC">
              <w:t xml:space="preserve"> reflecting a strong focus on quality disability services. </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Organisations that have successfully completed a quality review (client services and capacity)</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95</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95</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3816EC" w:rsidRDefault="00A53D7D" w:rsidP="005140B4">
            <w:pPr>
              <w:pStyle w:val="OGNotes"/>
            </w:pPr>
            <w:r w:rsidRPr="003816EC">
              <w:t>The 2013</w:t>
            </w:r>
            <w:r>
              <w:noBreakHyphen/>
            </w:r>
            <w:r w:rsidRPr="003816EC">
              <w:t xml:space="preserve">14 </w:t>
            </w:r>
            <w:r>
              <w:t>expected outcome</w:t>
            </w:r>
            <w:r w:rsidRPr="003816EC">
              <w:t xml:space="preserve"> is higher than the 2013</w:t>
            </w:r>
            <w:r>
              <w:noBreakHyphen/>
            </w:r>
            <w:r w:rsidRPr="003816EC">
              <w:t xml:space="preserve">14 </w:t>
            </w:r>
            <w:r>
              <w:t>target</w:t>
            </w:r>
            <w:r w:rsidRPr="003816EC">
              <w:t xml:space="preserve"> reflecting a strong focus on quality disability services. </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Organisations that have successfully completed a quality review (individualised supports)</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95</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Support plans reviewed at least once during each period of three years commencing from when the support plan was first prepared (accommodation supports)</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98</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97</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Support plans reviewed at least once during each period of three years commencing from when the support plan was first prepared (individualised supports)</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Support plans reviewed every 12</w:t>
            </w:r>
            <w:r>
              <w:rPr>
                <w:lang w:eastAsia="en-AU"/>
              </w:rPr>
              <w:t> </w:t>
            </w:r>
            <w:r w:rsidRPr="001C2BEA">
              <w:rPr>
                <w:lang w:eastAsia="en-AU"/>
              </w:rPr>
              <w:t>months for persons residing in residential institutions</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99</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E646BF">
            <w:pPr>
              <w:pStyle w:val="OGTabHead"/>
              <w:rPr>
                <w:lang w:eastAsia="en-AU"/>
              </w:rPr>
            </w:pPr>
            <w:r w:rsidRPr="001C2BEA">
              <w:rPr>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E646BF">
            <w:pPr>
              <w:pStyle w:val="OGUoM"/>
              <w:keepNext/>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E646BF">
            <w:pPr>
              <w:pStyle w:val="OGTableofFigures"/>
              <w:keepNext/>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E646BF">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E646BF">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E646BF">
            <w:pPr>
              <w:pStyle w:val="OGTableofFigures"/>
              <w:keepNext/>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E646BF">
            <w:pPr>
              <w:pStyle w:val="OGTabText"/>
              <w:keepNext/>
              <w:rPr>
                <w:lang w:eastAsia="en-AU"/>
              </w:rPr>
            </w:pPr>
            <w:r w:rsidRPr="001C2BEA">
              <w:rPr>
                <w:lang w:eastAsia="en-AU"/>
              </w:rPr>
              <w:t>Applications for aids and equipment acknowledged in writing within 10 working days</w:t>
            </w:r>
          </w:p>
        </w:tc>
        <w:tc>
          <w:tcPr>
            <w:tcW w:w="907" w:type="dxa"/>
            <w:tcBorders>
              <w:top w:val="nil"/>
              <w:left w:val="nil"/>
              <w:right w:val="nil"/>
            </w:tcBorders>
            <w:shd w:val="clear" w:color="000000" w:fill="FFFFFF"/>
            <w:hideMark/>
          </w:tcPr>
          <w:p w:rsidR="00A53D7D" w:rsidRPr="001C2BEA" w:rsidRDefault="00A53D7D" w:rsidP="00E646BF">
            <w:pPr>
              <w:pStyle w:val="OGUoM"/>
              <w:keepNext/>
              <w:rPr>
                <w:lang w:eastAsia="en-AU"/>
              </w:rPr>
            </w:pPr>
            <w:r w:rsidRPr="001C2BEA">
              <w:rPr>
                <w:lang w:eastAsia="en-AU"/>
              </w:rPr>
              <w:t>per cent</w:t>
            </w:r>
          </w:p>
        </w:tc>
        <w:tc>
          <w:tcPr>
            <w:tcW w:w="907" w:type="dxa"/>
            <w:tcBorders>
              <w:top w:val="nil"/>
              <w:left w:val="nil"/>
              <w:right w:val="nil"/>
            </w:tcBorders>
            <w:shd w:val="clear" w:color="auto" w:fill="D9D9D9"/>
            <w:hideMark/>
          </w:tcPr>
          <w:p w:rsidR="00A53D7D" w:rsidRPr="001C2BEA" w:rsidRDefault="00A53D7D" w:rsidP="00E646BF">
            <w:pPr>
              <w:pStyle w:val="OGTableofFigures"/>
              <w:keepNext/>
              <w:rPr>
                <w:lang w:eastAsia="en-AU"/>
              </w:rPr>
            </w:pPr>
            <w:r w:rsidRPr="001C2BEA">
              <w:rPr>
                <w:lang w:eastAsia="en-AU"/>
              </w:rPr>
              <w:t>90</w:t>
            </w:r>
          </w:p>
        </w:tc>
        <w:tc>
          <w:tcPr>
            <w:tcW w:w="993" w:type="dxa"/>
            <w:tcBorders>
              <w:top w:val="nil"/>
              <w:left w:val="nil"/>
              <w:right w:val="nil"/>
            </w:tcBorders>
            <w:shd w:val="clear" w:color="000000" w:fill="FFFFFF"/>
            <w:hideMark/>
          </w:tcPr>
          <w:p w:rsidR="00A53D7D" w:rsidRPr="001C2BEA" w:rsidRDefault="00A53D7D" w:rsidP="00E646BF">
            <w:pPr>
              <w:pStyle w:val="OGTableofFigures"/>
              <w:keepNext/>
              <w:rPr>
                <w:lang w:eastAsia="en-AU"/>
              </w:rPr>
            </w:pPr>
            <w:r w:rsidRPr="001C2BEA">
              <w:rPr>
                <w:lang w:eastAsia="en-AU"/>
              </w:rPr>
              <w:t>95</w:t>
            </w:r>
          </w:p>
        </w:tc>
        <w:tc>
          <w:tcPr>
            <w:tcW w:w="907" w:type="dxa"/>
            <w:tcBorders>
              <w:top w:val="nil"/>
              <w:left w:val="nil"/>
              <w:right w:val="nil"/>
            </w:tcBorders>
            <w:shd w:val="clear" w:color="000000" w:fill="FFFFFF"/>
            <w:hideMark/>
          </w:tcPr>
          <w:p w:rsidR="00A53D7D" w:rsidRPr="001C2BEA" w:rsidRDefault="00A53D7D" w:rsidP="00E646BF">
            <w:pPr>
              <w:pStyle w:val="OGTableofFigures"/>
              <w:keepNext/>
              <w:rPr>
                <w:lang w:eastAsia="en-AU"/>
              </w:rPr>
            </w:pPr>
            <w:r w:rsidRPr="001C2BEA">
              <w:rPr>
                <w:lang w:eastAsia="en-AU"/>
              </w:rPr>
              <w:t>90</w:t>
            </w:r>
          </w:p>
        </w:tc>
        <w:tc>
          <w:tcPr>
            <w:tcW w:w="907" w:type="dxa"/>
            <w:tcBorders>
              <w:top w:val="nil"/>
              <w:left w:val="nil"/>
              <w:right w:val="nil"/>
            </w:tcBorders>
            <w:shd w:val="clear" w:color="000000" w:fill="FFFFFF"/>
            <w:hideMark/>
          </w:tcPr>
          <w:p w:rsidR="00A53D7D" w:rsidRPr="001C2BEA" w:rsidRDefault="00A53D7D" w:rsidP="00E646BF">
            <w:pPr>
              <w:pStyle w:val="OGTableofFigures"/>
              <w:keepNext/>
              <w:rPr>
                <w:lang w:eastAsia="en-AU"/>
              </w:rPr>
            </w:pPr>
            <w:r w:rsidRPr="001C2BEA">
              <w:rPr>
                <w:lang w:eastAsia="en-AU"/>
              </w:rPr>
              <w:t>95</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E646BF">
            <w:pPr>
              <w:pStyle w:val="OGNotes"/>
              <w:keepNext/>
            </w:pPr>
            <w:r w:rsidRPr="001C2BEA">
              <w:t>The 2013</w:t>
            </w:r>
            <w:r>
              <w:noBreakHyphen/>
            </w:r>
            <w:r w:rsidRPr="001C2BEA">
              <w:t xml:space="preserve">14 </w:t>
            </w:r>
            <w:r>
              <w:t>expected outcome</w:t>
            </w:r>
            <w:r w:rsidRPr="001C2BEA">
              <w:t xml:space="preserve"> is higher than the 2013</w:t>
            </w:r>
            <w:r>
              <w:noBreakHyphen/>
            </w:r>
            <w:r w:rsidRPr="001C2BEA">
              <w:t xml:space="preserve">14 </w:t>
            </w:r>
            <w:r>
              <w:t>target</w:t>
            </w:r>
            <w:r w:rsidRPr="001C2BEA">
              <w:t xml:space="preserve"> reflecting a positive outcome.</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keepNext/>
              <w:rPr>
                <w:lang w:eastAsia="en-AU"/>
              </w:rPr>
            </w:pPr>
            <w:r w:rsidRPr="001C2BEA">
              <w:rPr>
                <w:lang w:eastAsia="en-AU"/>
              </w:rPr>
              <w:t>Proportion of clients whose support is commenced within departmental timelines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keepNext/>
              <w:rPr>
                <w:lang w:eastAsia="en-AU"/>
              </w:rPr>
            </w:pPr>
            <w:r w:rsidRPr="001C2BEA">
              <w:rPr>
                <w:lang w:eastAsia="en-AU"/>
              </w:rPr>
              <w:t>per cent</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keepNext/>
              <w:rPr>
                <w:lang w:eastAsia="en-AU"/>
              </w:rPr>
            </w:pPr>
            <w:r w:rsidRPr="001C2BEA">
              <w:rPr>
                <w:lang w:eastAsia="en-AU"/>
              </w:rPr>
              <w:t>85</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90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85</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85</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2013</w:t>
            </w:r>
            <w:r>
              <w:noBreakHyphen/>
            </w:r>
            <w:r w:rsidRPr="001C2BEA">
              <w:t xml:space="preserve">14 </w:t>
            </w:r>
            <w:r>
              <w:t>expected outcome</w:t>
            </w:r>
            <w:r w:rsidRPr="001C2BEA">
              <w:t xml:space="preserve"> is higher than the 2013</w:t>
            </w:r>
            <w:r>
              <w:noBreakHyphen/>
            </w:r>
            <w:r w:rsidRPr="001C2BEA">
              <w:t xml:space="preserve">14 </w:t>
            </w:r>
            <w:r>
              <w:t>target</w:t>
            </w:r>
            <w:r w:rsidRPr="001C2BEA">
              <w:t xml:space="preserve"> reflecting a positive outcome.</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Support plans prepared within 60</w:t>
            </w:r>
            <w:r>
              <w:rPr>
                <w:lang w:eastAsia="en-AU"/>
              </w:rPr>
              <w:t> </w:t>
            </w:r>
            <w:r w:rsidRPr="001C2BEA">
              <w:rPr>
                <w:lang w:eastAsia="en-AU"/>
              </w:rPr>
              <w:t>days of the person commencing to regularly access the disability services (accommodation supports)</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99</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Support plans prepared within 60</w:t>
            </w:r>
            <w:r>
              <w:rPr>
                <w:lang w:eastAsia="en-AU"/>
              </w:rPr>
              <w:t> </w:t>
            </w:r>
            <w:r w:rsidRPr="001C2BEA">
              <w:rPr>
                <w:lang w:eastAsia="en-AU"/>
              </w:rPr>
              <w:t>days of the person commencing to regularly access the disability services (individualised supports)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100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Supported accommodation occupancy rate</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95</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98</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98.5</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Total output cost</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w:t>
            </w:r>
            <w:r>
              <w:rPr>
                <w:lang w:eastAsia="en-AU"/>
              </w:rPr>
              <w:t> m</w:t>
            </w:r>
            <w:r w:rsidRPr="001C2BEA">
              <w:rPr>
                <w:lang w:eastAsia="en-AU"/>
              </w:rPr>
              <w:t>illion</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677.3</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578</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587.7</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487.4</w:t>
            </w:r>
          </w:p>
        </w:tc>
      </w:tr>
      <w:tr w:rsidR="00A53D7D" w:rsidRPr="001C2BEA" w:rsidTr="005140B4">
        <w:trPr>
          <w:cantSplit/>
        </w:trPr>
        <w:tc>
          <w:tcPr>
            <w:tcW w:w="7776" w:type="dxa"/>
            <w:gridSpan w:val="6"/>
            <w:tcBorders>
              <w:top w:val="nil"/>
              <w:left w:val="nil"/>
              <w:bottom w:val="single" w:sz="12" w:space="0" w:color="auto"/>
              <w:right w:val="nil"/>
            </w:tcBorders>
            <w:shd w:val="clear" w:color="auto" w:fill="auto"/>
            <w:vAlign w:val="bottom"/>
            <w:hideMark/>
          </w:tcPr>
          <w:p w:rsidR="00A53D7D" w:rsidRPr="003816EC" w:rsidRDefault="00A53D7D" w:rsidP="005140B4">
            <w:pPr>
              <w:pStyle w:val="OGNotes"/>
            </w:pPr>
            <w:r w:rsidRPr="003816EC">
              <w:t>Disability Services output cost also captures Victoria</w:t>
            </w:r>
            <w:r>
              <w:t>’</w:t>
            </w:r>
            <w:r w:rsidRPr="003816EC">
              <w:t xml:space="preserve">s contribution to the National Disability Insurance Scheme trial, operating in the Barwon area. </w:t>
            </w:r>
          </w:p>
          <w:p w:rsidR="00A53D7D" w:rsidRPr="003816EC" w:rsidRDefault="00A53D7D" w:rsidP="005140B4">
            <w:pPr>
              <w:pStyle w:val="OGNotes"/>
            </w:pPr>
            <w:r w:rsidRPr="003816EC">
              <w:t>The higher 2014</w:t>
            </w:r>
            <w:r>
              <w:noBreakHyphen/>
            </w:r>
            <w:r w:rsidRPr="003816EC">
              <w:t xml:space="preserve">15 </w:t>
            </w:r>
            <w:r>
              <w:t>target</w:t>
            </w:r>
            <w:r w:rsidRPr="003816EC">
              <w:t xml:space="preserve"> primarily reflects additional government investment provided in the </w:t>
            </w:r>
            <w:r w:rsidRPr="003816EC">
              <w:rPr>
                <w:i w:val="0"/>
              </w:rPr>
              <w:t>2014</w:t>
            </w:r>
            <w:r>
              <w:rPr>
                <w:i w:val="0"/>
              </w:rPr>
              <w:noBreakHyphen/>
            </w:r>
            <w:r w:rsidRPr="003816EC">
              <w:rPr>
                <w:i w:val="0"/>
              </w:rPr>
              <w:t>15 Budget</w:t>
            </w:r>
            <w:r w:rsidRPr="003816EC">
              <w:t xml:space="preserve">, the impact of the social and community services pay equity case and the full year effect of prior year initiatives. </w:t>
            </w:r>
          </w:p>
        </w:tc>
      </w:tr>
    </w:tbl>
    <w:p w:rsidR="00A53D7D" w:rsidRDefault="00A53D7D" w:rsidP="005140B4">
      <w:pPr>
        <w:pStyle w:val="Source"/>
        <w:rPr>
          <w:lang w:eastAsia="en-AU"/>
        </w:rPr>
      </w:pPr>
      <w:r>
        <w:rPr>
          <w:lang w:eastAsia="en-AU"/>
        </w:rPr>
        <w:t>Source: Department of Human Services</w:t>
      </w:r>
      <w:r>
        <w:rPr>
          <w:lang w:eastAsia="en-AU"/>
        </w:rPr>
        <w:fldChar w:fldCharType="begin"/>
      </w:r>
      <w:r>
        <w:instrText xml:space="preserve"> XE "</w:instrText>
      </w:r>
      <w:r w:rsidRPr="00C9667A">
        <w:rPr>
          <w:lang w:eastAsia="en-AU"/>
        </w:rPr>
        <w:instrText>Department of Human Services</w:instrText>
      </w:r>
      <w:r w:rsidRPr="00C9667A">
        <w:instrText>:Disability Services</w:instrText>
      </w:r>
      <w:r>
        <w:instrText xml:space="preserve">" \r "DHSDisab" </w:instrText>
      </w:r>
      <w:r>
        <w:rPr>
          <w:lang w:eastAsia="en-AU"/>
        </w:rPr>
        <w:fldChar w:fldCharType="end"/>
      </w:r>
      <w:r>
        <w:rPr>
          <w:lang w:eastAsia="en-AU"/>
        </w:rPr>
        <w:fldChar w:fldCharType="begin"/>
      </w:r>
      <w:r>
        <w:instrText xml:space="preserve"> XE "</w:instrText>
      </w:r>
      <w:r w:rsidRPr="002D017B">
        <w:rPr>
          <w:lang w:eastAsia="en-AU"/>
        </w:rPr>
        <w:instrText>Disability</w:instrText>
      </w:r>
      <w:r w:rsidRPr="002D017B">
        <w:instrText>:Disability Services</w:instrText>
      </w:r>
      <w:r>
        <w:instrText xml:space="preserve">" \r "DHSDisab" </w:instrText>
      </w:r>
      <w:r>
        <w:rPr>
          <w:lang w:eastAsia="en-AU"/>
        </w:rPr>
        <w:fldChar w:fldCharType="end"/>
      </w:r>
    </w:p>
    <w:bookmarkEnd w:id="98"/>
    <w:p w:rsidR="00A53D7D" w:rsidRDefault="00A53D7D" w:rsidP="005140B4">
      <w:pPr>
        <w:spacing w:after="0"/>
        <w:rPr>
          <w:rFonts w:ascii="Calibri" w:hAnsi="Calibri"/>
          <w:sz w:val="20"/>
          <w:szCs w:val="18"/>
          <w:lang w:eastAsia="en-AU"/>
        </w:rPr>
      </w:pPr>
      <w:r>
        <w:rPr>
          <w:lang w:eastAsia="en-AU"/>
        </w:rPr>
        <w:br w:type="page"/>
      </w:r>
    </w:p>
    <w:p w:rsidR="00A53D7D" w:rsidRPr="001C2BEA" w:rsidRDefault="00A53D7D" w:rsidP="005140B4">
      <w:pPr>
        <w:pStyle w:val="OGHeading1"/>
        <w:rPr>
          <w:lang w:eastAsia="en-AU"/>
        </w:rPr>
      </w:pPr>
      <w:bookmarkStart w:id="99" w:name="DHSChildprot"/>
      <w:r w:rsidRPr="001C2BEA">
        <w:rPr>
          <w:lang w:eastAsia="en-AU"/>
        </w:rPr>
        <w:t>Child Protection and Family Services</w:t>
      </w:r>
    </w:p>
    <w:p w:rsidR="00A53D7D" w:rsidRPr="001C2BEA" w:rsidRDefault="00A53D7D" w:rsidP="005140B4">
      <w:pPr>
        <w:pStyle w:val="OGText"/>
        <w:rPr>
          <w:lang w:eastAsia="en-AU"/>
        </w:rPr>
      </w:pPr>
      <w:r w:rsidRPr="001C2BEA">
        <w:rPr>
          <w:lang w:eastAsia="en-AU"/>
        </w:rPr>
        <w:t>The Child Protection and Family Services output, through the funding of statutory child protection services, family support and parenting services, family violence and sexual assault services, adoption and placement care services and specialist support services, aims to ensure the safety and wellbeing of adolescents and children at risk of harm, abuse and neglect. This output aims to make a positive difference for Victorians experiencing disadvantage by providing excellent community services to meet clients</w:t>
      </w:r>
      <w:r>
        <w:rPr>
          <w:lang w:eastAsia="en-AU"/>
        </w:rPr>
        <w:t>’</w:t>
      </w:r>
      <w:r w:rsidRPr="001C2BEA">
        <w:rPr>
          <w:lang w:eastAsia="en-AU"/>
        </w:rPr>
        <w:t xml:space="preserve"> needs.</w:t>
      </w:r>
    </w:p>
    <w:p w:rsidR="00A53D7D" w:rsidRPr="001C2BEA" w:rsidRDefault="00A53D7D" w:rsidP="005140B4">
      <w:pPr>
        <w:pStyle w:val="OGText"/>
        <w:rPr>
          <w:lang w:eastAsia="en-AU"/>
        </w:rPr>
      </w:pPr>
      <w:r w:rsidRPr="001C2BEA">
        <w:rPr>
          <w:lang w:eastAsia="en-AU"/>
        </w:rPr>
        <w:t>This output provides:</w:t>
      </w:r>
    </w:p>
    <w:p w:rsidR="00A53D7D" w:rsidRPr="001C2BEA" w:rsidRDefault="00A53D7D" w:rsidP="005140B4">
      <w:pPr>
        <w:pStyle w:val="OGBullet"/>
      </w:pPr>
      <w:r w:rsidRPr="001C2BEA">
        <w:t>child protection services to ensure the safety and wellbeing of children and young people at risk of harm, abuse, and neglect;</w:t>
      </w:r>
    </w:p>
    <w:p w:rsidR="00A53D7D" w:rsidRPr="001C2BEA" w:rsidRDefault="00A53D7D" w:rsidP="005140B4">
      <w:pPr>
        <w:pStyle w:val="OGBullet"/>
      </w:pPr>
      <w:r w:rsidRPr="001C2BEA">
        <w:t>specialist support and placement services to ensure the safety and wellbeing of children and young people who require support to remain with their family or are placed in out</w:t>
      </w:r>
      <w:r>
        <w:noBreakHyphen/>
      </w:r>
      <w:r w:rsidRPr="001C2BEA">
        <w:t>of</w:t>
      </w:r>
      <w:r>
        <w:noBreakHyphen/>
      </w:r>
      <w:r w:rsidRPr="001C2BEA">
        <w:t>home care; and</w:t>
      </w:r>
    </w:p>
    <w:p w:rsidR="00A53D7D" w:rsidRPr="001C2BEA" w:rsidRDefault="00A53D7D" w:rsidP="005140B4">
      <w:pPr>
        <w:pStyle w:val="OGBullet"/>
      </w:pPr>
      <w:proofErr w:type="gramStart"/>
      <w:r w:rsidRPr="001C2BEA">
        <w:t>a</w:t>
      </w:r>
      <w:proofErr w:type="gramEnd"/>
      <w:r w:rsidRPr="001C2BEA">
        <w:t xml:space="preserve"> range of early intervention and support services to ensure the safety and well</w:t>
      </w:r>
      <w:r>
        <w:t>being of children, young people</w:t>
      </w:r>
      <w:r w:rsidRPr="001C2BEA">
        <w:t xml:space="preserve"> and families.</w:t>
      </w:r>
    </w:p>
    <w:p w:rsidR="00A53D7D" w:rsidRPr="001C2BEA" w:rsidRDefault="00A53D7D" w:rsidP="005140B4">
      <w:pPr>
        <w:pStyle w:val="OGText"/>
        <w:rPr>
          <w:lang w:eastAsia="en-AU"/>
        </w:rPr>
      </w:pPr>
      <w:r w:rsidRPr="001C2BEA">
        <w:rPr>
          <w:lang w:eastAsia="en-AU"/>
        </w:rPr>
        <w:t>This output supports the Department</w:t>
      </w:r>
      <w:r>
        <w:rPr>
          <w:lang w:eastAsia="en-AU"/>
        </w:rPr>
        <w:t>’</w:t>
      </w:r>
      <w:r w:rsidRPr="001C2BEA">
        <w:rPr>
          <w:lang w:eastAsia="en-AU"/>
        </w:rPr>
        <w:t>s immediate support and capabilities and participation objectives.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Heading2"/>
              <w:rPr>
                <w:lang w:eastAsia="en-AU"/>
              </w:rPr>
            </w:pPr>
            <w:r w:rsidRPr="001C2BEA">
              <w:rPr>
                <w:lang w:eastAsia="en-AU"/>
              </w:rPr>
              <w:t>Child Protection and Family Services</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Daily average number of children in out</w:t>
            </w:r>
            <w:r>
              <w:rPr>
                <w:lang w:eastAsia="en-AU"/>
              </w:rPr>
              <w:noBreakHyphen/>
            </w:r>
            <w:r w:rsidRPr="001C2BEA">
              <w:rPr>
                <w:lang w:eastAsia="en-AU"/>
              </w:rPr>
              <w:t>of</w:t>
            </w:r>
            <w:r>
              <w:rPr>
                <w:lang w:eastAsia="en-AU"/>
              </w:rPr>
              <w:noBreakHyphen/>
            </w:r>
            <w:r w:rsidRPr="001C2BEA">
              <w:rPr>
                <w:lang w:eastAsia="en-AU"/>
              </w:rPr>
              <w:t>home care placements</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7</w:t>
            </w:r>
            <w:r>
              <w:rPr>
                <w:lang w:eastAsia="en-AU"/>
              </w:rPr>
              <w:t> </w:t>
            </w:r>
            <w:r w:rsidRPr="001C2BEA">
              <w:rPr>
                <w:lang w:eastAsia="en-AU"/>
              </w:rPr>
              <w:t>343</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7</w:t>
            </w:r>
            <w:r>
              <w:rPr>
                <w:lang w:eastAsia="en-AU"/>
              </w:rPr>
              <w:t> </w:t>
            </w:r>
            <w:r w:rsidRPr="001C2BEA">
              <w:rPr>
                <w:lang w:eastAsia="en-AU"/>
              </w:rPr>
              <w:t>200</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7</w:t>
            </w:r>
            <w:r>
              <w:rPr>
                <w:lang w:eastAsia="en-AU"/>
              </w:rPr>
              <w:t> </w:t>
            </w:r>
            <w:r w:rsidRPr="001C2BEA">
              <w:rPr>
                <w:lang w:eastAsia="en-AU"/>
              </w:rPr>
              <w:t>200</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6</w:t>
            </w:r>
            <w:r>
              <w:rPr>
                <w:lang w:eastAsia="en-AU"/>
              </w:rPr>
              <w:t> </w:t>
            </w:r>
            <w:r w:rsidRPr="001C2BEA">
              <w:rPr>
                <w:lang w:eastAsia="en-AU"/>
              </w:rPr>
              <w:t>828</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3816EC" w:rsidRDefault="00A53D7D" w:rsidP="005140B4">
            <w:pPr>
              <w:pStyle w:val="OGNotes"/>
            </w:pPr>
            <w:r w:rsidRPr="003816EC">
              <w:t>The higher 2014</w:t>
            </w:r>
            <w:r>
              <w:noBreakHyphen/>
            </w:r>
            <w:r w:rsidRPr="003816EC">
              <w:t xml:space="preserve">15 </w:t>
            </w:r>
            <w:r>
              <w:t>target</w:t>
            </w:r>
            <w:r w:rsidRPr="003816EC">
              <w:t xml:space="preserve"> reflects an increase in demand on out</w:t>
            </w:r>
            <w:r>
              <w:noBreakHyphen/>
            </w:r>
            <w:r w:rsidRPr="003816EC">
              <w:t>of</w:t>
            </w:r>
            <w:r>
              <w:noBreakHyphen/>
              <w:t xml:space="preserve">home care placements, </w:t>
            </w:r>
            <w:r w:rsidRPr="003816EC">
              <w:t xml:space="preserve">and additional funding provided in the </w:t>
            </w:r>
            <w:r w:rsidRPr="003816EC">
              <w:rPr>
                <w:i w:val="0"/>
              </w:rPr>
              <w:t>2014</w:t>
            </w:r>
            <w:r>
              <w:rPr>
                <w:i w:val="0"/>
              </w:rPr>
              <w:noBreakHyphen/>
            </w:r>
            <w:r w:rsidRPr="003816EC">
              <w:rPr>
                <w:i w:val="0"/>
              </w:rPr>
              <w:t>15 Budget.</w:t>
            </w:r>
            <w:r w:rsidRPr="003816EC">
              <w:t xml:space="preserve"> </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Number of Child FIRST assessments and interventions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11</w:t>
            </w:r>
            <w:r>
              <w:rPr>
                <w:lang w:eastAsia="en-AU"/>
              </w:rPr>
              <w:t> </w:t>
            </w:r>
            <w:r w:rsidRPr="001C2BEA">
              <w:rPr>
                <w:lang w:eastAsia="en-AU"/>
              </w:rPr>
              <w:t>171</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12</w:t>
            </w:r>
            <w:r>
              <w:rPr>
                <w:lang w:eastAsia="en-AU"/>
              </w:rPr>
              <w:t> </w:t>
            </w:r>
            <w:r w:rsidRPr="001C2BEA">
              <w:rPr>
                <w:lang w:eastAsia="en-AU"/>
              </w:rPr>
              <w:t>393</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w:t>
            </w:r>
            <w:r>
              <w:rPr>
                <w:lang w:eastAsia="en-AU"/>
              </w:rPr>
              <w:t> </w:t>
            </w:r>
            <w:r w:rsidRPr="001C2BEA">
              <w:rPr>
                <w:lang w:eastAsia="en-AU"/>
              </w:rPr>
              <w:t>870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w:t>
            </w:r>
            <w:r>
              <w:rPr>
                <w:lang w:eastAsia="en-AU"/>
              </w:rPr>
              <w:t> </w:t>
            </w:r>
            <w:r w:rsidRPr="001C2BEA">
              <w:rPr>
                <w:lang w:eastAsia="en-AU"/>
              </w:rPr>
              <w:t>780</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1C2BEA">
              <w:t>The 2013</w:t>
            </w:r>
            <w:r>
              <w:noBreakHyphen/>
            </w:r>
            <w:r w:rsidRPr="001C2BEA">
              <w:t xml:space="preserve">14 </w:t>
            </w:r>
            <w:r>
              <w:t>expected outcome</w:t>
            </w:r>
            <w:r w:rsidRPr="001C2BEA">
              <w:t xml:space="preserve"> is higher than the 2013</w:t>
            </w:r>
            <w:r>
              <w:noBreakHyphen/>
            </w:r>
            <w:r w:rsidRPr="001C2BEA">
              <w:t xml:space="preserve">14 </w:t>
            </w:r>
            <w:r>
              <w:t>target</w:t>
            </w:r>
            <w:r w:rsidRPr="001C2BEA">
              <w:t xml:space="preserve"> reflecting an increase in assistance provided</w:t>
            </w:r>
            <w:r>
              <w:t xml:space="preserve">. </w:t>
            </w:r>
          </w:p>
          <w:p w:rsidR="00A53D7D" w:rsidRPr="001C2BEA" w:rsidRDefault="00A53D7D" w:rsidP="005140B4">
            <w:pPr>
              <w:pStyle w:val="OGNotes"/>
            </w:pPr>
            <w:r w:rsidRPr="001C2BEA">
              <w:t>The higher 2014</w:t>
            </w:r>
            <w:r>
              <w:noBreakHyphen/>
            </w:r>
            <w:r w:rsidRPr="001C2BEA">
              <w:t xml:space="preserve">15 </w:t>
            </w:r>
            <w:r>
              <w:t>target</w:t>
            </w:r>
            <w:r w:rsidRPr="001C2BEA">
              <w:t xml:space="preserve"> reflects additional </w:t>
            </w:r>
            <w:r w:rsidRPr="0020057F">
              <w:rPr>
                <w:i w:val="0"/>
              </w:rPr>
              <w:t>2014</w:t>
            </w:r>
            <w:r>
              <w:rPr>
                <w:i w:val="0"/>
              </w:rPr>
              <w:noBreakHyphen/>
            </w:r>
            <w:r w:rsidRPr="0020057F">
              <w:rPr>
                <w:i w:val="0"/>
              </w:rPr>
              <w:t>15 Budget</w:t>
            </w:r>
            <w:r>
              <w:t xml:space="preserve"> funding.</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Number of children in kinship care whose placements are managed by community service organisations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750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750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750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750</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Number of children receiving an intensive support service</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400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500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917</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3816EC" w:rsidRDefault="00A53D7D" w:rsidP="005140B4">
            <w:pPr>
              <w:pStyle w:val="OGNotes"/>
              <w:rPr>
                <w:i w:val="0"/>
              </w:rPr>
            </w:pPr>
            <w:r w:rsidRPr="003816EC">
              <w:t>The higher 2014</w:t>
            </w:r>
            <w:r>
              <w:noBreakHyphen/>
            </w:r>
            <w:r w:rsidRPr="003816EC">
              <w:t xml:space="preserve">15 </w:t>
            </w:r>
            <w:r>
              <w:t>target</w:t>
            </w:r>
            <w:r w:rsidRPr="003816EC">
              <w:t xml:space="preserve"> reflects a more robust data collection method, and additional funding provided in the </w:t>
            </w:r>
            <w:r w:rsidRPr="003816EC">
              <w:rPr>
                <w:i w:val="0"/>
              </w:rPr>
              <w:t>2014</w:t>
            </w:r>
            <w:r>
              <w:rPr>
                <w:i w:val="0"/>
              </w:rPr>
              <w:noBreakHyphen/>
            </w:r>
            <w:r w:rsidRPr="003816EC">
              <w:rPr>
                <w:i w:val="0"/>
              </w:rPr>
              <w:t xml:space="preserve">15 Budget. </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keepNext/>
              <w:rPr>
                <w:lang w:eastAsia="en-AU"/>
              </w:rPr>
            </w:pPr>
            <w:r w:rsidRPr="001C2BEA">
              <w:rPr>
                <w:lang w:eastAsia="en-AU"/>
              </w:rPr>
              <w:t>Number of family services cases provided to Aboriginal families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keepNext/>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keepNext/>
              <w:rPr>
                <w:lang w:eastAsia="en-AU"/>
              </w:rPr>
            </w:pPr>
            <w:r w:rsidRPr="001C2BEA">
              <w:rPr>
                <w:lang w:eastAsia="en-AU"/>
              </w:rPr>
              <w:t>2</w:t>
            </w:r>
            <w:r>
              <w:rPr>
                <w:lang w:eastAsia="en-AU"/>
              </w:rPr>
              <w:t> </w:t>
            </w:r>
            <w:r w:rsidRPr="001C2BEA">
              <w:rPr>
                <w:lang w:eastAsia="en-AU"/>
              </w:rPr>
              <w:t>400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2</w:t>
            </w:r>
            <w:r>
              <w:rPr>
                <w:lang w:eastAsia="en-AU"/>
              </w:rPr>
              <w:t> </w:t>
            </w:r>
            <w:r w:rsidRPr="001C2BEA">
              <w:rPr>
                <w:lang w:eastAsia="en-AU"/>
              </w:rPr>
              <w:t>452</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1</w:t>
            </w:r>
            <w:r>
              <w:rPr>
                <w:lang w:eastAsia="en-AU"/>
              </w:rPr>
              <w:t> </w:t>
            </w:r>
            <w:r w:rsidRPr="001C2BEA">
              <w:rPr>
                <w:lang w:eastAsia="en-AU"/>
              </w:rPr>
              <w:t>500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1</w:t>
            </w:r>
            <w:r>
              <w:rPr>
                <w:lang w:eastAsia="en-AU"/>
              </w:rPr>
              <w:t> </w:t>
            </w:r>
            <w:r w:rsidRPr="001C2BEA">
              <w:rPr>
                <w:lang w:eastAsia="en-AU"/>
              </w:rPr>
              <w:t>982</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1C2BEA">
              <w:t>The 2013</w:t>
            </w:r>
            <w:r>
              <w:noBreakHyphen/>
            </w:r>
            <w:r w:rsidRPr="001C2BEA">
              <w:t xml:space="preserve">14 </w:t>
            </w:r>
            <w:r>
              <w:t>expected outcome</w:t>
            </w:r>
            <w:r w:rsidRPr="001C2BEA">
              <w:t xml:space="preserve"> is higher than the 2013</w:t>
            </w:r>
            <w:r>
              <w:noBreakHyphen/>
            </w:r>
            <w:r w:rsidRPr="001C2BEA">
              <w:t xml:space="preserve">14 </w:t>
            </w:r>
            <w:r>
              <w:t>target</w:t>
            </w:r>
            <w:r w:rsidRPr="001C2BEA">
              <w:t xml:space="preserve"> due to increased demand. </w:t>
            </w:r>
          </w:p>
          <w:p w:rsidR="00A53D7D" w:rsidRPr="001C2BEA" w:rsidRDefault="00A53D7D" w:rsidP="005140B4">
            <w:pPr>
              <w:pStyle w:val="OGNotes"/>
            </w:pPr>
            <w:r w:rsidRPr="001C2BEA">
              <w:t>The higher 2014</w:t>
            </w:r>
            <w:r>
              <w:noBreakHyphen/>
            </w:r>
            <w:r w:rsidRPr="001C2BEA">
              <w:t xml:space="preserve">15 </w:t>
            </w:r>
            <w:r>
              <w:t>target</w:t>
            </w:r>
            <w:r w:rsidRPr="001C2BEA">
              <w:t xml:space="preserve"> reflects </w:t>
            </w:r>
            <w:r>
              <w:t xml:space="preserve">this </w:t>
            </w:r>
            <w:r w:rsidRPr="001C2BEA">
              <w:t>higher level of demand.</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keepNext/>
              <w:rPr>
                <w:lang w:eastAsia="en-AU"/>
              </w:rPr>
            </w:pPr>
            <w:r w:rsidRPr="001C2BEA">
              <w:rPr>
                <w:lang w:eastAsia="en-AU"/>
              </w:rPr>
              <w:t>Reports to child protection services about the wellbeing and safety of children</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keepNext/>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keepNext/>
              <w:rPr>
                <w:lang w:eastAsia="en-AU"/>
              </w:rPr>
            </w:pPr>
            <w:r w:rsidRPr="001C2BEA">
              <w:rPr>
                <w:lang w:eastAsia="en-AU"/>
              </w:rPr>
              <w:t>90</w:t>
            </w:r>
            <w:r>
              <w:rPr>
                <w:lang w:eastAsia="en-AU"/>
              </w:rPr>
              <w:t> </w:t>
            </w:r>
            <w:r w:rsidRPr="001C2BEA">
              <w:rPr>
                <w:lang w:eastAsia="en-AU"/>
              </w:rPr>
              <w:t>000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81</w:t>
            </w:r>
            <w:r>
              <w:rPr>
                <w:lang w:eastAsia="en-AU"/>
              </w:rPr>
              <w:t> </w:t>
            </w:r>
            <w:r w:rsidRPr="001C2BEA">
              <w:rPr>
                <w:lang w:eastAsia="en-AU"/>
              </w:rPr>
              <w:t>000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81</w:t>
            </w:r>
            <w:r>
              <w:rPr>
                <w:lang w:eastAsia="en-AU"/>
              </w:rPr>
              <w:t> </w:t>
            </w:r>
            <w:r w:rsidRPr="001C2BEA">
              <w:rPr>
                <w:lang w:eastAsia="en-AU"/>
              </w:rPr>
              <w:t>000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73</w:t>
            </w:r>
            <w:r>
              <w:rPr>
                <w:lang w:eastAsia="en-AU"/>
              </w:rPr>
              <w:t> </w:t>
            </w:r>
            <w:r w:rsidRPr="001C2BEA">
              <w:rPr>
                <w:lang w:eastAsia="en-AU"/>
              </w:rPr>
              <w:t>297</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higher 2014</w:t>
            </w:r>
            <w:r>
              <w:noBreakHyphen/>
            </w:r>
            <w:r w:rsidRPr="001C2BEA">
              <w:t xml:space="preserve">15 </w:t>
            </w:r>
            <w:r>
              <w:t>target</w:t>
            </w:r>
            <w:r w:rsidRPr="001C2BEA">
              <w:t xml:space="preserve"> reflects an increase in demand on child protection services, driven by a range of factors including family violence reports and greater public attention on child abuse.</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Total number of family services cases provided</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33</w:t>
            </w:r>
            <w:r>
              <w:rPr>
                <w:lang w:eastAsia="en-AU"/>
              </w:rPr>
              <w:t> </w:t>
            </w:r>
            <w:r w:rsidRPr="001C2BEA">
              <w:rPr>
                <w:lang w:eastAsia="en-AU"/>
              </w:rPr>
              <w:t>600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33</w:t>
            </w:r>
            <w:r>
              <w:rPr>
                <w:lang w:eastAsia="en-AU"/>
              </w:rPr>
              <w:t> </w:t>
            </w:r>
            <w:r w:rsidRPr="001C2BEA">
              <w:rPr>
                <w:lang w:eastAsia="en-AU"/>
              </w:rPr>
              <w:t>167</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26</w:t>
            </w:r>
            <w:r>
              <w:rPr>
                <w:lang w:eastAsia="en-AU"/>
              </w:rPr>
              <w:t> </w:t>
            </w:r>
            <w:r w:rsidRPr="001C2BEA">
              <w:rPr>
                <w:lang w:eastAsia="en-AU"/>
              </w:rPr>
              <w:t>364</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29</w:t>
            </w:r>
            <w:r>
              <w:rPr>
                <w:lang w:eastAsia="en-AU"/>
              </w:rPr>
              <w:t> </w:t>
            </w:r>
            <w:r w:rsidRPr="001C2BEA">
              <w:rPr>
                <w:lang w:eastAsia="en-AU"/>
              </w:rPr>
              <w:t>123</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1C2BEA">
              <w:t>The 2013</w:t>
            </w:r>
            <w:r>
              <w:noBreakHyphen/>
            </w:r>
            <w:r w:rsidRPr="001C2BEA">
              <w:t xml:space="preserve">14 </w:t>
            </w:r>
            <w:r>
              <w:t>expected outcome</w:t>
            </w:r>
            <w:r w:rsidRPr="001C2BEA">
              <w:t xml:space="preserve"> is higher than the 2013</w:t>
            </w:r>
            <w:r>
              <w:noBreakHyphen/>
            </w:r>
            <w:r w:rsidRPr="001C2BEA">
              <w:t xml:space="preserve">14 </w:t>
            </w:r>
            <w:r>
              <w:t>target</w:t>
            </w:r>
            <w:r w:rsidRPr="001C2BEA">
              <w:t xml:space="preserve"> reflecting an increase in assistance provided</w:t>
            </w:r>
            <w:r>
              <w:t xml:space="preserve">. </w:t>
            </w:r>
          </w:p>
          <w:p w:rsidR="00A53D7D" w:rsidRPr="001C2BEA" w:rsidRDefault="00A53D7D" w:rsidP="005140B4">
            <w:pPr>
              <w:pStyle w:val="OGNotes"/>
            </w:pPr>
            <w:r w:rsidRPr="001C2BEA">
              <w:t>The higher 2014</w:t>
            </w:r>
            <w:r>
              <w:noBreakHyphen/>
            </w:r>
            <w:r w:rsidRPr="001C2BEA">
              <w:t xml:space="preserve">15 </w:t>
            </w:r>
            <w:r>
              <w:t>target</w:t>
            </w:r>
            <w:r w:rsidRPr="001C2BEA">
              <w:t xml:space="preserve"> reflects additional 2014</w:t>
            </w:r>
            <w:r>
              <w:noBreakHyphen/>
            </w:r>
            <w:r w:rsidRPr="001C2BEA">
              <w:t>15 Budget funding and assistance expected to be delivered.</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Quality</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Children and young people in out</w:t>
            </w:r>
            <w:r>
              <w:rPr>
                <w:lang w:eastAsia="en-AU"/>
              </w:rPr>
              <w:noBreakHyphen/>
            </w:r>
            <w:r w:rsidRPr="001C2BEA">
              <w:rPr>
                <w:lang w:eastAsia="en-AU"/>
              </w:rPr>
              <w:t>of</w:t>
            </w:r>
            <w:r>
              <w:rPr>
                <w:lang w:eastAsia="en-AU"/>
              </w:rPr>
              <w:noBreakHyphen/>
            </w:r>
            <w:r w:rsidRPr="001C2BEA">
              <w:rPr>
                <w:lang w:eastAsia="en-AU"/>
              </w:rPr>
              <w:t xml:space="preserve">home care who have had two or less placements in the </w:t>
            </w:r>
            <w:r>
              <w:rPr>
                <w:lang w:eastAsia="en-AU"/>
              </w:rPr>
              <w:t>p</w:t>
            </w:r>
            <w:r w:rsidRPr="001C2BEA">
              <w:rPr>
                <w:lang w:eastAsia="en-AU"/>
              </w:rPr>
              <w:t>ast 12 months (not including placements at home)</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86</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86</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86.4</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Children and young people who were the</w:t>
            </w:r>
            <w:r>
              <w:rPr>
                <w:lang w:eastAsia="en-AU"/>
              </w:rPr>
              <w:t xml:space="preserve"> </w:t>
            </w:r>
            <w:r w:rsidRPr="001C2BEA">
              <w:rPr>
                <w:lang w:eastAsia="en-AU"/>
              </w:rPr>
              <w:t>subject of a substantiated report within 12 months of the closure of a previous substantiated report</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15</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15</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15</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14.8</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Children and young people who were the subject of an investigation which led to a decision not to substantiate, who were subsequently the subject of a substantiation within three months of case closur</w:t>
            </w:r>
            <w:r>
              <w:rPr>
                <w:lang w:eastAsia="en-AU"/>
              </w:rPr>
              <w:t>e</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5</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3</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1.8</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2013</w:t>
            </w:r>
            <w:r>
              <w:noBreakHyphen/>
            </w:r>
            <w:r w:rsidRPr="001C2BEA">
              <w:t xml:space="preserve">14 </w:t>
            </w:r>
            <w:r>
              <w:t>expected outcome</w:t>
            </w:r>
            <w:r w:rsidRPr="001C2BEA">
              <w:t xml:space="preserve"> is lower than the </w:t>
            </w:r>
            <w:r>
              <w:t>2013</w:t>
            </w:r>
            <w:r>
              <w:noBreakHyphen/>
              <w:t>14 target</w:t>
            </w:r>
            <w:r w:rsidRPr="001C2BEA">
              <w:t xml:space="preserve"> due to improved case planning and closure decision</w:t>
            </w:r>
            <w:r>
              <w:noBreakHyphen/>
              <w:t>making.</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Organisations that have successfully completed a quality review (family and community services)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95</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95</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2013</w:t>
            </w:r>
            <w:r>
              <w:noBreakHyphen/>
            </w:r>
            <w:r w:rsidRPr="001C2BEA">
              <w:t xml:space="preserve">14 </w:t>
            </w:r>
            <w:r>
              <w:t>expected outcome</w:t>
            </w:r>
            <w:r w:rsidRPr="001C2BEA">
              <w:t xml:space="preserve"> is higher than the 2013</w:t>
            </w:r>
            <w:r>
              <w:noBreakHyphen/>
            </w:r>
            <w:r w:rsidRPr="001C2BEA">
              <w:t xml:space="preserve">14 </w:t>
            </w:r>
            <w:r>
              <w:t>target</w:t>
            </w:r>
            <w:r w:rsidRPr="001C2BEA">
              <w:t xml:space="preserve"> reflecting a </w:t>
            </w:r>
            <w:r>
              <w:t xml:space="preserve">focus on quality services. </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Organisations that have successfully completed a quality review (specialist support and placement services)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95</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95</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2013</w:t>
            </w:r>
            <w:r>
              <w:noBreakHyphen/>
            </w:r>
            <w:r w:rsidRPr="001C2BEA">
              <w:t xml:space="preserve">14 </w:t>
            </w:r>
            <w:r>
              <w:t>expected outcome</w:t>
            </w:r>
            <w:r w:rsidRPr="001C2BEA">
              <w:t xml:space="preserve"> is higher than the 2013</w:t>
            </w:r>
            <w:r>
              <w:noBreakHyphen/>
            </w:r>
            <w:r w:rsidRPr="001C2BEA">
              <w:t xml:space="preserve">14 </w:t>
            </w:r>
            <w:r>
              <w:t>target</w:t>
            </w:r>
            <w:r w:rsidRPr="001C2BEA">
              <w:t xml:space="preserve"> reflecting </w:t>
            </w:r>
            <w:r>
              <w:t xml:space="preserve">a focus on quality services. </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Proportion of Aboriginal children placed with relatives/kin, other Aboriginal carers or in Aboriginal residential care</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60</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60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60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60.4</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Proportion of placements that are home</w:t>
            </w:r>
            <w:r>
              <w:rPr>
                <w:lang w:eastAsia="en-AU"/>
              </w:rPr>
              <w:noBreakHyphen/>
            </w:r>
            <w:r w:rsidRPr="001C2BEA">
              <w:rPr>
                <w:lang w:eastAsia="en-AU"/>
              </w:rPr>
              <w:t>based care</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90</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93</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92.5</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Timeliness</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Percentage of child protection reports requiring a priority investigation visited within two days</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97</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98</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97</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95.1</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Sexual assault support services clients receiving an initial response within five working days of referral</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95</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98.5</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Cost</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nil"/>
              <w:right w:val="nil"/>
            </w:tcBorders>
            <w:shd w:val="clear" w:color="000000" w:fill="FFFFFF"/>
            <w:hideMark/>
          </w:tcPr>
          <w:p w:rsidR="00A53D7D" w:rsidRPr="001C2BEA" w:rsidRDefault="00A53D7D" w:rsidP="005140B4">
            <w:pPr>
              <w:pStyle w:val="OGTabText"/>
              <w:rPr>
                <w:lang w:eastAsia="en-AU"/>
              </w:rPr>
            </w:pPr>
            <w:r w:rsidRPr="001C2BEA">
              <w:rPr>
                <w:lang w:eastAsia="en-AU"/>
              </w:rPr>
              <w:t>Total output cost</w:t>
            </w:r>
          </w:p>
        </w:tc>
        <w:tc>
          <w:tcPr>
            <w:tcW w:w="907" w:type="dxa"/>
            <w:tcBorders>
              <w:top w:val="nil"/>
              <w:left w:val="nil"/>
              <w:bottom w:val="nil"/>
              <w:right w:val="nil"/>
            </w:tcBorders>
            <w:shd w:val="clear" w:color="000000" w:fill="FFFFFF"/>
            <w:hideMark/>
          </w:tcPr>
          <w:p w:rsidR="00A53D7D" w:rsidRPr="001C2BEA" w:rsidRDefault="00A53D7D" w:rsidP="005140B4">
            <w:pPr>
              <w:pStyle w:val="OGUoM"/>
              <w:rPr>
                <w:lang w:eastAsia="en-AU"/>
              </w:rPr>
            </w:pPr>
            <w:r w:rsidRPr="001C2BEA">
              <w:rPr>
                <w:lang w:eastAsia="en-AU"/>
              </w:rPr>
              <w:t>$</w:t>
            </w:r>
            <w:r>
              <w:rPr>
                <w:lang w:eastAsia="en-AU"/>
              </w:rPr>
              <w:t> m</w:t>
            </w:r>
            <w:r w:rsidRPr="001C2BEA">
              <w:rPr>
                <w:lang w:eastAsia="en-AU"/>
              </w:rPr>
              <w:t>illion</w:t>
            </w:r>
          </w:p>
        </w:tc>
        <w:tc>
          <w:tcPr>
            <w:tcW w:w="907" w:type="dxa"/>
            <w:tcBorders>
              <w:top w:val="nil"/>
              <w:left w:val="nil"/>
              <w:bottom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847.1</w:t>
            </w:r>
          </w:p>
        </w:tc>
        <w:tc>
          <w:tcPr>
            <w:tcW w:w="993" w:type="dxa"/>
            <w:tcBorders>
              <w:top w:val="nil"/>
              <w:left w:val="nil"/>
              <w:bottom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793.1</w:t>
            </w:r>
          </w:p>
        </w:tc>
        <w:tc>
          <w:tcPr>
            <w:tcW w:w="907" w:type="dxa"/>
            <w:tcBorders>
              <w:top w:val="nil"/>
              <w:left w:val="nil"/>
              <w:bottom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795.3</w:t>
            </w:r>
          </w:p>
        </w:tc>
        <w:tc>
          <w:tcPr>
            <w:tcW w:w="907" w:type="dxa"/>
            <w:tcBorders>
              <w:top w:val="nil"/>
              <w:left w:val="nil"/>
              <w:bottom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769.6</w:t>
            </w:r>
          </w:p>
        </w:tc>
      </w:tr>
      <w:tr w:rsidR="00A53D7D" w:rsidRPr="001C2BEA" w:rsidTr="005140B4">
        <w:trPr>
          <w:cantSplit/>
        </w:trPr>
        <w:tc>
          <w:tcPr>
            <w:tcW w:w="7776" w:type="dxa"/>
            <w:gridSpan w:val="6"/>
            <w:tcBorders>
              <w:top w:val="nil"/>
              <w:left w:val="nil"/>
              <w:bottom w:val="single" w:sz="12" w:space="0" w:color="auto"/>
              <w:right w:val="nil"/>
            </w:tcBorders>
            <w:shd w:val="clear" w:color="000000" w:fill="FFFFFF"/>
          </w:tcPr>
          <w:p w:rsidR="00A53D7D" w:rsidRPr="003816EC" w:rsidRDefault="00A53D7D" w:rsidP="005140B4">
            <w:pPr>
              <w:pStyle w:val="OGNotes"/>
            </w:pPr>
            <w:r w:rsidRPr="003816EC">
              <w:t>The higher 2014</w:t>
            </w:r>
            <w:r>
              <w:noBreakHyphen/>
            </w:r>
            <w:r w:rsidRPr="003816EC">
              <w:t xml:space="preserve">15 </w:t>
            </w:r>
            <w:r>
              <w:t>target</w:t>
            </w:r>
            <w:r w:rsidRPr="003816EC">
              <w:t xml:space="preserve"> primarily reflects additional government investment provided in the </w:t>
            </w:r>
            <w:r w:rsidRPr="003816EC">
              <w:rPr>
                <w:i w:val="0"/>
              </w:rPr>
              <w:t>2014</w:t>
            </w:r>
            <w:r>
              <w:rPr>
                <w:i w:val="0"/>
              </w:rPr>
              <w:noBreakHyphen/>
            </w:r>
            <w:r w:rsidRPr="003816EC">
              <w:rPr>
                <w:i w:val="0"/>
              </w:rPr>
              <w:t xml:space="preserve">15 Budget, </w:t>
            </w:r>
            <w:r w:rsidRPr="003816EC">
              <w:t xml:space="preserve">the impact of the social and community services pay equity case and the full year effect of prior year initiatives. </w:t>
            </w:r>
          </w:p>
        </w:tc>
      </w:tr>
    </w:tbl>
    <w:p w:rsidR="00A53D7D" w:rsidRDefault="00A53D7D" w:rsidP="005140B4">
      <w:pPr>
        <w:pStyle w:val="Source"/>
        <w:rPr>
          <w:lang w:eastAsia="en-AU"/>
        </w:rPr>
      </w:pPr>
      <w:r>
        <w:rPr>
          <w:lang w:eastAsia="en-AU"/>
        </w:rPr>
        <w:t>Source: Department of Human Services</w:t>
      </w:r>
      <w:r>
        <w:rPr>
          <w:lang w:eastAsia="en-AU"/>
        </w:rPr>
        <w:fldChar w:fldCharType="begin"/>
      </w:r>
      <w:r>
        <w:instrText xml:space="preserve"> XE "</w:instrText>
      </w:r>
      <w:r w:rsidRPr="00930A8E">
        <w:rPr>
          <w:lang w:eastAsia="en-AU"/>
        </w:rPr>
        <w:instrText>Department of Human Services</w:instrText>
      </w:r>
      <w:r w:rsidRPr="00930A8E">
        <w:instrText>:Child Protection and Family Services</w:instrText>
      </w:r>
      <w:r>
        <w:instrText xml:space="preserve">" \r "DHSChildprot" </w:instrText>
      </w:r>
      <w:r>
        <w:rPr>
          <w:lang w:eastAsia="en-AU"/>
        </w:rPr>
        <w:fldChar w:fldCharType="end"/>
      </w:r>
      <w:r>
        <w:rPr>
          <w:lang w:eastAsia="en-AU"/>
        </w:rPr>
        <w:fldChar w:fldCharType="begin"/>
      </w:r>
      <w:r>
        <w:instrText xml:space="preserve"> XE "</w:instrText>
      </w:r>
      <w:r w:rsidRPr="008F564C">
        <w:rPr>
          <w:lang w:eastAsia="en-AU"/>
        </w:rPr>
        <w:instrText>Child Protection and Family Services</w:instrText>
      </w:r>
      <w:r>
        <w:instrText xml:space="preserve">" \r "DHSChildprot" </w:instrText>
      </w:r>
      <w:r>
        <w:rPr>
          <w:lang w:eastAsia="en-AU"/>
        </w:rPr>
        <w:fldChar w:fldCharType="end"/>
      </w:r>
    </w:p>
    <w:bookmarkEnd w:id="99"/>
    <w:p w:rsidR="00A53D7D" w:rsidRDefault="00A53D7D">
      <w:pPr>
        <w:spacing w:after="0"/>
        <w:rPr>
          <w:lang w:eastAsia="en-AU"/>
        </w:rPr>
      </w:pPr>
      <w:r>
        <w:rPr>
          <w:lang w:eastAsia="en-AU"/>
        </w:rPr>
        <w:br w:type="page"/>
      </w:r>
    </w:p>
    <w:p w:rsidR="00A53D7D" w:rsidRPr="001C2BEA" w:rsidRDefault="00A53D7D" w:rsidP="005140B4">
      <w:pPr>
        <w:pStyle w:val="OGHeading1"/>
        <w:rPr>
          <w:lang w:eastAsia="en-AU"/>
        </w:rPr>
      </w:pPr>
      <w:bookmarkStart w:id="100" w:name="DHSYouth"/>
      <w:r w:rsidRPr="001C2BEA">
        <w:rPr>
          <w:lang w:eastAsia="en-AU"/>
        </w:rPr>
        <w:t>Youth Services and Youth Justice</w:t>
      </w:r>
    </w:p>
    <w:p w:rsidR="00A53D7D" w:rsidRPr="001C2BEA" w:rsidRDefault="00A53D7D" w:rsidP="005140B4">
      <w:pPr>
        <w:pStyle w:val="OGText"/>
        <w:rPr>
          <w:lang w:eastAsia="en-AU"/>
        </w:rPr>
      </w:pPr>
      <w:r w:rsidRPr="001C2BEA">
        <w:rPr>
          <w:lang w:eastAsia="en-AU"/>
        </w:rPr>
        <w:t xml:space="preserve">Youth Services and Youth Justice </w:t>
      </w:r>
      <w:proofErr w:type="gramStart"/>
      <w:r w:rsidRPr="001C2BEA">
        <w:rPr>
          <w:lang w:eastAsia="en-AU"/>
        </w:rPr>
        <w:t>outputs</w:t>
      </w:r>
      <w:proofErr w:type="gramEnd"/>
      <w:r w:rsidRPr="001C2BEA">
        <w:rPr>
          <w:lang w:eastAsia="en-AU"/>
        </w:rPr>
        <w:t>, through the funding of a range of services including the provision of advice to courts, community</w:t>
      </w:r>
      <w:r>
        <w:rPr>
          <w:lang w:eastAsia="en-AU"/>
        </w:rPr>
        <w:noBreakHyphen/>
      </w:r>
      <w:r w:rsidRPr="001C2BEA">
        <w:rPr>
          <w:lang w:eastAsia="en-AU"/>
        </w:rPr>
        <w:t>based and custodial supervision and youth services, aim to make a positive difference for Victorians experiencing disadvantage by providing excellent community services to meet clients</w:t>
      </w:r>
      <w:r>
        <w:rPr>
          <w:lang w:eastAsia="en-AU"/>
        </w:rPr>
        <w:t>’</w:t>
      </w:r>
      <w:r w:rsidRPr="001C2BEA">
        <w:rPr>
          <w:lang w:eastAsia="en-AU"/>
        </w:rPr>
        <w:t xml:space="preserve"> needs.</w:t>
      </w:r>
    </w:p>
    <w:p w:rsidR="00A53D7D" w:rsidRPr="00E7386D" w:rsidRDefault="00A53D7D" w:rsidP="005140B4">
      <w:pPr>
        <w:pStyle w:val="OGText"/>
        <w:rPr>
          <w:b/>
          <w:lang w:eastAsia="en-AU"/>
        </w:rPr>
      </w:pPr>
      <w:r w:rsidRPr="00E7386D">
        <w:rPr>
          <w:b/>
          <w:lang w:eastAsia="en-AU"/>
        </w:rPr>
        <w:t>Youth Justice Custodial Services</w:t>
      </w:r>
    </w:p>
    <w:p w:rsidR="00A53D7D" w:rsidRPr="001C2BEA" w:rsidRDefault="00A53D7D" w:rsidP="005140B4">
      <w:pPr>
        <w:pStyle w:val="OGText"/>
        <w:rPr>
          <w:lang w:eastAsia="en-AU"/>
        </w:rPr>
      </w:pPr>
      <w:r w:rsidRPr="001C2BEA">
        <w:rPr>
          <w:lang w:eastAsia="en-AU"/>
        </w:rPr>
        <w:t>This output provides supervision and rehabilitation, through the provision of case management, health and education services and the establishment of structured community supports, to assist young people address offending behaviour, develop non</w:t>
      </w:r>
      <w:r>
        <w:rPr>
          <w:lang w:eastAsia="en-AU"/>
        </w:rPr>
        <w:noBreakHyphen/>
      </w:r>
      <w:r w:rsidRPr="001C2BEA">
        <w:rPr>
          <w:lang w:eastAsia="en-AU"/>
        </w:rPr>
        <w:t>offending lifestyles and support the re</w:t>
      </w:r>
      <w:r>
        <w:rPr>
          <w:lang w:eastAsia="en-AU"/>
        </w:rPr>
        <w:noBreakHyphen/>
      </w:r>
      <w:r w:rsidRPr="001C2BEA">
        <w:rPr>
          <w:lang w:eastAsia="en-AU"/>
        </w:rPr>
        <w:t>integration of the young person into the community at the completion of their sentence.</w:t>
      </w:r>
    </w:p>
    <w:p w:rsidR="00A53D7D" w:rsidRPr="001C2BEA" w:rsidRDefault="00A53D7D" w:rsidP="005140B4">
      <w:pPr>
        <w:pStyle w:val="OGText"/>
        <w:rPr>
          <w:lang w:eastAsia="en-AU"/>
        </w:rPr>
      </w:pPr>
      <w:r w:rsidRPr="001C2BEA">
        <w:rPr>
          <w:lang w:eastAsia="en-AU"/>
        </w:rPr>
        <w:t>This output supports the Department</w:t>
      </w:r>
      <w:r>
        <w:rPr>
          <w:lang w:eastAsia="en-AU"/>
        </w:rPr>
        <w:t>’</w:t>
      </w:r>
      <w:r w:rsidRPr="001C2BEA">
        <w:rPr>
          <w:lang w:eastAsia="en-AU"/>
        </w:rPr>
        <w:t>s immediate support objective and capabilities and participation objective.</w:t>
      </w:r>
    </w:p>
    <w:p w:rsidR="00A53D7D" w:rsidRPr="00E7386D" w:rsidRDefault="00A53D7D" w:rsidP="005140B4">
      <w:pPr>
        <w:pStyle w:val="OGText"/>
        <w:rPr>
          <w:b/>
          <w:lang w:eastAsia="en-AU"/>
        </w:rPr>
      </w:pPr>
      <w:r w:rsidRPr="00E7386D">
        <w:rPr>
          <w:b/>
          <w:lang w:eastAsia="en-AU"/>
        </w:rPr>
        <w:t>Community</w:t>
      </w:r>
      <w:r>
        <w:rPr>
          <w:b/>
          <w:lang w:eastAsia="en-AU"/>
        </w:rPr>
        <w:noBreakHyphen/>
      </w:r>
      <w:r w:rsidRPr="00E7386D">
        <w:rPr>
          <w:b/>
          <w:lang w:eastAsia="en-AU"/>
        </w:rPr>
        <w:t>based Services</w:t>
      </w:r>
    </w:p>
    <w:p w:rsidR="00A53D7D" w:rsidRPr="001C2BEA" w:rsidRDefault="00A53D7D" w:rsidP="005140B4">
      <w:pPr>
        <w:pStyle w:val="OGText"/>
        <w:rPr>
          <w:lang w:eastAsia="en-AU"/>
        </w:rPr>
      </w:pPr>
      <w:r w:rsidRPr="001C2BEA">
        <w:rPr>
          <w:lang w:eastAsia="en-AU"/>
        </w:rPr>
        <w:t>This output provides community statutory supervision and support to young people subject to community</w:t>
      </w:r>
      <w:r>
        <w:rPr>
          <w:lang w:eastAsia="en-AU"/>
        </w:rPr>
        <w:noBreakHyphen/>
      </w:r>
      <w:r w:rsidRPr="001C2BEA">
        <w:rPr>
          <w:lang w:eastAsia="en-AU"/>
        </w:rPr>
        <w:t>based dispositions in order to divert young people from the youth justice system and minimise the likelihood of further offending.</w:t>
      </w:r>
    </w:p>
    <w:p w:rsidR="00A53D7D" w:rsidRDefault="00A53D7D" w:rsidP="005140B4">
      <w:pPr>
        <w:pStyle w:val="OGText"/>
        <w:rPr>
          <w:lang w:eastAsia="en-AU"/>
        </w:rPr>
      </w:pPr>
      <w:r w:rsidRPr="001C2BEA">
        <w:rPr>
          <w:lang w:eastAsia="en-AU"/>
        </w:rPr>
        <w:t>This output supports the Department</w:t>
      </w:r>
      <w:r>
        <w:rPr>
          <w:lang w:eastAsia="en-AU"/>
        </w:rPr>
        <w:t>’</w:t>
      </w:r>
      <w:r w:rsidRPr="001C2BEA">
        <w:rPr>
          <w:lang w:eastAsia="en-AU"/>
        </w:rPr>
        <w:t>s immediate support objective and capabilities and participation objective.</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Heading2"/>
            </w:pPr>
            <w:r w:rsidRPr="001C2BEA">
              <w:t>Community</w:t>
            </w:r>
            <w:r>
              <w:noBreakHyphen/>
            </w:r>
            <w:r w:rsidRPr="001C2BEA">
              <w:t>Based Services</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Average daily number of clients under community</w:t>
            </w:r>
            <w:r>
              <w:rPr>
                <w:lang w:eastAsia="en-AU"/>
              </w:rPr>
              <w:noBreakHyphen/>
            </w:r>
            <w:r w:rsidRPr="001C2BEA">
              <w:rPr>
                <w:lang w:eastAsia="en-AU"/>
              </w:rPr>
              <w:t>based supervision</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625</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091</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625</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170</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2013</w:t>
            </w:r>
            <w:r>
              <w:noBreakHyphen/>
            </w:r>
            <w:r w:rsidRPr="001C2BEA">
              <w:t xml:space="preserve">14 </w:t>
            </w:r>
            <w:r>
              <w:t>expected outcome</w:t>
            </w:r>
            <w:r w:rsidRPr="001C2BEA">
              <w:t xml:space="preserve"> is lower than the 2013</w:t>
            </w:r>
            <w:r>
              <w:noBreakHyphen/>
            </w:r>
            <w:r w:rsidRPr="001C2BEA">
              <w:t xml:space="preserve">14 </w:t>
            </w:r>
            <w:r>
              <w:t>target</w:t>
            </w:r>
            <w:r w:rsidRPr="001C2BEA">
              <w:t xml:space="preserve"> due to early intervention and diversion initiatives that are diverting young people from orders requ</w:t>
            </w:r>
            <w:r>
              <w:t xml:space="preserve">iring Youth Justice supervision. </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Proportion of youth justice clients under community</w:t>
            </w:r>
            <w:r>
              <w:rPr>
                <w:lang w:eastAsia="en-AU"/>
              </w:rPr>
              <w:noBreakHyphen/>
            </w:r>
            <w:r w:rsidRPr="001C2BEA">
              <w:rPr>
                <w:lang w:eastAsia="en-AU"/>
              </w:rPr>
              <w:t>based supervision</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88.5</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88</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88.5</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87.5</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Community</w:t>
            </w:r>
            <w:r>
              <w:rPr>
                <w:lang w:eastAsia="en-AU"/>
              </w:rPr>
              <w:noBreakHyphen/>
            </w:r>
            <w:r w:rsidRPr="001C2BEA">
              <w:rPr>
                <w:lang w:eastAsia="en-AU"/>
              </w:rPr>
              <w:t>based orders completed successfully</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85</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91</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85</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89.6</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2013</w:t>
            </w:r>
            <w:r>
              <w:noBreakHyphen/>
            </w:r>
            <w:r w:rsidRPr="001C2BEA">
              <w:t xml:space="preserve">14 </w:t>
            </w:r>
            <w:r>
              <w:t>expected outcome</w:t>
            </w:r>
            <w:r w:rsidRPr="001C2BEA">
              <w:t xml:space="preserve"> is higher than the 2013</w:t>
            </w:r>
            <w:r>
              <w:noBreakHyphen/>
            </w:r>
            <w:r w:rsidRPr="001C2BEA">
              <w:t xml:space="preserve">14 </w:t>
            </w:r>
            <w:r>
              <w:t>target</w:t>
            </w:r>
            <w:r w:rsidRPr="001C2BEA">
              <w:t xml:space="preserve"> reflecting a </w:t>
            </w:r>
            <w:r>
              <w:t xml:space="preserve">focus on quality services. </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Timeliness</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Young people on supervised orders who have a client assessment and plan completed within six weeks of the commencement of the order</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95</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95</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95</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96.1</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Cost</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keepNext/>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keepNext/>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keepNext/>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keepNext/>
              <w:rPr>
                <w:lang w:eastAsia="en-AU"/>
              </w:rPr>
            </w:pPr>
            <w:r w:rsidRPr="001C2BEA">
              <w:rPr>
                <w:lang w:eastAsia="en-AU"/>
              </w:rPr>
              <w:t>Total output cost</w:t>
            </w:r>
          </w:p>
        </w:tc>
        <w:tc>
          <w:tcPr>
            <w:tcW w:w="907" w:type="dxa"/>
            <w:tcBorders>
              <w:top w:val="nil"/>
              <w:left w:val="nil"/>
              <w:right w:val="nil"/>
            </w:tcBorders>
            <w:shd w:val="clear" w:color="000000" w:fill="FFFFFF"/>
            <w:hideMark/>
          </w:tcPr>
          <w:p w:rsidR="00A53D7D" w:rsidRPr="001C2BEA" w:rsidRDefault="00A53D7D" w:rsidP="005140B4">
            <w:pPr>
              <w:pStyle w:val="OGUoM"/>
              <w:keepNext/>
              <w:rPr>
                <w:lang w:eastAsia="en-AU"/>
              </w:rPr>
            </w:pPr>
            <w:r w:rsidRPr="001C2BEA">
              <w:rPr>
                <w:lang w:eastAsia="en-AU"/>
              </w:rPr>
              <w:t>$</w:t>
            </w:r>
            <w:r>
              <w:rPr>
                <w:lang w:eastAsia="en-AU"/>
              </w:rPr>
              <w:t> </w:t>
            </w:r>
            <w:r w:rsidRPr="001C2BEA">
              <w:rPr>
                <w:lang w:eastAsia="en-AU"/>
              </w:rPr>
              <w:t>million</w:t>
            </w:r>
          </w:p>
        </w:tc>
        <w:tc>
          <w:tcPr>
            <w:tcW w:w="907" w:type="dxa"/>
            <w:tcBorders>
              <w:top w:val="nil"/>
              <w:left w:val="nil"/>
              <w:right w:val="nil"/>
            </w:tcBorders>
            <w:shd w:val="clear" w:color="auto" w:fill="D9D9D9"/>
            <w:hideMark/>
          </w:tcPr>
          <w:p w:rsidR="00A53D7D" w:rsidRPr="001C2BEA" w:rsidRDefault="00A53D7D" w:rsidP="005140B4">
            <w:pPr>
              <w:pStyle w:val="OGTableofFigures"/>
              <w:keepNext/>
              <w:rPr>
                <w:lang w:eastAsia="en-AU"/>
              </w:rPr>
            </w:pPr>
            <w:r w:rsidRPr="001C2BEA">
              <w:rPr>
                <w:lang w:eastAsia="en-AU"/>
              </w:rPr>
              <w:t>69.3</w:t>
            </w:r>
          </w:p>
        </w:tc>
        <w:tc>
          <w:tcPr>
            <w:tcW w:w="993" w:type="dxa"/>
            <w:tcBorders>
              <w:top w:val="nil"/>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67.2</w:t>
            </w:r>
          </w:p>
        </w:tc>
        <w:tc>
          <w:tcPr>
            <w:tcW w:w="907" w:type="dxa"/>
            <w:tcBorders>
              <w:top w:val="nil"/>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68.7</w:t>
            </w:r>
          </w:p>
        </w:tc>
        <w:tc>
          <w:tcPr>
            <w:tcW w:w="907" w:type="dxa"/>
            <w:tcBorders>
              <w:top w:val="nil"/>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65.2</w:t>
            </w:r>
          </w:p>
        </w:tc>
      </w:tr>
      <w:tr w:rsidR="00A53D7D" w:rsidRPr="001C2BEA" w:rsidTr="005140B4">
        <w:trPr>
          <w:cantSplit/>
        </w:trPr>
        <w:tc>
          <w:tcPr>
            <w:tcW w:w="7776" w:type="dxa"/>
            <w:gridSpan w:val="6"/>
            <w:tcBorders>
              <w:top w:val="nil"/>
              <w:left w:val="nil"/>
              <w:bottom w:val="single" w:sz="6" w:space="0" w:color="auto"/>
              <w:right w:val="nil"/>
            </w:tcBorders>
            <w:shd w:val="clear" w:color="000000" w:fill="FFFFFF"/>
          </w:tcPr>
          <w:p w:rsidR="00A53D7D" w:rsidRPr="003816EC" w:rsidRDefault="00A53D7D" w:rsidP="005140B4">
            <w:pPr>
              <w:pStyle w:val="OGNotes"/>
              <w:rPr>
                <w:i w:val="0"/>
              </w:rPr>
            </w:pPr>
            <w:r w:rsidRPr="003816EC">
              <w:t>The higher 2014</w:t>
            </w:r>
            <w:r>
              <w:noBreakHyphen/>
            </w:r>
            <w:r w:rsidRPr="003816EC">
              <w:t xml:space="preserve">15 </w:t>
            </w:r>
            <w:r>
              <w:t>target</w:t>
            </w:r>
            <w:r w:rsidRPr="003816EC">
              <w:t xml:space="preserve"> primarily reflects additional government investment provided in the</w:t>
            </w:r>
            <w:r w:rsidRPr="003816EC">
              <w:rPr>
                <w:i w:val="0"/>
              </w:rPr>
              <w:t xml:space="preserve"> 2014</w:t>
            </w:r>
            <w:r>
              <w:rPr>
                <w:i w:val="0"/>
              </w:rPr>
              <w:noBreakHyphen/>
            </w:r>
            <w:r w:rsidRPr="003816EC">
              <w:rPr>
                <w:i w:val="0"/>
              </w:rPr>
              <w:t xml:space="preserve">15 Budget. </w:t>
            </w:r>
          </w:p>
        </w:tc>
      </w:tr>
      <w:tr w:rsidR="00A53D7D" w:rsidRPr="001C2BEA" w:rsidTr="005140B4">
        <w:trPr>
          <w:cantSplit/>
        </w:trPr>
        <w:tc>
          <w:tcPr>
            <w:tcW w:w="7776" w:type="dxa"/>
            <w:gridSpan w:val="6"/>
            <w:tcBorders>
              <w:top w:val="single" w:sz="6" w:space="0" w:color="auto"/>
              <w:left w:val="nil"/>
              <w:bottom w:val="single" w:sz="6" w:space="0" w:color="auto"/>
              <w:right w:val="nil"/>
            </w:tcBorders>
            <w:shd w:val="clear" w:color="auto" w:fill="auto"/>
            <w:vAlign w:val="bottom"/>
            <w:hideMark/>
          </w:tcPr>
          <w:p w:rsidR="00A53D7D" w:rsidRPr="001C2BEA" w:rsidRDefault="00A53D7D" w:rsidP="005140B4">
            <w:pPr>
              <w:pStyle w:val="OGHeading2"/>
              <w:rPr>
                <w:lang w:eastAsia="en-AU"/>
              </w:rPr>
            </w:pPr>
            <w:r w:rsidRPr="001C2BEA">
              <w:rPr>
                <w:lang w:eastAsia="en-AU"/>
              </w:rPr>
              <w:t>Youth Justice Custodial Services</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Annual daily average number of young people in custody: male (under 15 years) and female</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15</w:t>
            </w:r>
            <w:r>
              <w:rPr>
                <w:lang w:eastAsia="en-AU"/>
              </w:rPr>
              <w:noBreakHyphen/>
            </w:r>
            <w:r w:rsidRPr="001C2BEA">
              <w:rPr>
                <w:lang w:eastAsia="en-AU"/>
              </w:rPr>
              <w:t>25</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15</w:t>
            </w:r>
            <w:r>
              <w:rPr>
                <w:lang w:eastAsia="en-AU"/>
              </w:rPr>
              <w:noBreakHyphen/>
            </w:r>
            <w:r w:rsidRPr="001C2BEA">
              <w:rPr>
                <w:lang w:eastAsia="en-AU"/>
              </w:rPr>
              <w:t>25</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14.7</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2013</w:t>
            </w:r>
            <w:r>
              <w:noBreakHyphen/>
            </w:r>
            <w:r w:rsidRPr="001C2BEA">
              <w:t>14 estimated outcome is lower than the 2013</w:t>
            </w:r>
            <w:r>
              <w:noBreakHyphen/>
            </w:r>
            <w:r w:rsidRPr="001C2BEA">
              <w:t xml:space="preserve">14 </w:t>
            </w:r>
            <w:r>
              <w:t>target</w:t>
            </w:r>
            <w:r w:rsidRPr="001C2BEA">
              <w:t xml:space="preserve"> due to fewer young people sentenced to custody within this cohort, reflecting a strong diversion program.</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Annual daily average number of young people in custody: males (15</w:t>
            </w:r>
            <w:r>
              <w:rPr>
                <w:lang w:eastAsia="en-AU"/>
              </w:rPr>
              <w:t> </w:t>
            </w:r>
            <w:r w:rsidRPr="001C2BEA">
              <w:rPr>
                <w:lang w:eastAsia="en-AU"/>
              </w:rPr>
              <w:t>years plus)</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140</w:t>
            </w:r>
            <w:r>
              <w:rPr>
                <w:lang w:eastAsia="en-AU"/>
              </w:rPr>
              <w:noBreakHyphen/>
            </w:r>
            <w:r w:rsidRPr="001C2BEA">
              <w:rPr>
                <w:lang w:eastAsia="en-AU"/>
              </w:rPr>
              <w:t>190</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137</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140</w:t>
            </w:r>
            <w:r>
              <w:rPr>
                <w:lang w:eastAsia="en-AU"/>
              </w:rPr>
              <w:noBreakHyphen/>
            </w:r>
            <w:r w:rsidRPr="001C2BEA">
              <w:rPr>
                <w:lang w:eastAsia="en-AU"/>
              </w:rPr>
              <w:t>190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152.5</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Average daily custodial centre utilisation rate: males (15 years plus)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90</w:t>
            </w:r>
            <w:r>
              <w:rPr>
                <w:lang w:eastAsia="en-AU"/>
              </w:rPr>
              <w:noBreakHyphen/>
            </w:r>
            <w:r w:rsidRPr="001C2BEA">
              <w:rPr>
                <w:lang w:eastAsia="en-AU"/>
              </w:rPr>
              <w:t>95</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75</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r>
              <w:rPr>
                <w:lang w:eastAsia="en-AU"/>
              </w:rPr>
              <w:noBreakHyphen/>
            </w:r>
            <w:r w:rsidRPr="001C2BEA">
              <w:rPr>
                <w:lang w:eastAsia="en-AU"/>
              </w:rPr>
              <w:t>95</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83.3</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2013</w:t>
            </w:r>
            <w:r>
              <w:noBreakHyphen/>
            </w:r>
            <w:r w:rsidRPr="001C2BEA">
              <w:t xml:space="preserve">14 </w:t>
            </w:r>
            <w:r>
              <w:t>expected outcome</w:t>
            </w:r>
            <w:r w:rsidRPr="001C2BEA">
              <w:t xml:space="preserve"> is lower than the 2013</w:t>
            </w:r>
            <w:r>
              <w:noBreakHyphen/>
            </w:r>
            <w:r w:rsidRPr="001C2BEA">
              <w:t xml:space="preserve">14 </w:t>
            </w:r>
            <w:r>
              <w:t>target</w:t>
            </w:r>
            <w:r w:rsidRPr="001C2BEA">
              <w:t xml:space="preserve"> </w:t>
            </w:r>
            <w:r>
              <w:t xml:space="preserve">due to lower utilisation rates across the two Youth Justice precincts. This is a positive result. </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Average daily custodial centre utilisation rate: males (under 15</w:t>
            </w:r>
            <w:r>
              <w:rPr>
                <w:lang w:eastAsia="en-AU"/>
              </w:rPr>
              <w:t> </w:t>
            </w:r>
            <w:r w:rsidRPr="001C2BEA">
              <w:rPr>
                <w:lang w:eastAsia="en-AU"/>
              </w:rPr>
              <w:t>years) and female</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40</w:t>
            </w:r>
            <w:r>
              <w:rPr>
                <w:lang w:eastAsia="en-AU"/>
              </w:rPr>
              <w:noBreakHyphen/>
            </w:r>
            <w:r w:rsidRPr="001C2BEA">
              <w:rPr>
                <w:lang w:eastAsia="en-AU"/>
              </w:rPr>
              <w:t>65</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33</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40</w:t>
            </w:r>
            <w:r>
              <w:rPr>
                <w:lang w:eastAsia="en-AU"/>
              </w:rPr>
              <w:noBreakHyphen/>
            </w:r>
            <w:r w:rsidRPr="001C2BEA">
              <w:rPr>
                <w:lang w:eastAsia="en-AU"/>
              </w:rPr>
              <w:t>65</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49</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2013</w:t>
            </w:r>
            <w:r>
              <w:noBreakHyphen/>
            </w:r>
            <w:r w:rsidRPr="001C2BEA">
              <w:t>14 estimated outcome is lower than the 2013</w:t>
            </w:r>
            <w:r>
              <w:noBreakHyphen/>
            </w:r>
            <w:r w:rsidRPr="001C2BEA">
              <w:t xml:space="preserve">14 </w:t>
            </w:r>
            <w:r>
              <w:t>target</w:t>
            </w:r>
            <w:r w:rsidRPr="001C2BEA">
              <w:t xml:space="preserve"> due to fewer young people sentenced to custody within this cohort, reflecting a strong diversion program.</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Clients participating in community re</w:t>
            </w:r>
            <w:r>
              <w:rPr>
                <w:lang w:eastAsia="en-AU"/>
              </w:rPr>
              <w:noBreakHyphen/>
            </w:r>
            <w:r w:rsidRPr="001C2BEA">
              <w:rPr>
                <w:lang w:eastAsia="en-AU"/>
              </w:rPr>
              <w:t>integration activities</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65</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80</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65</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68.6</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2013</w:t>
            </w:r>
            <w:r>
              <w:noBreakHyphen/>
            </w:r>
            <w:r w:rsidRPr="001C2BEA">
              <w:t xml:space="preserve">14 </w:t>
            </w:r>
            <w:r>
              <w:t>expected outcome</w:t>
            </w:r>
            <w:r w:rsidRPr="001C2BEA">
              <w:t xml:space="preserve"> is higher than the 2013</w:t>
            </w:r>
            <w:r>
              <w:noBreakHyphen/>
            </w:r>
            <w:r w:rsidRPr="001C2BEA">
              <w:t xml:space="preserve">14 </w:t>
            </w:r>
            <w:r>
              <w:t>target</w:t>
            </w:r>
            <w:r w:rsidRPr="001C2BEA">
              <w:t xml:space="preserve"> due to increased participation in the temporary leave program.</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Timeliness</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Young people on custodial orders who have a client assessment and plan completed within six weeks of the commencement of the order</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95</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96</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95</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98.4</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Cost</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nil"/>
              <w:right w:val="nil"/>
            </w:tcBorders>
            <w:shd w:val="clear" w:color="000000" w:fill="FFFFFF"/>
            <w:hideMark/>
          </w:tcPr>
          <w:p w:rsidR="00A53D7D" w:rsidRPr="001C2BEA" w:rsidRDefault="00A53D7D" w:rsidP="005140B4">
            <w:pPr>
              <w:pStyle w:val="OGTabText"/>
              <w:rPr>
                <w:lang w:eastAsia="en-AU"/>
              </w:rPr>
            </w:pPr>
            <w:r w:rsidRPr="001C2BEA">
              <w:rPr>
                <w:lang w:eastAsia="en-AU"/>
              </w:rPr>
              <w:t>Total output cost</w:t>
            </w:r>
          </w:p>
        </w:tc>
        <w:tc>
          <w:tcPr>
            <w:tcW w:w="907" w:type="dxa"/>
            <w:tcBorders>
              <w:top w:val="nil"/>
              <w:left w:val="nil"/>
              <w:bottom w:val="nil"/>
              <w:right w:val="nil"/>
            </w:tcBorders>
            <w:shd w:val="clear" w:color="000000" w:fill="FFFFFF"/>
            <w:hideMark/>
          </w:tcPr>
          <w:p w:rsidR="00A53D7D" w:rsidRPr="001C2BEA" w:rsidRDefault="00A53D7D" w:rsidP="005140B4">
            <w:pPr>
              <w:pStyle w:val="OGUoM"/>
              <w:rPr>
                <w:lang w:eastAsia="en-AU"/>
              </w:rPr>
            </w:pPr>
            <w:r w:rsidRPr="001C2BEA">
              <w:rPr>
                <w:lang w:eastAsia="en-AU"/>
              </w:rPr>
              <w:t>$</w:t>
            </w:r>
            <w:r>
              <w:rPr>
                <w:lang w:eastAsia="en-AU"/>
              </w:rPr>
              <w:t>m</w:t>
            </w:r>
            <w:r w:rsidRPr="001C2BEA">
              <w:rPr>
                <w:lang w:eastAsia="en-AU"/>
              </w:rPr>
              <w:t>illion</w:t>
            </w:r>
          </w:p>
        </w:tc>
        <w:tc>
          <w:tcPr>
            <w:tcW w:w="907" w:type="dxa"/>
            <w:tcBorders>
              <w:top w:val="nil"/>
              <w:left w:val="nil"/>
              <w:bottom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71.8</w:t>
            </w:r>
          </w:p>
        </w:tc>
        <w:tc>
          <w:tcPr>
            <w:tcW w:w="993" w:type="dxa"/>
            <w:tcBorders>
              <w:top w:val="nil"/>
              <w:left w:val="nil"/>
              <w:bottom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67.8</w:t>
            </w:r>
          </w:p>
        </w:tc>
        <w:tc>
          <w:tcPr>
            <w:tcW w:w="907" w:type="dxa"/>
            <w:tcBorders>
              <w:top w:val="nil"/>
              <w:left w:val="nil"/>
              <w:bottom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67.6</w:t>
            </w:r>
          </w:p>
        </w:tc>
        <w:tc>
          <w:tcPr>
            <w:tcW w:w="907" w:type="dxa"/>
            <w:tcBorders>
              <w:top w:val="nil"/>
              <w:left w:val="nil"/>
              <w:bottom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67.2</w:t>
            </w:r>
          </w:p>
        </w:tc>
      </w:tr>
      <w:tr w:rsidR="00A53D7D" w:rsidRPr="001C2BEA" w:rsidTr="005140B4">
        <w:trPr>
          <w:cantSplit/>
        </w:trPr>
        <w:tc>
          <w:tcPr>
            <w:tcW w:w="7776" w:type="dxa"/>
            <w:gridSpan w:val="6"/>
            <w:tcBorders>
              <w:top w:val="nil"/>
              <w:left w:val="nil"/>
              <w:bottom w:val="single" w:sz="12" w:space="0" w:color="auto"/>
              <w:right w:val="nil"/>
            </w:tcBorders>
            <w:shd w:val="clear" w:color="000000" w:fill="FFFFFF"/>
          </w:tcPr>
          <w:p w:rsidR="00A53D7D" w:rsidRPr="003816EC" w:rsidRDefault="00A53D7D" w:rsidP="005140B4">
            <w:pPr>
              <w:pStyle w:val="OGNotes"/>
            </w:pPr>
            <w:r w:rsidRPr="003816EC">
              <w:t>The higher 2014</w:t>
            </w:r>
            <w:r>
              <w:noBreakHyphen/>
            </w:r>
            <w:r w:rsidRPr="003816EC">
              <w:t xml:space="preserve">15 </w:t>
            </w:r>
            <w:r>
              <w:t>target</w:t>
            </w:r>
            <w:r w:rsidRPr="003816EC">
              <w:t xml:space="preserve"> primarily reflects additional government investment provided in the </w:t>
            </w:r>
            <w:r w:rsidRPr="003816EC">
              <w:rPr>
                <w:i w:val="0"/>
              </w:rPr>
              <w:t>2014</w:t>
            </w:r>
            <w:r>
              <w:rPr>
                <w:i w:val="0"/>
              </w:rPr>
              <w:noBreakHyphen/>
            </w:r>
            <w:r w:rsidRPr="003816EC">
              <w:rPr>
                <w:i w:val="0"/>
              </w:rPr>
              <w:t>15 Budget</w:t>
            </w:r>
            <w:r w:rsidRPr="003816EC">
              <w:t xml:space="preserve">, and the full year effect of prior year initiatives. </w:t>
            </w:r>
          </w:p>
        </w:tc>
      </w:tr>
    </w:tbl>
    <w:p w:rsidR="00A53D7D" w:rsidRDefault="00A53D7D" w:rsidP="005140B4">
      <w:pPr>
        <w:pStyle w:val="Source"/>
        <w:rPr>
          <w:lang w:eastAsia="en-AU"/>
        </w:rPr>
      </w:pPr>
      <w:r>
        <w:rPr>
          <w:lang w:eastAsia="en-AU"/>
        </w:rPr>
        <w:t>Source: Department of Human Services</w:t>
      </w:r>
      <w:bookmarkEnd w:id="100"/>
      <w:r>
        <w:rPr>
          <w:lang w:eastAsia="en-AU"/>
        </w:rPr>
        <w:fldChar w:fldCharType="begin"/>
      </w:r>
      <w:r>
        <w:instrText xml:space="preserve"> XE "</w:instrText>
      </w:r>
      <w:r w:rsidRPr="00AD444D">
        <w:rPr>
          <w:lang w:eastAsia="en-AU"/>
        </w:rPr>
        <w:instrText>Department of Human Services</w:instrText>
      </w:r>
      <w:r w:rsidRPr="00AD444D">
        <w:instrText>:Youth Services and Youth Justice</w:instrText>
      </w:r>
      <w:r>
        <w:instrText xml:space="preserve">" \r "DHSYouth" </w:instrText>
      </w:r>
      <w:r>
        <w:rPr>
          <w:lang w:eastAsia="en-AU"/>
        </w:rPr>
        <w:fldChar w:fldCharType="end"/>
      </w:r>
      <w:r>
        <w:rPr>
          <w:lang w:eastAsia="en-AU"/>
        </w:rPr>
        <w:fldChar w:fldCharType="begin"/>
      </w:r>
      <w:r>
        <w:instrText xml:space="preserve"> XE "</w:instrText>
      </w:r>
      <w:r w:rsidRPr="008F564C">
        <w:rPr>
          <w:lang w:eastAsia="en-AU"/>
        </w:rPr>
        <w:instrText>Youth Services</w:instrText>
      </w:r>
      <w:r>
        <w:instrText xml:space="preserve">" \r "DHSYouth" </w:instrText>
      </w:r>
      <w:r>
        <w:rPr>
          <w:lang w:eastAsia="en-AU"/>
        </w:rPr>
        <w:fldChar w:fldCharType="end"/>
      </w:r>
    </w:p>
    <w:p w:rsidR="00A53D7D" w:rsidRDefault="00A53D7D">
      <w:pPr>
        <w:spacing w:after="0"/>
        <w:rPr>
          <w:rFonts w:ascii="Calibri" w:hAnsi="Calibri"/>
          <w:i/>
          <w:sz w:val="15"/>
          <w:lang w:eastAsia="en-AU"/>
        </w:rPr>
      </w:pPr>
      <w:r>
        <w:rPr>
          <w:lang w:eastAsia="en-AU"/>
        </w:rPr>
        <w:br w:type="page"/>
      </w:r>
    </w:p>
    <w:p w:rsidR="00A53D7D" w:rsidRPr="001C2BEA" w:rsidRDefault="00A53D7D" w:rsidP="005140B4">
      <w:pPr>
        <w:pStyle w:val="OGHeading1"/>
        <w:rPr>
          <w:lang w:eastAsia="en-AU"/>
        </w:rPr>
      </w:pPr>
      <w:bookmarkStart w:id="101" w:name="DHSConces"/>
      <w:r w:rsidRPr="001C2BEA">
        <w:rPr>
          <w:lang w:eastAsia="en-AU"/>
        </w:rPr>
        <w:t>Concessions to Pensioners and Beneficiaries</w:t>
      </w:r>
    </w:p>
    <w:p w:rsidR="00A53D7D" w:rsidRPr="001C2BEA" w:rsidRDefault="00A53D7D" w:rsidP="005140B4">
      <w:pPr>
        <w:pStyle w:val="OGText"/>
        <w:rPr>
          <w:lang w:eastAsia="en-AU"/>
        </w:rPr>
      </w:pPr>
      <w:r w:rsidRPr="001C2BEA">
        <w:rPr>
          <w:lang w:eastAsia="en-AU"/>
        </w:rPr>
        <w:t>The Concessions to Pensioners and Beneficiaries output, through the development and coordination of the delivery of concessions and relief grants to eligible consumers and concession card holders, aims to make a positive difference for Victorians experiencing disadvantage by providing excellent community services to meet clients</w:t>
      </w:r>
      <w:r>
        <w:rPr>
          <w:lang w:eastAsia="en-AU"/>
        </w:rPr>
        <w:t>’</w:t>
      </w:r>
      <w:r w:rsidRPr="001C2BEA">
        <w:rPr>
          <w:lang w:eastAsia="en-AU"/>
        </w:rPr>
        <w:t xml:space="preserve"> needs.</w:t>
      </w:r>
    </w:p>
    <w:p w:rsidR="00A53D7D" w:rsidRPr="001C2BEA" w:rsidRDefault="00A53D7D" w:rsidP="005140B4">
      <w:pPr>
        <w:pStyle w:val="OGText"/>
        <w:rPr>
          <w:lang w:eastAsia="en-AU"/>
        </w:rPr>
      </w:pPr>
      <w:r w:rsidRPr="001C2BEA">
        <w:rPr>
          <w:lang w:eastAsia="en-AU"/>
        </w:rPr>
        <w:t>This output provides reductions in the price of energy, water, and municipal rates to eligible consumers and concession card holders. It also provides trustee services for people on a low income or those who are subject to an order by the Victorian Civil and Administrative Tribunal, and other social and community services, including the provision of emergency relief for individuals or families who are experiencing immediate and personal distress due to a financial or domestic crisis.</w:t>
      </w:r>
    </w:p>
    <w:p w:rsidR="00A53D7D" w:rsidRDefault="00A53D7D" w:rsidP="005140B4">
      <w:pPr>
        <w:pStyle w:val="OGText"/>
        <w:rPr>
          <w:lang w:eastAsia="en-AU"/>
        </w:rPr>
      </w:pPr>
      <w:r w:rsidRPr="001C2BEA">
        <w:rPr>
          <w:lang w:eastAsia="en-AU"/>
        </w:rPr>
        <w:t>This output supports the Department</w:t>
      </w:r>
      <w:r>
        <w:rPr>
          <w:lang w:eastAsia="en-AU"/>
        </w:rPr>
        <w:t>’</w:t>
      </w:r>
      <w:r w:rsidRPr="001C2BEA">
        <w:rPr>
          <w:lang w:eastAsia="en-AU"/>
        </w:rPr>
        <w:t>s quality of life objective.</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Heading2"/>
              <w:rPr>
                <w:lang w:eastAsia="en-AU"/>
              </w:rPr>
            </w:pPr>
            <w:r w:rsidRPr="001C2BEA">
              <w:rPr>
                <w:lang w:eastAsia="en-AU"/>
              </w:rPr>
              <w:t>Concessions to Pensioners and Beneficiaries</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Households receiving mains electricity concessions</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910</w:t>
            </w:r>
            <w:r>
              <w:rPr>
                <w:lang w:eastAsia="en-AU"/>
              </w:rPr>
              <w:t> </w:t>
            </w:r>
            <w:r w:rsidRPr="001C2BEA">
              <w:rPr>
                <w:lang w:eastAsia="en-AU"/>
              </w:rPr>
              <w:t>200</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893</w:t>
            </w:r>
            <w:r>
              <w:rPr>
                <w:lang w:eastAsia="en-AU"/>
              </w:rPr>
              <w:t> </w:t>
            </w:r>
            <w:r w:rsidRPr="001C2BEA">
              <w:rPr>
                <w:lang w:eastAsia="en-AU"/>
              </w:rPr>
              <w:t>783</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889</w:t>
            </w:r>
            <w:r>
              <w:rPr>
                <w:lang w:eastAsia="en-AU"/>
              </w:rPr>
              <w:t> </w:t>
            </w:r>
            <w:r w:rsidRPr="001C2BEA">
              <w:rPr>
                <w:lang w:eastAsia="en-AU"/>
              </w:rPr>
              <w:t>500</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880</w:t>
            </w:r>
            <w:r>
              <w:rPr>
                <w:lang w:eastAsia="en-AU"/>
              </w:rPr>
              <w:t> </w:t>
            </w:r>
            <w:r w:rsidRPr="001C2BEA">
              <w:rPr>
                <w:lang w:eastAsia="en-AU"/>
              </w:rPr>
              <w:t>750</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higher 2014</w:t>
            </w:r>
            <w:r>
              <w:noBreakHyphen/>
            </w:r>
            <w:r w:rsidRPr="001C2BEA">
              <w:t xml:space="preserve">15 </w:t>
            </w:r>
            <w:r>
              <w:t>target reflects an increase in demand.</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Households receiving mains gas concessions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599</w:t>
            </w:r>
            <w:r>
              <w:rPr>
                <w:lang w:eastAsia="en-AU"/>
              </w:rPr>
              <w:t> </w:t>
            </w:r>
            <w:r w:rsidRPr="001C2BEA">
              <w:rPr>
                <w:lang w:eastAsia="en-AU"/>
              </w:rPr>
              <w:t>700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594</w:t>
            </w:r>
            <w:r>
              <w:rPr>
                <w:lang w:eastAsia="en-AU"/>
              </w:rPr>
              <w:t> </w:t>
            </w:r>
            <w:r w:rsidRPr="001C2BEA">
              <w:rPr>
                <w:lang w:eastAsia="en-AU"/>
              </w:rPr>
              <w:t>397</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590</w:t>
            </w:r>
            <w:r>
              <w:rPr>
                <w:lang w:eastAsia="en-AU"/>
              </w:rPr>
              <w:t> </w:t>
            </w:r>
            <w:r w:rsidRPr="001C2BEA">
              <w:rPr>
                <w:lang w:eastAsia="en-AU"/>
              </w:rPr>
              <w:t>500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596</w:t>
            </w:r>
            <w:r>
              <w:rPr>
                <w:lang w:eastAsia="en-AU"/>
              </w:rPr>
              <w:t> </w:t>
            </w:r>
            <w:r w:rsidRPr="001C2BEA">
              <w:rPr>
                <w:lang w:eastAsia="en-AU"/>
              </w:rPr>
              <w:t>234</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higher 2014</w:t>
            </w:r>
            <w:r>
              <w:noBreakHyphen/>
            </w:r>
            <w:r w:rsidRPr="001C2BEA">
              <w:t xml:space="preserve">15 </w:t>
            </w:r>
            <w:r>
              <w:t>target reflects an increase in demand.</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Households receiving non</w:t>
            </w:r>
            <w:r>
              <w:rPr>
                <w:lang w:eastAsia="en-AU"/>
              </w:rPr>
              <w:noBreakHyphen/>
            </w:r>
            <w:r w:rsidRPr="001C2BEA">
              <w:rPr>
                <w:lang w:eastAsia="en-AU"/>
              </w:rPr>
              <w:t>mains energy concessions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22</w:t>
            </w:r>
            <w:r>
              <w:rPr>
                <w:lang w:eastAsia="en-AU"/>
              </w:rPr>
              <w:t> </w:t>
            </w:r>
            <w:r w:rsidRPr="001C2BEA">
              <w:rPr>
                <w:lang w:eastAsia="en-AU"/>
              </w:rPr>
              <w:t>700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21</w:t>
            </w:r>
            <w:r>
              <w:rPr>
                <w:lang w:eastAsia="en-AU"/>
              </w:rPr>
              <w:t> </w:t>
            </w:r>
            <w:r w:rsidRPr="001C2BEA">
              <w:rPr>
                <w:lang w:eastAsia="en-AU"/>
              </w:rPr>
              <w:t>998</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21</w:t>
            </w:r>
            <w:r>
              <w:rPr>
                <w:lang w:eastAsia="en-AU"/>
              </w:rPr>
              <w:t> </w:t>
            </w:r>
            <w:r w:rsidRPr="001C2BEA">
              <w:rPr>
                <w:lang w:eastAsia="en-AU"/>
              </w:rPr>
              <w:t>600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20</w:t>
            </w:r>
            <w:r>
              <w:rPr>
                <w:lang w:eastAsia="en-AU"/>
              </w:rPr>
              <w:t> </w:t>
            </w:r>
            <w:r w:rsidRPr="001C2BEA">
              <w:rPr>
                <w:lang w:eastAsia="en-AU"/>
              </w:rPr>
              <w:t>939</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higher 2014</w:t>
            </w:r>
            <w:r>
              <w:noBreakHyphen/>
            </w:r>
            <w:r w:rsidRPr="001C2BEA">
              <w:t xml:space="preserve">15 </w:t>
            </w:r>
            <w:r>
              <w:t>target</w:t>
            </w:r>
            <w:r w:rsidRPr="001C2BEA">
              <w:t xml:space="preserve"> reflects an </w:t>
            </w:r>
            <w:r>
              <w:t>increase in demand.</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Households receiving pensioner concessions for municipal rates and charges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435</w:t>
            </w:r>
            <w:r>
              <w:rPr>
                <w:lang w:eastAsia="en-AU"/>
              </w:rPr>
              <w:t> </w:t>
            </w:r>
            <w:r w:rsidRPr="001C2BEA">
              <w:rPr>
                <w:lang w:eastAsia="en-AU"/>
              </w:rPr>
              <w:t>900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430</w:t>
            </w:r>
            <w:r>
              <w:rPr>
                <w:lang w:eastAsia="en-AU"/>
              </w:rPr>
              <w:t> </w:t>
            </w:r>
            <w:r w:rsidRPr="001C2BEA">
              <w:rPr>
                <w:lang w:eastAsia="en-AU"/>
              </w:rPr>
              <w:t>587</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427</w:t>
            </w:r>
            <w:r>
              <w:rPr>
                <w:lang w:eastAsia="en-AU"/>
              </w:rPr>
              <w:t> </w:t>
            </w:r>
            <w:r w:rsidRPr="001C2BEA">
              <w:rPr>
                <w:lang w:eastAsia="en-AU"/>
              </w:rPr>
              <w:t>000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423</w:t>
            </w:r>
            <w:r>
              <w:rPr>
                <w:lang w:eastAsia="en-AU"/>
              </w:rPr>
              <w:t> </w:t>
            </w:r>
            <w:r w:rsidRPr="001C2BEA">
              <w:rPr>
                <w:lang w:eastAsia="en-AU"/>
              </w:rPr>
              <w:t>313</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higher 2014</w:t>
            </w:r>
            <w:r>
              <w:noBreakHyphen/>
            </w:r>
            <w:r w:rsidRPr="001C2BEA">
              <w:t xml:space="preserve">15 </w:t>
            </w:r>
            <w:r>
              <w:t>target reflects an increase in demand.</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Households receiving water and sewerage concessions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695</w:t>
            </w:r>
            <w:r>
              <w:rPr>
                <w:lang w:eastAsia="en-AU"/>
              </w:rPr>
              <w:t> </w:t>
            </w:r>
            <w:r w:rsidRPr="001C2BEA">
              <w:rPr>
                <w:lang w:eastAsia="en-AU"/>
              </w:rPr>
              <w:t>900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686</w:t>
            </w:r>
            <w:r>
              <w:rPr>
                <w:lang w:eastAsia="en-AU"/>
              </w:rPr>
              <w:t> </w:t>
            </w:r>
            <w:r w:rsidRPr="001C2BEA">
              <w:rPr>
                <w:lang w:eastAsia="en-AU"/>
              </w:rPr>
              <w:t>907</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683</w:t>
            </w:r>
            <w:r>
              <w:rPr>
                <w:lang w:eastAsia="en-AU"/>
              </w:rPr>
              <w:t> </w:t>
            </w:r>
            <w:r w:rsidRPr="001C2BEA">
              <w:rPr>
                <w:lang w:eastAsia="en-AU"/>
              </w:rPr>
              <w:t>500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681</w:t>
            </w:r>
            <w:r>
              <w:rPr>
                <w:lang w:eastAsia="en-AU"/>
              </w:rPr>
              <w:t> </w:t>
            </w:r>
            <w:r w:rsidRPr="001C2BEA">
              <w:rPr>
                <w:lang w:eastAsia="en-AU"/>
              </w:rPr>
              <w:t>135</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higher 2014</w:t>
            </w:r>
            <w:r>
              <w:noBreakHyphen/>
            </w:r>
            <w:r w:rsidRPr="001C2BEA">
              <w:t xml:space="preserve">15 </w:t>
            </w:r>
            <w:r>
              <w:t>target reflects an increase in demand.</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Number of clients receiving trustee services</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14</w:t>
            </w:r>
            <w:r>
              <w:rPr>
                <w:lang w:eastAsia="en-AU"/>
              </w:rPr>
              <w:t> </w:t>
            </w:r>
            <w:r w:rsidRPr="001C2BEA">
              <w:rPr>
                <w:lang w:eastAsia="en-AU"/>
              </w:rPr>
              <w:t>600</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14</w:t>
            </w:r>
            <w:r>
              <w:rPr>
                <w:lang w:eastAsia="en-AU"/>
              </w:rPr>
              <w:t> </w:t>
            </w:r>
            <w:r w:rsidRPr="001C2BEA">
              <w:rPr>
                <w:lang w:eastAsia="en-AU"/>
              </w:rPr>
              <w:t>600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14</w:t>
            </w:r>
            <w:r>
              <w:rPr>
                <w:lang w:eastAsia="en-AU"/>
              </w:rPr>
              <w:t> </w:t>
            </w:r>
            <w:r w:rsidRPr="001C2BEA">
              <w:rPr>
                <w:lang w:eastAsia="en-AU"/>
              </w:rPr>
              <w:t>600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13</w:t>
            </w:r>
            <w:r>
              <w:rPr>
                <w:lang w:eastAsia="en-AU"/>
              </w:rPr>
              <w:t> </w:t>
            </w:r>
            <w:r w:rsidRPr="001C2BEA">
              <w:rPr>
                <w:lang w:eastAsia="en-AU"/>
              </w:rPr>
              <w:t>578</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Quality</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Percentage of Community Service Agreement performance targets that have been achieved by State Trustees</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90</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Timeliness</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Percentage of customer requests answered by State Trustees within the timelines set in the Community Service Agreement</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90</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Total output cost</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w:t>
            </w:r>
            <w:r>
              <w:rPr>
                <w:lang w:eastAsia="en-AU"/>
              </w:rPr>
              <w:t> m</w:t>
            </w:r>
            <w:r w:rsidRPr="001C2BEA">
              <w:rPr>
                <w:lang w:eastAsia="en-AU"/>
              </w:rPr>
              <w:t>illion</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577.1</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536.5</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535.3</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525.6</w:t>
            </w:r>
          </w:p>
        </w:tc>
      </w:tr>
      <w:tr w:rsidR="00A53D7D" w:rsidRPr="001C2BEA" w:rsidTr="005140B4">
        <w:trPr>
          <w:cantSplit/>
        </w:trPr>
        <w:tc>
          <w:tcPr>
            <w:tcW w:w="7776" w:type="dxa"/>
            <w:gridSpan w:val="6"/>
            <w:tcBorders>
              <w:top w:val="nil"/>
              <w:left w:val="nil"/>
              <w:bottom w:val="single" w:sz="12" w:space="0" w:color="auto"/>
              <w:right w:val="nil"/>
            </w:tcBorders>
            <w:shd w:val="clear" w:color="auto" w:fill="auto"/>
            <w:vAlign w:val="bottom"/>
            <w:hideMark/>
          </w:tcPr>
          <w:p w:rsidR="00A53D7D" w:rsidRPr="003816EC" w:rsidRDefault="00A53D7D" w:rsidP="005140B4">
            <w:pPr>
              <w:pStyle w:val="OGNotes"/>
            </w:pPr>
            <w:r w:rsidRPr="003816EC">
              <w:t>The higher 2014</w:t>
            </w:r>
            <w:r>
              <w:noBreakHyphen/>
            </w:r>
            <w:r w:rsidRPr="003816EC">
              <w:t xml:space="preserve">15 </w:t>
            </w:r>
            <w:r>
              <w:t>target</w:t>
            </w:r>
            <w:r w:rsidRPr="003816EC">
              <w:t xml:space="preserve"> primarily reflects additional government investment provided in the </w:t>
            </w:r>
            <w:r w:rsidRPr="003816EC">
              <w:rPr>
                <w:i w:val="0"/>
              </w:rPr>
              <w:t>2014</w:t>
            </w:r>
            <w:r>
              <w:rPr>
                <w:i w:val="0"/>
              </w:rPr>
              <w:noBreakHyphen/>
            </w:r>
            <w:r w:rsidRPr="003816EC">
              <w:rPr>
                <w:i w:val="0"/>
              </w:rPr>
              <w:t xml:space="preserve">15 Budget, </w:t>
            </w:r>
            <w:r w:rsidRPr="003816EC">
              <w:t xml:space="preserve">the impact of the social and community services pay equity case and the full year effect of prior year initiatives. </w:t>
            </w:r>
          </w:p>
        </w:tc>
      </w:tr>
    </w:tbl>
    <w:p w:rsidR="00A53D7D" w:rsidRDefault="00A53D7D" w:rsidP="005140B4">
      <w:pPr>
        <w:pStyle w:val="Source"/>
        <w:rPr>
          <w:lang w:eastAsia="en-AU"/>
        </w:rPr>
      </w:pPr>
      <w:r>
        <w:rPr>
          <w:lang w:eastAsia="en-AU"/>
        </w:rPr>
        <w:t>Source: Department of Human Services</w:t>
      </w:r>
      <w:r>
        <w:rPr>
          <w:lang w:eastAsia="en-AU"/>
        </w:rPr>
        <w:fldChar w:fldCharType="begin"/>
      </w:r>
      <w:r>
        <w:instrText xml:space="preserve"> XE "</w:instrText>
      </w:r>
      <w:r w:rsidRPr="00E32758">
        <w:rPr>
          <w:lang w:eastAsia="en-AU"/>
        </w:rPr>
        <w:instrText>Department of Human Services</w:instrText>
      </w:r>
      <w:r w:rsidRPr="00E32758">
        <w:instrText>:Concessions to Pensioners and Beneficiaries</w:instrText>
      </w:r>
      <w:r>
        <w:instrText xml:space="preserve">" \r "DHSConces" </w:instrText>
      </w:r>
      <w:r>
        <w:rPr>
          <w:lang w:eastAsia="en-AU"/>
        </w:rPr>
        <w:fldChar w:fldCharType="end"/>
      </w:r>
      <w:r>
        <w:rPr>
          <w:lang w:eastAsia="en-AU"/>
        </w:rPr>
        <w:fldChar w:fldCharType="begin"/>
      </w:r>
      <w:r>
        <w:instrText xml:space="preserve"> XE "</w:instrText>
      </w:r>
      <w:r w:rsidRPr="008F564C">
        <w:rPr>
          <w:lang w:eastAsia="en-AU"/>
        </w:rPr>
        <w:instrText>Concessions to Pensioners and Beneficiaries</w:instrText>
      </w:r>
      <w:r>
        <w:instrText xml:space="preserve">" \r "DHSConces" </w:instrText>
      </w:r>
      <w:r>
        <w:rPr>
          <w:lang w:eastAsia="en-AU"/>
        </w:rPr>
        <w:fldChar w:fldCharType="end"/>
      </w:r>
    </w:p>
    <w:bookmarkEnd w:id="101"/>
    <w:p w:rsidR="00A53D7D" w:rsidRDefault="00A53D7D">
      <w:pPr>
        <w:spacing w:after="0"/>
        <w:rPr>
          <w:lang w:eastAsia="en-AU"/>
        </w:rPr>
      </w:pPr>
      <w:r>
        <w:rPr>
          <w:lang w:eastAsia="en-AU"/>
        </w:rPr>
        <w:br w:type="page"/>
      </w:r>
    </w:p>
    <w:p w:rsidR="00A53D7D" w:rsidRPr="001C2BEA" w:rsidRDefault="00A53D7D" w:rsidP="005140B4">
      <w:pPr>
        <w:pStyle w:val="OGHeading1"/>
        <w:rPr>
          <w:lang w:eastAsia="en-AU"/>
        </w:rPr>
      </w:pPr>
      <w:bookmarkStart w:id="102" w:name="DHSHous"/>
      <w:r w:rsidRPr="001C2BEA">
        <w:rPr>
          <w:lang w:eastAsia="en-AU"/>
        </w:rPr>
        <w:t>Housing Assistance</w:t>
      </w:r>
    </w:p>
    <w:p w:rsidR="00A53D7D" w:rsidRPr="001C2BEA" w:rsidRDefault="00A53D7D" w:rsidP="005140B4">
      <w:pPr>
        <w:pStyle w:val="OGText"/>
        <w:rPr>
          <w:lang w:eastAsia="en-AU"/>
        </w:rPr>
      </w:pPr>
      <w:r w:rsidRPr="001C2BEA">
        <w:rPr>
          <w:lang w:eastAsia="en-AU"/>
        </w:rPr>
        <w:t>The Housing Assistance output, through the provision of homelessness services, crisis and transitional accommodation and long</w:t>
      </w:r>
      <w:r>
        <w:rPr>
          <w:lang w:eastAsia="en-AU"/>
        </w:rPr>
        <w:noBreakHyphen/>
      </w:r>
      <w:r w:rsidRPr="001C2BEA">
        <w:rPr>
          <w:lang w:eastAsia="en-AU"/>
        </w:rPr>
        <w:t>term adequate, affordable and accessible housing assistance, coordinated with support services where required, home renovation assistance and the management of the home loan portfolio, aims to make a positive difference for Victorians experiencing disadvantage by providing excellent housing and community services to meet clients</w:t>
      </w:r>
      <w:r>
        <w:rPr>
          <w:lang w:eastAsia="en-AU"/>
        </w:rPr>
        <w:t>’</w:t>
      </w:r>
      <w:r w:rsidRPr="001C2BEA">
        <w:rPr>
          <w:lang w:eastAsia="en-AU"/>
        </w:rPr>
        <w:t xml:space="preserve"> needs.</w:t>
      </w:r>
    </w:p>
    <w:p w:rsidR="00A53D7D" w:rsidRPr="001C2BEA" w:rsidRDefault="00A53D7D" w:rsidP="005140B4">
      <w:pPr>
        <w:pStyle w:val="OGText"/>
        <w:rPr>
          <w:lang w:eastAsia="en-AU"/>
        </w:rPr>
      </w:pPr>
      <w:r w:rsidRPr="001C2BEA">
        <w:rPr>
          <w:lang w:eastAsia="en-AU"/>
        </w:rPr>
        <w:t>This output provides:</w:t>
      </w:r>
    </w:p>
    <w:p w:rsidR="00A53D7D" w:rsidRPr="001C2BEA" w:rsidRDefault="00A53D7D" w:rsidP="005140B4">
      <w:pPr>
        <w:pStyle w:val="OGBullet"/>
        <w:rPr>
          <w:lang w:eastAsia="en-AU"/>
        </w:rPr>
      </w:pPr>
      <w:proofErr w:type="gramStart"/>
      <w:r w:rsidRPr="001C2BEA">
        <w:rPr>
          <w:lang w:eastAsia="en-AU"/>
        </w:rPr>
        <w:t>housing</w:t>
      </w:r>
      <w:proofErr w:type="gramEnd"/>
      <w:r w:rsidRPr="001C2BEA">
        <w:rPr>
          <w:lang w:eastAsia="en-AU"/>
        </w:rPr>
        <w:t xml:space="preserve"> assistance for low income families, older people, singles, youth and other households. </w:t>
      </w:r>
      <w:r>
        <w:rPr>
          <w:lang w:eastAsia="en-AU"/>
        </w:rPr>
        <w:t>It responds</w:t>
      </w:r>
      <w:r w:rsidRPr="001C2BEA">
        <w:rPr>
          <w:lang w:eastAsia="en-AU"/>
        </w:rPr>
        <w:t xml:space="preserve"> to the needs of clients through the provision of appropriate accommodation, including short</w:t>
      </w:r>
      <w:r>
        <w:rPr>
          <w:lang w:eastAsia="en-AU"/>
        </w:rPr>
        <w:noBreakHyphen/>
      </w:r>
      <w:r w:rsidRPr="001C2BEA">
        <w:rPr>
          <w:lang w:eastAsia="en-AU"/>
        </w:rPr>
        <w:t>term and long</w:t>
      </w:r>
      <w:r>
        <w:rPr>
          <w:lang w:eastAsia="en-AU"/>
        </w:rPr>
        <w:noBreakHyphen/>
      </w:r>
      <w:r w:rsidRPr="001C2BEA">
        <w:rPr>
          <w:lang w:eastAsia="en-AU"/>
        </w:rPr>
        <w:t>term properties that assist in reducing and preventing homelessness; and</w:t>
      </w:r>
    </w:p>
    <w:p w:rsidR="00A53D7D" w:rsidRPr="001C2BEA" w:rsidRDefault="00A53D7D" w:rsidP="005140B4">
      <w:pPr>
        <w:pStyle w:val="OGBullet"/>
        <w:rPr>
          <w:lang w:eastAsia="en-AU"/>
        </w:rPr>
      </w:pPr>
      <w:proofErr w:type="gramStart"/>
      <w:r w:rsidRPr="001C2BEA">
        <w:rPr>
          <w:lang w:eastAsia="en-AU"/>
        </w:rPr>
        <w:t>housing</w:t>
      </w:r>
      <w:proofErr w:type="gramEnd"/>
      <w:r w:rsidRPr="001C2BEA">
        <w:rPr>
          <w:lang w:eastAsia="en-AU"/>
        </w:rPr>
        <w:t xml:space="preserve"> support services to people who are homeless or at risk of homelessness, in short</w:t>
      </w:r>
      <w:r>
        <w:rPr>
          <w:lang w:eastAsia="en-AU"/>
        </w:rPr>
        <w:noBreakHyphen/>
      </w:r>
      <w:r w:rsidRPr="001C2BEA">
        <w:rPr>
          <w:lang w:eastAsia="en-AU"/>
        </w:rPr>
        <w:t>term housing or crisis situations. Support will assist clients in accessing and maintaining tenancies in appropriate accommodation. Services provided will assist in the prevention and overall reduction of homelessness and decrease demand for social housing.</w:t>
      </w:r>
    </w:p>
    <w:p w:rsidR="00A53D7D" w:rsidRDefault="00A53D7D" w:rsidP="005140B4">
      <w:pPr>
        <w:pStyle w:val="OGText"/>
        <w:rPr>
          <w:lang w:eastAsia="en-AU"/>
        </w:rPr>
      </w:pPr>
      <w:r w:rsidRPr="001C2BEA">
        <w:rPr>
          <w:lang w:eastAsia="en-AU"/>
        </w:rPr>
        <w:t>This output supports the Department</w:t>
      </w:r>
      <w:r>
        <w:rPr>
          <w:lang w:eastAsia="en-AU"/>
        </w:rPr>
        <w:t>’</w:t>
      </w:r>
      <w:r w:rsidRPr="001C2BEA">
        <w:rPr>
          <w:lang w:eastAsia="en-AU"/>
        </w:rPr>
        <w:t>s immediate support and quality of life objectives.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Heading2"/>
              <w:rPr>
                <w:lang w:eastAsia="en-AU"/>
              </w:rPr>
            </w:pPr>
            <w:r w:rsidRPr="001C2BEA">
              <w:rPr>
                <w:lang w:eastAsia="en-AU"/>
              </w:rPr>
              <w:t>Housing Assistance</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Bond loans provided during year</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12</w:t>
            </w:r>
            <w:r>
              <w:rPr>
                <w:lang w:eastAsia="en-AU"/>
              </w:rPr>
              <w:t> </w:t>
            </w:r>
            <w:r w:rsidRPr="001C2BEA">
              <w:rPr>
                <w:lang w:eastAsia="en-AU"/>
              </w:rPr>
              <w:t>000</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12</w:t>
            </w:r>
            <w:r>
              <w:rPr>
                <w:lang w:eastAsia="en-AU"/>
              </w:rPr>
              <w:t> </w:t>
            </w:r>
            <w:r w:rsidRPr="001C2BEA">
              <w:rPr>
                <w:lang w:eastAsia="en-AU"/>
              </w:rPr>
              <w:t>000</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11</w:t>
            </w:r>
            <w:r>
              <w:rPr>
                <w:lang w:eastAsia="en-AU"/>
              </w:rPr>
              <w:t> </w:t>
            </w:r>
            <w:r w:rsidRPr="001C2BEA">
              <w:rPr>
                <w:lang w:eastAsia="en-AU"/>
              </w:rPr>
              <w:t>900</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12</w:t>
            </w:r>
            <w:r>
              <w:rPr>
                <w:lang w:eastAsia="en-AU"/>
              </w:rPr>
              <w:t> </w:t>
            </w:r>
            <w:r w:rsidRPr="001C2BEA">
              <w:rPr>
                <w:lang w:eastAsia="en-AU"/>
              </w:rPr>
              <w:t>627</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3816EC" w:rsidRDefault="00A53D7D" w:rsidP="005140B4">
            <w:pPr>
              <w:pStyle w:val="OGNotes"/>
            </w:pPr>
            <w:r w:rsidRPr="003816EC">
              <w:t>The higher 2014</w:t>
            </w:r>
            <w:r>
              <w:noBreakHyphen/>
            </w:r>
            <w:r w:rsidRPr="003816EC">
              <w:t xml:space="preserve">15 </w:t>
            </w:r>
            <w:r>
              <w:t>target</w:t>
            </w:r>
            <w:r w:rsidRPr="003816EC">
              <w:t xml:space="preserve"> reflects an increase in demand for this service.</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Households assisted with housing establishment assistance during year</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36</w:t>
            </w:r>
            <w:r>
              <w:rPr>
                <w:lang w:eastAsia="en-AU"/>
              </w:rPr>
              <w:t> </w:t>
            </w:r>
            <w:r w:rsidRPr="001C2BEA">
              <w:rPr>
                <w:lang w:eastAsia="en-AU"/>
              </w:rPr>
              <w:t>000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36</w:t>
            </w:r>
            <w:r>
              <w:rPr>
                <w:lang w:eastAsia="en-AU"/>
              </w:rPr>
              <w:t> </w:t>
            </w:r>
            <w:r w:rsidRPr="001C2BEA">
              <w:rPr>
                <w:lang w:eastAsia="en-AU"/>
              </w:rPr>
              <w:t>000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36</w:t>
            </w:r>
            <w:r>
              <w:rPr>
                <w:lang w:eastAsia="en-AU"/>
              </w:rPr>
              <w:t> </w:t>
            </w:r>
            <w:r w:rsidRPr="001C2BEA">
              <w:rPr>
                <w:lang w:eastAsia="en-AU"/>
              </w:rPr>
              <w:t>000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36</w:t>
            </w:r>
            <w:r>
              <w:rPr>
                <w:lang w:eastAsia="en-AU"/>
              </w:rPr>
              <w:t> </w:t>
            </w:r>
            <w:r w:rsidRPr="001C2BEA">
              <w:rPr>
                <w:lang w:eastAsia="en-AU"/>
              </w:rPr>
              <w:t>000</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Number of clients assisted to address and prevent homelessness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100</w:t>
            </w:r>
            <w:r>
              <w:rPr>
                <w:lang w:eastAsia="en-AU"/>
              </w:rPr>
              <w:t> </w:t>
            </w:r>
            <w:r w:rsidRPr="001C2BEA">
              <w:rPr>
                <w:lang w:eastAsia="en-AU"/>
              </w:rPr>
              <w:t>000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r>
              <w:rPr>
                <w:lang w:eastAsia="en-AU"/>
              </w:rPr>
              <w:t> </w:t>
            </w:r>
            <w:r w:rsidRPr="001C2BEA">
              <w:rPr>
                <w:lang w:eastAsia="en-AU"/>
              </w:rPr>
              <w:t>000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106</w:t>
            </w:r>
            <w:r>
              <w:rPr>
                <w:lang w:eastAsia="en-AU"/>
              </w:rPr>
              <w:t> </w:t>
            </w:r>
            <w:r w:rsidRPr="001C2BEA">
              <w:rPr>
                <w:lang w:eastAsia="en-AU"/>
              </w:rPr>
              <w:t>000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92</w:t>
            </w:r>
            <w:r>
              <w:rPr>
                <w:lang w:eastAsia="en-AU"/>
              </w:rPr>
              <w:t> </w:t>
            </w:r>
            <w:r w:rsidRPr="001C2BEA">
              <w:rPr>
                <w:lang w:eastAsia="en-AU"/>
              </w:rPr>
              <w:t>462</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3816EC">
              <w:t>The 2013</w:t>
            </w:r>
            <w:r>
              <w:noBreakHyphen/>
            </w:r>
            <w:r w:rsidRPr="003816EC">
              <w:t xml:space="preserve">14 </w:t>
            </w:r>
            <w:r>
              <w:t>expected outcome</w:t>
            </w:r>
            <w:r w:rsidRPr="003816EC">
              <w:t xml:space="preserve"> is lower than the 2013</w:t>
            </w:r>
            <w:r>
              <w:noBreakHyphen/>
            </w:r>
            <w:r w:rsidRPr="003816EC">
              <w:t xml:space="preserve">14 </w:t>
            </w:r>
            <w:r>
              <w:t>target</w:t>
            </w:r>
            <w:r w:rsidRPr="003816EC">
              <w:t xml:space="preserve"> due to actual assistance provided. </w:t>
            </w:r>
          </w:p>
          <w:p w:rsidR="00A53D7D" w:rsidRPr="003816EC" w:rsidRDefault="00A53D7D" w:rsidP="005140B4">
            <w:pPr>
              <w:pStyle w:val="OGNotes"/>
            </w:pPr>
            <w:r w:rsidRPr="003816EC">
              <w:t>The lower 2014</w:t>
            </w:r>
            <w:r>
              <w:noBreakHyphen/>
            </w:r>
            <w:r w:rsidRPr="003816EC">
              <w:t xml:space="preserve">15 </w:t>
            </w:r>
            <w:r>
              <w:t>target</w:t>
            </w:r>
            <w:r w:rsidRPr="003816EC">
              <w:t xml:space="preserve"> reflects improved demand forecasting.</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Number of households assisted with crisis/transitional accommodation</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9</w:t>
            </w:r>
            <w:r>
              <w:rPr>
                <w:lang w:eastAsia="en-AU"/>
              </w:rPr>
              <w:t> </w:t>
            </w:r>
            <w:r w:rsidRPr="001C2BEA">
              <w:rPr>
                <w:lang w:eastAsia="en-AU"/>
              </w:rPr>
              <w:t>000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w:t>
            </w:r>
            <w:r>
              <w:rPr>
                <w:lang w:eastAsia="en-AU"/>
              </w:rPr>
              <w:t> </w:t>
            </w:r>
            <w:r w:rsidRPr="001C2BEA">
              <w:rPr>
                <w:lang w:eastAsia="en-AU"/>
              </w:rPr>
              <w:t>093</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w:t>
            </w:r>
            <w:r>
              <w:rPr>
                <w:lang w:eastAsia="en-AU"/>
              </w:rPr>
              <w:t> </w:t>
            </w:r>
            <w:r w:rsidRPr="001C2BEA">
              <w:rPr>
                <w:lang w:eastAsia="en-AU"/>
              </w:rPr>
              <w:t>400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w:t>
            </w:r>
            <w:r>
              <w:rPr>
                <w:lang w:eastAsia="en-AU"/>
              </w:rPr>
              <w:t> </w:t>
            </w:r>
            <w:r w:rsidRPr="001C2BEA">
              <w:rPr>
                <w:lang w:eastAsia="en-AU"/>
              </w:rPr>
              <w:t>920</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lower 2014</w:t>
            </w:r>
            <w:r>
              <w:noBreakHyphen/>
            </w:r>
            <w:r w:rsidRPr="001C2BEA">
              <w:t xml:space="preserve">15 </w:t>
            </w:r>
            <w:r>
              <w:t>target</w:t>
            </w:r>
            <w:r w:rsidRPr="001C2BEA">
              <w:t xml:space="preserve"> reflects lower turnover rates in t</w:t>
            </w:r>
            <w:r>
              <w:t xml:space="preserve">ransitional housing management </w:t>
            </w:r>
            <w:r w:rsidRPr="001C2BEA">
              <w:t>properties</w:t>
            </w:r>
            <w:r>
              <w:t xml:space="preserve">. </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keepNext/>
              <w:rPr>
                <w:lang w:eastAsia="en-AU"/>
              </w:rPr>
            </w:pPr>
            <w:r w:rsidRPr="001C2BEA">
              <w:rPr>
                <w:lang w:eastAsia="en-AU"/>
              </w:rPr>
              <w:t>Number of households assisted with long</w:t>
            </w:r>
            <w:r>
              <w:rPr>
                <w:lang w:eastAsia="en-AU"/>
              </w:rPr>
              <w:noBreakHyphen/>
            </w:r>
            <w:r w:rsidRPr="001C2BEA">
              <w:rPr>
                <w:lang w:eastAsia="en-AU"/>
              </w:rPr>
              <w:t>term social housing (public, Indigenous and community long</w:t>
            </w:r>
            <w:r>
              <w:rPr>
                <w:lang w:eastAsia="en-AU"/>
              </w:rPr>
              <w:noBreakHyphen/>
            </w:r>
            <w:r w:rsidRPr="001C2BEA">
              <w:rPr>
                <w:lang w:eastAsia="en-AU"/>
              </w:rPr>
              <w:t>term tenancies at end of year)</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keepNext/>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keepNext/>
              <w:rPr>
                <w:lang w:eastAsia="en-AU"/>
              </w:rPr>
            </w:pPr>
            <w:r w:rsidRPr="001C2BEA">
              <w:rPr>
                <w:lang w:eastAsia="en-AU"/>
              </w:rPr>
              <w:t>77</w:t>
            </w:r>
            <w:r>
              <w:rPr>
                <w:lang w:eastAsia="en-AU"/>
              </w:rPr>
              <w:t> </w:t>
            </w:r>
            <w:r w:rsidRPr="001C2BEA">
              <w:rPr>
                <w:lang w:eastAsia="en-AU"/>
              </w:rPr>
              <w:t>343</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77</w:t>
            </w:r>
            <w:r>
              <w:rPr>
                <w:lang w:eastAsia="en-AU"/>
              </w:rPr>
              <w:t> </w:t>
            </w:r>
            <w:r w:rsidRPr="001C2BEA">
              <w:rPr>
                <w:lang w:eastAsia="en-AU"/>
              </w:rPr>
              <w:t>343</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77</w:t>
            </w:r>
            <w:r>
              <w:rPr>
                <w:lang w:eastAsia="en-AU"/>
              </w:rPr>
              <w:t> </w:t>
            </w:r>
            <w:r w:rsidRPr="001C2BEA">
              <w:rPr>
                <w:lang w:eastAsia="en-AU"/>
              </w:rPr>
              <w:t>303</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77</w:t>
            </w:r>
            <w:r>
              <w:rPr>
                <w:lang w:eastAsia="en-AU"/>
              </w:rPr>
              <w:t> </w:t>
            </w:r>
            <w:r w:rsidRPr="001C2BEA">
              <w:rPr>
                <w:lang w:eastAsia="en-AU"/>
              </w:rPr>
              <w:t>977</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3816EC" w:rsidRDefault="00A53D7D" w:rsidP="005140B4">
            <w:pPr>
              <w:pStyle w:val="OGNotes"/>
            </w:pPr>
            <w:r w:rsidRPr="003816EC">
              <w:t>The higher 2014</w:t>
            </w:r>
            <w:r>
              <w:noBreakHyphen/>
            </w:r>
            <w:r w:rsidRPr="003816EC">
              <w:t xml:space="preserve">15 </w:t>
            </w:r>
            <w:r>
              <w:t>target</w:t>
            </w:r>
            <w:r w:rsidRPr="003816EC">
              <w:t xml:space="preserve"> reflects an increase in long</w:t>
            </w:r>
            <w:r>
              <w:noBreakHyphen/>
            </w:r>
            <w:r w:rsidRPr="003816EC">
              <w:t>term social housing properties.</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Number of new households assisted to maintain or enter home ownership (including home renovation inspections as well as loans)</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4</w:t>
            </w:r>
            <w:r>
              <w:rPr>
                <w:lang w:eastAsia="en-AU"/>
              </w:rPr>
              <w:t> </w:t>
            </w:r>
            <w:r w:rsidRPr="001C2BEA">
              <w:rPr>
                <w:lang w:eastAsia="en-AU"/>
              </w:rPr>
              <w:t>300</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4</w:t>
            </w:r>
            <w:r>
              <w:rPr>
                <w:lang w:eastAsia="en-AU"/>
              </w:rPr>
              <w:t> </w:t>
            </w:r>
            <w:r w:rsidRPr="001C2BEA">
              <w:rPr>
                <w:lang w:eastAsia="en-AU"/>
              </w:rPr>
              <w:t>300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4</w:t>
            </w:r>
            <w:r>
              <w:rPr>
                <w:lang w:eastAsia="en-AU"/>
              </w:rPr>
              <w:t> </w:t>
            </w:r>
            <w:r w:rsidRPr="001C2BEA">
              <w:rPr>
                <w:lang w:eastAsia="en-AU"/>
              </w:rPr>
              <w:t>300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4</w:t>
            </w:r>
            <w:r>
              <w:rPr>
                <w:lang w:eastAsia="en-AU"/>
              </w:rPr>
              <w:t> </w:t>
            </w:r>
            <w:r w:rsidRPr="001C2BEA">
              <w:rPr>
                <w:lang w:eastAsia="en-AU"/>
              </w:rPr>
              <w:t>305</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Number of public housing dwellings upgraded during year</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720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600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600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827</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3816EC" w:rsidRDefault="00A53D7D" w:rsidP="005140B4">
            <w:pPr>
              <w:pStyle w:val="OGNotes"/>
            </w:pPr>
            <w:r w:rsidRPr="003816EC">
              <w:t>The higher 2014</w:t>
            </w:r>
            <w:r>
              <w:noBreakHyphen/>
            </w:r>
            <w:r w:rsidRPr="003816EC">
              <w:t>15 target reflects additional investment in public housing upgrades.</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Total number of social housing dwellings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84</w:t>
            </w:r>
            <w:r>
              <w:rPr>
                <w:lang w:eastAsia="en-AU"/>
              </w:rPr>
              <w:t> </w:t>
            </w:r>
            <w:r w:rsidRPr="001C2BEA">
              <w:rPr>
                <w:lang w:eastAsia="en-AU"/>
              </w:rPr>
              <w:t>868</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84</w:t>
            </w:r>
            <w:r>
              <w:rPr>
                <w:lang w:eastAsia="en-AU"/>
              </w:rPr>
              <w:t> </w:t>
            </w:r>
            <w:r w:rsidRPr="001C2BEA">
              <w:rPr>
                <w:lang w:eastAsia="en-AU"/>
              </w:rPr>
              <w:t>992</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84</w:t>
            </w:r>
            <w:r>
              <w:rPr>
                <w:lang w:eastAsia="en-AU"/>
              </w:rPr>
              <w:t> </w:t>
            </w:r>
            <w:r w:rsidRPr="001C2BEA">
              <w:rPr>
                <w:lang w:eastAsia="en-AU"/>
              </w:rPr>
              <w:t>351</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84</w:t>
            </w:r>
            <w:r>
              <w:rPr>
                <w:lang w:eastAsia="en-AU"/>
              </w:rPr>
              <w:t> </w:t>
            </w:r>
            <w:r w:rsidRPr="001C2BEA">
              <w:rPr>
                <w:lang w:eastAsia="en-AU"/>
              </w:rPr>
              <w:t>863</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3816EC" w:rsidRDefault="00A53D7D" w:rsidP="005140B4">
            <w:pPr>
              <w:pStyle w:val="OGNotes"/>
            </w:pPr>
            <w:r w:rsidRPr="003816EC">
              <w:t>The higher 2014</w:t>
            </w:r>
            <w:r>
              <w:noBreakHyphen/>
            </w:r>
            <w:r w:rsidRPr="003816EC">
              <w:t xml:space="preserve">15 </w:t>
            </w:r>
            <w:r>
              <w:t>target</w:t>
            </w:r>
            <w:r w:rsidRPr="003816EC">
              <w:t xml:space="preserve"> reflects the forecas</w:t>
            </w:r>
            <w:r>
              <w:t xml:space="preserve">t number of dwellings available, due to predicted increase in community housing dwellings as a result of improved response rates to the Community Housing Survey. </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Total social housing dwellings acquired during the year</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500</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710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710</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928</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lower 2014</w:t>
            </w:r>
            <w:r>
              <w:noBreakHyphen/>
            </w:r>
            <w:r w:rsidRPr="001C2BEA">
              <w:t xml:space="preserve">15 </w:t>
            </w:r>
            <w:r>
              <w:t>target</w:t>
            </w:r>
            <w:r w:rsidRPr="001C2BEA">
              <w:t xml:space="preserve"> reflects the completion of Nation Building and Jobs initiatives, together with the Housing Framework that emphasises the quality of existing public housing, requiring additional upgrades of that existing stock.</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Percentage of clients with case plans in homelessness support programs with some, most or all of their case plan goals achieved</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90</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85</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93.1</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3816EC">
              <w:t>The 2013</w:t>
            </w:r>
            <w:r>
              <w:noBreakHyphen/>
            </w:r>
            <w:r w:rsidRPr="003816EC">
              <w:t xml:space="preserve">14 </w:t>
            </w:r>
            <w:r>
              <w:t>expected outcome</w:t>
            </w:r>
            <w:r w:rsidRPr="003816EC">
              <w:t xml:space="preserve"> is higher than the 2013</w:t>
            </w:r>
            <w:r>
              <w:noBreakHyphen/>
            </w:r>
            <w:r w:rsidRPr="003816EC">
              <w:t xml:space="preserve">14 </w:t>
            </w:r>
            <w:r>
              <w:t>target</w:t>
            </w:r>
            <w:r w:rsidRPr="003816EC">
              <w:t xml:space="preserve"> reflecting </w:t>
            </w:r>
            <w:r>
              <w:t>a focus on quality services</w:t>
            </w:r>
            <w:r w:rsidRPr="003816EC">
              <w:t xml:space="preserve">. </w:t>
            </w:r>
          </w:p>
          <w:p w:rsidR="00A53D7D" w:rsidRPr="003816EC" w:rsidRDefault="00A53D7D" w:rsidP="005140B4">
            <w:pPr>
              <w:pStyle w:val="OGNotes"/>
            </w:pPr>
            <w:r w:rsidRPr="003816EC">
              <w:t>The higher 2014</w:t>
            </w:r>
            <w:r>
              <w:noBreakHyphen/>
            </w:r>
            <w:r w:rsidRPr="003816EC">
              <w:t xml:space="preserve">15 </w:t>
            </w:r>
            <w:r>
              <w:t>target</w:t>
            </w:r>
            <w:r w:rsidRPr="003816EC">
              <w:t xml:space="preserve"> reflects an increase in case plan goals being achieved.</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Percentage of neighbourhood renewal projects that have achieved active resident participation in governance structures</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Timeliness</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Average waiting time for public rental housing for those clients who have received early housing allocation</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Pr>
                <w:lang w:eastAsia="en-AU"/>
              </w:rPr>
              <w:t>m</w:t>
            </w:r>
            <w:r w:rsidRPr="001C2BEA">
              <w:rPr>
                <w:lang w:eastAsia="en-AU"/>
              </w:rPr>
              <w:t>onths</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10.5</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10.8</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10.5</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10.5</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Pr>
                <w:lang w:eastAsia="en-AU"/>
              </w:rPr>
              <w:t>Proportion of clients where support to sustain housing tenure was unable to be provided or referred</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Pr>
                <w:lang w:eastAsia="en-AU"/>
              </w:rPr>
              <w:t>18</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Pr>
                <w:lang w:eastAsia="en-AU"/>
              </w:rPr>
              <w:t>nm</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Pr>
                <w:lang w:eastAsia="en-AU"/>
              </w:rPr>
              <w:t>nm</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Pr>
                <w:lang w:eastAsia="en-AU"/>
              </w:rPr>
              <w:t>nm</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3816EC" w:rsidRDefault="00A53D7D" w:rsidP="005140B4">
            <w:pPr>
              <w:pStyle w:val="OGNotes"/>
            </w:pPr>
            <w:r w:rsidRPr="003816EC">
              <w:t>New performance measure for 2014</w:t>
            </w:r>
            <w:r>
              <w:noBreakHyphen/>
            </w:r>
            <w:r w:rsidRPr="003816EC">
              <w:t>15 to replace the 2013</w:t>
            </w:r>
            <w:r>
              <w:noBreakHyphen/>
            </w:r>
            <w:r w:rsidRPr="003816EC">
              <w:t xml:space="preserve">14 performance measure </w:t>
            </w:r>
            <w:r>
              <w:t>‘</w:t>
            </w:r>
            <w:r w:rsidRPr="003816EC">
              <w:t>Proportion of homelessness support episodes where an accommodation need was unable to b</w:t>
            </w:r>
            <w:r>
              <w:t xml:space="preserve">e either provided or referred’. </w:t>
            </w:r>
            <w:r w:rsidRPr="003816EC">
              <w:t xml:space="preserve">The new performance measure more accurately measures unmet need for accommodation. </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keepNext/>
              <w:rPr>
                <w:lang w:eastAsia="en-AU"/>
              </w:rPr>
            </w:pPr>
            <w:r w:rsidRPr="001C2BEA">
              <w:rPr>
                <w:lang w:eastAsia="en-AU"/>
              </w:rPr>
              <w:t>Social housing tenants satisfied with completed urgent maintenance works</w:t>
            </w:r>
            <w:r>
              <w:rPr>
                <w:lang w:eastAsia="en-AU"/>
              </w:rPr>
              <w:t xml:space="preserve"> </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keepNext/>
              <w:rPr>
                <w:lang w:eastAsia="en-AU"/>
              </w:rPr>
            </w:pPr>
            <w:r w:rsidRPr="001C2BEA">
              <w:rPr>
                <w:lang w:eastAsia="en-AU"/>
              </w:rPr>
              <w:t>per cent</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keepNext/>
              <w:rPr>
                <w:lang w:eastAsia="en-AU"/>
              </w:rPr>
            </w:pPr>
            <w:r w:rsidRPr="001C2BEA">
              <w:rPr>
                <w:lang w:eastAsia="en-AU"/>
              </w:rPr>
              <w:t>85</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87</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85</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90.6</w:t>
            </w:r>
          </w:p>
        </w:tc>
      </w:tr>
      <w:tr w:rsidR="00A53D7D" w:rsidRPr="001C2BEA" w:rsidTr="005140B4">
        <w:trPr>
          <w:cantSplit/>
        </w:trPr>
        <w:tc>
          <w:tcPr>
            <w:tcW w:w="7776" w:type="dxa"/>
            <w:gridSpan w:val="6"/>
            <w:tcBorders>
              <w:left w:val="nil"/>
              <w:bottom w:val="single" w:sz="6" w:space="0" w:color="auto"/>
              <w:right w:val="nil"/>
            </w:tcBorders>
            <w:shd w:val="clear" w:color="000000" w:fill="FFFFFF"/>
          </w:tcPr>
          <w:p w:rsidR="00A53D7D" w:rsidRPr="003816EC" w:rsidRDefault="00A53D7D" w:rsidP="005140B4">
            <w:pPr>
              <w:pStyle w:val="OGNotes"/>
              <w:keepNext/>
            </w:pPr>
            <w:r w:rsidRPr="00F03B94">
              <w:t xml:space="preserve">New performance measure for 2014-15 to replace the discontinued 2012-13 performance measure </w:t>
            </w:r>
            <w:r>
              <w:t>‘</w:t>
            </w:r>
            <w:r w:rsidRPr="00F03B94">
              <w:t>Proportion of public housing maintenance contractors completing urgent maintenance jobs that are within timelines</w:t>
            </w:r>
            <w:r>
              <w:t>’</w:t>
            </w:r>
            <w:proofErr w:type="gramStart"/>
            <w:r w:rsidRPr="00F03B94">
              <w:t xml:space="preserve">.  </w:t>
            </w:r>
            <w:proofErr w:type="gramEnd"/>
            <w:r w:rsidRPr="00F03B94">
              <w:t>This new performance measure responds to the Public Account and Estimates 111th Report to Parliament on the 2012-13 Budget Estimates Part One 2012.</w:t>
            </w:r>
            <w:r w:rsidRPr="003816EC">
              <w:t xml:space="preserve"> </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Cost</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nil"/>
              <w:right w:val="nil"/>
            </w:tcBorders>
            <w:shd w:val="clear" w:color="000000" w:fill="FFFFFF"/>
            <w:hideMark/>
          </w:tcPr>
          <w:p w:rsidR="00A53D7D" w:rsidRPr="001C2BEA" w:rsidRDefault="00A53D7D" w:rsidP="005140B4">
            <w:pPr>
              <w:pStyle w:val="OGTabText"/>
              <w:rPr>
                <w:lang w:eastAsia="en-AU"/>
              </w:rPr>
            </w:pPr>
            <w:r w:rsidRPr="001C2BEA">
              <w:rPr>
                <w:lang w:eastAsia="en-AU"/>
              </w:rPr>
              <w:t>Total output cost</w:t>
            </w:r>
          </w:p>
        </w:tc>
        <w:tc>
          <w:tcPr>
            <w:tcW w:w="907" w:type="dxa"/>
            <w:tcBorders>
              <w:top w:val="nil"/>
              <w:left w:val="nil"/>
              <w:bottom w:val="nil"/>
              <w:right w:val="nil"/>
            </w:tcBorders>
            <w:shd w:val="clear" w:color="000000" w:fill="FFFFFF"/>
            <w:hideMark/>
          </w:tcPr>
          <w:p w:rsidR="00A53D7D" w:rsidRPr="001C2BEA" w:rsidRDefault="00A53D7D" w:rsidP="005140B4">
            <w:pPr>
              <w:pStyle w:val="OGUoM"/>
              <w:rPr>
                <w:lang w:eastAsia="en-AU"/>
              </w:rPr>
            </w:pPr>
            <w:r w:rsidRPr="001C2BEA">
              <w:rPr>
                <w:lang w:eastAsia="en-AU"/>
              </w:rPr>
              <w:t>$</w:t>
            </w:r>
            <w:r>
              <w:rPr>
                <w:lang w:eastAsia="en-AU"/>
              </w:rPr>
              <w:t> m</w:t>
            </w:r>
            <w:r w:rsidRPr="001C2BEA">
              <w:rPr>
                <w:lang w:eastAsia="en-AU"/>
              </w:rPr>
              <w:t>illion</w:t>
            </w:r>
          </w:p>
        </w:tc>
        <w:tc>
          <w:tcPr>
            <w:tcW w:w="907" w:type="dxa"/>
            <w:tcBorders>
              <w:top w:val="nil"/>
              <w:left w:val="nil"/>
              <w:bottom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398.9</w:t>
            </w:r>
          </w:p>
        </w:tc>
        <w:tc>
          <w:tcPr>
            <w:tcW w:w="993" w:type="dxa"/>
            <w:tcBorders>
              <w:top w:val="nil"/>
              <w:left w:val="nil"/>
              <w:bottom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411.5</w:t>
            </w:r>
          </w:p>
        </w:tc>
        <w:tc>
          <w:tcPr>
            <w:tcW w:w="907" w:type="dxa"/>
            <w:tcBorders>
              <w:top w:val="nil"/>
              <w:left w:val="nil"/>
              <w:bottom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387</w:t>
            </w:r>
          </w:p>
        </w:tc>
        <w:tc>
          <w:tcPr>
            <w:tcW w:w="907" w:type="dxa"/>
            <w:tcBorders>
              <w:top w:val="nil"/>
              <w:left w:val="nil"/>
              <w:bottom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414.2</w:t>
            </w:r>
          </w:p>
        </w:tc>
      </w:tr>
      <w:tr w:rsidR="00A53D7D" w:rsidRPr="001C2BEA" w:rsidTr="005140B4">
        <w:trPr>
          <w:cantSplit/>
        </w:trPr>
        <w:tc>
          <w:tcPr>
            <w:tcW w:w="7776" w:type="dxa"/>
            <w:gridSpan w:val="6"/>
            <w:tcBorders>
              <w:top w:val="nil"/>
              <w:left w:val="nil"/>
              <w:bottom w:val="single" w:sz="12" w:space="0" w:color="auto"/>
              <w:right w:val="nil"/>
            </w:tcBorders>
            <w:shd w:val="clear" w:color="000000" w:fill="FFFFFF"/>
          </w:tcPr>
          <w:p w:rsidR="00A53D7D" w:rsidRDefault="00A53D7D" w:rsidP="005140B4">
            <w:pPr>
              <w:pStyle w:val="OGNotes"/>
            </w:pPr>
            <w:r>
              <w:t>The 2013</w:t>
            </w:r>
            <w:r>
              <w:noBreakHyphen/>
              <w:t>14 expected outcome is higher than the 2013</w:t>
            </w:r>
            <w:r>
              <w:noBreakHyphen/>
              <w:t>14 target primarily reflecting the Commonwealth contribution for the one year extension of the National Partnership Agreement on Homelessness.</w:t>
            </w:r>
          </w:p>
          <w:p w:rsidR="00A53D7D" w:rsidRPr="003816EC" w:rsidRDefault="00A53D7D" w:rsidP="005140B4">
            <w:pPr>
              <w:pStyle w:val="OGNotes"/>
            </w:pPr>
            <w:r>
              <w:t>The higher 2014</w:t>
            </w:r>
            <w:r>
              <w:noBreakHyphen/>
              <w:t xml:space="preserve">15 target primarily reflects additional government investment provided in the </w:t>
            </w:r>
            <w:r>
              <w:rPr>
                <w:i w:val="0"/>
              </w:rPr>
              <w:t>2014</w:t>
            </w:r>
            <w:r>
              <w:rPr>
                <w:i w:val="0"/>
              </w:rPr>
              <w:noBreakHyphen/>
              <w:t>15 Budget</w:t>
            </w:r>
            <w:r>
              <w:t>, the impact of the social and community services pay equity case and the full year effect of prior years’ initiatives. The 2014</w:t>
            </w:r>
            <w:r>
              <w:noBreakHyphen/>
              <w:t>15 target does not include funding from the Commonwealth under the National Partnership Agreement on Homelessness in 2014</w:t>
            </w:r>
            <w:r>
              <w:noBreakHyphen/>
              <w:t xml:space="preserve">15 (pending final negotiation). </w:t>
            </w:r>
          </w:p>
        </w:tc>
      </w:tr>
    </w:tbl>
    <w:p w:rsidR="00A53D7D" w:rsidRDefault="00A53D7D" w:rsidP="005140B4">
      <w:pPr>
        <w:pStyle w:val="Source"/>
        <w:rPr>
          <w:lang w:eastAsia="en-AU"/>
        </w:rPr>
      </w:pPr>
      <w:r>
        <w:rPr>
          <w:lang w:eastAsia="en-AU"/>
        </w:rPr>
        <w:t>Source: Department of Human Services</w:t>
      </w:r>
      <w:r>
        <w:rPr>
          <w:lang w:eastAsia="en-AU"/>
        </w:rPr>
        <w:fldChar w:fldCharType="begin"/>
      </w:r>
      <w:r>
        <w:instrText xml:space="preserve"> XE "</w:instrText>
      </w:r>
      <w:r w:rsidRPr="007932FE">
        <w:rPr>
          <w:lang w:eastAsia="en-AU"/>
        </w:rPr>
        <w:instrText>Department of Human Services</w:instrText>
      </w:r>
      <w:r w:rsidRPr="007932FE">
        <w:instrText>:Housing Assistance</w:instrText>
      </w:r>
      <w:r>
        <w:instrText xml:space="preserve">" \r "DHSHous" </w:instrText>
      </w:r>
      <w:r>
        <w:rPr>
          <w:lang w:eastAsia="en-AU"/>
        </w:rPr>
        <w:fldChar w:fldCharType="end"/>
      </w:r>
      <w:r>
        <w:rPr>
          <w:lang w:eastAsia="en-AU"/>
        </w:rPr>
        <w:fldChar w:fldCharType="begin"/>
      </w:r>
      <w:r>
        <w:instrText xml:space="preserve"> XE "</w:instrText>
      </w:r>
      <w:r w:rsidRPr="008F564C">
        <w:rPr>
          <w:lang w:eastAsia="en-AU"/>
        </w:rPr>
        <w:instrText>Housing Assistance</w:instrText>
      </w:r>
      <w:r>
        <w:instrText xml:space="preserve">" \r "DHSHous" </w:instrText>
      </w:r>
      <w:r>
        <w:rPr>
          <w:lang w:eastAsia="en-AU"/>
        </w:rPr>
        <w:fldChar w:fldCharType="end"/>
      </w:r>
    </w:p>
    <w:bookmarkEnd w:id="102"/>
    <w:p w:rsidR="00A53D7D" w:rsidRDefault="00A53D7D" w:rsidP="005140B4">
      <w:pPr>
        <w:spacing w:after="0"/>
        <w:rPr>
          <w:rFonts w:ascii="Calibri" w:hAnsi="Calibri"/>
          <w:sz w:val="20"/>
          <w:szCs w:val="18"/>
          <w:lang w:eastAsia="en-AU"/>
        </w:rPr>
      </w:pPr>
      <w:r>
        <w:rPr>
          <w:lang w:eastAsia="en-AU"/>
        </w:rPr>
        <w:br w:type="page"/>
      </w:r>
    </w:p>
    <w:p w:rsidR="00A53D7D" w:rsidRPr="001C2BEA" w:rsidRDefault="00A53D7D" w:rsidP="005140B4">
      <w:pPr>
        <w:pStyle w:val="OGHeading1"/>
        <w:rPr>
          <w:lang w:eastAsia="en-AU"/>
        </w:rPr>
      </w:pPr>
      <w:bookmarkStart w:id="103" w:name="DHSEmpow"/>
      <w:r w:rsidRPr="001C2BEA">
        <w:rPr>
          <w:lang w:eastAsia="en-AU"/>
        </w:rPr>
        <w:t>Empowering Individuals and Communities</w:t>
      </w:r>
    </w:p>
    <w:p w:rsidR="00A53D7D" w:rsidRPr="00F71642" w:rsidRDefault="00A53D7D" w:rsidP="005140B4">
      <w:pPr>
        <w:pStyle w:val="OGText"/>
        <w:rPr>
          <w:lang w:eastAsia="en-AU"/>
        </w:rPr>
      </w:pPr>
      <w:r w:rsidRPr="001C2BEA">
        <w:rPr>
          <w:lang w:eastAsia="en-AU"/>
        </w:rPr>
        <w:t>Empowering Individuals and Communities is delivered through funded programs that support community participation including Neighbourhood Houses, Men</w:t>
      </w:r>
      <w:r>
        <w:rPr>
          <w:lang w:eastAsia="en-AU"/>
        </w:rPr>
        <w:t>’</w:t>
      </w:r>
      <w:r w:rsidRPr="001C2BEA">
        <w:rPr>
          <w:lang w:eastAsia="en-AU"/>
        </w:rPr>
        <w:t xml:space="preserve">s Sheds, community support </w:t>
      </w:r>
      <w:proofErr w:type="gramStart"/>
      <w:r w:rsidRPr="001C2BEA">
        <w:rPr>
          <w:lang w:eastAsia="en-AU"/>
        </w:rPr>
        <w:t>projects</w:t>
      </w:r>
      <w:proofErr w:type="gramEnd"/>
      <w:r w:rsidRPr="001C2BEA">
        <w:rPr>
          <w:lang w:eastAsia="en-AU"/>
        </w:rPr>
        <w:t xml:space="preserve"> and programs for youth, women and people with a disability. Leadership is delivered for whole of government policy on youth, </w:t>
      </w:r>
      <w:proofErr w:type="gramStart"/>
      <w:r w:rsidRPr="001C2BEA">
        <w:rPr>
          <w:lang w:eastAsia="en-AU"/>
        </w:rPr>
        <w:t>women</w:t>
      </w:r>
      <w:proofErr w:type="gramEnd"/>
      <w:r w:rsidRPr="001C2BEA">
        <w:rPr>
          <w:lang w:eastAsia="en-AU"/>
        </w:rPr>
        <w:t xml:space="preserve"> and disability that will create an environment that encourages equity and improves outcomes in all aspects of life for youth, women and people with a disability.</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1C2BEA" w:rsidTr="005140B4">
        <w:trPr>
          <w:cantSplit/>
        </w:trPr>
        <w:tc>
          <w:tcPr>
            <w:tcW w:w="7776" w:type="dxa"/>
            <w:gridSpan w:val="6"/>
            <w:tcBorders>
              <w:top w:val="nil"/>
              <w:left w:val="nil"/>
              <w:right w:val="nil"/>
            </w:tcBorders>
            <w:shd w:val="clear" w:color="auto" w:fill="auto"/>
            <w:vAlign w:val="bottom"/>
            <w:hideMark/>
          </w:tcPr>
          <w:p w:rsidR="00A53D7D" w:rsidRPr="001C2BEA" w:rsidRDefault="00A53D7D" w:rsidP="005140B4">
            <w:pPr>
              <w:pStyle w:val="OGHeading2"/>
              <w:rPr>
                <w:lang w:eastAsia="en-AU"/>
              </w:rPr>
            </w:pPr>
            <w:r w:rsidRPr="001C2BEA">
              <w:rPr>
                <w:lang w:eastAsia="en-AU"/>
              </w:rPr>
              <w:t>Community Participation</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tcPr>
          <w:p w:rsidR="00A53D7D" w:rsidRPr="001C2BEA" w:rsidRDefault="00A53D7D" w:rsidP="005140B4">
            <w:pPr>
              <w:pStyle w:val="OGText"/>
              <w:rPr>
                <w:lang w:eastAsia="en-AU"/>
              </w:rPr>
            </w:pPr>
            <w:r>
              <w:rPr>
                <w:lang w:eastAsia="en-AU"/>
              </w:rPr>
              <w:t xml:space="preserve">Community </w:t>
            </w:r>
            <w:r w:rsidRPr="001C2BEA">
              <w:rPr>
                <w:lang w:eastAsia="en-AU"/>
              </w:rPr>
              <w:t>Participation programs include the Neighbourhood House Coordination Program, Men</w:t>
            </w:r>
            <w:r>
              <w:rPr>
                <w:lang w:eastAsia="en-AU"/>
              </w:rPr>
              <w:t>’</w:t>
            </w:r>
            <w:r w:rsidRPr="001C2BEA">
              <w:rPr>
                <w:lang w:eastAsia="en-AU"/>
              </w:rPr>
              <w:t>s Sheds, Community Support and Community Finance initiatives. These programs support the social and economic participation of Victorian communities, particularly vulnerable populations.</w:t>
            </w:r>
          </w:p>
          <w:p w:rsidR="00A53D7D" w:rsidRPr="001C2BEA" w:rsidRDefault="00A53D7D" w:rsidP="005140B4">
            <w:pPr>
              <w:pStyle w:val="OGText"/>
              <w:rPr>
                <w:lang w:eastAsia="en-AU"/>
              </w:rPr>
            </w:pPr>
            <w:r w:rsidRPr="001C2BEA">
              <w:rPr>
                <w:lang w:eastAsia="en-AU"/>
              </w:rPr>
              <w:t>This output supports the Department</w:t>
            </w:r>
            <w:r>
              <w:rPr>
                <w:lang w:eastAsia="en-AU"/>
              </w:rPr>
              <w:t>’</w:t>
            </w:r>
            <w:r w:rsidRPr="001C2BEA">
              <w:rPr>
                <w:lang w:eastAsia="en-AU"/>
              </w:rPr>
              <w:t>s capabilities and participation objective.</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Hours of coordination funding provided to Neighbourhood Houses</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Number (000)</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480</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465</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465</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465</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higher 2013</w:t>
            </w:r>
            <w:r>
              <w:noBreakHyphen/>
            </w:r>
            <w:r w:rsidRPr="001C2BEA">
              <w:t xml:space="preserve">14 </w:t>
            </w:r>
            <w:r>
              <w:t>target reflects additional funding provided</w:t>
            </w:r>
            <w:r w:rsidRPr="001C2BEA">
              <w:t xml:space="preserve"> in the </w:t>
            </w:r>
            <w:r w:rsidRPr="00A3460F">
              <w:rPr>
                <w:i w:val="0"/>
              </w:rPr>
              <w:t>2014</w:t>
            </w:r>
            <w:r>
              <w:rPr>
                <w:i w:val="0"/>
              </w:rPr>
              <w:noBreakHyphen/>
            </w:r>
            <w:r w:rsidRPr="00A3460F">
              <w:rPr>
                <w:i w:val="0"/>
              </w:rPr>
              <w:t>15 Budget.</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Quality</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Strategy implementation actions within agreed performance targets: Community Organisations</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100</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Strategy implementation actions within agreed performance targets: volunteering</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Timeliness</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Grants acquitted within the timeframe specified in the terms and conditions of the funding agreement</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Pr>
                <w:lang w:eastAsia="en-AU"/>
              </w:rPr>
              <w:t>&gt;</w:t>
            </w:r>
            <w:r w:rsidRPr="001C2BEA">
              <w:rPr>
                <w:lang w:eastAsia="en-AU"/>
              </w:rPr>
              <w:t>90</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Pr>
                <w:lang w:eastAsia="en-AU"/>
              </w:rPr>
              <w:t>&gt;</w:t>
            </w:r>
            <w:r w:rsidRPr="001C2BEA">
              <w:rPr>
                <w:lang w:eastAsia="en-AU"/>
              </w:rPr>
              <w:t>90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Total output cost</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w:t>
            </w:r>
            <w:r>
              <w:rPr>
                <w:lang w:eastAsia="en-AU"/>
              </w:rPr>
              <w:t> m</w:t>
            </w:r>
            <w:r w:rsidRPr="001C2BEA">
              <w:rPr>
                <w:lang w:eastAsia="en-AU"/>
              </w:rPr>
              <w:t>illion</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39.4</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39.8</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40.9</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28.2</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lower 2014</w:t>
            </w:r>
            <w:r>
              <w:noBreakHyphen/>
            </w:r>
            <w:r w:rsidRPr="001C2BEA">
              <w:t xml:space="preserve">15 </w:t>
            </w:r>
            <w:r>
              <w:t>target</w:t>
            </w:r>
            <w:r w:rsidRPr="001C2BEA">
              <w:t xml:space="preserve"> reflects the completion of fixed</w:t>
            </w:r>
            <w:r>
              <w:noBreakHyphen/>
            </w:r>
            <w:r w:rsidRPr="001C2BEA">
              <w:t>term budget initiatives.</w:t>
            </w:r>
          </w:p>
        </w:tc>
      </w:tr>
      <w:tr w:rsidR="00A53D7D" w:rsidRPr="001C2BEA" w:rsidTr="005140B4">
        <w:trPr>
          <w:cantSplit/>
        </w:trPr>
        <w:tc>
          <w:tcPr>
            <w:tcW w:w="7776" w:type="dxa"/>
            <w:gridSpan w:val="6"/>
            <w:tcBorders>
              <w:top w:val="single" w:sz="6" w:space="0" w:color="auto"/>
              <w:left w:val="nil"/>
              <w:right w:val="nil"/>
            </w:tcBorders>
            <w:shd w:val="clear" w:color="auto" w:fill="auto"/>
            <w:vAlign w:val="bottom"/>
            <w:hideMark/>
          </w:tcPr>
          <w:p w:rsidR="00A53D7D" w:rsidRPr="00244DFD" w:rsidRDefault="00A53D7D" w:rsidP="005140B4">
            <w:pPr>
              <w:pStyle w:val="OGHeading2"/>
            </w:pPr>
            <w:r w:rsidRPr="00244DFD">
              <w:t>Office for Disability</w:t>
            </w:r>
          </w:p>
        </w:tc>
      </w:tr>
      <w:tr w:rsidR="00A53D7D" w:rsidRPr="001C2BEA" w:rsidTr="005140B4">
        <w:trPr>
          <w:cantSplit/>
        </w:trPr>
        <w:tc>
          <w:tcPr>
            <w:tcW w:w="7776" w:type="dxa"/>
            <w:gridSpan w:val="6"/>
            <w:tcBorders>
              <w:left w:val="nil"/>
              <w:bottom w:val="single" w:sz="6" w:space="0" w:color="auto"/>
              <w:right w:val="nil"/>
            </w:tcBorders>
            <w:shd w:val="clear" w:color="auto" w:fill="auto"/>
            <w:vAlign w:val="bottom"/>
          </w:tcPr>
          <w:p w:rsidR="00A53D7D" w:rsidRDefault="00A53D7D" w:rsidP="005140B4">
            <w:pPr>
              <w:pStyle w:val="OGText"/>
            </w:pPr>
            <w:r>
              <w:t xml:space="preserve">The Office for Disability leads and coordinates whole of government policy, disability action planning and funding, and support to disability advocacy and self-advocacy organisations so that people with a disability experience reduced disadvantage, can fully participate in the community and have their rights upheld. </w:t>
            </w:r>
          </w:p>
          <w:p w:rsidR="00A53D7D" w:rsidRPr="00244DFD" w:rsidRDefault="00A53D7D" w:rsidP="005140B4">
            <w:pPr>
              <w:pStyle w:val="OGText"/>
            </w:pPr>
            <w:r>
              <w:t>This output supports the Department’s capabilities and participation objective.</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Quantity</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Number of disability advocacy clients</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700</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Pr>
                <w:lang w:eastAsia="en-AU"/>
              </w:rPr>
              <w:t>1 </w:t>
            </w:r>
            <w:r w:rsidRPr="001C2BEA">
              <w:rPr>
                <w:lang w:eastAsia="en-AU"/>
              </w:rPr>
              <w:t>700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Pr>
                <w:lang w:eastAsia="en-AU"/>
              </w:rPr>
              <w:t>1 </w:t>
            </w:r>
            <w:r w:rsidRPr="001C2BEA">
              <w:rPr>
                <w:lang w:eastAsia="en-AU"/>
              </w:rPr>
              <w:t>700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632</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Quality</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Client satisfaction with advice provided</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100</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Office for Disability projects delivered within agreed timeframes</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90</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100</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3816EC" w:rsidRDefault="00A53D7D" w:rsidP="005140B4">
            <w:pPr>
              <w:pStyle w:val="OGNotes"/>
            </w:pPr>
            <w:r w:rsidRPr="003816EC">
              <w:t>The 2013</w:t>
            </w:r>
            <w:r>
              <w:noBreakHyphen/>
            </w:r>
            <w:r w:rsidRPr="003816EC">
              <w:t xml:space="preserve">14 </w:t>
            </w:r>
            <w:r>
              <w:t>expected outcome</w:t>
            </w:r>
            <w:r w:rsidRPr="003816EC">
              <w:t xml:space="preserve"> is higher than the 2013</w:t>
            </w:r>
            <w:r>
              <w:noBreakHyphen/>
            </w:r>
            <w:r w:rsidRPr="003816EC">
              <w:t xml:space="preserve">14 </w:t>
            </w:r>
            <w:r>
              <w:t>target</w:t>
            </w:r>
            <w:r w:rsidRPr="003816EC">
              <w:t xml:space="preserve"> reflecting a positive result</w:t>
            </w:r>
            <w:proofErr w:type="gramStart"/>
            <w:r w:rsidRPr="003816EC">
              <w:t xml:space="preserve">.  </w:t>
            </w:r>
            <w:proofErr w:type="gramEnd"/>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Cost</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Total output cost</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w:t>
            </w:r>
            <w:r>
              <w:rPr>
                <w:lang w:eastAsia="en-AU"/>
              </w:rPr>
              <w:t> m</w:t>
            </w:r>
            <w:r w:rsidRPr="001C2BEA">
              <w:rPr>
                <w:lang w:eastAsia="en-AU"/>
              </w:rPr>
              <w:t>illion</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5.5</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5.4</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5</w:t>
            </w:r>
          </w:p>
        </w:tc>
      </w:tr>
      <w:tr w:rsidR="00A53D7D" w:rsidRPr="001C2BEA" w:rsidTr="005140B4">
        <w:trPr>
          <w:cantSplit/>
        </w:trPr>
        <w:tc>
          <w:tcPr>
            <w:tcW w:w="7776" w:type="dxa"/>
            <w:gridSpan w:val="6"/>
            <w:tcBorders>
              <w:top w:val="nil"/>
              <w:left w:val="nil"/>
              <w:bottom w:val="single" w:sz="6" w:space="0" w:color="auto"/>
              <w:right w:val="nil"/>
            </w:tcBorders>
            <w:shd w:val="clear" w:color="000000" w:fill="FFFFFF"/>
          </w:tcPr>
          <w:p w:rsidR="00A53D7D" w:rsidRPr="001C2BEA" w:rsidRDefault="00A53D7D" w:rsidP="005140B4">
            <w:pPr>
              <w:pStyle w:val="OGNotes"/>
            </w:pPr>
            <w:r>
              <w:t>The higher 2014</w:t>
            </w:r>
            <w:r>
              <w:noBreakHyphen/>
              <w:t xml:space="preserve">15 target primarily reflects the impact of the social and community services pay equity case and the full year effect of prior year initiatives. </w:t>
            </w:r>
          </w:p>
        </w:tc>
      </w:tr>
      <w:tr w:rsidR="00A53D7D" w:rsidRPr="001C2BEA" w:rsidTr="005140B4">
        <w:trPr>
          <w:cantSplit/>
        </w:trPr>
        <w:tc>
          <w:tcPr>
            <w:tcW w:w="7776" w:type="dxa"/>
            <w:gridSpan w:val="6"/>
            <w:tcBorders>
              <w:top w:val="single" w:sz="6" w:space="0" w:color="auto"/>
              <w:left w:val="nil"/>
              <w:right w:val="nil"/>
            </w:tcBorders>
            <w:shd w:val="clear" w:color="auto" w:fill="auto"/>
            <w:vAlign w:val="bottom"/>
            <w:hideMark/>
          </w:tcPr>
          <w:p w:rsidR="00A53D7D" w:rsidRPr="001C2BEA" w:rsidRDefault="00A53D7D" w:rsidP="005140B4">
            <w:pPr>
              <w:pStyle w:val="OGHeading2"/>
              <w:rPr>
                <w:lang w:eastAsia="en-AU"/>
              </w:rPr>
            </w:pPr>
            <w:r>
              <w:rPr>
                <w:lang w:eastAsia="en-AU"/>
              </w:rPr>
              <w:t>Office of Women’s Affairs</w:t>
            </w:r>
          </w:p>
        </w:tc>
      </w:tr>
      <w:tr w:rsidR="00A53D7D" w:rsidRPr="001C2BEA" w:rsidTr="005140B4">
        <w:trPr>
          <w:cantSplit/>
        </w:trPr>
        <w:tc>
          <w:tcPr>
            <w:tcW w:w="7776" w:type="dxa"/>
            <w:gridSpan w:val="6"/>
            <w:tcBorders>
              <w:left w:val="nil"/>
              <w:bottom w:val="single" w:sz="6" w:space="0" w:color="auto"/>
              <w:right w:val="nil"/>
            </w:tcBorders>
            <w:shd w:val="clear" w:color="auto" w:fill="auto"/>
            <w:vAlign w:val="bottom"/>
          </w:tcPr>
          <w:p w:rsidR="00A53D7D" w:rsidRDefault="00A53D7D" w:rsidP="005140B4">
            <w:pPr>
              <w:pStyle w:val="OGText"/>
              <w:rPr>
                <w:lang w:eastAsia="en-AU"/>
              </w:rPr>
            </w:pPr>
            <w:r w:rsidRPr="001C2BEA">
              <w:rPr>
                <w:lang w:eastAsia="en-AU"/>
              </w:rPr>
              <w:t>Office of Women</w:t>
            </w:r>
            <w:r>
              <w:rPr>
                <w:lang w:eastAsia="en-AU"/>
              </w:rPr>
              <w:t>’</w:t>
            </w:r>
            <w:r w:rsidRPr="001C2BEA">
              <w:rPr>
                <w:lang w:eastAsia="en-AU"/>
              </w:rPr>
              <w:t xml:space="preserve">s Affairs leads and coordinates whole of government policy, engages with women from diverse backgrounds, and delivers initiatives to improve the lives of Victorian women and support their economic, </w:t>
            </w:r>
            <w:proofErr w:type="gramStart"/>
            <w:r w:rsidRPr="001C2BEA">
              <w:rPr>
                <w:lang w:eastAsia="en-AU"/>
              </w:rPr>
              <w:t>s</w:t>
            </w:r>
            <w:r>
              <w:rPr>
                <w:lang w:eastAsia="en-AU"/>
              </w:rPr>
              <w:t>ocial</w:t>
            </w:r>
            <w:proofErr w:type="gramEnd"/>
            <w:r>
              <w:rPr>
                <w:lang w:eastAsia="en-AU"/>
              </w:rPr>
              <w:t xml:space="preserve"> and civic participation.</w:t>
            </w:r>
          </w:p>
          <w:p w:rsidR="00A53D7D" w:rsidRDefault="00A53D7D" w:rsidP="005140B4">
            <w:pPr>
              <w:pStyle w:val="OGText"/>
              <w:rPr>
                <w:lang w:eastAsia="en-AU"/>
              </w:rPr>
            </w:pPr>
            <w:r w:rsidRPr="001C2BEA">
              <w:rPr>
                <w:lang w:eastAsia="en-AU"/>
              </w:rPr>
              <w:t>This output supports the Department</w:t>
            </w:r>
            <w:r>
              <w:rPr>
                <w:lang w:eastAsia="en-AU"/>
              </w:rPr>
              <w:t>’</w:t>
            </w:r>
            <w:r w:rsidRPr="001C2BEA">
              <w:rPr>
                <w:lang w:eastAsia="en-AU"/>
              </w:rPr>
              <w:t>s capabilities and participation objective.</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keepNext/>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keepNext/>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keepNext/>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keepNext/>
              <w:rPr>
                <w:lang w:eastAsia="en-AU"/>
              </w:rPr>
            </w:pPr>
            <w:r w:rsidRPr="001C2BEA">
              <w:rPr>
                <w:lang w:eastAsia="en-AU"/>
              </w:rPr>
              <w:t>Number of women engaged with the Office of Women</w:t>
            </w:r>
            <w:r>
              <w:rPr>
                <w:lang w:eastAsia="en-AU"/>
              </w:rPr>
              <w:t>’</w:t>
            </w:r>
            <w:r w:rsidRPr="001C2BEA">
              <w:rPr>
                <w:lang w:eastAsia="en-AU"/>
              </w:rPr>
              <w:t>s Affairs through delivery of funded projects and targeted meetings as part of program delivery and policy development</w:t>
            </w:r>
          </w:p>
        </w:tc>
        <w:tc>
          <w:tcPr>
            <w:tcW w:w="907" w:type="dxa"/>
            <w:tcBorders>
              <w:top w:val="nil"/>
              <w:left w:val="nil"/>
              <w:right w:val="nil"/>
            </w:tcBorders>
            <w:shd w:val="clear" w:color="000000" w:fill="FFFFFF"/>
            <w:hideMark/>
          </w:tcPr>
          <w:p w:rsidR="00A53D7D" w:rsidRPr="001C2BEA" w:rsidRDefault="00A53D7D" w:rsidP="005140B4">
            <w:pPr>
              <w:pStyle w:val="OGUoM"/>
              <w:keepNext/>
              <w:rPr>
                <w:lang w:eastAsia="en-AU"/>
              </w:rPr>
            </w:pPr>
            <w:r w:rsidRPr="001C2BEA">
              <w:rPr>
                <w:lang w:eastAsia="en-AU"/>
              </w:rPr>
              <w:t>number</w:t>
            </w:r>
          </w:p>
        </w:tc>
        <w:tc>
          <w:tcPr>
            <w:tcW w:w="907" w:type="dxa"/>
            <w:tcBorders>
              <w:top w:val="nil"/>
              <w:left w:val="nil"/>
              <w:right w:val="nil"/>
            </w:tcBorders>
            <w:shd w:val="clear" w:color="auto" w:fill="D9D9D9"/>
            <w:hideMark/>
          </w:tcPr>
          <w:p w:rsidR="00A53D7D" w:rsidRPr="001C2BEA" w:rsidRDefault="00A53D7D" w:rsidP="005140B4">
            <w:pPr>
              <w:pStyle w:val="OGTableofFigures"/>
              <w:keepNext/>
              <w:rPr>
                <w:lang w:eastAsia="en-AU"/>
              </w:rPr>
            </w:pPr>
            <w:r w:rsidRPr="001C2BEA">
              <w:rPr>
                <w:lang w:eastAsia="en-AU"/>
              </w:rPr>
              <w:t>800</w:t>
            </w:r>
          </w:p>
        </w:tc>
        <w:tc>
          <w:tcPr>
            <w:tcW w:w="993" w:type="dxa"/>
            <w:tcBorders>
              <w:top w:val="nil"/>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1</w:t>
            </w:r>
            <w:r>
              <w:rPr>
                <w:lang w:eastAsia="en-AU"/>
              </w:rPr>
              <w:t> 10</w:t>
            </w:r>
            <w:r w:rsidRPr="001C2BEA">
              <w:rPr>
                <w:lang w:eastAsia="en-AU"/>
              </w:rPr>
              <w:t>9</w:t>
            </w:r>
          </w:p>
        </w:tc>
        <w:tc>
          <w:tcPr>
            <w:tcW w:w="907" w:type="dxa"/>
            <w:tcBorders>
              <w:top w:val="nil"/>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800</w:t>
            </w:r>
          </w:p>
        </w:tc>
        <w:tc>
          <w:tcPr>
            <w:tcW w:w="907" w:type="dxa"/>
            <w:tcBorders>
              <w:top w:val="nil"/>
              <w:left w:val="nil"/>
              <w:right w:val="nil"/>
            </w:tcBorders>
            <w:shd w:val="clear" w:color="000000" w:fill="FFFFFF"/>
            <w:hideMark/>
          </w:tcPr>
          <w:p w:rsidR="00A53D7D" w:rsidRPr="001C2BEA" w:rsidRDefault="00A53D7D" w:rsidP="005140B4">
            <w:pPr>
              <w:pStyle w:val="OGTableofFigures"/>
              <w:keepNext/>
              <w:rPr>
                <w:lang w:eastAsia="en-AU"/>
              </w:rPr>
            </w:pPr>
            <w:r>
              <w:rPr>
                <w:lang w:eastAsia="en-AU"/>
              </w:rPr>
              <w:t>1 </w:t>
            </w:r>
            <w:r w:rsidRPr="001C2BEA">
              <w:rPr>
                <w:lang w:eastAsia="en-AU"/>
              </w:rPr>
              <w:t>040</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2013</w:t>
            </w:r>
            <w:r>
              <w:noBreakHyphen/>
            </w:r>
            <w:r w:rsidRPr="001C2BEA">
              <w:t xml:space="preserve">14 </w:t>
            </w:r>
            <w:r>
              <w:t>expected outcome</w:t>
            </w:r>
            <w:r w:rsidRPr="001C2BEA">
              <w:t xml:space="preserve"> is higher than the 2013</w:t>
            </w:r>
            <w:r>
              <w:noBreakHyphen/>
            </w:r>
            <w:r w:rsidRPr="001C2BEA">
              <w:t xml:space="preserve">14 </w:t>
            </w:r>
            <w:r>
              <w:t>target</w:t>
            </w:r>
            <w:r w:rsidRPr="001C2BEA">
              <w:t xml:space="preserve"> due to</w:t>
            </w:r>
            <w:r>
              <w:t xml:space="preserve"> the one-off consultation with subscribers regarding an </w:t>
            </w:r>
            <w:proofErr w:type="spellStart"/>
            <w:r>
              <w:t>eNewsletter</w:t>
            </w:r>
            <w:proofErr w:type="spellEnd"/>
            <w:r>
              <w:t xml:space="preserve"> publication.</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keepNext/>
              <w:rPr>
                <w:lang w:eastAsia="en-AU"/>
              </w:rPr>
            </w:pPr>
            <w:r w:rsidRPr="001C2BEA">
              <w:rPr>
                <w:lang w:eastAsia="en-AU"/>
              </w:rPr>
              <w:t>Number of women participating in funded programs, projects and events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keepNext/>
              <w:rPr>
                <w:lang w:eastAsia="en-AU"/>
              </w:rPr>
            </w:pPr>
            <w:r w:rsidRPr="001C2BEA">
              <w:rPr>
                <w:lang w:eastAsia="en-AU"/>
              </w:rPr>
              <w:t>number</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keepNext/>
              <w:rPr>
                <w:lang w:eastAsia="en-AU"/>
              </w:rPr>
            </w:pPr>
            <w:r>
              <w:rPr>
                <w:lang w:eastAsia="en-AU"/>
              </w:rPr>
              <w:t>7</w:t>
            </w:r>
            <w:r w:rsidRPr="001C2BEA">
              <w:rPr>
                <w:lang w:eastAsia="en-AU"/>
              </w:rPr>
              <w:t>25</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Pr>
                <w:lang w:eastAsia="en-AU"/>
              </w:rPr>
              <w:t>1 165</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625</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903</w:t>
            </w:r>
          </w:p>
        </w:tc>
      </w:tr>
      <w:tr w:rsidR="00A53D7D" w:rsidRPr="001C2BEA" w:rsidTr="005140B4">
        <w:trPr>
          <w:cantSplit/>
        </w:trPr>
        <w:tc>
          <w:tcPr>
            <w:tcW w:w="7776" w:type="dxa"/>
            <w:gridSpan w:val="6"/>
            <w:tcBorders>
              <w:left w:val="nil"/>
              <w:bottom w:val="single" w:sz="6" w:space="0" w:color="auto"/>
              <w:right w:val="nil"/>
            </w:tcBorders>
            <w:shd w:val="clear" w:color="000000" w:fill="FFFFFF"/>
          </w:tcPr>
          <w:p w:rsidR="00A53D7D" w:rsidRDefault="00A53D7D" w:rsidP="005140B4">
            <w:pPr>
              <w:pStyle w:val="OGNotes"/>
            </w:pPr>
            <w:r>
              <w:t xml:space="preserve">The 2013-14 expected </w:t>
            </w:r>
            <w:proofErr w:type="gramStart"/>
            <w:r>
              <w:t>outcome</w:t>
            </w:r>
            <w:proofErr w:type="gramEnd"/>
            <w:r>
              <w:t xml:space="preserve"> is higher than the 2013-14 target due to greater participation in funded activities.</w:t>
            </w:r>
          </w:p>
          <w:p w:rsidR="00A53D7D" w:rsidRPr="001C2BEA" w:rsidRDefault="00A53D7D" w:rsidP="005140B4">
            <w:pPr>
              <w:pStyle w:val="OGNotes"/>
            </w:pPr>
            <w:r>
              <w:t xml:space="preserve">The 2014-15 </w:t>
            </w:r>
            <w:proofErr w:type="gramStart"/>
            <w:r>
              <w:t>target</w:t>
            </w:r>
            <w:proofErr w:type="gramEnd"/>
            <w:r>
              <w:t xml:space="preserve"> reflects an anticipated increase in participation in funded programs through the Women’s Economic Participation Agenda 2013</w:t>
            </w:r>
            <w:r>
              <w:noBreakHyphen/>
              <w:t>15.</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Quality</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Funded projects (any project or activity funded from the Office of Women</w:t>
            </w:r>
            <w:r>
              <w:rPr>
                <w:lang w:eastAsia="en-AU"/>
              </w:rPr>
              <w:t>’</w:t>
            </w:r>
            <w:r w:rsidRPr="001C2BEA">
              <w:rPr>
                <w:lang w:eastAsia="en-AU"/>
              </w:rPr>
              <w:t>s Affairs budget, including programs funded by Office of Women</w:t>
            </w:r>
            <w:r>
              <w:rPr>
                <w:lang w:eastAsia="en-AU"/>
              </w:rPr>
              <w:t>’</w:t>
            </w:r>
            <w:r w:rsidRPr="001C2BEA">
              <w:rPr>
                <w:lang w:eastAsia="en-AU"/>
              </w:rPr>
              <w:t xml:space="preserve">s Affairs but delivered in partnership with another agency or </w:t>
            </w:r>
            <w:r>
              <w:rPr>
                <w:lang w:eastAsia="en-AU"/>
              </w:rPr>
              <w:t>service) meet agreed project objectives</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90</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r>
      <w:tr w:rsidR="00A53D7D" w:rsidRPr="001C2BEA" w:rsidTr="005140B4">
        <w:trPr>
          <w:cantSplit/>
        </w:trPr>
        <w:tc>
          <w:tcPr>
            <w:tcW w:w="3155" w:type="dxa"/>
            <w:tcBorders>
              <w:top w:val="single" w:sz="6" w:space="0" w:color="auto"/>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Participant satisfaction with Office of Women</w:t>
            </w:r>
            <w:r>
              <w:rPr>
                <w:lang w:eastAsia="en-AU"/>
              </w:rPr>
              <w:t>’</w:t>
            </w:r>
            <w:r w:rsidRPr="001C2BEA">
              <w:rPr>
                <w:lang w:eastAsia="en-AU"/>
              </w:rPr>
              <w:t>s Affairs funded programs, projects and events</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single" w:sz="6" w:space="0" w:color="auto"/>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85</w:t>
            </w:r>
          </w:p>
        </w:tc>
        <w:tc>
          <w:tcPr>
            <w:tcW w:w="993"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92</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85</w:t>
            </w:r>
          </w:p>
        </w:tc>
        <w:tc>
          <w:tcPr>
            <w:tcW w:w="907" w:type="dxa"/>
            <w:tcBorders>
              <w:top w:val="single" w:sz="6" w:space="0" w:color="auto"/>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85</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C2BEA" w:rsidRDefault="00A53D7D" w:rsidP="005140B4">
            <w:pPr>
              <w:pStyle w:val="OGNotes"/>
            </w:pPr>
            <w:r w:rsidRPr="001C2BEA">
              <w:t>The 2013</w:t>
            </w:r>
            <w:r>
              <w:noBreakHyphen/>
            </w:r>
            <w:r w:rsidRPr="001C2BEA">
              <w:t xml:space="preserve">14 </w:t>
            </w:r>
            <w:r>
              <w:t>expected outcome</w:t>
            </w:r>
            <w:r w:rsidRPr="001C2BEA">
              <w:t xml:space="preserve"> is higher than the 2013</w:t>
            </w:r>
            <w:r>
              <w:noBreakHyphen/>
            </w:r>
            <w:r w:rsidRPr="001C2BEA">
              <w:t xml:space="preserve">14 </w:t>
            </w:r>
            <w:r>
              <w:t>target</w:t>
            </w:r>
            <w:r w:rsidRPr="001C2BEA">
              <w:t xml:space="preserve"> reflecting a </w:t>
            </w:r>
            <w:r>
              <w:t xml:space="preserve">focus on quality services. </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Timeliness</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Office of Women</w:t>
            </w:r>
            <w:r>
              <w:rPr>
                <w:lang w:eastAsia="en-AU"/>
              </w:rPr>
              <w:t>’</w:t>
            </w:r>
            <w:r w:rsidRPr="001C2BEA">
              <w:rPr>
                <w:lang w:eastAsia="en-AU"/>
              </w:rPr>
              <w:t>s Affairs Projects delivered within agreed timeframes</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90</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85</w:t>
            </w:r>
          </w:p>
        </w:tc>
      </w:tr>
      <w:tr w:rsidR="00A53D7D" w:rsidRPr="001C2BEA" w:rsidTr="005140B4">
        <w:trPr>
          <w:cantSplit/>
        </w:trPr>
        <w:tc>
          <w:tcPr>
            <w:tcW w:w="3155"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right w:val="nil"/>
            </w:tcBorders>
            <w:shd w:val="clear" w:color="000000" w:fill="FFFFFF"/>
            <w:hideMark/>
          </w:tcPr>
          <w:p w:rsidR="00A53D7D" w:rsidRPr="001C2BEA" w:rsidRDefault="00A53D7D" w:rsidP="005140B4">
            <w:pPr>
              <w:pStyle w:val="OGTabText"/>
              <w:rPr>
                <w:lang w:eastAsia="en-AU"/>
              </w:rPr>
            </w:pPr>
            <w:r w:rsidRPr="001C2BEA">
              <w:rPr>
                <w:lang w:eastAsia="en-AU"/>
              </w:rPr>
              <w:t>Total output cost</w:t>
            </w:r>
          </w:p>
        </w:tc>
        <w:tc>
          <w:tcPr>
            <w:tcW w:w="907" w:type="dxa"/>
            <w:tcBorders>
              <w:top w:val="nil"/>
              <w:left w:val="nil"/>
              <w:right w:val="nil"/>
            </w:tcBorders>
            <w:shd w:val="clear" w:color="000000" w:fill="FFFFFF"/>
            <w:hideMark/>
          </w:tcPr>
          <w:p w:rsidR="00A53D7D" w:rsidRPr="001C2BEA" w:rsidRDefault="00A53D7D" w:rsidP="005140B4">
            <w:pPr>
              <w:pStyle w:val="OGUoM"/>
              <w:rPr>
                <w:lang w:eastAsia="en-AU"/>
              </w:rPr>
            </w:pPr>
            <w:r w:rsidRPr="001C2BEA">
              <w:rPr>
                <w:lang w:eastAsia="en-AU"/>
              </w:rPr>
              <w:t>$</w:t>
            </w:r>
            <w:r>
              <w:rPr>
                <w:lang w:eastAsia="en-AU"/>
              </w:rPr>
              <w:t> m</w:t>
            </w:r>
            <w:r w:rsidRPr="001C2BEA">
              <w:rPr>
                <w:lang w:eastAsia="en-AU"/>
              </w:rPr>
              <w:t>illion</w:t>
            </w:r>
          </w:p>
        </w:tc>
        <w:tc>
          <w:tcPr>
            <w:tcW w:w="907" w:type="dxa"/>
            <w:tcBorders>
              <w:top w:val="nil"/>
              <w:left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6.4</w:t>
            </w:r>
          </w:p>
        </w:tc>
        <w:tc>
          <w:tcPr>
            <w:tcW w:w="993"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6.4</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7.1</w:t>
            </w:r>
          </w:p>
        </w:tc>
        <w:tc>
          <w:tcPr>
            <w:tcW w:w="907" w:type="dxa"/>
            <w:tcBorders>
              <w:top w:val="nil"/>
              <w:left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6.5</w:t>
            </w:r>
          </w:p>
        </w:tc>
      </w:tr>
      <w:tr w:rsidR="00A53D7D" w:rsidRPr="001C2BEA"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1C2BEA">
              <w:t>The 2013</w:t>
            </w:r>
            <w:r>
              <w:noBreakHyphen/>
            </w:r>
            <w:r w:rsidRPr="001C2BEA">
              <w:t xml:space="preserve">14 </w:t>
            </w:r>
            <w:r>
              <w:t>expected outcome</w:t>
            </w:r>
            <w:r w:rsidRPr="001C2BEA">
              <w:t xml:space="preserve"> is lower than the 2013</w:t>
            </w:r>
            <w:r>
              <w:noBreakHyphen/>
            </w:r>
            <w:r w:rsidRPr="001C2BEA">
              <w:t xml:space="preserve">14 </w:t>
            </w:r>
            <w:r>
              <w:t>target</w:t>
            </w:r>
            <w:r w:rsidRPr="001C2BEA">
              <w:t xml:space="preserve"> due to carry</w:t>
            </w:r>
            <w:r>
              <w:noBreakHyphen/>
            </w:r>
            <w:r w:rsidRPr="001C2BEA">
              <w:t>over of funding into 2014</w:t>
            </w:r>
            <w:r>
              <w:noBreakHyphen/>
            </w:r>
            <w:r w:rsidRPr="001C2BEA">
              <w:t xml:space="preserve">15. </w:t>
            </w:r>
          </w:p>
          <w:p w:rsidR="00A53D7D" w:rsidRPr="001C2BEA" w:rsidRDefault="00A53D7D" w:rsidP="005140B4">
            <w:pPr>
              <w:pStyle w:val="OGNotes"/>
            </w:pPr>
            <w:r w:rsidRPr="001C2BEA">
              <w:t>The lower 2014</w:t>
            </w:r>
            <w:r>
              <w:noBreakHyphen/>
            </w:r>
            <w:r w:rsidRPr="001C2BEA">
              <w:t xml:space="preserve">15 </w:t>
            </w:r>
            <w:r>
              <w:t>target</w:t>
            </w:r>
            <w:r w:rsidRPr="001C2BEA">
              <w:t xml:space="preserve"> reflects the completion of fixed</w:t>
            </w:r>
            <w:r>
              <w:noBreakHyphen/>
            </w:r>
            <w:r w:rsidRPr="001C2BEA">
              <w:t>term budget initiatives.</w:t>
            </w:r>
          </w:p>
        </w:tc>
      </w:tr>
      <w:tr w:rsidR="00A53D7D" w:rsidRPr="001C2BEA" w:rsidTr="005140B4">
        <w:trPr>
          <w:cantSplit/>
        </w:trPr>
        <w:tc>
          <w:tcPr>
            <w:tcW w:w="7776" w:type="dxa"/>
            <w:gridSpan w:val="6"/>
            <w:tcBorders>
              <w:top w:val="single" w:sz="6" w:space="0" w:color="auto"/>
              <w:left w:val="nil"/>
              <w:right w:val="nil"/>
            </w:tcBorders>
            <w:shd w:val="clear" w:color="auto" w:fill="auto"/>
            <w:vAlign w:val="bottom"/>
            <w:hideMark/>
          </w:tcPr>
          <w:p w:rsidR="00A53D7D" w:rsidRPr="001C2BEA" w:rsidRDefault="00A53D7D" w:rsidP="005140B4">
            <w:pPr>
              <w:pStyle w:val="OGHeading2"/>
              <w:rPr>
                <w:lang w:eastAsia="en-AU"/>
              </w:rPr>
            </w:pPr>
            <w:r w:rsidRPr="001C2BEA">
              <w:rPr>
                <w:lang w:eastAsia="en-AU"/>
              </w:rPr>
              <w:t>Youth Affairs</w:t>
            </w:r>
          </w:p>
        </w:tc>
      </w:tr>
      <w:tr w:rsidR="00A53D7D" w:rsidRPr="001C2BEA" w:rsidTr="005140B4">
        <w:trPr>
          <w:cantSplit/>
        </w:trPr>
        <w:tc>
          <w:tcPr>
            <w:tcW w:w="7776" w:type="dxa"/>
            <w:gridSpan w:val="6"/>
            <w:tcBorders>
              <w:left w:val="nil"/>
              <w:bottom w:val="single" w:sz="6" w:space="0" w:color="auto"/>
              <w:right w:val="nil"/>
            </w:tcBorders>
            <w:shd w:val="clear" w:color="auto" w:fill="auto"/>
            <w:vAlign w:val="bottom"/>
          </w:tcPr>
          <w:p w:rsidR="00A53D7D" w:rsidRDefault="00A53D7D" w:rsidP="005140B4">
            <w:pPr>
              <w:pStyle w:val="OGText"/>
              <w:rPr>
                <w:lang w:eastAsia="en-AU"/>
              </w:rPr>
            </w:pPr>
            <w:r w:rsidRPr="001C2BEA">
              <w:rPr>
                <w:lang w:eastAsia="en-AU"/>
              </w:rPr>
              <w:t xml:space="preserve">Youth Affairs leads and coordinates whole of government policy advice and delivers </w:t>
            </w:r>
            <w:r>
              <w:rPr>
                <w:lang w:eastAsia="en-AU"/>
              </w:rPr>
              <w:t xml:space="preserve">a range of initiatives for young people aged between 12 and 25 to gain a range of skills and experiences and to actively participate in their local communities. </w:t>
            </w:r>
          </w:p>
          <w:p w:rsidR="00A53D7D" w:rsidRPr="001C2BEA" w:rsidRDefault="00A53D7D" w:rsidP="005140B4">
            <w:pPr>
              <w:pStyle w:val="OGText"/>
              <w:rPr>
                <w:lang w:eastAsia="en-AU"/>
              </w:rPr>
            </w:pPr>
            <w:r>
              <w:rPr>
                <w:lang w:eastAsia="en-AU"/>
              </w:rPr>
              <w:t xml:space="preserve">This output supports the Department’s </w:t>
            </w:r>
            <w:r w:rsidRPr="001C2BEA">
              <w:rPr>
                <w:lang w:eastAsia="en-AU"/>
              </w:rPr>
              <w:t>capabilities and participation objective.</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Quantity</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Participation by young people in programs that provide opportunities to be involved in social and economic life in their communities</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200</w:t>
            </w:r>
            <w:r>
              <w:rPr>
                <w:lang w:eastAsia="en-AU"/>
              </w:rPr>
              <w:t> </w:t>
            </w:r>
            <w:r w:rsidRPr="001C2BEA">
              <w:rPr>
                <w:lang w:eastAsia="en-AU"/>
              </w:rPr>
              <w:t>000</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200</w:t>
            </w:r>
            <w:r>
              <w:rPr>
                <w:lang w:eastAsia="en-AU"/>
              </w:rPr>
              <w:t> </w:t>
            </w:r>
            <w:r w:rsidRPr="001C2BEA">
              <w:rPr>
                <w:lang w:eastAsia="en-AU"/>
              </w:rPr>
              <w:t>000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200</w:t>
            </w:r>
            <w:r>
              <w:rPr>
                <w:lang w:eastAsia="en-AU"/>
              </w:rPr>
              <w:t> </w:t>
            </w:r>
            <w:r w:rsidRPr="001C2BEA">
              <w:rPr>
                <w:lang w:eastAsia="en-AU"/>
              </w:rPr>
              <w:t>000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237</w:t>
            </w:r>
            <w:r>
              <w:rPr>
                <w:lang w:eastAsia="en-AU"/>
              </w:rPr>
              <w:t> </w:t>
            </w:r>
            <w:r w:rsidRPr="001C2BEA">
              <w:rPr>
                <w:lang w:eastAsia="en-AU"/>
              </w:rPr>
              <w:t>561</w:t>
            </w:r>
          </w:p>
        </w:tc>
      </w:tr>
      <w:tr w:rsidR="00A53D7D" w:rsidRPr="001C2BEA"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Participation by young people in programs that support young people to be involved in decision making in their community</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775</w:t>
            </w:r>
          </w:p>
        </w:tc>
        <w:tc>
          <w:tcPr>
            <w:tcW w:w="993"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775</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1</w:t>
            </w:r>
            <w:r>
              <w:rPr>
                <w:lang w:eastAsia="en-AU"/>
              </w:rPr>
              <w:t> </w:t>
            </w:r>
            <w:r w:rsidRPr="001C2BEA">
              <w:rPr>
                <w:lang w:eastAsia="en-AU"/>
              </w:rPr>
              <w:t>775</w:t>
            </w:r>
          </w:p>
        </w:tc>
        <w:tc>
          <w:tcPr>
            <w:tcW w:w="907" w:type="dxa"/>
            <w:tcBorders>
              <w:top w:val="single" w:sz="6" w:space="0" w:color="auto"/>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2</w:t>
            </w:r>
            <w:r>
              <w:rPr>
                <w:lang w:eastAsia="en-AU"/>
              </w:rPr>
              <w:t> </w:t>
            </w:r>
            <w:r w:rsidRPr="001C2BEA">
              <w:rPr>
                <w:lang w:eastAsia="en-AU"/>
              </w:rPr>
              <w:t>552</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Quality</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rPr>
                <w:lang w:eastAsia="en-AU"/>
              </w:rPr>
            </w:pPr>
            <w:r w:rsidRPr="001C2BEA">
              <w:rPr>
                <w:lang w:eastAsia="en-AU"/>
              </w:rPr>
              <w:t>Participants reporting development of transferrable skills that support education, training and vocational opportunities</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rPr>
                <w:lang w:eastAsia="en-AU"/>
              </w:rPr>
            </w:pPr>
            <w:r w:rsidRPr="001C2BEA">
              <w:rPr>
                <w:lang w:eastAsia="en-AU"/>
              </w:rPr>
              <w:t>per cent</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rPr>
                <w:lang w:eastAsia="en-AU"/>
              </w:rPr>
            </w:pPr>
            <w:r w:rsidRPr="001C2BEA">
              <w:rPr>
                <w:lang w:eastAsia="en-AU"/>
              </w:rPr>
              <w:t>75</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75</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75</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rPr>
                <w:lang w:eastAsia="en-AU"/>
              </w:rPr>
            </w:pPr>
            <w:r w:rsidRPr="001C2BEA">
              <w:rPr>
                <w:lang w:eastAsia="en-AU"/>
              </w:rPr>
              <w:t>97</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Timeliness</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keepNext/>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keepNext/>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keepNext/>
              <w:rPr>
                <w:lang w:eastAsia="en-AU"/>
              </w:rPr>
            </w:pPr>
          </w:p>
        </w:tc>
      </w:tr>
      <w:tr w:rsidR="00A53D7D" w:rsidRPr="001C2BEA" w:rsidTr="005140B4">
        <w:trPr>
          <w:cantSplit/>
        </w:trPr>
        <w:tc>
          <w:tcPr>
            <w:tcW w:w="3155" w:type="dxa"/>
            <w:tcBorders>
              <w:top w:val="nil"/>
              <w:left w:val="nil"/>
              <w:bottom w:val="single" w:sz="6" w:space="0" w:color="auto"/>
              <w:right w:val="nil"/>
            </w:tcBorders>
            <w:shd w:val="clear" w:color="000000" w:fill="FFFFFF"/>
            <w:hideMark/>
          </w:tcPr>
          <w:p w:rsidR="00A53D7D" w:rsidRPr="001C2BEA" w:rsidRDefault="00A53D7D" w:rsidP="005140B4">
            <w:pPr>
              <w:pStyle w:val="OGTabText"/>
              <w:keepNext/>
              <w:rPr>
                <w:lang w:eastAsia="en-AU"/>
              </w:rPr>
            </w:pPr>
            <w:r w:rsidRPr="001C2BEA">
              <w:rPr>
                <w:lang w:eastAsia="en-AU"/>
              </w:rPr>
              <w:t>Percentage of programs delivered within agreed timeframes</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UoM"/>
              <w:keepNext/>
              <w:rPr>
                <w:lang w:eastAsia="en-AU"/>
              </w:rPr>
            </w:pPr>
            <w:r w:rsidRPr="001C2BEA">
              <w:rPr>
                <w:lang w:eastAsia="en-AU"/>
              </w:rPr>
              <w:t>per cent</w:t>
            </w:r>
          </w:p>
        </w:tc>
        <w:tc>
          <w:tcPr>
            <w:tcW w:w="907" w:type="dxa"/>
            <w:tcBorders>
              <w:top w:val="nil"/>
              <w:left w:val="nil"/>
              <w:bottom w:val="single" w:sz="6" w:space="0" w:color="auto"/>
              <w:right w:val="nil"/>
            </w:tcBorders>
            <w:shd w:val="clear" w:color="auto" w:fill="D9D9D9"/>
            <w:hideMark/>
          </w:tcPr>
          <w:p w:rsidR="00A53D7D" w:rsidRPr="001C2BEA" w:rsidRDefault="00A53D7D" w:rsidP="005140B4">
            <w:pPr>
              <w:pStyle w:val="OGTableofFigures"/>
              <w:keepNext/>
              <w:rPr>
                <w:lang w:eastAsia="en-AU"/>
              </w:rPr>
            </w:pPr>
            <w:r w:rsidRPr="001C2BEA">
              <w:rPr>
                <w:lang w:eastAsia="en-AU"/>
              </w:rPr>
              <w:t>90</w:t>
            </w:r>
          </w:p>
        </w:tc>
        <w:tc>
          <w:tcPr>
            <w:tcW w:w="993"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90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90</w:t>
            </w:r>
          </w:p>
        </w:tc>
        <w:tc>
          <w:tcPr>
            <w:tcW w:w="907" w:type="dxa"/>
            <w:tcBorders>
              <w:top w:val="nil"/>
              <w:left w:val="nil"/>
              <w:bottom w:val="single" w:sz="6" w:space="0" w:color="auto"/>
              <w:right w:val="nil"/>
            </w:tcBorders>
            <w:shd w:val="clear" w:color="000000" w:fill="FFFFFF"/>
            <w:hideMark/>
          </w:tcPr>
          <w:p w:rsidR="00A53D7D" w:rsidRPr="001C2BEA" w:rsidRDefault="00A53D7D" w:rsidP="005140B4">
            <w:pPr>
              <w:pStyle w:val="OGTableofFigures"/>
              <w:keepNext/>
              <w:rPr>
                <w:lang w:eastAsia="en-AU"/>
              </w:rPr>
            </w:pPr>
            <w:r w:rsidRPr="001C2BEA">
              <w:rPr>
                <w:lang w:eastAsia="en-AU"/>
              </w:rPr>
              <w:t>98</w:t>
            </w:r>
          </w:p>
        </w:tc>
      </w:tr>
      <w:tr w:rsidR="00A53D7D" w:rsidRPr="001C2BEA" w:rsidTr="005140B4">
        <w:trPr>
          <w:cantSplit/>
        </w:trPr>
        <w:tc>
          <w:tcPr>
            <w:tcW w:w="3155" w:type="dxa"/>
            <w:tcBorders>
              <w:top w:val="single" w:sz="6" w:space="0" w:color="auto"/>
              <w:left w:val="nil"/>
              <w:right w:val="nil"/>
            </w:tcBorders>
            <w:shd w:val="clear" w:color="auto" w:fill="auto"/>
            <w:vAlign w:val="bottom"/>
            <w:hideMark/>
          </w:tcPr>
          <w:p w:rsidR="00A53D7D" w:rsidRPr="001C2BEA" w:rsidRDefault="00A53D7D" w:rsidP="005140B4">
            <w:pPr>
              <w:pStyle w:val="OGTabHead"/>
              <w:rPr>
                <w:lang w:eastAsia="en-AU"/>
              </w:rPr>
            </w:pPr>
            <w:r w:rsidRPr="001C2BEA">
              <w:rPr>
                <w:lang w:eastAsia="en-AU"/>
              </w:rPr>
              <w:t>Cost</w:t>
            </w: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1C2BEA"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1C2BEA" w:rsidRDefault="00A53D7D" w:rsidP="005140B4">
            <w:pPr>
              <w:pStyle w:val="OGTableofFigures"/>
              <w:rPr>
                <w:lang w:eastAsia="en-AU"/>
              </w:rPr>
            </w:pPr>
          </w:p>
        </w:tc>
      </w:tr>
      <w:tr w:rsidR="00A53D7D" w:rsidRPr="001C2BEA" w:rsidTr="005140B4">
        <w:trPr>
          <w:cantSplit/>
        </w:trPr>
        <w:tc>
          <w:tcPr>
            <w:tcW w:w="3155" w:type="dxa"/>
            <w:tcBorders>
              <w:top w:val="nil"/>
              <w:left w:val="nil"/>
              <w:bottom w:val="nil"/>
              <w:right w:val="nil"/>
            </w:tcBorders>
            <w:shd w:val="clear" w:color="000000" w:fill="FFFFFF"/>
            <w:hideMark/>
          </w:tcPr>
          <w:p w:rsidR="00A53D7D" w:rsidRPr="001C2BEA" w:rsidRDefault="00A53D7D" w:rsidP="005140B4">
            <w:pPr>
              <w:pStyle w:val="OGTabText"/>
              <w:rPr>
                <w:lang w:eastAsia="en-AU"/>
              </w:rPr>
            </w:pPr>
            <w:r w:rsidRPr="001C2BEA">
              <w:rPr>
                <w:lang w:eastAsia="en-AU"/>
              </w:rPr>
              <w:t>Total output cost</w:t>
            </w:r>
          </w:p>
        </w:tc>
        <w:tc>
          <w:tcPr>
            <w:tcW w:w="907" w:type="dxa"/>
            <w:tcBorders>
              <w:top w:val="nil"/>
              <w:left w:val="nil"/>
              <w:bottom w:val="nil"/>
              <w:right w:val="nil"/>
            </w:tcBorders>
            <w:shd w:val="clear" w:color="000000" w:fill="FFFFFF"/>
            <w:hideMark/>
          </w:tcPr>
          <w:p w:rsidR="00A53D7D" w:rsidRPr="001C2BEA" w:rsidRDefault="00A53D7D" w:rsidP="005140B4">
            <w:pPr>
              <w:pStyle w:val="OGUoM"/>
              <w:rPr>
                <w:lang w:eastAsia="en-AU"/>
              </w:rPr>
            </w:pPr>
            <w:r w:rsidRPr="001C2BEA">
              <w:rPr>
                <w:lang w:eastAsia="en-AU"/>
              </w:rPr>
              <w:t>$</w:t>
            </w:r>
            <w:r>
              <w:rPr>
                <w:lang w:eastAsia="en-AU"/>
              </w:rPr>
              <w:t> m</w:t>
            </w:r>
            <w:r w:rsidRPr="001C2BEA">
              <w:rPr>
                <w:lang w:eastAsia="en-AU"/>
              </w:rPr>
              <w:t>illion</w:t>
            </w:r>
          </w:p>
        </w:tc>
        <w:tc>
          <w:tcPr>
            <w:tcW w:w="907" w:type="dxa"/>
            <w:tcBorders>
              <w:top w:val="nil"/>
              <w:left w:val="nil"/>
              <w:bottom w:val="nil"/>
              <w:right w:val="nil"/>
            </w:tcBorders>
            <w:shd w:val="clear" w:color="auto" w:fill="D9D9D9"/>
            <w:hideMark/>
          </w:tcPr>
          <w:p w:rsidR="00A53D7D" w:rsidRPr="001C2BEA" w:rsidRDefault="00A53D7D" w:rsidP="005140B4">
            <w:pPr>
              <w:pStyle w:val="OGTableofFigures"/>
              <w:rPr>
                <w:lang w:eastAsia="en-AU"/>
              </w:rPr>
            </w:pPr>
            <w:r w:rsidRPr="001C2BEA">
              <w:rPr>
                <w:lang w:eastAsia="en-AU"/>
              </w:rPr>
              <w:t>14.7</w:t>
            </w:r>
          </w:p>
        </w:tc>
        <w:tc>
          <w:tcPr>
            <w:tcW w:w="993" w:type="dxa"/>
            <w:tcBorders>
              <w:top w:val="nil"/>
              <w:left w:val="nil"/>
              <w:bottom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17.4</w:t>
            </w:r>
          </w:p>
        </w:tc>
        <w:tc>
          <w:tcPr>
            <w:tcW w:w="907" w:type="dxa"/>
            <w:tcBorders>
              <w:top w:val="nil"/>
              <w:left w:val="nil"/>
              <w:bottom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17</w:t>
            </w:r>
          </w:p>
        </w:tc>
        <w:tc>
          <w:tcPr>
            <w:tcW w:w="907" w:type="dxa"/>
            <w:tcBorders>
              <w:top w:val="nil"/>
              <w:left w:val="nil"/>
              <w:bottom w:val="nil"/>
              <w:right w:val="nil"/>
            </w:tcBorders>
            <w:shd w:val="clear" w:color="000000" w:fill="FFFFFF"/>
            <w:hideMark/>
          </w:tcPr>
          <w:p w:rsidR="00A53D7D" w:rsidRPr="001C2BEA" w:rsidRDefault="00A53D7D" w:rsidP="005140B4">
            <w:pPr>
              <w:pStyle w:val="OGTableofFigures"/>
              <w:rPr>
                <w:lang w:eastAsia="en-AU"/>
              </w:rPr>
            </w:pPr>
            <w:r w:rsidRPr="001C2BEA">
              <w:rPr>
                <w:lang w:eastAsia="en-AU"/>
              </w:rPr>
              <w:t>16.2</w:t>
            </w:r>
          </w:p>
        </w:tc>
      </w:tr>
      <w:tr w:rsidR="00A53D7D" w:rsidRPr="001C2BEA" w:rsidTr="005140B4">
        <w:trPr>
          <w:cantSplit/>
        </w:trPr>
        <w:tc>
          <w:tcPr>
            <w:tcW w:w="7776" w:type="dxa"/>
            <w:gridSpan w:val="6"/>
            <w:tcBorders>
              <w:top w:val="nil"/>
              <w:left w:val="nil"/>
              <w:bottom w:val="single" w:sz="12" w:space="0" w:color="auto"/>
              <w:right w:val="nil"/>
            </w:tcBorders>
            <w:shd w:val="clear" w:color="000000" w:fill="FFFFFF"/>
          </w:tcPr>
          <w:p w:rsidR="00A53D7D" w:rsidRPr="003816EC" w:rsidRDefault="00A53D7D" w:rsidP="005140B4">
            <w:pPr>
              <w:pStyle w:val="OGNotes"/>
            </w:pPr>
            <w:r w:rsidRPr="003816EC">
              <w:t>The lower 2014</w:t>
            </w:r>
            <w:r>
              <w:noBreakHyphen/>
            </w:r>
            <w:r w:rsidRPr="003816EC">
              <w:t xml:space="preserve">15 </w:t>
            </w:r>
            <w:r>
              <w:t>target</w:t>
            </w:r>
            <w:r w:rsidRPr="003816EC">
              <w:t xml:space="preserve"> reflects the phasing of earlier budget allocations and timing of payments to providers. There are no reductions in service delivery as reflected in the above performance measures. </w:t>
            </w:r>
          </w:p>
        </w:tc>
      </w:tr>
    </w:tbl>
    <w:p w:rsidR="00A53D7D" w:rsidRDefault="00A53D7D" w:rsidP="005140B4">
      <w:pPr>
        <w:pStyle w:val="Source"/>
        <w:rPr>
          <w:lang w:eastAsia="en-AU"/>
        </w:rPr>
      </w:pPr>
      <w:r>
        <w:rPr>
          <w:lang w:eastAsia="en-AU"/>
        </w:rPr>
        <w:t>Source: Department of Human Services</w:t>
      </w:r>
      <w:r>
        <w:rPr>
          <w:lang w:eastAsia="en-AU"/>
        </w:rPr>
        <w:fldChar w:fldCharType="begin"/>
      </w:r>
      <w:r>
        <w:instrText xml:space="preserve"> XE "</w:instrText>
      </w:r>
      <w:r w:rsidRPr="005303B0">
        <w:rPr>
          <w:lang w:eastAsia="en-AU"/>
        </w:rPr>
        <w:instrText>Department of Human Services</w:instrText>
      </w:r>
      <w:r w:rsidRPr="005303B0">
        <w:instrText>:Empowering Individuals and Communities</w:instrText>
      </w:r>
      <w:r>
        <w:instrText xml:space="preserve">" \r "DHSEmpow" </w:instrText>
      </w:r>
      <w:r>
        <w:rPr>
          <w:lang w:eastAsia="en-AU"/>
        </w:rPr>
        <w:fldChar w:fldCharType="end"/>
      </w:r>
      <w:r>
        <w:rPr>
          <w:lang w:eastAsia="en-AU"/>
        </w:rPr>
        <w:fldChar w:fldCharType="begin"/>
      </w:r>
      <w:r>
        <w:instrText xml:space="preserve"> XE "</w:instrText>
      </w:r>
      <w:r w:rsidRPr="00C60C10">
        <w:rPr>
          <w:lang w:eastAsia="en-AU"/>
        </w:rPr>
        <w:instrText>Communities</w:instrText>
      </w:r>
      <w:r w:rsidRPr="00C60C10">
        <w:instrText>:Empowering Individuals and Communities</w:instrText>
      </w:r>
      <w:r>
        <w:instrText xml:space="preserve">" \r "DHSEmpow" </w:instrText>
      </w:r>
      <w:r>
        <w:rPr>
          <w:lang w:eastAsia="en-AU"/>
        </w:rPr>
        <w:fldChar w:fldCharType="end"/>
      </w:r>
    </w:p>
    <w:bookmarkEnd w:id="103"/>
    <w:p w:rsidR="00A53D7D" w:rsidRDefault="00A53D7D">
      <w:pPr>
        <w:spacing w:after="0"/>
        <w:rPr>
          <w:rFonts w:ascii="Calibri" w:hAnsi="Calibri"/>
          <w:sz w:val="20"/>
          <w:szCs w:val="18"/>
          <w:lang w:eastAsia="en-AU"/>
        </w:rPr>
      </w:pPr>
    </w:p>
    <w:p w:rsidR="00A53D7D" w:rsidRDefault="00A53D7D" w:rsidP="00497606"/>
    <w:p w:rsidR="00A53D7D" w:rsidRDefault="00A53D7D" w:rsidP="004463C6">
      <w:pPr>
        <w:sectPr w:rsidR="00A53D7D" w:rsidSect="003752D9">
          <w:footerReference w:type="even" r:id="rId29"/>
          <w:footerReference w:type="default" r:id="rId30"/>
          <w:pgSz w:w="9979" w:h="14181" w:code="138"/>
          <w:pgMar w:top="1140" w:right="1140" w:bottom="1140" w:left="1140" w:header="720" w:footer="431" w:gutter="0"/>
          <w:cols w:space="708"/>
          <w:docGrid w:linePitch="360"/>
        </w:sectPr>
      </w:pPr>
    </w:p>
    <w:p w:rsidR="00A53D7D" w:rsidRPr="00DE75F6" w:rsidRDefault="00A53D7D" w:rsidP="005140B4">
      <w:pPr>
        <w:pStyle w:val="Heading1"/>
      </w:pPr>
      <w:bookmarkStart w:id="104" w:name="_Toc386364078"/>
      <w:bookmarkStart w:id="105" w:name="_Toc386541220"/>
      <w:bookmarkStart w:id="106" w:name="_Toc407116912"/>
      <w:r w:rsidRPr="00DE75F6">
        <w:t>Department of Justice</w:t>
      </w:r>
      <w:bookmarkEnd w:id="104"/>
      <w:bookmarkEnd w:id="105"/>
      <w:bookmarkEnd w:id="106"/>
    </w:p>
    <w:p w:rsidR="00A53D7D" w:rsidRDefault="00A53D7D" w:rsidP="005140B4">
      <w:pPr>
        <w:pStyle w:val="Heading2"/>
      </w:pPr>
      <w:r>
        <w:t>Ministerial portfolios</w:t>
      </w:r>
    </w:p>
    <w:p w:rsidR="00A53D7D" w:rsidRDefault="00A53D7D" w:rsidP="005140B4">
      <w:r w:rsidRPr="00A90F8D">
        <w:t>The Department supports the ministerial portfolios of the Attorney</w:t>
      </w:r>
      <w:r>
        <w:noBreakHyphen/>
      </w:r>
      <w:r w:rsidRPr="00A90F8D">
        <w:t>General, Police and Emergency Services, Bushfire Response, Crime Prevention, Corrections, Consumer Affairs, Liquor and Gaming Regulation, and Racing.</w:t>
      </w:r>
    </w:p>
    <w:p w:rsidR="00A53D7D" w:rsidRDefault="00A53D7D" w:rsidP="005140B4">
      <w:pPr>
        <w:pStyle w:val="Heading2"/>
      </w:pPr>
      <w:r>
        <w:t>Departmental mission statement</w:t>
      </w:r>
    </w:p>
    <w:p w:rsidR="00A53D7D" w:rsidRDefault="00A53D7D" w:rsidP="005140B4">
      <w:r w:rsidRPr="00A90F8D">
        <w:t>The Department of Justice provides policy and organisational management focus for the vision of a safe, just, innovative and thriving Victoria, where the rule of law is upheld and rights and responsibilities are respected.</w:t>
      </w:r>
    </w:p>
    <w:p w:rsidR="00A53D7D" w:rsidRDefault="00A53D7D" w:rsidP="005140B4">
      <w:pPr>
        <w:pStyle w:val="Heading2"/>
      </w:pPr>
      <w:r>
        <w:t>Departmental objectives, indicators and outputs</w:t>
      </w:r>
    </w:p>
    <w:p w:rsidR="00A53D7D" w:rsidRDefault="00A53D7D" w:rsidP="005140B4">
      <w:r w:rsidRPr="00A90F8D">
        <w:t xml:space="preserve">The Department of Justice’s objectives, </w:t>
      </w:r>
      <w:proofErr w:type="gramStart"/>
      <w:r w:rsidRPr="00A90F8D">
        <w:t>indicators</w:t>
      </w:r>
      <w:proofErr w:type="gramEnd"/>
      <w:r w:rsidRPr="00A90F8D">
        <w:t xml:space="preserve"> and linked outputs are:</w:t>
      </w:r>
    </w:p>
    <w:tbl>
      <w:tblPr>
        <w:tblW w:w="7776" w:type="dxa"/>
        <w:tblInd w:w="29" w:type="dxa"/>
        <w:tblBorders>
          <w:insideH w:val="single" w:sz="6" w:space="0" w:color="auto"/>
        </w:tblBorders>
        <w:tblLayout w:type="fixed"/>
        <w:tblCellMar>
          <w:left w:w="43" w:type="dxa"/>
          <w:right w:w="43" w:type="dxa"/>
        </w:tblCellMar>
        <w:tblLook w:val="00A0" w:firstRow="1" w:lastRow="0" w:firstColumn="1" w:lastColumn="0" w:noHBand="0" w:noVBand="0"/>
      </w:tblPr>
      <w:tblGrid>
        <w:gridCol w:w="2592"/>
        <w:gridCol w:w="2592"/>
        <w:gridCol w:w="2592"/>
      </w:tblGrid>
      <w:tr w:rsidR="00A53D7D" w:rsidTr="005140B4">
        <w:trPr>
          <w:cantSplit/>
          <w:tblHeader/>
        </w:trPr>
        <w:tc>
          <w:tcPr>
            <w:tcW w:w="2592" w:type="dxa"/>
            <w:shd w:val="clear" w:color="auto" w:fill="000000"/>
          </w:tcPr>
          <w:p w:rsidR="00A53D7D" w:rsidRPr="00EC2CB7" w:rsidRDefault="00A53D7D" w:rsidP="005140B4">
            <w:pPr>
              <w:pStyle w:val="TabletextheadingLeft0"/>
            </w:pPr>
            <w:r w:rsidRPr="00EC2CB7">
              <w:rPr>
                <w:highlight w:val="black"/>
                <w:lang w:eastAsia="en-AU"/>
              </w:rPr>
              <w:t>Departmental objectives</w:t>
            </w:r>
          </w:p>
        </w:tc>
        <w:tc>
          <w:tcPr>
            <w:tcW w:w="2592" w:type="dxa"/>
            <w:shd w:val="clear" w:color="auto" w:fill="000000"/>
          </w:tcPr>
          <w:p w:rsidR="00A53D7D" w:rsidRPr="00EC2CB7" w:rsidRDefault="00A53D7D" w:rsidP="005140B4">
            <w:pPr>
              <w:pStyle w:val="TabletextheadingLeft0"/>
            </w:pPr>
            <w:r w:rsidRPr="00EC2CB7">
              <w:rPr>
                <w:highlight w:val="black"/>
                <w:lang w:eastAsia="en-AU"/>
              </w:rPr>
              <w:t>Indicators</w:t>
            </w:r>
          </w:p>
        </w:tc>
        <w:tc>
          <w:tcPr>
            <w:tcW w:w="2592" w:type="dxa"/>
            <w:shd w:val="clear" w:color="auto" w:fill="000000"/>
          </w:tcPr>
          <w:p w:rsidR="00A53D7D" w:rsidRPr="00EC2CB7" w:rsidRDefault="00A53D7D" w:rsidP="005140B4">
            <w:pPr>
              <w:pStyle w:val="TabletextheadingLeft0"/>
            </w:pPr>
            <w:r w:rsidRPr="00EC2CB7">
              <w:rPr>
                <w:highlight w:val="black"/>
                <w:lang w:eastAsia="en-AU"/>
              </w:rPr>
              <w:t>Outputs</w:t>
            </w:r>
          </w:p>
        </w:tc>
      </w:tr>
      <w:tr w:rsidR="00A53D7D" w:rsidTr="005140B4">
        <w:trPr>
          <w:cantSplit/>
        </w:trPr>
        <w:tc>
          <w:tcPr>
            <w:tcW w:w="2592" w:type="dxa"/>
          </w:tcPr>
          <w:p w:rsidR="00A53D7D" w:rsidRPr="00E0401B" w:rsidRDefault="00A53D7D" w:rsidP="005140B4">
            <w:pPr>
              <w:pStyle w:val="Tabletextnoindent"/>
            </w:pPr>
            <w:r w:rsidRPr="00E0401B">
              <w:t>Improving community safety through policing, law enforcement and prevention activities.</w:t>
            </w:r>
          </w:p>
        </w:tc>
        <w:tc>
          <w:tcPr>
            <w:tcW w:w="2592" w:type="dxa"/>
          </w:tcPr>
          <w:p w:rsidR="00A53D7D" w:rsidRPr="00E0401B" w:rsidRDefault="00A53D7D" w:rsidP="005140B4">
            <w:pPr>
              <w:pStyle w:val="Tabletextnoindent"/>
            </w:pPr>
            <w:r w:rsidRPr="00E0401B">
              <w:t>Community feelings of safety during the day</w:t>
            </w:r>
          </w:p>
          <w:p w:rsidR="00A53D7D" w:rsidRPr="00E0401B" w:rsidRDefault="00A53D7D" w:rsidP="005140B4">
            <w:pPr>
              <w:pStyle w:val="Tabletextnoindent"/>
            </w:pPr>
            <w:r w:rsidRPr="00E0401B">
              <w:t>Community feelings of safety during the night</w:t>
            </w:r>
          </w:p>
          <w:p w:rsidR="00A53D7D" w:rsidRPr="00E0401B" w:rsidRDefault="00A53D7D" w:rsidP="005140B4">
            <w:pPr>
              <w:pStyle w:val="Tabletextnoindent"/>
            </w:pPr>
            <w:r w:rsidRPr="00E0401B">
              <w:t>Road deaths (rate per 100 000 registered vehicles)</w:t>
            </w:r>
          </w:p>
        </w:tc>
        <w:tc>
          <w:tcPr>
            <w:tcW w:w="2592" w:type="dxa"/>
          </w:tcPr>
          <w:p w:rsidR="00A53D7D" w:rsidRPr="00E0401B" w:rsidRDefault="00A53D7D" w:rsidP="005140B4">
            <w:pPr>
              <w:pStyle w:val="Tabletextnoindent"/>
            </w:pPr>
            <w:r w:rsidRPr="00E0401B">
              <w:t>Policing Services</w:t>
            </w:r>
          </w:p>
          <w:p w:rsidR="00A53D7D" w:rsidRPr="00E0401B" w:rsidRDefault="00A53D7D" w:rsidP="005140B4">
            <w:pPr>
              <w:pStyle w:val="Tabletextnoindent"/>
            </w:pPr>
            <w:r w:rsidRPr="00E0401B">
              <w:t>Infringement and Orders Management</w:t>
            </w:r>
          </w:p>
          <w:p w:rsidR="00A53D7D" w:rsidRPr="00E0401B" w:rsidRDefault="00A53D7D" w:rsidP="005140B4">
            <w:pPr>
              <w:pStyle w:val="Tabletextnoindent"/>
            </w:pPr>
            <w:r w:rsidRPr="00E0401B">
              <w:t>Enhancing Community Safety</w:t>
            </w:r>
          </w:p>
        </w:tc>
      </w:tr>
      <w:tr w:rsidR="00A53D7D" w:rsidTr="005140B4">
        <w:trPr>
          <w:cantSplit/>
        </w:trPr>
        <w:tc>
          <w:tcPr>
            <w:tcW w:w="2592" w:type="dxa"/>
            <w:tcBorders>
              <w:bottom w:val="single" w:sz="6" w:space="0" w:color="auto"/>
            </w:tcBorders>
          </w:tcPr>
          <w:p w:rsidR="00A53D7D" w:rsidRPr="00E0401B" w:rsidRDefault="00A53D7D" w:rsidP="005140B4">
            <w:pPr>
              <w:pStyle w:val="Tabletextnoindent"/>
            </w:pPr>
            <w:r w:rsidRPr="00E0401B">
              <w:t>Supporting the rule of law.</w:t>
            </w:r>
          </w:p>
        </w:tc>
        <w:tc>
          <w:tcPr>
            <w:tcW w:w="2592" w:type="dxa"/>
            <w:tcBorders>
              <w:bottom w:val="single" w:sz="6" w:space="0" w:color="auto"/>
            </w:tcBorders>
          </w:tcPr>
          <w:p w:rsidR="00A53D7D" w:rsidRPr="00E0401B" w:rsidRDefault="00A53D7D" w:rsidP="005140B4">
            <w:pPr>
              <w:pStyle w:val="Tabletextnoindent"/>
            </w:pPr>
            <w:r w:rsidRPr="00E0401B">
              <w:t>Total finalisations (national ranking)</w:t>
            </w:r>
          </w:p>
          <w:p w:rsidR="00A53D7D" w:rsidRPr="00E0401B" w:rsidRDefault="00A53D7D" w:rsidP="005140B4">
            <w:pPr>
              <w:pStyle w:val="Tabletextnoindent"/>
            </w:pPr>
            <w:r w:rsidRPr="00E0401B">
              <w:t>Law reform projects completed</w:t>
            </w:r>
          </w:p>
        </w:tc>
        <w:tc>
          <w:tcPr>
            <w:tcW w:w="2592" w:type="dxa"/>
            <w:tcBorders>
              <w:bottom w:val="single" w:sz="6" w:space="0" w:color="auto"/>
            </w:tcBorders>
          </w:tcPr>
          <w:p w:rsidR="00A53D7D" w:rsidRPr="00E0401B" w:rsidRDefault="00A53D7D" w:rsidP="005140B4">
            <w:pPr>
              <w:pStyle w:val="Tabletextnoindent"/>
            </w:pPr>
            <w:r w:rsidRPr="00E0401B">
              <w:t>Access to Justice and Support Services</w:t>
            </w:r>
          </w:p>
          <w:p w:rsidR="00A53D7D" w:rsidRPr="00E0401B" w:rsidRDefault="00A53D7D" w:rsidP="005140B4">
            <w:pPr>
              <w:pStyle w:val="Tabletextnoindent"/>
            </w:pPr>
            <w:r w:rsidRPr="00E0401B">
              <w:t>Public Prosecutions</w:t>
            </w:r>
          </w:p>
        </w:tc>
      </w:tr>
      <w:tr w:rsidR="00A53D7D" w:rsidTr="005140B4">
        <w:trPr>
          <w:cantSplit/>
        </w:trPr>
        <w:tc>
          <w:tcPr>
            <w:tcW w:w="2592" w:type="dxa"/>
            <w:tcBorders>
              <w:top w:val="single" w:sz="6" w:space="0" w:color="auto"/>
              <w:bottom w:val="single" w:sz="6" w:space="0" w:color="auto"/>
            </w:tcBorders>
          </w:tcPr>
          <w:p w:rsidR="00A53D7D" w:rsidRPr="00E0401B" w:rsidRDefault="00A53D7D" w:rsidP="005140B4">
            <w:pPr>
              <w:pStyle w:val="Tabletextnoindent"/>
            </w:pPr>
            <w:r w:rsidRPr="00E0401B">
              <w:t>Protecting individual rights and encouraging community participation.</w:t>
            </w:r>
          </w:p>
        </w:tc>
        <w:tc>
          <w:tcPr>
            <w:tcW w:w="2592" w:type="dxa"/>
            <w:tcBorders>
              <w:top w:val="single" w:sz="6" w:space="0" w:color="auto"/>
              <w:bottom w:val="single" w:sz="6" w:space="0" w:color="auto"/>
            </w:tcBorders>
          </w:tcPr>
          <w:p w:rsidR="00A53D7D" w:rsidRPr="00E0401B" w:rsidRDefault="00A53D7D" w:rsidP="005140B4">
            <w:pPr>
              <w:pStyle w:val="Tabletextnoindent"/>
            </w:pPr>
            <w:r w:rsidRPr="00E0401B">
              <w:t>Percentage of complaints finalised within 12 months (Privacy and Victorian Equal Opportunity and Human Rights Commission)</w:t>
            </w:r>
          </w:p>
          <w:p w:rsidR="00A53D7D" w:rsidRPr="00E0401B" w:rsidRDefault="00A53D7D" w:rsidP="005140B4">
            <w:pPr>
              <w:pStyle w:val="Tabletextnoindent"/>
            </w:pPr>
            <w:r w:rsidRPr="00E0401B">
              <w:t>Accuracy of the births, deaths and marriages register</w:t>
            </w:r>
          </w:p>
          <w:p w:rsidR="00A53D7D" w:rsidRPr="00E0401B" w:rsidRDefault="00A53D7D" w:rsidP="005140B4">
            <w:pPr>
              <w:pStyle w:val="Tabletextnoindent"/>
            </w:pPr>
            <w:r w:rsidRPr="00E0401B">
              <w:t>Proportion of voters enrolled out of total eligible</w:t>
            </w:r>
          </w:p>
        </w:tc>
        <w:tc>
          <w:tcPr>
            <w:tcW w:w="2592" w:type="dxa"/>
            <w:tcBorders>
              <w:top w:val="single" w:sz="6" w:space="0" w:color="auto"/>
              <w:bottom w:val="single" w:sz="6" w:space="0" w:color="auto"/>
            </w:tcBorders>
          </w:tcPr>
          <w:p w:rsidR="00A53D7D" w:rsidRPr="00E0401B" w:rsidRDefault="00A53D7D" w:rsidP="005140B4">
            <w:pPr>
              <w:pStyle w:val="Tabletextnoindent"/>
            </w:pPr>
            <w:r w:rsidRPr="00E0401B">
              <w:t>Protecting Community Rights</w:t>
            </w:r>
          </w:p>
          <w:p w:rsidR="00A53D7D" w:rsidRPr="00E0401B" w:rsidRDefault="00A53D7D" w:rsidP="005140B4">
            <w:pPr>
              <w:pStyle w:val="Tabletextnoindent"/>
            </w:pPr>
            <w:r w:rsidRPr="00E0401B">
              <w:t>Privacy Regulation</w:t>
            </w:r>
          </w:p>
          <w:p w:rsidR="00A53D7D" w:rsidRPr="00E0401B" w:rsidRDefault="00A53D7D" w:rsidP="005140B4">
            <w:pPr>
              <w:pStyle w:val="Tabletextnoindent"/>
            </w:pPr>
            <w:r w:rsidRPr="00E0401B">
              <w:t>State Electoral Roll and Elections</w:t>
            </w:r>
          </w:p>
        </w:tc>
      </w:tr>
      <w:tr w:rsidR="00A53D7D" w:rsidTr="005140B4">
        <w:trPr>
          <w:cantSplit/>
        </w:trPr>
        <w:tc>
          <w:tcPr>
            <w:tcW w:w="2592" w:type="dxa"/>
            <w:tcBorders>
              <w:top w:val="single" w:sz="6" w:space="0" w:color="auto"/>
              <w:bottom w:val="single" w:sz="6" w:space="0" w:color="000000"/>
            </w:tcBorders>
          </w:tcPr>
          <w:p w:rsidR="00A53D7D" w:rsidRPr="00E0401B" w:rsidRDefault="00A53D7D" w:rsidP="005140B4">
            <w:pPr>
              <w:pStyle w:val="Tabletextnoindent"/>
            </w:pPr>
            <w:r w:rsidRPr="00E0401B">
              <w:t>Promoting community safety through effective management of prisoners and offenders and provision of opportunities for rehabilitation and reparation.</w:t>
            </w:r>
          </w:p>
        </w:tc>
        <w:tc>
          <w:tcPr>
            <w:tcW w:w="2592" w:type="dxa"/>
            <w:tcBorders>
              <w:top w:val="single" w:sz="6" w:space="0" w:color="auto"/>
              <w:bottom w:val="single" w:sz="6" w:space="0" w:color="000000"/>
            </w:tcBorders>
          </w:tcPr>
          <w:p w:rsidR="00A53D7D" w:rsidRPr="00A90F8D" w:rsidRDefault="00A53D7D" w:rsidP="005140B4">
            <w:pPr>
              <w:pStyle w:val="Tabletextnoindent"/>
            </w:pPr>
            <w:r w:rsidRPr="00A90F8D">
              <w:t>Escapes from secure perimeter, corrective facilities</w:t>
            </w:r>
          </w:p>
          <w:p w:rsidR="00A53D7D" w:rsidRPr="00E0401B" w:rsidRDefault="00A53D7D" w:rsidP="005140B4">
            <w:pPr>
              <w:pStyle w:val="Tabletextnoindent"/>
            </w:pPr>
            <w:r w:rsidRPr="00A90F8D">
              <w:t>Percentage of community corrections orders completed</w:t>
            </w:r>
          </w:p>
        </w:tc>
        <w:tc>
          <w:tcPr>
            <w:tcW w:w="2592" w:type="dxa"/>
            <w:tcBorders>
              <w:top w:val="single" w:sz="6" w:space="0" w:color="auto"/>
              <w:bottom w:val="single" w:sz="6" w:space="0" w:color="000000"/>
            </w:tcBorders>
          </w:tcPr>
          <w:p w:rsidR="00A53D7D" w:rsidRPr="00A90F8D" w:rsidRDefault="00A53D7D" w:rsidP="005140B4">
            <w:pPr>
              <w:pStyle w:val="Tabletextnoindent"/>
            </w:pPr>
            <w:r w:rsidRPr="00A90F8D">
              <w:t>Prisoner Supervision and Support</w:t>
            </w:r>
          </w:p>
          <w:p w:rsidR="00A53D7D" w:rsidRPr="00E0401B" w:rsidRDefault="00A53D7D" w:rsidP="005140B4">
            <w:pPr>
              <w:pStyle w:val="Tabletextnoindent"/>
            </w:pPr>
            <w:r w:rsidRPr="00A90F8D">
              <w:t>Community Based Offender Supervision</w:t>
            </w:r>
          </w:p>
        </w:tc>
      </w:tr>
      <w:tr w:rsidR="00A53D7D" w:rsidTr="005140B4">
        <w:trPr>
          <w:cantSplit/>
        </w:trPr>
        <w:tc>
          <w:tcPr>
            <w:tcW w:w="2592" w:type="dxa"/>
            <w:tcBorders>
              <w:top w:val="single" w:sz="6" w:space="0" w:color="000000"/>
              <w:bottom w:val="single" w:sz="6" w:space="0" w:color="auto"/>
            </w:tcBorders>
          </w:tcPr>
          <w:p w:rsidR="00A53D7D" w:rsidRPr="00E0401B" w:rsidRDefault="00A53D7D" w:rsidP="005140B4">
            <w:pPr>
              <w:pStyle w:val="Tabletextnoindent"/>
            </w:pPr>
            <w:r w:rsidRPr="00E0401B">
              <w:t>Minimising injury and property loss through a coordinated and integrated emergency response.</w:t>
            </w:r>
          </w:p>
        </w:tc>
        <w:tc>
          <w:tcPr>
            <w:tcW w:w="2592" w:type="dxa"/>
            <w:tcBorders>
              <w:top w:val="single" w:sz="6" w:space="0" w:color="000000"/>
              <w:bottom w:val="single" w:sz="6" w:space="0" w:color="auto"/>
            </w:tcBorders>
          </w:tcPr>
          <w:p w:rsidR="00A53D7D" w:rsidRPr="00E0401B" w:rsidRDefault="00A53D7D" w:rsidP="005140B4">
            <w:pPr>
              <w:pStyle w:val="Tabletextnoindent"/>
            </w:pPr>
            <w:r w:rsidRPr="00E0401B">
              <w:t>Property loss from structure fire (current year dollars per person)</w:t>
            </w:r>
          </w:p>
          <w:p w:rsidR="00A53D7D" w:rsidRPr="00E0401B" w:rsidRDefault="00A53D7D" w:rsidP="005140B4">
            <w:pPr>
              <w:pStyle w:val="Tabletextnoindent"/>
            </w:pPr>
            <w:r w:rsidRPr="00E0401B">
              <w:t>Rate of deaths from emergency events (per million people)</w:t>
            </w:r>
          </w:p>
        </w:tc>
        <w:tc>
          <w:tcPr>
            <w:tcW w:w="2592" w:type="dxa"/>
            <w:tcBorders>
              <w:top w:val="single" w:sz="6" w:space="0" w:color="000000"/>
              <w:bottom w:val="single" w:sz="6" w:space="0" w:color="auto"/>
            </w:tcBorders>
          </w:tcPr>
          <w:p w:rsidR="00A53D7D" w:rsidRPr="00E0401B" w:rsidRDefault="00A53D7D" w:rsidP="005140B4">
            <w:pPr>
              <w:pStyle w:val="Tabletextnoindent"/>
            </w:pPr>
            <w:r w:rsidRPr="00E0401B">
              <w:t xml:space="preserve">Emergency Management Capability </w:t>
            </w:r>
          </w:p>
        </w:tc>
      </w:tr>
      <w:tr w:rsidR="00A53D7D" w:rsidTr="005140B4">
        <w:trPr>
          <w:cantSplit/>
        </w:trPr>
        <w:tc>
          <w:tcPr>
            <w:tcW w:w="2592" w:type="dxa"/>
            <w:tcBorders>
              <w:top w:val="single" w:sz="6" w:space="0" w:color="auto"/>
            </w:tcBorders>
          </w:tcPr>
          <w:p w:rsidR="00A53D7D" w:rsidRPr="00E0401B" w:rsidRDefault="00A53D7D" w:rsidP="005140B4">
            <w:pPr>
              <w:pStyle w:val="Tabletextnoindent"/>
            </w:pPr>
            <w:r w:rsidRPr="00E0401B">
              <w:t xml:space="preserve">Promoting responsible industry behaviour and an informed community through effective regulation, education, </w:t>
            </w:r>
            <w:proofErr w:type="gramStart"/>
            <w:r w:rsidRPr="00E0401B">
              <w:t>monitoring</w:t>
            </w:r>
            <w:proofErr w:type="gramEnd"/>
            <w:r w:rsidRPr="00E0401B">
              <w:t xml:space="preserve"> and enforcement.</w:t>
            </w:r>
          </w:p>
        </w:tc>
        <w:tc>
          <w:tcPr>
            <w:tcW w:w="2592" w:type="dxa"/>
            <w:tcBorders>
              <w:top w:val="single" w:sz="6" w:space="0" w:color="auto"/>
            </w:tcBorders>
          </w:tcPr>
          <w:p w:rsidR="00A53D7D" w:rsidRPr="00E0401B" w:rsidRDefault="00A53D7D" w:rsidP="005140B4">
            <w:pPr>
              <w:pStyle w:val="Tabletextnoindent"/>
            </w:pPr>
            <w:r w:rsidRPr="00E0401B">
              <w:t>Percentage of licensed venues with rating that is greater than three stars</w:t>
            </w:r>
          </w:p>
          <w:p w:rsidR="00A53D7D" w:rsidRPr="00E0401B" w:rsidRDefault="00A53D7D" w:rsidP="005140B4">
            <w:pPr>
              <w:pStyle w:val="Tabletextnoindent"/>
            </w:pPr>
            <w:r w:rsidRPr="00E0401B">
              <w:t>Responsive Gamblers Help services</w:t>
            </w:r>
          </w:p>
          <w:p w:rsidR="00A53D7D" w:rsidRPr="00E0401B" w:rsidRDefault="00A53D7D" w:rsidP="005140B4">
            <w:pPr>
              <w:pStyle w:val="Tabletextnoindent"/>
            </w:pPr>
            <w:r w:rsidRPr="00E0401B">
              <w:t>Wagering turnover on Victorian racing as a proportion of the national market</w:t>
            </w:r>
          </w:p>
          <w:p w:rsidR="00A53D7D" w:rsidRPr="00E0401B" w:rsidRDefault="00A53D7D" w:rsidP="005140B4">
            <w:pPr>
              <w:pStyle w:val="Tabletextnoindent"/>
            </w:pPr>
            <w:r w:rsidRPr="00E0401B">
              <w:t>Supporting informed and responsible consumers and traders</w:t>
            </w:r>
          </w:p>
        </w:tc>
        <w:tc>
          <w:tcPr>
            <w:tcW w:w="2592" w:type="dxa"/>
            <w:tcBorders>
              <w:top w:val="single" w:sz="6" w:space="0" w:color="auto"/>
            </w:tcBorders>
          </w:tcPr>
          <w:p w:rsidR="00A53D7D" w:rsidRPr="00E0401B" w:rsidRDefault="00A53D7D" w:rsidP="005140B4">
            <w:pPr>
              <w:pStyle w:val="Tabletextnoindent"/>
            </w:pPr>
            <w:r w:rsidRPr="00E0401B">
              <w:t xml:space="preserve">Gambling and Liquor Regulation and Racing Industry Development </w:t>
            </w:r>
          </w:p>
          <w:p w:rsidR="00A53D7D" w:rsidRPr="00E0401B" w:rsidRDefault="00A53D7D" w:rsidP="005140B4">
            <w:pPr>
              <w:pStyle w:val="Tabletextnoindent"/>
            </w:pPr>
            <w:r w:rsidRPr="00E0401B">
              <w:t>Promoting and Protecting Consumer Interests</w:t>
            </w:r>
          </w:p>
        </w:tc>
      </w:tr>
      <w:tr w:rsidR="00A53D7D" w:rsidTr="005140B4">
        <w:trPr>
          <w:cantSplit/>
        </w:trPr>
        <w:tc>
          <w:tcPr>
            <w:tcW w:w="2592" w:type="dxa"/>
            <w:tcBorders>
              <w:bottom w:val="single" w:sz="12" w:space="0" w:color="auto"/>
            </w:tcBorders>
          </w:tcPr>
          <w:p w:rsidR="00A53D7D" w:rsidRPr="00E0401B" w:rsidRDefault="00A53D7D" w:rsidP="005140B4">
            <w:pPr>
              <w:pStyle w:val="Tabletextnoindent"/>
            </w:pPr>
            <w:r w:rsidRPr="00E0401B">
              <w:t>Promoting and monitoring integrity in the public sector.</w:t>
            </w:r>
          </w:p>
        </w:tc>
        <w:tc>
          <w:tcPr>
            <w:tcW w:w="2592" w:type="dxa"/>
            <w:tcBorders>
              <w:bottom w:val="single" w:sz="12" w:space="0" w:color="auto"/>
            </w:tcBorders>
          </w:tcPr>
          <w:p w:rsidR="00A53D7D" w:rsidRPr="00E0401B" w:rsidRDefault="00A53D7D" w:rsidP="005140B4">
            <w:pPr>
              <w:pStyle w:val="Tabletextnoindent"/>
            </w:pPr>
            <w:r w:rsidRPr="00E0401B">
              <w:t>Anti</w:t>
            </w:r>
            <w:r>
              <w:noBreakHyphen/>
            </w:r>
            <w:r w:rsidRPr="00E0401B">
              <w:t>corruption and Freedom of Information (FOI) education activities (FOI and IBAC)</w:t>
            </w:r>
          </w:p>
        </w:tc>
        <w:tc>
          <w:tcPr>
            <w:tcW w:w="2592" w:type="dxa"/>
            <w:tcBorders>
              <w:bottom w:val="single" w:sz="12" w:space="0" w:color="auto"/>
            </w:tcBorders>
          </w:tcPr>
          <w:p w:rsidR="00A53D7D" w:rsidRPr="00E0401B" w:rsidRDefault="00A53D7D" w:rsidP="005140B4">
            <w:pPr>
              <w:pStyle w:val="Tabletextnoindent"/>
            </w:pPr>
            <w:r w:rsidRPr="00E0401B">
              <w:t>Anti</w:t>
            </w:r>
            <w:r>
              <w:noBreakHyphen/>
            </w:r>
            <w:r w:rsidRPr="00E0401B">
              <w:t>corruption and Public Sector Integrity</w:t>
            </w:r>
          </w:p>
          <w:p w:rsidR="00A53D7D" w:rsidRPr="00E0401B" w:rsidRDefault="00A53D7D" w:rsidP="005140B4">
            <w:pPr>
              <w:pStyle w:val="Tabletextnoindent"/>
            </w:pPr>
            <w:r w:rsidRPr="00E0401B">
              <w:t>Freedom of Information Commissioner</w:t>
            </w:r>
          </w:p>
        </w:tc>
      </w:tr>
    </w:tbl>
    <w:p w:rsidR="00A53D7D" w:rsidRDefault="00A53D7D" w:rsidP="005140B4">
      <w:pPr>
        <w:pStyle w:val="Source"/>
      </w:pPr>
      <w:r w:rsidRPr="00A90F8D">
        <w:t>Source: Department of Justice</w:t>
      </w:r>
    </w:p>
    <w:p w:rsidR="004E7A50" w:rsidRPr="004E7A50" w:rsidRDefault="004E7A50" w:rsidP="004E7A50"/>
    <w:p w:rsidR="00A53D7D" w:rsidRDefault="00A53D7D" w:rsidP="005140B4">
      <w:pPr>
        <w:pStyle w:val="Heading2"/>
      </w:pPr>
      <w:r>
        <w:t>Changes to the output structure</w:t>
      </w:r>
    </w:p>
    <w:p w:rsidR="00A53D7D" w:rsidRDefault="00A53D7D" w:rsidP="005140B4">
      <w:r w:rsidRPr="00A90F8D">
        <w:t xml:space="preserve">The Department of Justice </w:t>
      </w:r>
      <w:r>
        <w:t>has made</w:t>
      </w:r>
      <w:r w:rsidRPr="00A90F8D">
        <w:t xml:space="preserve"> changes to its output structure for 2014</w:t>
      </w:r>
      <w:r>
        <w:noBreakHyphen/>
      </w:r>
      <w:r w:rsidRPr="00A90F8D">
        <w:t xml:space="preserve">15, as </w:t>
      </w:r>
      <w:r>
        <w:t>shown in the table below</w:t>
      </w:r>
      <w:r w:rsidRPr="00A90F8D">
        <w:t xml:space="preserve">. </w:t>
      </w:r>
    </w:p>
    <w:tbl>
      <w:tblPr>
        <w:tblW w:w="7776" w:type="dxa"/>
        <w:tblInd w:w="29" w:type="dxa"/>
        <w:tblBorders>
          <w:insideH w:val="single" w:sz="6" w:space="0" w:color="auto"/>
        </w:tblBorders>
        <w:tblLayout w:type="fixed"/>
        <w:tblCellMar>
          <w:left w:w="43" w:type="dxa"/>
          <w:right w:w="43" w:type="dxa"/>
        </w:tblCellMar>
        <w:tblLook w:val="00A0" w:firstRow="1" w:lastRow="0" w:firstColumn="1" w:lastColumn="0" w:noHBand="0" w:noVBand="0"/>
      </w:tblPr>
      <w:tblGrid>
        <w:gridCol w:w="2592"/>
        <w:gridCol w:w="2592"/>
        <w:gridCol w:w="2592"/>
      </w:tblGrid>
      <w:tr w:rsidR="00A53D7D" w:rsidTr="005140B4">
        <w:trPr>
          <w:cantSplit/>
          <w:tblHeader/>
        </w:trPr>
        <w:tc>
          <w:tcPr>
            <w:tcW w:w="2592" w:type="dxa"/>
            <w:tcBorders>
              <w:bottom w:val="single" w:sz="6" w:space="0" w:color="auto"/>
            </w:tcBorders>
            <w:shd w:val="clear" w:color="auto" w:fill="000000"/>
          </w:tcPr>
          <w:p w:rsidR="00A53D7D" w:rsidRPr="00AC6677" w:rsidRDefault="00A53D7D" w:rsidP="005140B4">
            <w:pPr>
              <w:pStyle w:val="TabletextheadingLeft0"/>
            </w:pPr>
            <w:r>
              <w:t>2013</w:t>
            </w:r>
            <w:r>
              <w:noBreakHyphen/>
            </w:r>
            <w:r w:rsidRPr="00AC6677">
              <w:t>14 outputs</w:t>
            </w:r>
          </w:p>
        </w:tc>
        <w:tc>
          <w:tcPr>
            <w:tcW w:w="2592" w:type="dxa"/>
            <w:tcBorders>
              <w:bottom w:val="single" w:sz="6" w:space="0" w:color="auto"/>
            </w:tcBorders>
            <w:shd w:val="clear" w:color="auto" w:fill="000000"/>
          </w:tcPr>
          <w:p w:rsidR="00A53D7D" w:rsidRPr="00AC6677" w:rsidRDefault="00A53D7D" w:rsidP="005140B4">
            <w:pPr>
              <w:pStyle w:val="TabletextheadingLeft0"/>
            </w:pPr>
            <w:r w:rsidRPr="00AC6677">
              <w:t>Reason</w:t>
            </w:r>
          </w:p>
        </w:tc>
        <w:tc>
          <w:tcPr>
            <w:tcW w:w="2592" w:type="dxa"/>
            <w:tcBorders>
              <w:bottom w:val="single" w:sz="6" w:space="0" w:color="auto"/>
            </w:tcBorders>
            <w:shd w:val="clear" w:color="auto" w:fill="000000"/>
          </w:tcPr>
          <w:p w:rsidR="00A53D7D" w:rsidRDefault="00A53D7D" w:rsidP="005140B4">
            <w:pPr>
              <w:pStyle w:val="TabletextheadingLeft0"/>
            </w:pPr>
            <w:r>
              <w:t>2014</w:t>
            </w:r>
            <w:r>
              <w:noBreakHyphen/>
            </w:r>
            <w:r w:rsidRPr="00AC6677">
              <w:t>15 outputs</w:t>
            </w:r>
          </w:p>
        </w:tc>
      </w:tr>
      <w:tr w:rsidR="00A53D7D" w:rsidTr="005140B4">
        <w:trPr>
          <w:cantSplit/>
        </w:trPr>
        <w:tc>
          <w:tcPr>
            <w:tcW w:w="2592" w:type="dxa"/>
            <w:tcBorders>
              <w:top w:val="single" w:sz="6" w:space="0" w:color="auto"/>
              <w:bottom w:val="single" w:sz="12" w:space="0" w:color="auto"/>
            </w:tcBorders>
          </w:tcPr>
          <w:p w:rsidR="00A53D7D" w:rsidRPr="00E0401B" w:rsidRDefault="00A53D7D" w:rsidP="005140B4">
            <w:pPr>
              <w:pStyle w:val="Tabletextnoindent"/>
            </w:pPr>
            <w:r>
              <w:t>Courts</w:t>
            </w:r>
          </w:p>
        </w:tc>
        <w:tc>
          <w:tcPr>
            <w:tcW w:w="2592" w:type="dxa"/>
            <w:tcBorders>
              <w:top w:val="single" w:sz="6" w:space="0" w:color="auto"/>
              <w:bottom w:val="single" w:sz="12" w:space="0" w:color="auto"/>
            </w:tcBorders>
          </w:tcPr>
          <w:p w:rsidR="00A53D7D" w:rsidRPr="00E0401B" w:rsidRDefault="00A53D7D" w:rsidP="005140B4">
            <w:pPr>
              <w:pStyle w:val="Tabletextnoindent"/>
            </w:pPr>
            <w:r w:rsidRPr="00A90F8D">
              <w:t xml:space="preserve">The </w:t>
            </w:r>
            <w:r w:rsidRPr="00A90F8D">
              <w:rPr>
                <w:i/>
              </w:rPr>
              <w:t>Court Services Victoria Act 2014</w:t>
            </w:r>
            <w:r w:rsidRPr="00A90F8D">
              <w:t xml:space="preserve"> establishes </w:t>
            </w:r>
            <w:r>
              <w:t>a</w:t>
            </w:r>
            <w:r w:rsidRPr="00A90F8D">
              <w:t xml:space="preserve"> new statutory entity </w:t>
            </w:r>
            <w:r>
              <w:t xml:space="preserve">which </w:t>
            </w:r>
            <w:r w:rsidRPr="00A90F8D">
              <w:t xml:space="preserve">will constitute a separate section of the </w:t>
            </w:r>
            <w:r w:rsidRPr="003338FA">
              <w:rPr>
                <w:i/>
              </w:rPr>
              <w:t>2014</w:t>
            </w:r>
            <w:r w:rsidRPr="003338FA">
              <w:rPr>
                <w:i/>
              </w:rPr>
              <w:noBreakHyphen/>
              <w:t>15 Budget</w:t>
            </w:r>
            <w:r w:rsidRPr="00A90F8D">
              <w:t xml:space="preserve"> for the Court</w:t>
            </w:r>
            <w:r>
              <w:t>s</w:t>
            </w:r>
            <w:r w:rsidRPr="00A90F8D">
              <w:t xml:space="preserve"> output</w:t>
            </w:r>
          </w:p>
        </w:tc>
        <w:tc>
          <w:tcPr>
            <w:tcW w:w="2592" w:type="dxa"/>
            <w:tcBorders>
              <w:top w:val="single" w:sz="6" w:space="0" w:color="auto"/>
              <w:bottom w:val="single" w:sz="12" w:space="0" w:color="auto"/>
            </w:tcBorders>
          </w:tcPr>
          <w:p w:rsidR="00A53D7D" w:rsidRPr="00E0401B" w:rsidRDefault="00D418A8" w:rsidP="005140B4">
            <w:pPr>
              <w:pStyle w:val="Tabletextnoindent"/>
            </w:pPr>
            <w:r>
              <w:t xml:space="preserve">  </w:t>
            </w:r>
            <w:proofErr w:type="spellStart"/>
            <w:r w:rsidR="00A53D7D">
              <w:t>na</w:t>
            </w:r>
            <w:proofErr w:type="spellEnd"/>
          </w:p>
        </w:tc>
      </w:tr>
    </w:tbl>
    <w:p w:rsidR="00A53D7D" w:rsidRPr="003338FA" w:rsidRDefault="00A53D7D" w:rsidP="005140B4">
      <w:pPr>
        <w:pStyle w:val="Source"/>
      </w:pPr>
      <w:r w:rsidRPr="00A644D0">
        <w:t>Source: Department of Justice</w:t>
      </w:r>
    </w:p>
    <w:p w:rsidR="00A53D7D" w:rsidRDefault="00A53D7D">
      <w:pPr>
        <w:spacing w:after="0"/>
        <w:rPr>
          <w:rFonts w:ascii="Calibri" w:hAnsi="Calibri"/>
          <w:b/>
        </w:rPr>
      </w:pPr>
      <w:r>
        <w:br w:type="page"/>
      </w:r>
    </w:p>
    <w:p w:rsidR="00A53D7D" w:rsidRDefault="00A53D7D" w:rsidP="005140B4">
      <w:pPr>
        <w:pStyle w:val="Tableheading"/>
      </w:pPr>
      <w:r>
        <w:t>Table 2.14:</w:t>
      </w:r>
      <w:r>
        <w:tab/>
        <w:t xml:space="preserve">Output summary </w:t>
      </w:r>
    </w:p>
    <w:p w:rsidR="00A53D7D" w:rsidRPr="007F7A89" w:rsidRDefault="00A53D7D" w:rsidP="005140B4">
      <w:pPr>
        <w:pStyle w:val="million"/>
      </w:pPr>
      <w:r>
        <w:t>($ million)</w:t>
      </w:r>
    </w:p>
    <w:tbl>
      <w:tblPr>
        <w:tblW w:w="7760" w:type="dxa"/>
        <w:tblInd w:w="29" w:type="dxa"/>
        <w:tblLayout w:type="fixed"/>
        <w:tblCellMar>
          <w:left w:w="43" w:type="dxa"/>
          <w:right w:w="43" w:type="dxa"/>
        </w:tblCellMar>
        <w:tblLook w:val="0000" w:firstRow="0" w:lastRow="0" w:firstColumn="0" w:lastColumn="0" w:noHBand="0" w:noVBand="0"/>
      </w:tblPr>
      <w:tblGrid>
        <w:gridCol w:w="3784"/>
        <w:gridCol w:w="994"/>
        <w:gridCol w:w="994"/>
        <w:gridCol w:w="994"/>
        <w:gridCol w:w="994"/>
      </w:tblGrid>
      <w:tr w:rsidR="00A53D7D" w:rsidRPr="007F7A89" w:rsidTr="005140B4">
        <w:tc>
          <w:tcPr>
            <w:tcW w:w="3784" w:type="dxa"/>
            <w:tcBorders>
              <w:top w:val="single" w:sz="6" w:space="0" w:color="000000"/>
              <w:left w:val="single" w:sz="6" w:space="0" w:color="000000"/>
              <w:bottom w:val="nil"/>
              <w:right w:val="nil"/>
            </w:tcBorders>
            <w:shd w:val="clear" w:color="auto" w:fill="000000"/>
          </w:tcPr>
          <w:p w:rsidR="00A53D7D" w:rsidRPr="007F7A89" w:rsidRDefault="00A53D7D" w:rsidP="005140B4">
            <w:pPr>
              <w:pStyle w:val="Tabletext"/>
              <w:rPr>
                <w:rFonts w:eastAsiaTheme="minorEastAsia"/>
                <w:lang w:eastAsia="en-AU"/>
              </w:rPr>
            </w:pPr>
          </w:p>
        </w:tc>
        <w:tc>
          <w:tcPr>
            <w:tcW w:w="994" w:type="dxa"/>
            <w:tcBorders>
              <w:top w:val="single" w:sz="6" w:space="0" w:color="000000"/>
              <w:left w:val="nil"/>
              <w:bottom w:val="nil"/>
              <w:right w:val="nil"/>
            </w:tcBorders>
            <w:shd w:val="clear" w:color="auto" w:fill="000000"/>
          </w:tcPr>
          <w:p w:rsidR="00A53D7D" w:rsidRPr="007F7A89" w:rsidRDefault="00A53D7D" w:rsidP="005140B4">
            <w:pPr>
              <w:pStyle w:val="Tabletextheading"/>
              <w:rPr>
                <w:rFonts w:eastAsiaTheme="minorEastAsia"/>
                <w:color w:val="FFFFFF"/>
                <w:lang w:eastAsia="en-AU"/>
              </w:rPr>
            </w:pPr>
            <w:r w:rsidRPr="007F7A89">
              <w:rPr>
                <w:rFonts w:eastAsiaTheme="minorEastAsia"/>
                <w:color w:val="FFFFFF"/>
                <w:lang w:eastAsia="en-AU"/>
              </w:rPr>
              <w:t>2013-14</w:t>
            </w:r>
          </w:p>
        </w:tc>
        <w:tc>
          <w:tcPr>
            <w:tcW w:w="994" w:type="dxa"/>
            <w:tcBorders>
              <w:top w:val="single" w:sz="6" w:space="0" w:color="000000"/>
              <w:left w:val="nil"/>
              <w:bottom w:val="nil"/>
              <w:right w:val="nil"/>
            </w:tcBorders>
            <w:shd w:val="clear" w:color="auto" w:fill="000000"/>
          </w:tcPr>
          <w:p w:rsidR="00A53D7D" w:rsidRPr="007F7A89" w:rsidRDefault="00A53D7D" w:rsidP="005140B4">
            <w:pPr>
              <w:pStyle w:val="Tabletextheading"/>
              <w:rPr>
                <w:rFonts w:eastAsiaTheme="minorEastAsia"/>
                <w:color w:val="FFFFFF"/>
                <w:lang w:eastAsia="en-AU"/>
              </w:rPr>
            </w:pPr>
            <w:r w:rsidRPr="007F7A89">
              <w:rPr>
                <w:rFonts w:eastAsiaTheme="minorEastAsia"/>
                <w:color w:val="FFFFFF"/>
                <w:lang w:eastAsia="en-AU"/>
              </w:rPr>
              <w:t>2013-14</w:t>
            </w:r>
          </w:p>
        </w:tc>
        <w:tc>
          <w:tcPr>
            <w:tcW w:w="994" w:type="dxa"/>
            <w:tcBorders>
              <w:top w:val="single" w:sz="6" w:space="0" w:color="000000"/>
              <w:left w:val="nil"/>
              <w:bottom w:val="nil"/>
              <w:right w:val="nil"/>
            </w:tcBorders>
            <w:shd w:val="clear" w:color="auto" w:fill="000000"/>
          </w:tcPr>
          <w:p w:rsidR="00A53D7D" w:rsidRPr="007F7A89" w:rsidRDefault="00A53D7D" w:rsidP="005140B4">
            <w:pPr>
              <w:pStyle w:val="Tabletextheading"/>
              <w:rPr>
                <w:rFonts w:eastAsiaTheme="minorEastAsia"/>
                <w:color w:val="FFFFFF"/>
                <w:lang w:eastAsia="en-AU"/>
              </w:rPr>
            </w:pPr>
            <w:r w:rsidRPr="007F7A89">
              <w:rPr>
                <w:rFonts w:eastAsiaTheme="minorEastAsia"/>
                <w:color w:val="FFFFFF"/>
                <w:lang w:eastAsia="en-AU"/>
              </w:rPr>
              <w:t>2014-15</w:t>
            </w:r>
          </w:p>
        </w:tc>
        <w:tc>
          <w:tcPr>
            <w:tcW w:w="994" w:type="dxa"/>
            <w:tcBorders>
              <w:top w:val="single" w:sz="6" w:space="0" w:color="000000"/>
              <w:left w:val="nil"/>
              <w:bottom w:val="nil"/>
              <w:right w:val="single" w:sz="6" w:space="0" w:color="000000"/>
            </w:tcBorders>
            <w:shd w:val="clear" w:color="auto" w:fill="000000"/>
          </w:tcPr>
          <w:p w:rsidR="00A53D7D" w:rsidRPr="007F7A89" w:rsidRDefault="00A53D7D" w:rsidP="005140B4">
            <w:pPr>
              <w:pStyle w:val="Tabletextheading"/>
              <w:rPr>
                <w:rFonts w:eastAsiaTheme="minorEastAsia"/>
                <w:color w:val="FFFFFF"/>
                <w:vertAlign w:val="superscript"/>
                <w:lang w:eastAsia="en-AU"/>
              </w:rPr>
            </w:pPr>
            <w:r w:rsidRPr="007F7A89">
              <w:rPr>
                <w:rFonts w:eastAsiaTheme="minorEastAsia"/>
                <w:color w:val="FFFFFF"/>
                <w:lang w:eastAsia="en-AU"/>
              </w:rPr>
              <w:t>Variation</w:t>
            </w:r>
            <w:r w:rsidRPr="007F7A89">
              <w:rPr>
                <w:rFonts w:eastAsiaTheme="minorEastAsia"/>
                <w:color w:val="FFFFFF"/>
                <w:vertAlign w:val="superscript"/>
                <w:lang w:eastAsia="en-AU"/>
              </w:rPr>
              <w:t>(a)</w:t>
            </w:r>
          </w:p>
        </w:tc>
      </w:tr>
      <w:tr w:rsidR="00A53D7D" w:rsidRPr="007F7A89" w:rsidTr="005140B4">
        <w:tc>
          <w:tcPr>
            <w:tcW w:w="3784" w:type="dxa"/>
            <w:tcBorders>
              <w:top w:val="nil"/>
              <w:left w:val="single" w:sz="6" w:space="0" w:color="000000"/>
              <w:bottom w:val="single" w:sz="6" w:space="0" w:color="000000"/>
              <w:right w:val="nil"/>
            </w:tcBorders>
            <w:shd w:val="clear" w:color="auto" w:fill="000000"/>
          </w:tcPr>
          <w:p w:rsidR="00A53D7D" w:rsidRPr="007F7A89" w:rsidRDefault="00A53D7D" w:rsidP="005140B4">
            <w:pPr>
              <w:pStyle w:val="Tabletext"/>
              <w:rPr>
                <w:rFonts w:eastAsiaTheme="minorEastAsia"/>
                <w:lang w:eastAsia="en-AU"/>
              </w:rPr>
            </w:pPr>
          </w:p>
        </w:tc>
        <w:tc>
          <w:tcPr>
            <w:tcW w:w="994" w:type="dxa"/>
            <w:tcBorders>
              <w:top w:val="nil"/>
              <w:left w:val="nil"/>
              <w:bottom w:val="single" w:sz="6" w:space="0" w:color="000000"/>
              <w:right w:val="nil"/>
            </w:tcBorders>
            <w:shd w:val="clear" w:color="auto" w:fill="000000"/>
          </w:tcPr>
          <w:p w:rsidR="00A53D7D" w:rsidRPr="007F7A89" w:rsidRDefault="00A53D7D" w:rsidP="005140B4">
            <w:pPr>
              <w:pStyle w:val="Tabletextheading"/>
              <w:rPr>
                <w:rFonts w:eastAsiaTheme="minorEastAsia"/>
                <w:color w:val="FFFFFF"/>
                <w:lang w:eastAsia="en-AU"/>
              </w:rPr>
            </w:pPr>
            <w:r w:rsidRPr="007F7A89">
              <w:rPr>
                <w:rFonts w:eastAsiaTheme="minorEastAsia"/>
                <w:color w:val="FFFFFF"/>
                <w:lang w:eastAsia="en-AU"/>
              </w:rPr>
              <w:t>Budget</w:t>
            </w:r>
          </w:p>
        </w:tc>
        <w:tc>
          <w:tcPr>
            <w:tcW w:w="994" w:type="dxa"/>
            <w:tcBorders>
              <w:top w:val="nil"/>
              <w:left w:val="nil"/>
              <w:bottom w:val="single" w:sz="6" w:space="0" w:color="000000"/>
              <w:right w:val="nil"/>
            </w:tcBorders>
            <w:shd w:val="clear" w:color="auto" w:fill="000000"/>
          </w:tcPr>
          <w:p w:rsidR="00A53D7D" w:rsidRPr="007F7A89" w:rsidRDefault="00A53D7D" w:rsidP="005140B4">
            <w:pPr>
              <w:pStyle w:val="Tabletextheading"/>
              <w:rPr>
                <w:rFonts w:eastAsiaTheme="minorEastAsia"/>
                <w:color w:val="FFFFFF"/>
                <w:lang w:eastAsia="en-AU"/>
              </w:rPr>
            </w:pPr>
            <w:r w:rsidRPr="007F7A89">
              <w:rPr>
                <w:rFonts w:eastAsiaTheme="minorEastAsia"/>
                <w:color w:val="FFFFFF"/>
                <w:lang w:eastAsia="en-AU"/>
              </w:rPr>
              <w:t>Revised</w:t>
            </w:r>
          </w:p>
        </w:tc>
        <w:tc>
          <w:tcPr>
            <w:tcW w:w="994" w:type="dxa"/>
            <w:tcBorders>
              <w:top w:val="nil"/>
              <w:left w:val="nil"/>
              <w:bottom w:val="single" w:sz="6" w:space="0" w:color="000000"/>
              <w:right w:val="nil"/>
            </w:tcBorders>
            <w:shd w:val="clear" w:color="auto" w:fill="000000"/>
          </w:tcPr>
          <w:p w:rsidR="00A53D7D" w:rsidRPr="007F7A89" w:rsidRDefault="00A53D7D" w:rsidP="005140B4">
            <w:pPr>
              <w:pStyle w:val="Tabletextheading"/>
              <w:rPr>
                <w:rFonts w:eastAsiaTheme="minorEastAsia"/>
                <w:color w:val="FFFFFF" w:themeColor="background1"/>
                <w:vertAlign w:val="superscript"/>
                <w:lang w:eastAsia="en-AU"/>
              </w:rPr>
            </w:pPr>
            <w:r w:rsidRPr="007F7A89">
              <w:rPr>
                <w:rFonts w:eastAsiaTheme="minorEastAsia"/>
                <w:color w:val="FFFFFF"/>
                <w:lang w:eastAsia="en-AU"/>
              </w:rPr>
              <w:t>Budget</w:t>
            </w:r>
          </w:p>
        </w:tc>
        <w:tc>
          <w:tcPr>
            <w:tcW w:w="994" w:type="dxa"/>
            <w:tcBorders>
              <w:top w:val="nil"/>
              <w:left w:val="nil"/>
              <w:bottom w:val="single" w:sz="6" w:space="0" w:color="000000"/>
              <w:right w:val="single" w:sz="6" w:space="0" w:color="000000"/>
            </w:tcBorders>
            <w:shd w:val="clear" w:color="auto" w:fill="000000"/>
          </w:tcPr>
          <w:p w:rsidR="00A53D7D" w:rsidRPr="007F7A89" w:rsidRDefault="00A53D7D" w:rsidP="005140B4">
            <w:pPr>
              <w:pStyle w:val="Tabletextheading"/>
              <w:rPr>
                <w:rFonts w:eastAsiaTheme="minorEastAsia"/>
                <w:color w:val="FFFFFF"/>
                <w:lang w:eastAsia="en-AU"/>
              </w:rPr>
            </w:pPr>
            <w:r w:rsidRPr="007F7A89">
              <w:rPr>
                <w:rFonts w:eastAsiaTheme="minorEastAsia"/>
                <w:color w:val="FFFFFF"/>
                <w:lang w:eastAsia="en-AU"/>
              </w:rPr>
              <w:t>%</w:t>
            </w:r>
          </w:p>
        </w:tc>
      </w:tr>
      <w:tr w:rsidR="00A53D7D" w:rsidRPr="007F7A89" w:rsidTr="005140B4">
        <w:tc>
          <w:tcPr>
            <w:tcW w:w="3784" w:type="dxa"/>
            <w:tcBorders>
              <w:top w:val="single" w:sz="6" w:space="0" w:color="000000"/>
              <w:left w:val="nil"/>
              <w:bottom w:val="nil"/>
              <w:right w:val="nil"/>
            </w:tcBorders>
          </w:tcPr>
          <w:p w:rsidR="00A53D7D" w:rsidRPr="007F7A89" w:rsidRDefault="00A53D7D" w:rsidP="005140B4">
            <w:pPr>
              <w:pStyle w:val="Tabletext"/>
              <w:rPr>
                <w:rFonts w:eastAsiaTheme="minorEastAsia"/>
                <w:lang w:eastAsia="en-AU"/>
              </w:rPr>
            </w:pPr>
            <w:r w:rsidRPr="007F7A89">
              <w:rPr>
                <w:rFonts w:eastAsiaTheme="minorEastAsia"/>
                <w:lang w:eastAsia="en-AU"/>
              </w:rPr>
              <w:t>Policing</w:t>
            </w:r>
          </w:p>
        </w:tc>
        <w:tc>
          <w:tcPr>
            <w:tcW w:w="994" w:type="dxa"/>
            <w:tcBorders>
              <w:top w:val="single" w:sz="6" w:space="0" w:color="000000"/>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2 282.7</w:t>
            </w:r>
          </w:p>
        </w:tc>
        <w:tc>
          <w:tcPr>
            <w:tcW w:w="994" w:type="dxa"/>
            <w:tcBorders>
              <w:top w:val="single" w:sz="6" w:space="0" w:color="000000"/>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2</w:t>
            </w:r>
            <w:r w:rsidRPr="007F7A89">
              <w:rPr>
                <w:rFonts w:eastAsiaTheme="minorEastAsia" w:cs="Calibri"/>
                <w:color w:val="000000"/>
                <w:lang w:eastAsia="en-AU"/>
              </w:rPr>
              <w:t xml:space="preserve"> 325.9</w:t>
            </w:r>
          </w:p>
        </w:tc>
        <w:tc>
          <w:tcPr>
            <w:tcW w:w="994" w:type="dxa"/>
            <w:tcBorders>
              <w:top w:val="single" w:sz="6" w:space="0" w:color="000000"/>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2</w:t>
            </w:r>
            <w:r w:rsidRPr="007F7A89">
              <w:rPr>
                <w:rFonts w:eastAsiaTheme="minorEastAsia" w:cs="Calibri"/>
                <w:color w:val="000000"/>
                <w:lang w:eastAsia="en-AU"/>
              </w:rPr>
              <w:t xml:space="preserve"> 434.6</w:t>
            </w:r>
          </w:p>
        </w:tc>
        <w:tc>
          <w:tcPr>
            <w:tcW w:w="994" w:type="dxa"/>
            <w:tcBorders>
              <w:top w:val="single" w:sz="6" w:space="0" w:color="000000"/>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6.7</w:t>
            </w:r>
          </w:p>
        </w:tc>
      </w:tr>
      <w:tr w:rsidR="00A53D7D" w:rsidRPr="007F7A89" w:rsidTr="005140B4">
        <w:tc>
          <w:tcPr>
            <w:tcW w:w="3784" w:type="dxa"/>
            <w:tcBorders>
              <w:top w:val="nil"/>
              <w:left w:val="nil"/>
              <w:bottom w:val="nil"/>
              <w:right w:val="nil"/>
            </w:tcBorders>
          </w:tcPr>
          <w:p w:rsidR="00A53D7D" w:rsidRPr="007F7A89" w:rsidRDefault="00A53D7D" w:rsidP="005140B4">
            <w:pPr>
              <w:pStyle w:val="Tabletext"/>
              <w:rPr>
                <w:rFonts w:eastAsiaTheme="minorEastAsia"/>
                <w:lang w:eastAsia="en-AU"/>
              </w:rPr>
            </w:pPr>
            <w:r w:rsidRPr="007F7A89">
              <w:rPr>
                <w:rFonts w:eastAsiaTheme="minorEastAsia"/>
                <w:lang w:eastAsia="en-AU"/>
              </w:rPr>
              <w:t>Infringements and Enhancing Community Safety</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252.7</w:t>
            </w:r>
          </w:p>
        </w:tc>
        <w:tc>
          <w:tcPr>
            <w:tcW w:w="994" w:type="dxa"/>
            <w:tcBorders>
              <w:top w:val="nil"/>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247.1</w:t>
            </w:r>
          </w:p>
        </w:tc>
        <w:tc>
          <w:tcPr>
            <w:tcW w:w="994" w:type="dxa"/>
            <w:tcBorders>
              <w:top w:val="nil"/>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259.5</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2.7</w:t>
            </w:r>
          </w:p>
        </w:tc>
      </w:tr>
      <w:tr w:rsidR="00A53D7D" w:rsidRPr="007F7A89" w:rsidTr="005140B4">
        <w:tc>
          <w:tcPr>
            <w:tcW w:w="3784" w:type="dxa"/>
            <w:tcBorders>
              <w:top w:val="nil"/>
              <w:left w:val="nil"/>
              <w:bottom w:val="nil"/>
              <w:right w:val="nil"/>
            </w:tcBorders>
          </w:tcPr>
          <w:p w:rsidR="00A53D7D" w:rsidRPr="007F7A89" w:rsidRDefault="00A53D7D" w:rsidP="005140B4">
            <w:pPr>
              <w:pStyle w:val="Tabletext"/>
              <w:rPr>
                <w:rFonts w:eastAsiaTheme="minorEastAsia"/>
                <w:lang w:eastAsia="en-AU"/>
              </w:rPr>
            </w:pPr>
            <w:r w:rsidRPr="007F7A89">
              <w:rPr>
                <w:rFonts w:eastAsiaTheme="minorEastAsia"/>
                <w:lang w:eastAsia="en-AU"/>
              </w:rPr>
              <w:t>Supporting Legal Processes and Law Reform</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329.7</w:t>
            </w:r>
          </w:p>
        </w:tc>
        <w:tc>
          <w:tcPr>
            <w:tcW w:w="994" w:type="dxa"/>
            <w:tcBorders>
              <w:top w:val="nil"/>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344.7</w:t>
            </w:r>
          </w:p>
        </w:tc>
        <w:tc>
          <w:tcPr>
            <w:tcW w:w="994" w:type="dxa"/>
            <w:tcBorders>
              <w:top w:val="nil"/>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333.6</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1.2</w:t>
            </w:r>
          </w:p>
        </w:tc>
      </w:tr>
      <w:tr w:rsidR="00A53D7D" w:rsidRPr="007F7A89" w:rsidTr="005140B4">
        <w:tc>
          <w:tcPr>
            <w:tcW w:w="3784" w:type="dxa"/>
            <w:tcBorders>
              <w:top w:val="nil"/>
              <w:left w:val="nil"/>
              <w:bottom w:val="nil"/>
              <w:right w:val="nil"/>
            </w:tcBorders>
          </w:tcPr>
          <w:p w:rsidR="00A53D7D" w:rsidRPr="007F7A89" w:rsidRDefault="00A53D7D" w:rsidP="005140B4">
            <w:pPr>
              <w:pStyle w:val="Tabletext"/>
              <w:rPr>
                <w:rFonts w:eastAsiaTheme="minorEastAsia" w:cs="Calibri"/>
                <w:color w:val="000000"/>
                <w:lang w:eastAsia="en-AU"/>
              </w:rPr>
            </w:pPr>
            <w:r w:rsidRPr="007F7A89">
              <w:rPr>
                <w:rFonts w:eastAsiaTheme="minorEastAsia"/>
                <w:lang w:eastAsia="en-AU"/>
              </w:rPr>
              <w:t>Personal Identity, Individual Rights and Participation</w:t>
            </w:r>
            <w:r w:rsidRPr="007F7A89">
              <w:rPr>
                <w:rFonts w:eastAsiaTheme="minorEastAsia" w:cs="Calibri"/>
                <w:color w:val="000000"/>
                <w:lang w:eastAsia="en-AU"/>
              </w:rPr>
              <w:t xml:space="preserve"> in Civic Life</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65.6</w:t>
            </w:r>
          </w:p>
        </w:tc>
        <w:tc>
          <w:tcPr>
            <w:tcW w:w="994" w:type="dxa"/>
            <w:tcBorders>
              <w:top w:val="nil"/>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69.7</w:t>
            </w:r>
          </w:p>
        </w:tc>
        <w:tc>
          <w:tcPr>
            <w:tcW w:w="994" w:type="dxa"/>
            <w:tcBorders>
              <w:top w:val="nil"/>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109.5</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66.9</w:t>
            </w:r>
          </w:p>
        </w:tc>
      </w:tr>
      <w:tr w:rsidR="00A53D7D" w:rsidRPr="007F7A89" w:rsidTr="005140B4">
        <w:tc>
          <w:tcPr>
            <w:tcW w:w="3784" w:type="dxa"/>
            <w:tcBorders>
              <w:top w:val="nil"/>
              <w:left w:val="nil"/>
              <w:bottom w:val="nil"/>
              <w:right w:val="nil"/>
            </w:tcBorders>
          </w:tcPr>
          <w:p w:rsidR="00A53D7D" w:rsidRPr="007F7A89" w:rsidRDefault="00A53D7D" w:rsidP="005140B4">
            <w:pPr>
              <w:pStyle w:val="Tabletext"/>
              <w:rPr>
                <w:rFonts w:eastAsiaTheme="minorEastAsia" w:cs="Calibri"/>
                <w:color w:val="000000"/>
                <w:lang w:eastAsia="en-AU"/>
              </w:rPr>
            </w:pPr>
            <w:r w:rsidRPr="007F7A89">
              <w:rPr>
                <w:rFonts w:eastAsiaTheme="minorEastAsia"/>
                <w:lang w:eastAsia="en-AU"/>
              </w:rPr>
              <w:t xml:space="preserve">Enforcing and Managing Correctional </w:t>
            </w:r>
            <w:r w:rsidRPr="007F7A89">
              <w:rPr>
                <w:rFonts w:eastAsiaTheme="minorEastAsia" w:cs="Calibri"/>
                <w:color w:val="000000"/>
                <w:lang w:eastAsia="en-AU"/>
              </w:rPr>
              <w:t>Orders</w:t>
            </w:r>
          </w:p>
        </w:tc>
        <w:tc>
          <w:tcPr>
            <w:tcW w:w="994" w:type="dxa"/>
            <w:tcBorders>
              <w:top w:val="nil"/>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887.1</w:t>
            </w:r>
          </w:p>
        </w:tc>
        <w:tc>
          <w:tcPr>
            <w:tcW w:w="994" w:type="dxa"/>
            <w:tcBorders>
              <w:top w:val="nil"/>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867.5</w:t>
            </w:r>
          </w:p>
        </w:tc>
        <w:tc>
          <w:tcPr>
            <w:tcW w:w="994" w:type="dxa"/>
            <w:tcBorders>
              <w:top w:val="nil"/>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 xml:space="preserve">1 </w:t>
            </w:r>
            <w:r w:rsidRPr="007F7A89">
              <w:rPr>
                <w:rFonts w:eastAsiaTheme="minorEastAsia" w:cs="Calibri"/>
                <w:color w:val="000000"/>
                <w:lang w:eastAsia="en-AU"/>
              </w:rPr>
              <w:t>095.4</w:t>
            </w:r>
          </w:p>
        </w:tc>
        <w:tc>
          <w:tcPr>
            <w:tcW w:w="994" w:type="dxa"/>
            <w:tcBorders>
              <w:top w:val="nil"/>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23.5</w:t>
            </w:r>
          </w:p>
        </w:tc>
      </w:tr>
      <w:tr w:rsidR="00A53D7D" w:rsidRPr="007F7A89" w:rsidTr="005140B4">
        <w:tc>
          <w:tcPr>
            <w:tcW w:w="3784" w:type="dxa"/>
            <w:tcBorders>
              <w:top w:val="nil"/>
              <w:left w:val="nil"/>
              <w:bottom w:val="nil"/>
              <w:right w:val="nil"/>
            </w:tcBorders>
          </w:tcPr>
          <w:p w:rsidR="00A53D7D" w:rsidRPr="007F7A89" w:rsidRDefault="00A53D7D" w:rsidP="005140B4">
            <w:pPr>
              <w:pStyle w:val="Tabletext"/>
              <w:rPr>
                <w:rFonts w:eastAsiaTheme="minorEastAsia" w:cs="Calibri"/>
                <w:color w:val="000000"/>
                <w:lang w:eastAsia="en-AU"/>
              </w:rPr>
            </w:pPr>
            <w:r w:rsidRPr="007F7A89">
              <w:rPr>
                <w:rFonts w:eastAsiaTheme="minorEastAsia"/>
                <w:lang w:eastAsia="en-AU"/>
              </w:rPr>
              <w:t xml:space="preserve">Supporting the State's Fire and </w:t>
            </w:r>
            <w:r w:rsidRPr="007F7A89">
              <w:rPr>
                <w:rFonts w:eastAsiaTheme="minorEastAsia" w:cs="Calibri"/>
                <w:color w:val="000000"/>
                <w:lang w:eastAsia="en-AU"/>
              </w:rPr>
              <w:t>Emergency Services</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871.3</w:t>
            </w:r>
          </w:p>
        </w:tc>
        <w:tc>
          <w:tcPr>
            <w:tcW w:w="994" w:type="dxa"/>
            <w:tcBorders>
              <w:top w:val="nil"/>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924.7</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933.1</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7.1</w:t>
            </w:r>
          </w:p>
        </w:tc>
      </w:tr>
      <w:tr w:rsidR="00A53D7D" w:rsidRPr="007F7A89" w:rsidTr="005140B4">
        <w:tc>
          <w:tcPr>
            <w:tcW w:w="3784" w:type="dxa"/>
            <w:tcBorders>
              <w:top w:val="nil"/>
              <w:left w:val="nil"/>
              <w:bottom w:val="nil"/>
              <w:right w:val="nil"/>
            </w:tcBorders>
          </w:tcPr>
          <w:p w:rsidR="00A53D7D" w:rsidRPr="007F7A89" w:rsidRDefault="00A53D7D" w:rsidP="005140B4">
            <w:pPr>
              <w:pStyle w:val="Tabletext"/>
              <w:rPr>
                <w:rFonts w:eastAsiaTheme="minorEastAsia"/>
                <w:lang w:eastAsia="en-AU"/>
              </w:rPr>
            </w:pPr>
            <w:r w:rsidRPr="007F7A89">
              <w:rPr>
                <w:rFonts w:eastAsiaTheme="minorEastAsia"/>
                <w:lang w:eastAsia="en-AU"/>
              </w:rPr>
              <w:t>Industry Regulation and Support</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197.1</w:t>
            </w:r>
          </w:p>
        </w:tc>
        <w:tc>
          <w:tcPr>
            <w:tcW w:w="994" w:type="dxa"/>
            <w:tcBorders>
              <w:top w:val="nil"/>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197.9</w:t>
            </w:r>
          </w:p>
        </w:tc>
        <w:tc>
          <w:tcPr>
            <w:tcW w:w="994" w:type="dxa"/>
            <w:tcBorders>
              <w:top w:val="nil"/>
              <w:left w:val="nil"/>
              <w:bottom w:val="nil"/>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239.3</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21.4</w:t>
            </w:r>
          </w:p>
        </w:tc>
      </w:tr>
      <w:tr w:rsidR="00A53D7D" w:rsidRPr="007F7A89" w:rsidTr="005140B4">
        <w:tc>
          <w:tcPr>
            <w:tcW w:w="3784" w:type="dxa"/>
            <w:tcBorders>
              <w:top w:val="nil"/>
              <w:left w:val="nil"/>
              <w:bottom w:val="single" w:sz="4" w:space="0" w:color="auto"/>
              <w:right w:val="nil"/>
            </w:tcBorders>
          </w:tcPr>
          <w:p w:rsidR="00A53D7D" w:rsidRPr="007F7A89" w:rsidRDefault="00A53D7D" w:rsidP="005140B4">
            <w:pPr>
              <w:pStyle w:val="Tabletext"/>
              <w:rPr>
                <w:rFonts w:eastAsiaTheme="minorEastAsia"/>
                <w:lang w:eastAsia="en-AU"/>
              </w:rPr>
            </w:pPr>
            <w:r w:rsidRPr="007F7A89">
              <w:rPr>
                <w:rFonts w:eastAsiaTheme="minorEastAsia"/>
                <w:lang w:eastAsia="en-AU"/>
              </w:rPr>
              <w:t>Public Sector Integrity</w:t>
            </w:r>
          </w:p>
        </w:tc>
        <w:tc>
          <w:tcPr>
            <w:tcW w:w="994" w:type="dxa"/>
            <w:tcBorders>
              <w:top w:val="nil"/>
              <w:left w:val="nil"/>
              <w:bottom w:val="single" w:sz="4" w:space="0" w:color="auto"/>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52.3</w:t>
            </w:r>
          </w:p>
        </w:tc>
        <w:tc>
          <w:tcPr>
            <w:tcW w:w="994" w:type="dxa"/>
            <w:tcBorders>
              <w:top w:val="nil"/>
              <w:left w:val="nil"/>
              <w:bottom w:val="single" w:sz="4" w:space="0" w:color="auto"/>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41.7</w:t>
            </w:r>
          </w:p>
        </w:tc>
        <w:tc>
          <w:tcPr>
            <w:tcW w:w="994" w:type="dxa"/>
            <w:tcBorders>
              <w:top w:val="nil"/>
              <w:left w:val="nil"/>
              <w:bottom w:val="single" w:sz="4" w:space="0" w:color="auto"/>
              <w:right w:val="nil"/>
            </w:tcBorders>
          </w:tcPr>
          <w:p w:rsidR="00A53D7D" w:rsidRPr="007F7A89" w:rsidRDefault="00A53D7D" w:rsidP="005140B4">
            <w:pPr>
              <w:pStyle w:val="TableofFigures"/>
              <w:rPr>
                <w:rFonts w:eastAsiaTheme="minorEastAsia" w:cs="Calibri"/>
                <w:color w:val="000000"/>
                <w:lang w:eastAsia="en-AU"/>
              </w:rPr>
            </w:pPr>
            <w:r w:rsidRPr="007F7A89">
              <w:rPr>
                <w:rFonts w:eastAsiaTheme="minorEastAsia"/>
                <w:lang w:eastAsia="en-AU"/>
              </w:rPr>
              <w:t>59.5</w:t>
            </w:r>
          </w:p>
        </w:tc>
        <w:tc>
          <w:tcPr>
            <w:tcW w:w="994" w:type="dxa"/>
            <w:tcBorders>
              <w:top w:val="nil"/>
              <w:left w:val="nil"/>
              <w:bottom w:val="single" w:sz="4" w:space="0" w:color="auto"/>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13.8</w:t>
            </w:r>
          </w:p>
        </w:tc>
      </w:tr>
      <w:tr w:rsidR="00A53D7D" w:rsidRPr="007F7A89" w:rsidTr="005140B4">
        <w:tc>
          <w:tcPr>
            <w:tcW w:w="3784" w:type="dxa"/>
            <w:tcBorders>
              <w:top w:val="single" w:sz="4" w:space="0" w:color="auto"/>
              <w:left w:val="nil"/>
              <w:bottom w:val="single" w:sz="12" w:space="0" w:color="auto"/>
              <w:right w:val="nil"/>
            </w:tcBorders>
          </w:tcPr>
          <w:p w:rsidR="00A53D7D" w:rsidRPr="007F7A89" w:rsidRDefault="00A53D7D" w:rsidP="005140B4">
            <w:pPr>
              <w:pStyle w:val="Tabletext"/>
              <w:rPr>
                <w:rFonts w:eastAsiaTheme="minorEastAsia"/>
                <w:b/>
                <w:lang w:eastAsia="en-AU"/>
              </w:rPr>
            </w:pPr>
            <w:r w:rsidRPr="007F7A89">
              <w:rPr>
                <w:rFonts w:eastAsiaTheme="minorEastAsia"/>
                <w:b/>
                <w:lang w:eastAsia="en-AU"/>
              </w:rPr>
              <w:t>Total</w:t>
            </w:r>
          </w:p>
        </w:tc>
        <w:tc>
          <w:tcPr>
            <w:tcW w:w="994" w:type="dxa"/>
            <w:tcBorders>
              <w:top w:val="single" w:sz="4" w:space="0" w:color="auto"/>
              <w:left w:val="nil"/>
              <w:bottom w:val="single" w:sz="12" w:space="0" w:color="auto"/>
              <w:right w:val="nil"/>
            </w:tcBorders>
          </w:tcPr>
          <w:p w:rsidR="00A53D7D" w:rsidRPr="007F7A89" w:rsidRDefault="00A53D7D" w:rsidP="005140B4">
            <w:pPr>
              <w:pStyle w:val="TableofFigures"/>
              <w:rPr>
                <w:rFonts w:eastAsiaTheme="minorEastAsia" w:cs="Calibri"/>
                <w:b/>
                <w:bCs/>
                <w:color w:val="000000"/>
                <w:lang w:eastAsia="en-AU"/>
              </w:rPr>
            </w:pPr>
            <w:r w:rsidRPr="007F7A89">
              <w:rPr>
                <w:rFonts w:eastAsiaTheme="minorEastAsia"/>
                <w:b/>
                <w:lang w:eastAsia="en-AU"/>
              </w:rPr>
              <w:t xml:space="preserve">4 </w:t>
            </w:r>
            <w:r w:rsidRPr="007F7A89">
              <w:rPr>
                <w:rFonts w:eastAsiaTheme="minorEastAsia" w:cs="Calibri"/>
                <w:b/>
                <w:bCs/>
                <w:color w:val="000000"/>
                <w:lang w:eastAsia="en-AU"/>
              </w:rPr>
              <w:t>938.5</w:t>
            </w:r>
          </w:p>
        </w:tc>
        <w:tc>
          <w:tcPr>
            <w:tcW w:w="994" w:type="dxa"/>
            <w:tcBorders>
              <w:top w:val="single" w:sz="4" w:space="0" w:color="auto"/>
              <w:left w:val="nil"/>
              <w:bottom w:val="single" w:sz="12" w:space="0" w:color="auto"/>
              <w:right w:val="nil"/>
            </w:tcBorders>
          </w:tcPr>
          <w:p w:rsidR="00A53D7D" w:rsidRPr="007F7A89" w:rsidRDefault="00A53D7D" w:rsidP="005140B4">
            <w:pPr>
              <w:pStyle w:val="TableofFigures"/>
              <w:rPr>
                <w:rFonts w:eastAsiaTheme="minorEastAsia" w:cs="Calibri"/>
                <w:b/>
                <w:bCs/>
                <w:color w:val="000000"/>
                <w:lang w:eastAsia="en-AU"/>
              </w:rPr>
            </w:pPr>
            <w:r w:rsidRPr="007F7A89">
              <w:rPr>
                <w:rFonts w:eastAsiaTheme="minorEastAsia"/>
                <w:b/>
                <w:lang w:eastAsia="en-AU"/>
              </w:rPr>
              <w:t>5</w:t>
            </w:r>
            <w:r w:rsidRPr="007F7A89">
              <w:rPr>
                <w:rFonts w:eastAsiaTheme="minorEastAsia" w:cs="Calibri"/>
                <w:b/>
                <w:color w:val="000000"/>
                <w:lang w:eastAsia="en-AU"/>
              </w:rPr>
              <w:t xml:space="preserve"> </w:t>
            </w:r>
            <w:r w:rsidRPr="007F7A89">
              <w:rPr>
                <w:rFonts w:eastAsiaTheme="minorEastAsia" w:cs="Calibri"/>
                <w:b/>
                <w:bCs/>
                <w:color w:val="000000"/>
                <w:lang w:eastAsia="en-AU"/>
              </w:rPr>
              <w:t>019.1</w:t>
            </w:r>
          </w:p>
        </w:tc>
        <w:tc>
          <w:tcPr>
            <w:tcW w:w="994" w:type="dxa"/>
            <w:tcBorders>
              <w:top w:val="single" w:sz="4" w:space="0" w:color="auto"/>
              <w:left w:val="nil"/>
              <w:bottom w:val="single" w:sz="12" w:space="0" w:color="auto"/>
              <w:right w:val="nil"/>
            </w:tcBorders>
          </w:tcPr>
          <w:p w:rsidR="00A53D7D" w:rsidRPr="007F7A89" w:rsidRDefault="00A53D7D" w:rsidP="005140B4">
            <w:pPr>
              <w:pStyle w:val="TableofFigures"/>
              <w:rPr>
                <w:rFonts w:eastAsiaTheme="minorEastAsia" w:cs="Calibri"/>
                <w:b/>
                <w:bCs/>
                <w:color w:val="000000"/>
                <w:lang w:eastAsia="en-AU"/>
              </w:rPr>
            </w:pPr>
            <w:r w:rsidRPr="007F7A89">
              <w:rPr>
                <w:rFonts w:eastAsiaTheme="minorEastAsia"/>
                <w:b/>
                <w:lang w:eastAsia="en-AU"/>
              </w:rPr>
              <w:t>5</w:t>
            </w:r>
            <w:r w:rsidRPr="007F7A89">
              <w:rPr>
                <w:rFonts w:eastAsiaTheme="minorEastAsia" w:cs="Calibri"/>
                <w:b/>
                <w:color w:val="000000"/>
                <w:lang w:eastAsia="en-AU"/>
              </w:rPr>
              <w:t xml:space="preserve"> </w:t>
            </w:r>
            <w:r w:rsidRPr="007F7A89">
              <w:rPr>
                <w:rFonts w:eastAsiaTheme="minorEastAsia" w:cs="Calibri"/>
                <w:b/>
                <w:bCs/>
                <w:color w:val="000000"/>
                <w:lang w:eastAsia="en-AU"/>
              </w:rPr>
              <w:t>464.5</w:t>
            </w:r>
          </w:p>
        </w:tc>
        <w:tc>
          <w:tcPr>
            <w:tcW w:w="994" w:type="dxa"/>
            <w:tcBorders>
              <w:top w:val="single" w:sz="4" w:space="0" w:color="auto"/>
              <w:left w:val="nil"/>
              <w:bottom w:val="single" w:sz="12" w:space="0" w:color="auto"/>
              <w:right w:val="nil"/>
            </w:tcBorders>
          </w:tcPr>
          <w:p w:rsidR="00A53D7D" w:rsidRPr="007F7A89" w:rsidRDefault="00A53D7D" w:rsidP="005140B4">
            <w:pPr>
              <w:pStyle w:val="TableofFigures"/>
              <w:rPr>
                <w:rFonts w:eastAsiaTheme="minorEastAsia"/>
                <w:b/>
                <w:lang w:eastAsia="en-AU"/>
              </w:rPr>
            </w:pPr>
            <w:r w:rsidRPr="007F7A89">
              <w:rPr>
                <w:rFonts w:eastAsiaTheme="minorEastAsia"/>
                <w:b/>
                <w:lang w:eastAsia="en-AU"/>
              </w:rPr>
              <w:t>10.7</w:t>
            </w:r>
          </w:p>
        </w:tc>
      </w:tr>
    </w:tbl>
    <w:p w:rsidR="00A53D7D" w:rsidRDefault="00A53D7D" w:rsidP="005140B4">
      <w:pPr>
        <w:pStyle w:val="Source"/>
      </w:pPr>
      <w:r>
        <w:t xml:space="preserve">Source: Department of Justice </w:t>
      </w:r>
      <w:r w:rsidRPr="00D77156">
        <w:fldChar w:fldCharType="begin"/>
      </w:r>
      <w:r w:rsidRPr="00D77156">
        <w:instrText xml:space="preserve"> XE "Department of Justice:Output summary" </w:instrText>
      </w:r>
      <w:r w:rsidRPr="00D77156">
        <w:fldChar w:fldCharType="end"/>
      </w:r>
    </w:p>
    <w:p w:rsidR="00A53D7D" w:rsidRDefault="00A53D7D" w:rsidP="005140B4">
      <w:pPr>
        <w:pStyle w:val="Notes"/>
      </w:pPr>
      <w:r>
        <w:t>Notes:</w:t>
      </w:r>
    </w:p>
    <w:p w:rsidR="00A53D7D" w:rsidRDefault="00A53D7D" w:rsidP="005140B4">
      <w:pPr>
        <w:pStyle w:val="Notes"/>
      </w:pPr>
      <w:r w:rsidRPr="00AF1C1F">
        <w:t>(a)</w:t>
      </w:r>
      <w:r w:rsidRPr="00AF1C1F">
        <w:tab/>
      </w:r>
      <w:r>
        <w:t>Variation between 2013</w:t>
      </w:r>
      <w:r>
        <w:noBreakHyphen/>
        <w:t>14 budget and 2014</w:t>
      </w:r>
      <w:r>
        <w:noBreakHyphen/>
        <w:t>15 budget.</w:t>
      </w:r>
    </w:p>
    <w:p w:rsidR="004E7A50" w:rsidRPr="00D77156" w:rsidRDefault="004E7A50" w:rsidP="005140B4">
      <w:pPr>
        <w:pStyle w:val="Notes"/>
      </w:pPr>
    </w:p>
    <w:p w:rsidR="00A53D7D" w:rsidRDefault="00A53D7D" w:rsidP="005140B4">
      <w:pPr>
        <w:pStyle w:val="Heading2"/>
      </w:pPr>
      <w:r>
        <w:t>Amounts available</w:t>
      </w:r>
    </w:p>
    <w:p w:rsidR="00A53D7D" w:rsidRDefault="00A53D7D" w:rsidP="005140B4">
      <w:r>
        <w:t>The following tables detail the amounts available to the Department from Parliamentary authority and income generated through transactions.</w:t>
      </w:r>
    </w:p>
    <w:p w:rsidR="00A53D7D" w:rsidRDefault="00A53D7D" w:rsidP="005140B4">
      <w:r>
        <w:t>Table 2.15 outlines the Department’s income from transactions and Table 2.16 summarises the sources of Parliamentary authority available to the Department to fund the provision of outputs, additions to net asset base and payments made on behalf of the State.</w:t>
      </w:r>
    </w:p>
    <w:p w:rsidR="00A53D7D" w:rsidRDefault="00A53D7D" w:rsidP="005140B4">
      <w:pPr>
        <w:pStyle w:val="Tableheading"/>
      </w:pPr>
      <w:r>
        <w:t>Table 2.15:</w:t>
      </w:r>
      <w:r>
        <w:tab/>
        <w:t xml:space="preserve">Income from transactions </w:t>
      </w:r>
    </w:p>
    <w:p w:rsidR="00A53D7D" w:rsidRPr="007F7A89" w:rsidRDefault="00A53D7D" w:rsidP="005140B4">
      <w:pPr>
        <w:pStyle w:val="million"/>
      </w:pPr>
      <w:r>
        <w:t>($ million)</w:t>
      </w:r>
    </w:p>
    <w:tbl>
      <w:tblPr>
        <w:tblW w:w="7760" w:type="dxa"/>
        <w:tblInd w:w="29" w:type="dxa"/>
        <w:tblLayout w:type="fixed"/>
        <w:tblCellMar>
          <w:left w:w="43" w:type="dxa"/>
          <w:right w:w="43" w:type="dxa"/>
        </w:tblCellMar>
        <w:tblLook w:val="0000" w:firstRow="0" w:lastRow="0" w:firstColumn="0" w:lastColumn="0" w:noHBand="0" w:noVBand="0"/>
      </w:tblPr>
      <w:tblGrid>
        <w:gridCol w:w="3784"/>
        <w:gridCol w:w="994"/>
        <w:gridCol w:w="994"/>
        <w:gridCol w:w="994"/>
        <w:gridCol w:w="994"/>
      </w:tblGrid>
      <w:tr w:rsidR="00A53D7D" w:rsidRPr="007F7A89" w:rsidTr="005140B4">
        <w:tc>
          <w:tcPr>
            <w:tcW w:w="3784" w:type="dxa"/>
            <w:tcBorders>
              <w:top w:val="single" w:sz="6" w:space="0" w:color="000000"/>
              <w:left w:val="single" w:sz="6" w:space="0" w:color="000000"/>
              <w:bottom w:val="nil"/>
              <w:right w:val="nil"/>
            </w:tcBorders>
            <w:shd w:val="clear" w:color="auto" w:fill="000000"/>
          </w:tcPr>
          <w:p w:rsidR="00A53D7D" w:rsidRPr="007F7A89" w:rsidRDefault="00A53D7D" w:rsidP="005140B4">
            <w:pPr>
              <w:pStyle w:val="Tabletext"/>
              <w:rPr>
                <w:rFonts w:eastAsiaTheme="minorEastAsia"/>
                <w:lang w:eastAsia="en-AU"/>
              </w:rPr>
            </w:pPr>
            <w:r w:rsidRPr="007F7A89">
              <w:rPr>
                <w:rFonts w:eastAsiaTheme="minorEastAsia"/>
                <w:lang w:eastAsia="en-AU"/>
              </w:rPr>
              <w:t xml:space="preserve"> </w:t>
            </w:r>
          </w:p>
        </w:tc>
        <w:tc>
          <w:tcPr>
            <w:tcW w:w="994" w:type="dxa"/>
            <w:tcBorders>
              <w:top w:val="single" w:sz="6" w:space="0" w:color="000000"/>
              <w:left w:val="nil"/>
              <w:bottom w:val="nil"/>
              <w:right w:val="nil"/>
            </w:tcBorders>
            <w:shd w:val="clear" w:color="auto" w:fill="000000"/>
          </w:tcPr>
          <w:p w:rsidR="00A53D7D" w:rsidRPr="007F7A89" w:rsidRDefault="00A53D7D" w:rsidP="005140B4">
            <w:pPr>
              <w:pStyle w:val="Tabletextheading"/>
              <w:rPr>
                <w:rFonts w:eastAsiaTheme="minorEastAsia"/>
                <w:lang w:eastAsia="en-AU"/>
              </w:rPr>
            </w:pPr>
            <w:r w:rsidRPr="007F7A89">
              <w:rPr>
                <w:rFonts w:eastAsiaTheme="minorEastAsia"/>
                <w:lang w:eastAsia="en-AU"/>
              </w:rPr>
              <w:t>2012-13</w:t>
            </w:r>
          </w:p>
        </w:tc>
        <w:tc>
          <w:tcPr>
            <w:tcW w:w="994" w:type="dxa"/>
            <w:tcBorders>
              <w:top w:val="single" w:sz="6" w:space="0" w:color="000000"/>
              <w:left w:val="nil"/>
              <w:bottom w:val="nil"/>
              <w:right w:val="nil"/>
            </w:tcBorders>
            <w:shd w:val="clear" w:color="auto" w:fill="000000"/>
          </w:tcPr>
          <w:p w:rsidR="00A53D7D" w:rsidRPr="007F7A89" w:rsidRDefault="00A53D7D" w:rsidP="005140B4">
            <w:pPr>
              <w:pStyle w:val="Tabletextheading"/>
              <w:rPr>
                <w:rFonts w:eastAsiaTheme="minorEastAsia"/>
                <w:lang w:eastAsia="en-AU"/>
              </w:rPr>
            </w:pPr>
            <w:r w:rsidRPr="007F7A89">
              <w:rPr>
                <w:rFonts w:eastAsiaTheme="minorEastAsia"/>
                <w:lang w:eastAsia="en-AU"/>
              </w:rPr>
              <w:t>2013-14</w:t>
            </w:r>
          </w:p>
        </w:tc>
        <w:tc>
          <w:tcPr>
            <w:tcW w:w="994" w:type="dxa"/>
            <w:tcBorders>
              <w:top w:val="single" w:sz="6" w:space="0" w:color="000000"/>
              <w:left w:val="nil"/>
              <w:bottom w:val="nil"/>
              <w:right w:val="nil"/>
            </w:tcBorders>
            <w:shd w:val="clear" w:color="auto" w:fill="000000"/>
          </w:tcPr>
          <w:p w:rsidR="00A53D7D" w:rsidRPr="007F7A89" w:rsidRDefault="00A53D7D" w:rsidP="005140B4">
            <w:pPr>
              <w:pStyle w:val="Tabletextheading"/>
              <w:rPr>
                <w:rFonts w:eastAsiaTheme="minorEastAsia"/>
                <w:lang w:eastAsia="en-AU"/>
              </w:rPr>
            </w:pPr>
            <w:r w:rsidRPr="007F7A89">
              <w:rPr>
                <w:rFonts w:eastAsiaTheme="minorEastAsia"/>
                <w:lang w:eastAsia="en-AU"/>
              </w:rPr>
              <w:t>2013-14</w:t>
            </w:r>
          </w:p>
        </w:tc>
        <w:tc>
          <w:tcPr>
            <w:tcW w:w="994" w:type="dxa"/>
            <w:tcBorders>
              <w:top w:val="single" w:sz="6" w:space="0" w:color="000000"/>
              <w:left w:val="nil"/>
              <w:bottom w:val="nil"/>
              <w:right w:val="single" w:sz="6" w:space="0" w:color="000000"/>
            </w:tcBorders>
            <w:shd w:val="clear" w:color="auto" w:fill="000000"/>
          </w:tcPr>
          <w:p w:rsidR="00A53D7D" w:rsidRPr="007F7A89" w:rsidRDefault="00A53D7D" w:rsidP="005140B4">
            <w:pPr>
              <w:pStyle w:val="Tabletextheading"/>
              <w:rPr>
                <w:rFonts w:eastAsiaTheme="minorEastAsia"/>
                <w:lang w:eastAsia="en-AU"/>
              </w:rPr>
            </w:pPr>
            <w:r w:rsidRPr="007F7A89">
              <w:rPr>
                <w:rFonts w:eastAsiaTheme="minorEastAsia"/>
                <w:lang w:eastAsia="en-AU"/>
              </w:rPr>
              <w:t>2014-15</w:t>
            </w:r>
          </w:p>
        </w:tc>
      </w:tr>
      <w:tr w:rsidR="00A53D7D" w:rsidRPr="007F7A89" w:rsidTr="005140B4">
        <w:tc>
          <w:tcPr>
            <w:tcW w:w="3784" w:type="dxa"/>
            <w:tcBorders>
              <w:top w:val="nil"/>
              <w:left w:val="single" w:sz="6" w:space="0" w:color="000000"/>
              <w:bottom w:val="single" w:sz="6" w:space="0" w:color="000000"/>
              <w:right w:val="nil"/>
            </w:tcBorders>
            <w:shd w:val="clear" w:color="auto" w:fill="000000"/>
          </w:tcPr>
          <w:p w:rsidR="00A53D7D" w:rsidRPr="007F7A89" w:rsidRDefault="00A53D7D" w:rsidP="005140B4">
            <w:pPr>
              <w:pStyle w:val="Tabletext"/>
              <w:rPr>
                <w:rFonts w:eastAsiaTheme="minorEastAsia"/>
                <w:lang w:eastAsia="en-AU"/>
              </w:rPr>
            </w:pPr>
            <w:r w:rsidRPr="007F7A89">
              <w:rPr>
                <w:rFonts w:eastAsiaTheme="minorEastAsia"/>
                <w:lang w:eastAsia="en-AU"/>
              </w:rPr>
              <w:t xml:space="preserve"> </w:t>
            </w:r>
          </w:p>
        </w:tc>
        <w:tc>
          <w:tcPr>
            <w:tcW w:w="994" w:type="dxa"/>
            <w:tcBorders>
              <w:top w:val="nil"/>
              <w:left w:val="nil"/>
              <w:bottom w:val="single" w:sz="6" w:space="0" w:color="000000"/>
              <w:right w:val="nil"/>
            </w:tcBorders>
            <w:shd w:val="clear" w:color="auto" w:fill="000000"/>
          </w:tcPr>
          <w:p w:rsidR="00A53D7D" w:rsidRPr="007F7A89" w:rsidRDefault="00A53D7D" w:rsidP="005140B4">
            <w:pPr>
              <w:pStyle w:val="Tabletextheading"/>
              <w:rPr>
                <w:rFonts w:eastAsiaTheme="minorEastAsia"/>
                <w:lang w:eastAsia="en-AU"/>
              </w:rPr>
            </w:pPr>
            <w:r w:rsidRPr="007F7A89">
              <w:rPr>
                <w:rFonts w:eastAsiaTheme="minorEastAsia"/>
                <w:lang w:eastAsia="en-AU"/>
              </w:rPr>
              <w:t>Actual</w:t>
            </w:r>
          </w:p>
        </w:tc>
        <w:tc>
          <w:tcPr>
            <w:tcW w:w="994" w:type="dxa"/>
            <w:tcBorders>
              <w:top w:val="nil"/>
              <w:left w:val="nil"/>
              <w:bottom w:val="single" w:sz="6" w:space="0" w:color="000000"/>
              <w:right w:val="nil"/>
            </w:tcBorders>
            <w:shd w:val="clear" w:color="auto" w:fill="000000"/>
          </w:tcPr>
          <w:p w:rsidR="00A53D7D" w:rsidRPr="007F7A89" w:rsidRDefault="00A53D7D" w:rsidP="005140B4">
            <w:pPr>
              <w:pStyle w:val="Tabletextheading"/>
              <w:rPr>
                <w:rFonts w:eastAsiaTheme="minorEastAsia"/>
                <w:lang w:eastAsia="en-AU"/>
              </w:rPr>
            </w:pPr>
            <w:r w:rsidRPr="007F7A89">
              <w:rPr>
                <w:rFonts w:eastAsiaTheme="minorEastAsia"/>
                <w:lang w:eastAsia="en-AU"/>
              </w:rPr>
              <w:t xml:space="preserve">Budget </w:t>
            </w:r>
          </w:p>
        </w:tc>
        <w:tc>
          <w:tcPr>
            <w:tcW w:w="994" w:type="dxa"/>
            <w:tcBorders>
              <w:top w:val="nil"/>
              <w:left w:val="nil"/>
              <w:bottom w:val="single" w:sz="6" w:space="0" w:color="000000"/>
              <w:right w:val="nil"/>
            </w:tcBorders>
            <w:shd w:val="clear" w:color="auto" w:fill="000000"/>
          </w:tcPr>
          <w:p w:rsidR="00A53D7D" w:rsidRPr="007F7A89" w:rsidRDefault="00A53D7D" w:rsidP="005140B4">
            <w:pPr>
              <w:pStyle w:val="Tabletextheading"/>
              <w:rPr>
                <w:rFonts w:eastAsiaTheme="minorEastAsia"/>
                <w:lang w:eastAsia="en-AU"/>
              </w:rPr>
            </w:pPr>
            <w:r w:rsidRPr="007F7A89">
              <w:rPr>
                <w:rFonts w:eastAsiaTheme="minorEastAsia"/>
                <w:lang w:eastAsia="en-AU"/>
              </w:rPr>
              <w:t>Revised</w:t>
            </w:r>
          </w:p>
        </w:tc>
        <w:tc>
          <w:tcPr>
            <w:tcW w:w="994" w:type="dxa"/>
            <w:tcBorders>
              <w:top w:val="nil"/>
              <w:left w:val="nil"/>
              <w:bottom w:val="single" w:sz="6" w:space="0" w:color="000000"/>
              <w:right w:val="single" w:sz="6" w:space="0" w:color="000000"/>
            </w:tcBorders>
            <w:shd w:val="clear" w:color="auto" w:fill="000000"/>
          </w:tcPr>
          <w:p w:rsidR="00A53D7D" w:rsidRPr="007F7A89" w:rsidRDefault="00A53D7D" w:rsidP="005140B4">
            <w:pPr>
              <w:pStyle w:val="Tabletextheading"/>
              <w:rPr>
                <w:rFonts w:eastAsiaTheme="minorEastAsia" w:cs="Calibri"/>
                <w:iCs/>
                <w:vertAlign w:val="superscript"/>
                <w:lang w:eastAsia="en-AU"/>
              </w:rPr>
            </w:pPr>
            <w:r w:rsidRPr="007F7A89">
              <w:rPr>
                <w:rFonts w:eastAsiaTheme="minorEastAsia"/>
                <w:lang w:eastAsia="en-AU"/>
              </w:rPr>
              <w:t>Budget</w:t>
            </w:r>
            <w:r w:rsidRPr="007F7A89">
              <w:rPr>
                <w:rFonts w:eastAsiaTheme="minorEastAsia"/>
                <w:vertAlign w:val="superscript"/>
                <w:lang w:eastAsia="en-AU"/>
              </w:rPr>
              <w:t xml:space="preserve"> (a)</w:t>
            </w:r>
          </w:p>
        </w:tc>
      </w:tr>
      <w:tr w:rsidR="00A53D7D" w:rsidRPr="007F7A89" w:rsidTr="005140B4">
        <w:tc>
          <w:tcPr>
            <w:tcW w:w="3784" w:type="dxa"/>
            <w:tcBorders>
              <w:top w:val="single" w:sz="6" w:space="0" w:color="000000"/>
              <w:left w:val="nil"/>
              <w:bottom w:val="nil"/>
              <w:right w:val="nil"/>
            </w:tcBorders>
          </w:tcPr>
          <w:p w:rsidR="00A53D7D" w:rsidRPr="007F7A89" w:rsidRDefault="00A53D7D" w:rsidP="005140B4">
            <w:pPr>
              <w:pStyle w:val="Tabletext"/>
              <w:rPr>
                <w:rFonts w:eastAsiaTheme="minorEastAsia"/>
                <w:lang w:eastAsia="en-AU"/>
              </w:rPr>
            </w:pPr>
            <w:r w:rsidRPr="007F7A89">
              <w:rPr>
                <w:rFonts w:eastAsiaTheme="minorEastAsia"/>
                <w:lang w:eastAsia="en-AU"/>
              </w:rPr>
              <w:t>Output appropriations</w:t>
            </w:r>
          </w:p>
        </w:tc>
        <w:tc>
          <w:tcPr>
            <w:tcW w:w="994" w:type="dxa"/>
            <w:tcBorders>
              <w:top w:val="single" w:sz="6" w:space="0" w:color="000000"/>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4 157.7</w:t>
            </w:r>
          </w:p>
        </w:tc>
        <w:tc>
          <w:tcPr>
            <w:tcW w:w="994" w:type="dxa"/>
            <w:tcBorders>
              <w:top w:val="single" w:sz="6" w:space="0" w:color="000000"/>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5 114.8</w:t>
            </w:r>
          </w:p>
        </w:tc>
        <w:tc>
          <w:tcPr>
            <w:tcW w:w="994" w:type="dxa"/>
            <w:tcBorders>
              <w:top w:val="single" w:sz="6" w:space="0" w:color="000000"/>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5 128.9</w:t>
            </w:r>
          </w:p>
        </w:tc>
        <w:tc>
          <w:tcPr>
            <w:tcW w:w="994" w:type="dxa"/>
            <w:tcBorders>
              <w:top w:val="single" w:sz="6" w:space="0" w:color="000000"/>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5 233.8</w:t>
            </w:r>
          </w:p>
        </w:tc>
      </w:tr>
      <w:tr w:rsidR="00A53D7D" w:rsidRPr="007F7A89" w:rsidTr="005140B4">
        <w:tc>
          <w:tcPr>
            <w:tcW w:w="3784" w:type="dxa"/>
            <w:tcBorders>
              <w:top w:val="nil"/>
              <w:left w:val="nil"/>
              <w:bottom w:val="nil"/>
              <w:right w:val="nil"/>
            </w:tcBorders>
          </w:tcPr>
          <w:p w:rsidR="00A53D7D" w:rsidRPr="007F7A89" w:rsidRDefault="00A53D7D" w:rsidP="005140B4">
            <w:pPr>
              <w:pStyle w:val="Tabletext"/>
              <w:rPr>
                <w:rFonts w:eastAsiaTheme="minorEastAsia"/>
                <w:lang w:eastAsia="en-AU"/>
              </w:rPr>
            </w:pPr>
            <w:r w:rsidRPr="007F7A89">
              <w:rPr>
                <w:rFonts w:eastAsiaTheme="minorEastAsia"/>
                <w:lang w:eastAsia="en-AU"/>
              </w:rPr>
              <w:t>Special appropriations</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137.8</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142.9</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152.2</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73.8</w:t>
            </w:r>
          </w:p>
        </w:tc>
      </w:tr>
      <w:tr w:rsidR="00A53D7D" w:rsidRPr="007F7A89" w:rsidTr="005140B4">
        <w:tc>
          <w:tcPr>
            <w:tcW w:w="3784" w:type="dxa"/>
            <w:tcBorders>
              <w:top w:val="nil"/>
              <w:left w:val="nil"/>
              <w:bottom w:val="nil"/>
              <w:right w:val="nil"/>
            </w:tcBorders>
          </w:tcPr>
          <w:p w:rsidR="00A53D7D" w:rsidRPr="007F7A89" w:rsidRDefault="00A53D7D" w:rsidP="005140B4">
            <w:pPr>
              <w:pStyle w:val="Tabletext"/>
              <w:rPr>
                <w:rFonts w:eastAsiaTheme="minorEastAsia"/>
                <w:lang w:eastAsia="en-AU"/>
              </w:rPr>
            </w:pPr>
            <w:r w:rsidRPr="007F7A89">
              <w:rPr>
                <w:rFonts w:eastAsiaTheme="minorEastAsia"/>
                <w:lang w:eastAsia="en-AU"/>
              </w:rPr>
              <w:t>Interest</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66.3</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69.1</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57.0</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67.3</w:t>
            </w:r>
          </w:p>
        </w:tc>
      </w:tr>
      <w:tr w:rsidR="00A53D7D" w:rsidRPr="007F7A89" w:rsidTr="005140B4">
        <w:tc>
          <w:tcPr>
            <w:tcW w:w="3784" w:type="dxa"/>
            <w:tcBorders>
              <w:top w:val="nil"/>
              <w:left w:val="nil"/>
              <w:bottom w:val="nil"/>
              <w:right w:val="nil"/>
            </w:tcBorders>
          </w:tcPr>
          <w:p w:rsidR="00A53D7D" w:rsidRPr="007F7A89" w:rsidRDefault="00A53D7D" w:rsidP="005140B4">
            <w:pPr>
              <w:pStyle w:val="Tabletext"/>
              <w:rPr>
                <w:rFonts w:eastAsiaTheme="minorEastAsia"/>
                <w:lang w:eastAsia="en-AU"/>
              </w:rPr>
            </w:pPr>
            <w:r w:rsidRPr="007F7A89">
              <w:rPr>
                <w:rFonts w:eastAsiaTheme="minorEastAsia"/>
                <w:lang w:eastAsia="en-AU"/>
              </w:rPr>
              <w:t>Sale of goods and services</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14.7</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15.4</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16.6</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16.6</w:t>
            </w:r>
          </w:p>
        </w:tc>
      </w:tr>
      <w:tr w:rsidR="00A53D7D" w:rsidRPr="007F7A89" w:rsidTr="005140B4">
        <w:tc>
          <w:tcPr>
            <w:tcW w:w="3784" w:type="dxa"/>
            <w:tcBorders>
              <w:top w:val="nil"/>
              <w:left w:val="nil"/>
              <w:bottom w:val="nil"/>
              <w:right w:val="nil"/>
            </w:tcBorders>
          </w:tcPr>
          <w:p w:rsidR="00A53D7D" w:rsidRPr="007F7A89" w:rsidRDefault="00A53D7D" w:rsidP="005140B4">
            <w:pPr>
              <w:pStyle w:val="Tabletext"/>
              <w:rPr>
                <w:rFonts w:eastAsiaTheme="minorEastAsia"/>
                <w:lang w:eastAsia="en-AU"/>
              </w:rPr>
            </w:pPr>
            <w:r w:rsidRPr="007F7A89">
              <w:rPr>
                <w:rFonts w:eastAsiaTheme="minorEastAsia"/>
                <w:lang w:eastAsia="en-AU"/>
              </w:rPr>
              <w:t>Grants</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48.8</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51.6</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49.7</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48.7</w:t>
            </w:r>
          </w:p>
        </w:tc>
      </w:tr>
      <w:tr w:rsidR="00A53D7D" w:rsidRPr="007F7A89" w:rsidTr="005140B4">
        <w:tc>
          <w:tcPr>
            <w:tcW w:w="3784" w:type="dxa"/>
            <w:tcBorders>
              <w:top w:val="nil"/>
              <w:left w:val="nil"/>
              <w:bottom w:val="nil"/>
              <w:right w:val="nil"/>
            </w:tcBorders>
          </w:tcPr>
          <w:p w:rsidR="00A53D7D" w:rsidRPr="007F7A89" w:rsidRDefault="00A53D7D" w:rsidP="005140B4">
            <w:pPr>
              <w:pStyle w:val="Tabletext"/>
              <w:rPr>
                <w:rFonts w:eastAsiaTheme="minorEastAsia"/>
                <w:lang w:eastAsia="en-AU"/>
              </w:rPr>
            </w:pPr>
            <w:r w:rsidRPr="007F7A89">
              <w:rPr>
                <w:rFonts w:eastAsiaTheme="minorEastAsia"/>
                <w:lang w:eastAsia="en-AU"/>
              </w:rPr>
              <w:t>Fair value of assets and services received free of charge or for nominal consideration</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37.0</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w:t>
            </w:r>
          </w:p>
        </w:tc>
        <w:tc>
          <w:tcPr>
            <w:tcW w:w="994" w:type="dxa"/>
            <w:tcBorders>
              <w:top w:val="nil"/>
              <w:left w:val="nil"/>
              <w:bottom w:val="nil"/>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w:t>
            </w:r>
          </w:p>
        </w:tc>
      </w:tr>
      <w:tr w:rsidR="00A53D7D" w:rsidRPr="007F7A89" w:rsidTr="005140B4">
        <w:tc>
          <w:tcPr>
            <w:tcW w:w="3784" w:type="dxa"/>
            <w:tcBorders>
              <w:top w:val="nil"/>
              <w:left w:val="nil"/>
              <w:bottom w:val="single" w:sz="6" w:space="0" w:color="auto"/>
              <w:right w:val="nil"/>
            </w:tcBorders>
          </w:tcPr>
          <w:p w:rsidR="00A53D7D" w:rsidRPr="007F7A89" w:rsidRDefault="00A53D7D" w:rsidP="005140B4">
            <w:pPr>
              <w:pStyle w:val="Tabletext"/>
              <w:rPr>
                <w:rFonts w:eastAsiaTheme="minorEastAsia"/>
                <w:lang w:eastAsia="en-AU"/>
              </w:rPr>
            </w:pPr>
            <w:r w:rsidRPr="007F7A89">
              <w:rPr>
                <w:rFonts w:eastAsiaTheme="minorEastAsia"/>
                <w:lang w:eastAsia="en-AU"/>
              </w:rPr>
              <w:t>Other income</w:t>
            </w:r>
          </w:p>
        </w:tc>
        <w:tc>
          <w:tcPr>
            <w:tcW w:w="994" w:type="dxa"/>
            <w:tcBorders>
              <w:top w:val="nil"/>
              <w:left w:val="nil"/>
              <w:bottom w:val="single" w:sz="6" w:space="0" w:color="auto"/>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18.9</w:t>
            </w:r>
          </w:p>
        </w:tc>
        <w:tc>
          <w:tcPr>
            <w:tcW w:w="994" w:type="dxa"/>
            <w:tcBorders>
              <w:top w:val="nil"/>
              <w:left w:val="nil"/>
              <w:bottom w:val="single" w:sz="6" w:space="0" w:color="auto"/>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11.5</w:t>
            </w:r>
          </w:p>
        </w:tc>
        <w:tc>
          <w:tcPr>
            <w:tcW w:w="994" w:type="dxa"/>
            <w:tcBorders>
              <w:top w:val="nil"/>
              <w:left w:val="nil"/>
              <w:bottom w:val="single" w:sz="6" w:space="0" w:color="auto"/>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11.5</w:t>
            </w:r>
          </w:p>
        </w:tc>
        <w:tc>
          <w:tcPr>
            <w:tcW w:w="994" w:type="dxa"/>
            <w:tcBorders>
              <w:top w:val="nil"/>
              <w:left w:val="nil"/>
              <w:bottom w:val="single" w:sz="6" w:space="0" w:color="auto"/>
              <w:right w:val="nil"/>
            </w:tcBorders>
          </w:tcPr>
          <w:p w:rsidR="00A53D7D" w:rsidRPr="007F7A89" w:rsidRDefault="00A53D7D" w:rsidP="005140B4">
            <w:pPr>
              <w:pStyle w:val="TableofFigures"/>
              <w:rPr>
                <w:rFonts w:eastAsiaTheme="minorEastAsia"/>
                <w:lang w:eastAsia="en-AU"/>
              </w:rPr>
            </w:pPr>
            <w:r w:rsidRPr="007F7A89">
              <w:rPr>
                <w:rFonts w:eastAsiaTheme="minorEastAsia"/>
                <w:lang w:eastAsia="en-AU"/>
              </w:rPr>
              <w:t xml:space="preserve"> 11.5</w:t>
            </w:r>
          </w:p>
        </w:tc>
      </w:tr>
      <w:tr w:rsidR="00A53D7D" w:rsidRPr="007F7A89" w:rsidTr="005140B4">
        <w:tc>
          <w:tcPr>
            <w:tcW w:w="3784" w:type="dxa"/>
            <w:tcBorders>
              <w:top w:val="single" w:sz="6" w:space="0" w:color="auto"/>
              <w:left w:val="nil"/>
              <w:bottom w:val="single" w:sz="12" w:space="0" w:color="000000"/>
              <w:right w:val="nil"/>
            </w:tcBorders>
            <w:shd w:val="clear" w:color="auto" w:fill="auto"/>
          </w:tcPr>
          <w:p w:rsidR="00A53D7D" w:rsidRPr="007F7A89" w:rsidRDefault="00A53D7D" w:rsidP="005140B4">
            <w:pPr>
              <w:pStyle w:val="Tabletext"/>
              <w:rPr>
                <w:rFonts w:eastAsiaTheme="minorEastAsia"/>
                <w:b/>
                <w:bCs/>
                <w:lang w:eastAsia="en-AU"/>
              </w:rPr>
            </w:pPr>
            <w:r w:rsidRPr="007F7A89">
              <w:rPr>
                <w:rFonts w:eastAsiaTheme="minorEastAsia"/>
                <w:b/>
                <w:bCs/>
                <w:lang w:eastAsia="en-AU"/>
              </w:rPr>
              <w:t>Total income from transactions</w:t>
            </w:r>
          </w:p>
        </w:tc>
        <w:tc>
          <w:tcPr>
            <w:tcW w:w="994" w:type="dxa"/>
            <w:tcBorders>
              <w:top w:val="single" w:sz="6" w:space="0" w:color="auto"/>
              <w:left w:val="nil"/>
              <w:bottom w:val="single" w:sz="12" w:space="0" w:color="000000"/>
              <w:right w:val="nil"/>
            </w:tcBorders>
            <w:shd w:val="clear" w:color="auto" w:fill="auto"/>
          </w:tcPr>
          <w:p w:rsidR="00A53D7D" w:rsidRPr="007F7A89" w:rsidRDefault="00A53D7D" w:rsidP="005140B4">
            <w:pPr>
              <w:pStyle w:val="TableofFigures"/>
              <w:rPr>
                <w:rFonts w:eastAsiaTheme="minorEastAsia"/>
                <w:b/>
                <w:bCs/>
                <w:lang w:eastAsia="en-AU"/>
              </w:rPr>
            </w:pPr>
            <w:r w:rsidRPr="007F7A89">
              <w:rPr>
                <w:rFonts w:eastAsiaTheme="minorEastAsia"/>
                <w:b/>
                <w:bCs/>
                <w:lang w:eastAsia="en-AU"/>
              </w:rPr>
              <w:t>4 481.1</w:t>
            </w:r>
          </w:p>
        </w:tc>
        <w:tc>
          <w:tcPr>
            <w:tcW w:w="994" w:type="dxa"/>
            <w:tcBorders>
              <w:top w:val="single" w:sz="6" w:space="0" w:color="auto"/>
              <w:left w:val="nil"/>
              <w:bottom w:val="single" w:sz="12" w:space="0" w:color="000000"/>
              <w:right w:val="nil"/>
            </w:tcBorders>
            <w:shd w:val="clear" w:color="auto" w:fill="auto"/>
          </w:tcPr>
          <w:p w:rsidR="00A53D7D" w:rsidRPr="007F7A89" w:rsidRDefault="00A53D7D" w:rsidP="005140B4">
            <w:pPr>
              <w:pStyle w:val="TableofFigures"/>
              <w:rPr>
                <w:rFonts w:eastAsiaTheme="minorEastAsia"/>
                <w:b/>
                <w:bCs/>
                <w:lang w:eastAsia="en-AU"/>
              </w:rPr>
            </w:pPr>
            <w:r w:rsidRPr="007F7A89">
              <w:rPr>
                <w:rFonts w:eastAsiaTheme="minorEastAsia"/>
                <w:b/>
                <w:bCs/>
                <w:lang w:eastAsia="en-AU"/>
              </w:rPr>
              <w:t>5 405.4</w:t>
            </w:r>
          </w:p>
        </w:tc>
        <w:tc>
          <w:tcPr>
            <w:tcW w:w="994" w:type="dxa"/>
            <w:tcBorders>
              <w:top w:val="single" w:sz="6" w:space="0" w:color="auto"/>
              <w:left w:val="nil"/>
              <w:bottom w:val="single" w:sz="12" w:space="0" w:color="000000"/>
              <w:right w:val="nil"/>
            </w:tcBorders>
            <w:shd w:val="clear" w:color="auto" w:fill="auto"/>
          </w:tcPr>
          <w:p w:rsidR="00A53D7D" w:rsidRPr="007F7A89" w:rsidRDefault="00A53D7D" w:rsidP="005140B4">
            <w:pPr>
              <w:pStyle w:val="TableofFigures"/>
              <w:rPr>
                <w:rFonts w:eastAsiaTheme="minorEastAsia"/>
                <w:b/>
                <w:bCs/>
                <w:lang w:eastAsia="en-AU"/>
              </w:rPr>
            </w:pPr>
            <w:r w:rsidRPr="007F7A89">
              <w:rPr>
                <w:rFonts w:eastAsiaTheme="minorEastAsia"/>
                <w:b/>
                <w:bCs/>
                <w:lang w:eastAsia="en-AU"/>
              </w:rPr>
              <w:t>5 415.8</w:t>
            </w:r>
          </w:p>
        </w:tc>
        <w:tc>
          <w:tcPr>
            <w:tcW w:w="994" w:type="dxa"/>
            <w:tcBorders>
              <w:top w:val="single" w:sz="6" w:space="0" w:color="auto"/>
              <w:left w:val="nil"/>
              <w:bottom w:val="single" w:sz="12" w:space="0" w:color="000000"/>
              <w:right w:val="nil"/>
            </w:tcBorders>
            <w:shd w:val="clear" w:color="auto" w:fill="auto"/>
          </w:tcPr>
          <w:p w:rsidR="00A53D7D" w:rsidRPr="007F7A89" w:rsidRDefault="00A53D7D" w:rsidP="005140B4">
            <w:pPr>
              <w:pStyle w:val="TableofFigures"/>
              <w:rPr>
                <w:rFonts w:eastAsiaTheme="minorEastAsia"/>
                <w:b/>
                <w:bCs/>
                <w:lang w:eastAsia="en-AU"/>
              </w:rPr>
            </w:pPr>
            <w:r w:rsidRPr="007F7A89">
              <w:rPr>
                <w:rFonts w:eastAsiaTheme="minorEastAsia"/>
                <w:b/>
                <w:bCs/>
                <w:lang w:eastAsia="en-AU"/>
              </w:rPr>
              <w:t>5 451.8</w:t>
            </w:r>
          </w:p>
        </w:tc>
      </w:tr>
    </w:tbl>
    <w:p w:rsidR="00A53D7D" w:rsidRDefault="00A53D7D" w:rsidP="005140B4">
      <w:pPr>
        <w:pStyle w:val="Source"/>
      </w:pPr>
      <w:r>
        <w:t xml:space="preserve">Source: Departments of Justice and Treasury and Finance </w:t>
      </w:r>
      <w:r>
        <w:fldChar w:fldCharType="begin"/>
      </w:r>
      <w:r>
        <w:instrText xml:space="preserve"> XE "Department of Justice</w:instrText>
      </w:r>
      <w:r w:rsidRPr="00C642EA">
        <w:instrText>:Income from transactions</w:instrText>
      </w:r>
      <w:r>
        <w:instrText xml:space="preserve">" </w:instrText>
      </w:r>
      <w:r>
        <w:fldChar w:fldCharType="end"/>
      </w:r>
    </w:p>
    <w:p w:rsidR="00A53D7D" w:rsidRDefault="00A53D7D" w:rsidP="005140B4">
      <w:pPr>
        <w:pStyle w:val="Notes"/>
      </w:pPr>
      <w:r>
        <w:t>Note:</w:t>
      </w:r>
    </w:p>
    <w:p w:rsidR="00A53D7D" w:rsidRDefault="00A53D7D" w:rsidP="005140B4">
      <w:pPr>
        <w:pStyle w:val="Notes"/>
        <w:rPr>
          <w:b/>
        </w:rPr>
      </w:pPr>
      <w:r w:rsidRPr="008A36D0">
        <w:t>(a)</w:t>
      </w:r>
      <w:r w:rsidRPr="008A36D0">
        <w:tab/>
      </w:r>
      <w:r>
        <w:t>The 2012</w:t>
      </w:r>
      <w:r>
        <w:noBreakHyphen/>
        <w:t>13 actual, 2013</w:t>
      </w:r>
      <w:r>
        <w:noBreakHyphen/>
        <w:t>14 budget and 2013</w:t>
      </w:r>
      <w:r>
        <w:noBreakHyphen/>
        <w:t>14 revised include the Courts output so they are not comparable to the 2014</w:t>
      </w:r>
      <w:r>
        <w:noBreakHyphen/>
        <w:t>15 budget.</w:t>
      </w:r>
      <w:r>
        <w:br w:type="page"/>
      </w:r>
    </w:p>
    <w:p w:rsidR="00A53D7D" w:rsidRDefault="00A53D7D" w:rsidP="005140B4">
      <w:pPr>
        <w:pStyle w:val="Tableheading"/>
      </w:pPr>
      <w:r>
        <w:t>Table 2.16:</w:t>
      </w:r>
      <w:r>
        <w:tab/>
        <w:t xml:space="preserve">Parliamentary authority for resources </w:t>
      </w:r>
    </w:p>
    <w:p w:rsidR="00A53D7D" w:rsidRPr="00DC5874"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53D7D" w:rsidRPr="00DC5874" w:rsidTr="005140B4">
        <w:tc>
          <w:tcPr>
            <w:tcW w:w="4668" w:type="dxa"/>
            <w:tcBorders>
              <w:top w:val="single" w:sz="6" w:space="0" w:color="auto"/>
              <w:left w:val="single" w:sz="6" w:space="0" w:color="auto"/>
              <w:bottom w:val="nil"/>
              <w:right w:val="nil"/>
            </w:tcBorders>
            <w:shd w:val="clear" w:color="auto" w:fill="000000"/>
          </w:tcPr>
          <w:p w:rsidR="00A53D7D" w:rsidRPr="00DC5874" w:rsidRDefault="00A53D7D" w:rsidP="005140B4">
            <w:pPr>
              <w:pStyle w:val="Tabletext"/>
              <w:rPr>
                <w:rFonts w:eastAsiaTheme="minorEastAsia"/>
                <w:lang w:eastAsia="en-AU"/>
              </w:rPr>
            </w:pPr>
            <w:r w:rsidRPr="00DC5874">
              <w:rPr>
                <w:rFonts w:eastAsiaTheme="minorEastAsia"/>
                <w:lang w:eastAsia="en-AU"/>
              </w:rPr>
              <w:t xml:space="preserve"> </w:t>
            </w:r>
          </w:p>
        </w:tc>
        <w:tc>
          <w:tcPr>
            <w:tcW w:w="1036" w:type="dxa"/>
            <w:tcBorders>
              <w:top w:val="single" w:sz="6" w:space="0" w:color="auto"/>
              <w:left w:val="nil"/>
              <w:bottom w:val="nil"/>
              <w:right w:val="nil"/>
            </w:tcBorders>
            <w:shd w:val="clear" w:color="auto" w:fill="000000"/>
          </w:tcPr>
          <w:p w:rsidR="00A53D7D" w:rsidRPr="00DC5874" w:rsidRDefault="00A53D7D" w:rsidP="005140B4">
            <w:pPr>
              <w:pStyle w:val="Tabletextheading"/>
              <w:rPr>
                <w:rFonts w:eastAsiaTheme="minorEastAsia"/>
                <w:lang w:eastAsia="en-AU"/>
              </w:rPr>
            </w:pPr>
            <w:r w:rsidRPr="00DC5874">
              <w:rPr>
                <w:rFonts w:eastAsiaTheme="minorEastAsia"/>
                <w:lang w:eastAsia="en-AU"/>
              </w:rPr>
              <w:t>2013-14</w:t>
            </w:r>
          </w:p>
        </w:tc>
        <w:tc>
          <w:tcPr>
            <w:tcW w:w="1036" w:type="dxa"/>
            <w:tcBorders>
              <w:top w:val="single" w:sz="6" w:space="0" w:color="auto"/>
              <w:left w:val="nil"/>
              <w:bottom w:val="nil"/>
              <w:right w:val="nil"/>
            </w:tcBorders>
            <w:shd w:val="clear" w:color="auto" w:fill="000000"/>
          </w:tcPr>
          <w:p w:rsidR="00A53D7D" w:rsidRPr="00DC5874" w:rsidRDefault="00A53D7D" w:rsidP="005140B4">
            <w:pPr>
              <w:pStyle w:val="Tabletextheading"/>
              <w:rPr>
                <w:rFonts w:eastAsiaTheme="minorEastAsia"/>
                <w:lang w:eastAsia="en-AU"/>
              </w:rPr>
            </w:pPr>
            <w:r w:rsidRPr="00DC5874">
              <w:rPr>
                <w:rFonts w:eastAsiaTheme="minorEastAsia"/>
                <w:lang w:eastAsia="en-AU"/>
              </w:rPr>
              <w:t>2013-14</w:t>
            </w:r>
          </w:p>
        </w:tc>
        <w:tc>
          <w:tcPr>
            <w:tcW w:w="1036" w:type="dxa"/>
            <w:tcBorders>
              <w:top w:val="single" w:sz="6" w:space="0" w:color="auto"/>
              <w:left w:val="nil"/>
              <w:bottom w:val="nil"/>
              <w:right w:val="single" w:sz="6" w:space="0" w:color="auto"/>
            </w:tcBorders>
            <w:shd w:val="clear" w:color="auto" w:fill="000000"/>
          </w:tcPr>
          <w:p w:rsidR="00A53D7D" w:rsidRPr="00DC5874" w:rsidRDefault="00A53D7D" w:rsidP="005140B4">
            <w:pPr>
              <w:pStyle w:val="Tabletextheading"/>
              <w:rPr>
                <w:rFonts w:eastAsiaTheme="minorEastAsia"/>
                <w:lang w:eastAsia="en-AU"/>
              </w:rPr>
            </w:pPr>
            <w:r w:rsidRPr="00DC5874">
              <w:rPr>
                <w:rFonts w:eastAsiaTheme="minorEastAsia"/>
                <w:lang w:eastAsia="en-AU"/>
              </w:rPr>
              <w:t>2014-15</w:t>
            </w:r>
          </w:p>
        </w:tc>
      </w:tr>
      <w:tr w:rsidR="00A53D7D" w:rsidRPr="00DC5874" w:rsidTr="005140B4">
        <w:tc>
          <w:tcPr>
            <w:tcW w:w="4668" w:type="dxa"/>
            <w:tcBorders>
              <w:top w:val="nil"/>
              <w:left w:val="single" w:sz="6" w:space="0" w:color="auto"/>
              <w:bottom w:val="single" w:sz="6" w:space="0" w:color="auto"/>
              <w:right w:val="nil"/>
            </w:tcBorders>
            <w:shd w:val="clear" w:color="auto" w:fill="000000"/>
          </w:tcPr>
          <w:p w:rsidR="00A53D7D" w:rsidRPr="00DC5874" w:rsidRDefault="00A53D7D" w:rsidP="005140B4">
            <w:pPr>
              <w:pStyle w:val="Tabletext"/>
              <w:rPr>
                <w:rFonts w:eastAsiaTheme="minorEastAsia"/>
                <w:lang w:eastAsia="en-AU"/>
              </w:rPr>
            </w:pPr>
            <w:r w:rsidRPr="00DC5874">
              <w:rPr>
                <w:rFonts w:eastAsiaTheme="minorEastAsia"/>
                <w:lang w:eastAsia="en-AU"/>
              </w:rPr>
              <w:t xml:space="preserve"> </w:t>
            </w:r>
          </w:p>
        </w:tc>
        <w:tc>
          <w:tcPr>
            <w:tcW w:w="1036" w:type="dxa"/>
            <w:tcBorders>
              <w:top w:val="nil"/>
              <w:left w:val="nil"/>
              <w:bottom w:val="single" w:sz="6" w:space="0" w:color="auto"/>
              <w:right w:val="nil"/>
            </w:tcBorders>
            <w:shd w:val="clear" w:color="auto" w:fill="000000"/>
          </w:tcPr>
          <w:p w:rsidR="00A53D7D" w:rsidRPr="00DC5874" w:rsidRDefault="00A53D7D" w:rsidP="005140B4">
            <w:pPr>
              <w:pStyle w:val="Tabletextheading"/>
              <w:rPr>
                <w:rFonts w:eastAsiaTheme="minorEastAsia"/>
                <w:lang w:eastAsia="en-AU"/>
              </w:rPr>
            </w:pPr>
            <w:r w:rsidRPr="00DC5874">
              <w:rPr>
                <w:rFonts w:eastAsiaTheme="minorEastAsia"/>
                <w:lang w:eastAsia="en-AU"/>
              </w:rPr>
              <w:t>Budget</w:t>
            </w:r>
          </w:p>
        </w:tc>
        <w:tc>
          <w:tcPr>
            <w:tcW w:w="1036" w:type="dxa"/>
            <w:tcBorders>
              <w:top w:val="nil"/>
              <w:left w:val="nil"/>
              <w:bottom w:val="single" w:sz="6" w:space="0" w:color="auto"/>
              <w:right w:val="nil"/>
            </w:tcBorders>
            <w:shd w:val="clear" w:color="auto" w:fill="000000"/>
          </w:tcPr>
          <w:p w:rsidR="00A53D7D" w:rsidRPr="00DC5874" w:rsidRDefault="00A53D7D" w:rsidP="005140B4">
            <w:pPr>
              <w:pStyle w:val="Tabletextheading"/>
              <w:rPr>
                <w:rFonts w:eastAsiaTheme="minorEastAsia"/>
                <w:lang w:eastAsia="en-AU"/>
              </w:rPr>
            </w:pPr>
            <w:r w:rsidRPr="00DC5874">
              <w:rPr>
                <w:rFonts w:eastAsiaTheme="minorEastAsia"/>
                <w:lang w:eastAsia="en-AU"/>
              </w:rPr>
              <w:t>Revised</w:t>
            </w:r>
          </w:p>
        </w:tc>
        <w:tc>
          <w:tcPr>
            <w:tcW w:w="1036" w:type="dxa"/>
            <w:tcBorders>
              <w:top w:val="nil"/>
              <w:left w:val="nil"/>
              <w:bottom w:val="single" w:sz="6" w:space="0" w:color="auto"/>
              <w:right w:val="single" w:sz="6" w:space="0" w:color="auto"/>
            </w:tcBorders>
            <w:shd w:val="clear" w:color="auto" w:fill="000000"/>
          </w:tcPr>
          <w:p w:rsidR="00A53D7D" w:rsidRPr="00DC5874" w:rsidRDefault="00A53D7D" w:rsidP="005140B4">
            <w:pPr>
              <w:pStyle w:val="Tabletextheading"/>
              <w:rPr>
                <w:rFonts w:eastAsiaTheme="minorEastAsia"/>
                <w:vertAlign w:val="superscript"/>
                <w:lang w:eastAsia="en-AU"/>
              </w:rPr>
            </w:pPr>
            <w:r w:rsidRPr="00DC5874">
              <w:rPr>
                <w:rFonts w:eastAsiaTheme="minorEastAsia"/>
                <w:lang w:eastAsia="en-AU"/>
              </w:rPr>
              <w:t>Budget</w:t>
            </w:r>
            <w:r w:rsidRPr="00DC5874">
              <w:rPr>
                <w:rFonts w:eastAsiaTheme="minorEastAsia"/>
                <w:vertAlign w:val="superscript"/>
                <w:lang w:eastAsia="en-AU"/>
              </w:rPr>
              <w:t>(a)</w:t>
            </w:r>
          </w:p>
        </w:tc>
      </w:tr>
      <w:tr w:rsidR="00A53D7D" w:rsidRPr="00DC5874" w:rsidTr="005140B4">
        <w:tc>
          <w:tcPr>
            <w:tcW w:w="4668" w:type="dxa"/>
            <w:tcBorders>
              <w:top w:val="nil"/>
              <w:left w:val="nil"/>
              <w:bottom w:val="nil"/>
              <w:right w:val="nil"/>
            </w:tcBorders>
            <w:shd w:val="solid" w:color="FFFFFF" w:fill="auto"/>
          </w:tcPr>
          <w:p w:rsidR="00A53D7D" w:rsidRPr="00DC5874" w:rsidRDefault="00A53D7D" w:rsidP="005140B4">
            <w:pPr>
              <w:pStyle w:val="Tabletext"/>
              <w:rPr>
                <w:rFonts w:eastAsiaTheme="minorEastAsia"/>
                <w:b/>
                <w:bCs/>
                <w:lang w:eastAsia="en-AU"/>
              </w:rPr>
            </w:pPr>
            <w:r w:rsidRPr="00DC5874">
              <w:rPr>
                <w:rFonts w:eastAsiaTheme="minorEastAsia"/>
                <w:b/>
                <w:bCs/>
                <w:lang w:eastAsia="en-AU"/>
              </w:rPr>
              <w:t>Annual appropriations</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b/>
                <w:bCs/>
                <w:lang w:eastAsia="en-AU"/>
              </w:rPr>
            </w:pPr>
            <w:r w:rsidRPr="00DC5874">
              <w:rPr>
                <w:rFonts w:eastAsiaTheme="minorEastAsia"/>
                <w:b/>
                <w:bCs/>
                <w:lang w:eastAsia="en-AU"/>
              </w:rPr>
              <w:t>5 555.7</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b/>
                <w:bCs/>
                <w:lang w:eastAsia="en-AU"/>
              </w:rPr>
            </w:pPr>
            <w:r w:rsidRPr="00DC5874">
              <w:rPr>
                <w:rFonts w:eastAsiaTheme="minorEastAsia"/>
                <w:b/>
                <w:bCs/>
                <w:lang w:eastAsia="en-AU"/>
              </w:rPr>
              <w:t>5 058.0</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b/>
                <w:bCs/>
                <w:lang w:eastAsia="en-AU"/>
              </w:rPr>
            </w:pPr>
            <w:r w:rsidRPr="00DC5874">
              <w:rPr>
                <w:rFonts w:eastAsiaTheme="minorEastAsia"/>
                <w:b/>
                <w:bCs/>
                <w:lang w:eastAsia="en-AU"/>
              </w:rPr>
              <w:t>5 802.5</w:t>
            </w:r>
          </w:p>
        </w:tc>
      </w:tr>
      <w:tr w:rsidR="00A53D7D" w:rsidRPr="00DC5874" w:rsidTr="005140B4">
        <w:tc>
          <w:tcPr>
            <w:tcW w:w="4668" w:type="dxa"/>
            <w:tcBorders>
              <w:top w:val="nil"/>
              <w:left w:val="nil"/>
              <w:bottom w:val="nil"/>
              <w:right w:val="nil"/>
            </w:tcBorders>
            <w:shd w:val="solid" w:color="FFFFFF" w:fill="auto"/>
          </w:tcPr>
          <w:p w:rsidR="00A53D7D" w:rsidRPr="00DC5874" w:rsidRDefault="00A53D7D" w:rsidP="005140B4">
            <w:pPr>
              <w:pStyle w:val="Tabletext"/>
              <w:rPr>
                <w:rFonts w:eastAsiaTheme="minorEastAsia"/>
                <w:lang w:eastAsia="en-AU"/>
              </w:rPr>
            </w:pPr>
            <w:r w:rsidRPr="00DC5874">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4 792.4</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4 775.5</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5 009.0</w:t>
            </w:r>
          </w:p>
        </w:tc>
      </w:tr>
      <w:tr w:rsidR="00A53D7D" w:rsidRPr="00DC5874" w:rsidTr="005140B4">
        <w:tc>
          <w:tcPr>
            <w:tcW w:w="4668" w:type="dxa"/>
            <w:tcBorders>
              <w:top w:val="nil"/>
              <w:left w:val="nil"/>
              <w:bottom w:val="nil"/>
              <w:right w:val="nil"/>
            </w:tcBorders>
            <w:shd w:val="solid" w:color="FFFFFF" w:fill="auto"/>
          </w:tcPr>
          <w:p w:rsidR="00A53D7D" w:rsidRPr="00DC5874" w:rsidRDefault="00A53D7D" w:rsidP="005140B4">
            <w:pPr>
              <w:pStyle w:val="Tabletext"/>
              <w:rPr>
                <w:rFonts w:eastAsiaTheme="minorEastAsia"/>
                <w:lang w:eastAsia="en-AU"/>
              </w:rPr>
            </w:pPr>
            <w:r w:rsidRPr="00DC5874">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708.9</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228.0</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739.1</w:t>
            </w:r>
          </w:p>
        </w:tc>
      </w:tr>
      <w:tr w:rsidR="00A53D7D" w:rsidRPr="00DC5874" w:rsidTr="005140B4">
        <w:tc>
          <w:tcPr>
            <w:tcW w:w="4668" w:type="dxa"/>
            <w:tcBorders>
              <w:top w:val="nil"/>
              <w:left w:val="nil"/>
              <w:bottom w:val="nil"/>
              <w:right w:val="nil"/>
            </w:tcBorders>
            <w:shd w:val="solid" w:color="FFFFFF" w:fill="auto"/>
          </w:tcPr>
          <w:p w:rsidR="00A53D7D" w:rsidRPr="00DC5874" w:rsidRDefault="00A53D7D" w:rsidP="005140B4">
            <w:pPr>
              <w:pStyle w:val="Tabletext"/>
              <w:rPr>
                <w:rFonts w:eastAsiaTheme="minorEastAsia"/>
                <w:lang w:eastAsia="en-AU"/>
              </w:rPr>
            </w:pPr>
            <w:r w:rsidRPr="00DC5874">
              <w:rPr>
                <w:rFonts w:eastAsiaTheme="minorEastAsia"/>
                <w:lang w:eastAsia="en-AU"/>
              </w:rPr>
              <w:t xml:space="preserve"> Payments made on behalf of the State</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54.5</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54.5</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54.5</w:t>
            </w:r>
          </w:p>
        </w:tc>
      </w:tr>
      <w:tr w:rsidR="00A53D7D" w:rsidRPr="00DC5874" w:rsidTr="005140B4">
        <w:tc>
          <w:tcPr>
            <w:tcW w:w="4668" w:type="dxa"/>
            <w:tcBorders>
              <w:top w:val="nil"/>
              <w:left w:val="nil"/>
              <w:bottom w:val="nil"/>
              <w:right w:val="nil"/>
            </w:tcBorders>
            <w:shd w:val="solid" w:color="FFFFFF" w:fill="auto"/>
          </w:tcPr>
          <w:p w:rsidR="00A53D7D" w:rsidRPr="00DC5874" w:rsidRDefault="00A53D7D" w:rsidP="005140B4">
            <w:pPr>
              <w:pStyle w:val="Tabletext"/>
              <w:rPr>
                <w:rFonts w:eastAsiaTheme="minorEastAsia"/>
                <w:lang w:eastAsia="en-AU"/>
              </w:rPr>
            </w:pPr>
            <w:r w:rsidRPr="00DC5874">
              <w:rPr>
                <w:rFonts w:eastAsiaTheme="minorEastAsia"/>
                <w:lang w:eastAsia="en-AU"/>
              </w:rPr>
              <w:t>Receipts credited to appropriations</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252.8</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263.9</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189.8</w:t>
            </w:r>
          </w:p>
        </w:tc>
      </w:tr>
      <w:tr w:rsidR="00A53D7D" w:rsidRPr="00E646BF" w:rsidTr="005140B4">
        <w:tc>
          <w:tcPr>
            <w:tcW w:w="4668" w:type="dxa"/>
            <w:tcBorders>
              <w:top w:val="nil"/>
              <w:left w:val="nil"/>
              <w:bottom w:val="nil"/>
              <w:right w:val="nil"/>
            </w:tcBorders>
            <w:shd w:val="solid" w:color="FFFFFF" w:fill="auto"/>
          </w:tcPr>
          <w:p w:rsidR="00A53D7D" w:rsidRPr="00E646BF" w:rsidRDefault="00A53D7D" w:rsidP="005140B4">
            <w:pPr>
              <w:pStyle w:val="Tabletext"/>
              <w:rPr>
                <w:rFonts w:eastAsiaTheme="minorEastAsia"/>
                <w:b/>
                <w:bCs/>
                <w:lang w:eastAsia="en-AU"/>
              </w:rPr>
            </w:pPr>
            <w:r w:rsidRPr="00E646BF">
              <w:rPr>
                <w:rFonts w:eastAsiaTheme="minorEastAsia"/>
                <w:b/>
                <w:bCs/>
                <w:lang w:eastAsia="en-AU"/>
              </w:rPr>
              <w:t>Unapplied previous years appropriation</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122.7</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207.3</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51.7</w:t>
            </w:r>
          </w:p>
        </w:tc>
      </w:tr>
      <w:tr w:rsidR="00A53D7D" w:rsidRPr="00DC5874" w:rsidTr="005140B4">
        <w:tc>
          <w:tcPr>
            <w:tcW w:w="4668" w:type="dxa"/>
            <w:tcBorders>
              <w:top w:val="nil"/>
              <w:left w:val="nil"/>
              <w:bottom w:val="nil"/>
              <w:right w:val="nil"/>
            </w:tcBorders>
            <w:shd w:val="solid" w:color="FFFFFF" w:fill="auto"/>
          </w:tcPr>
          <w:p w:rsidR="00A53D7D" w:rsidRPr="00DC5874" w:rsidRDefault="00A53D7D" w:rsidP="005140B4">
            <w:pPr>
              <w:pStyle w:val="Tabletext"/>
              <w:rPr>
                <w:rFonts w:eastAsiaTheme="minorEastAsia"/>
                <w:lang w:eastAsia="en-AU"/>
              </w:rPr>
            </w:pPr>
            <w:r w:rsidRPr="00DC5874">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70.4</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90.0</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35.7</w:t>
            </w:r>
          </w:p>
        </w:tc>
      </w:tr>
      <w:tr w:rsidR="00A53D7D" w:rsidRPr="00DC5874" w:rsidTr="005140B4">
        <w:tc>
          <w:tcPr>
            <w:tcW w:w="4668" w:type="dxa"/>
            <w:tcBorders>
              <w:top w:val="nil"/>
              <w:left w:val="nil"/>
              <w:bottom w:val="nil"/>
              <w:right w:val="nil"/>
            </w:tcBorders>
            <w:shd w:val="solid" w:color="FFFFFF" w:fill="auto"/>
          </w:tcPr>
          <w:p w:rsidR="00A53D7D" w:rsidRPr="00DC5874" w:rsidRDefault="00A53D7D" w:rsidP="005140B4">
            <w:pPr>
              <w:pStyle w:val="Tabletext"/>
              <w:rPr>
                <w:rFonts w:eastAsiaTheme="minorEastAsia"/>
                <w:lang w:eastAsia="en-AU"/>
              </w:rPr>
            </w:pPr>
            <w:r w:rsidRPr="00DC5874">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52.3</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117.3</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16.0</w:t>
            </w:r>
          </w:p>
        </w:tc>
      </w:tr>
      <w:tr w:rsidR="00A53D7D" w:rsidRPr="00DC5874" w:rsidTr="005140B4">
        <w:tc>
          <w:tcPr>
            <w:tcW w:w="4668" w:type="dxa"/>
            <w:tcBorders>
              <w:top w:val="nil"/>
              <w:left w:val="nil"/>
              <w:bottom w:val="single" w:sz="6" w:space="0" w:color="auto"/>
              <w:right w:val="nil"/>
            </w:tcBorders>
            <w:shd w:val="solid" w:color="FFFFFF" w:fill="auto"/>
          </w:tcPr>
          <w:p w:rsidR="00A53D7D" w:rsidRPr="00DC5874" w:rsidRDefault="00A53D7D" w:rsidP="005140B4">
            <w:pPr>
              <w:pStyle w:val="Tabletext"/>
              <w:rPr>
                <w:rFonts w:eastAsiaTheme="minorEastAsia"/>
                <w:lang w:eastAsia="en-AU"/>
              </w:rPr>
            </w:pPr>
            <w:r w:rsidRPr="00DC5874">
              <w:rPr>
                <w:rFonts w:eastAsiaTheme="minorEastAsia"/>
                <w:lang w:eastAsia="en-AU"/>
              </w:rPr>
              <w:t>Accumulated surplus – previously applied appropriation</w:t>
            </w:r>
          </w:p>
        </w:tc>
        <w:tc>
          <w:tcPr>
            <w:tcW w:w="1036" w:type="dxa"/>
            <w:tcBorders>
              <w:top w:val="nil"/>
              <w:left w:val="nil"/>
              <w:bottom w:val="single" w:sz="6" w:space="0" w:color="auto"/>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6.6</w:t>
            </w:r>
          </w:p>
        </w:tc>
        <w:tc>
          <w:tcPr>
            <w:tcW w:w="1036" w:type="dxa"/>
            <w:tcBorders>
              <w:top w:val="nil"/>
              <w:left w:val="nil"/>
              <w:bottom w:val="single" w:sz="6" w:space="0" w:color="auto"/>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66.7</w:t>
            </w:r>
          </w:p>
        </w:tc>
        <w:tc>
          <w:tcPr>
            <w:tcW w:w="1036" w:type="dxa"/>
            <w:tcBorders>
              <w:top w:val="nil"/>
              <w:left w:val="nil"/>
              <w:bottom w:val="single" w:sz="6" w:space="0" w:color="auto"/>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5.9</w:t>
            </w:r>
          </w:p>
        </w:tc>
      </w:tr>
      <w:tr w:rsidR="00A53D7D" w:rsidRPr="00DC5874" w:rsidTr="005140B4">
        <w:tc>
          <w:tcPr>
            <w:tcW w:w="4668" w:type="dxa"/>
            <w:tcBorders>
              <w:top w:val="nil"/>
              <w:left w:val="nil"/>
              <w:bottom w:val="nil"/>
              <w:right w:val="nil"/>
            </w:tcBorders>
            <w:shd w:val="solid" w:color="FFFFFF" w:fill="auto"/>
          </w:tcPr>
          <w:p w:rsidR="00A53D7D" w:rsidRPr="00DC5874" w:rsidRDefault="00A53D7D" w:rsidP="005140B4">
            <w:pPr>
              <w:pStyle w:val="Tabletext"/>
              <w:rPr>
                <w:rFonts w:eastAsiaTheme="minorEastAsia"/>
                <w:b/>
                <w:bCs/>
                <w:lang w:eastAsia="en-AU"/>
              </w:rPr>
            </w:pPr>
            <w:r w:rsidRPr="00DC5874">
              <w:rPr>
                <w:rFonts w:eastAsiaTheme="minorEastAsia"/>
                <w:b/>
                <w:bCs/>
                <w:lang w:eastAsia="en-AU"/>
              </w:rPr>
              <w:t>Gross annual appropriation</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b/>
                <w:bCs/>
                <w:lang w:eastAsia="en-AU"/>
              </w:rPr>
            </w:pPr>
            <w:r w:rsidRPr="00DC5874">
              <w:rPr>
                <w:rFonts w:eastAsiaTheme="minorEastAsia"/>
                <w:b/>
                <w:bCs/>
                <w:lang w:eastAsia="en-AU"/>
              </w:rPr>
              <w:t>5 937.9</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b/>
                <w:bCs/>
                <w:lang w:eastAsia="en-AU"/>
              </w:rPr>
            </w:pPr>
            <w:r w:rsidRPr="00DC5874">
              <w:rPr>
                <w:rFonts w:eastAsiaTheme="minorEastAsia"/>
                <w:b/>
                <w:bCs/>
                <w:lang w:eastAsia="en-AU"/>
              </w:rPr>
              <w:t>5 595.9</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b/>
                <w:bCs/>
                <w:lang w:eastAsia="en-AU"/>
              </w:rPr>
            </w:pPr>
            <w:r w:rsidRPr="00DC5874">
              <w:rPr>
                <w:rFonts w:eastAsiaTheme="minorEastAsia"/>
                <w:b/>
                <w:bCs/>
                <w:lang w:eastAsia="en-AU"/>
              </w:rPr>
              <w:t>6 049.9</w:t>
            </w:r>
          </w:p>
        </w:tc>
      </w:tr>
      <w:tr w:rsidR="00A53D7D" w:rsidRPr="00DC5874" w:rsidTr="005140B4">
        <w:tc>
          <w:tcPr>
            <w:tcW w:w="4668" w:type="dxa"/>
            <w:tcBorders>
              <w:top w:val="nil"/>
              <w:left w:val="nil"/>
              <w:bottom w:val="nil"/>
              <w:right w:val="nil"/>
            </w:tcBorders>
            <w:shd w:val="solid" w:color="FFFFFF" w:fill="auto"/>
          </w:tcPr>
          <w:p w:rsidR="00A53D7D" w:rsidRPr="00DC5874" w:rsidRDefault="00A53D7D" w:rsidP="005140B4">
            <w:pPr>
              <w:pStyle w:val="Tabletext"/>
              <w:rPr>
                <w:rFonts w:eastAsiaTheme="minorEastAsia"/>
                <w:lang w:eastAsia="en-AU"/>
              </w:rPr>
            </w:pPr>
            <w:r w:rsidRPr="00DC5874">
              <w:rPr>
                <w:rFonts w:eastAsiaTheme="minorEastAsia"/>
                <w:lang w:eastAsia="en-AU"/>
              </w:rPr>
              <w:t>Special appropriations</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207.1</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219.6</w:t>
            </w:r>
          </w:p>
        </w:tc>
        <w:tc>
          <w:tcPr>
            <w:tcW w:w="1036" w:type="dxa"/>
            <w:tcBorders>
              <w:top w:val="nil"/>
              <w:left w:val="nil"/>
              <w:bottom w:val="nil"/>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96.2</w:t>
            </w:r>
          </w:p>
        </w:tc>
      </w:tr>
      <w:tr w:rsidR="00A53D7D" w:rsidRPr="00DC5874" w:rsidTr="005140B4">
        <w:tc>
          <w:tcPr>
            <w:tcW w:w="4668" w:type="dxa"/>
            <w:tcBorders>
              <w:top w:val="nil"/>
              <w:left w:val="nil"/>
              <w:bottom w:val="single" w:sz="6" w:space="0" w:color="auto"/>
              <w:right w:val="nil"/>
            </w:tcBorders>
            <w:shd w:val="solid" w:color="FFFFFF" w:fill="auto"/>
          </w:tcPr>
          <w:p w:rsidR="00A53D7D" w:rsidRPr="00DC5874" w:rsidRDefault="00A53D7D" w:rsidP="005140B4">
            <w:pPr>
              <w:pStyle w:val="Tabletext"/>
              <w:rPr>
                <w:rFonts w:eastAsiaTheme="minorEastAsia"/>
                <w:lang w:eastAsia="en-AU"/>
              </w:rPr>
            </w:pPr>
            <w:r w:rsidRPr="00DC5874">
              <w:rPr>
                <w:rFonts w:eastAsiaTheme="minorEastAsia"/>
                <w:lang w:eastAsia="en-AU"/>
              </w:rPr>
              <w:t>Trust funds</w:t>
            </w:r>
          </w:p>
        </w:tc>
        <w:tc>
          <w:tcPr>
            <w:tcW w:w="1036" w:type="dxa"/>
            <w:tcBorders>
              <w:top w:val="nil"/>
              <w:left w:val="nil"/>
              <w:bottom w:val="single" w:sz="6" w:space="0" w:color="auto"/>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154.4</w:t>
            </w:r>
          </w:p>
        </w:tc>
        <w:tc>
          <w:tcPr>
            <w:tcW w:w="1036" w:type="dxa"/>
            <w:tcBorders>
              <w:top w:val="nil"/>
              <w:left w:val="nil"/>
              <w:bottom w:val="single" w:sz="6" w:space="0" w:color="auto"/>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140.8</w:t>
            </w:r>
          </w:p>
        </w:tc>
        <w:tc>
          <w:tcPr>
            <w:tcW w:w="1036" w:type="dxa"/>
            <w:tcBorders>
              <w:top w:val="nil"/>
              <w:left w:val="nil"/>
              <w:bottom w:val="single" w:sz="6" w:space="0" w:color="auto"/>
              <w:right w:val="nil"/>
            </w:tcBorders>
            <w:shd w:val="solid" w:color="FFFFFF" w:fill="auto"/>
          </w:tcPr>
          <w:p w:rsidR="00A53D7D" w:rsidRPr="00DC5874" w:rsidRDefault="00A53D7D" w:rsidP="005140B4">
            <w:pPr>
              <w:pStyle w:val="TableofFigures"/>
              <w:rPr>
                <w:rFonts w:eastAsiaTheme="minorEastAsia"/>
                <w:lang w:eastAsia="en-AU"/>
              </w:rPr>
            </w:pPr>
            <w:r w:rsidRPr="00DC5874">
              <w:rPr>
                <w:rFonts w:eastAsiaTheme="minorEastAsia"/>
                <w:lang w:eastAsia="en-AU"/>
              </w:rPr>
              <w:t xml:space="preserve"> 149.9</w:t>
            </w:r>
          </w:p>
        </w:tc>
      </w:tr>
      <w:tr w:rsidR="00A53D7D" w:rsidRPr="00DC5874" w:rsidTr="005140B4">
        <w:tc>
          <w:tcPr>
            <w:tcW w:w="4668" w:type="dxa"/>
            <w:tcBorders>
              <w:top w:val="nil"/>
              <w:left w:val="nil"/>
              <w:bottom w:val="single" w:sz="12" w:space="0" w:color="auto"/>
              <w:right w:val="nil"/>
            </w:tcBorders>
            <w:shd w:val="solid" w:color="FFFFFF" w:fill="auto"/>
          </w:tcPr>
          <w:p w:rsidR="00A53D7D" w:rsidRPr="00DC5874" w:rsidRDefault="00A53D7D" w:rsidP="005140B4">
            <w:pPr>
              <w:pStyle w:val="Tabletext"/>
              <w:rPr>
                <w:rFonts w:eastAsiaTheme="minorEastAsia"/>
                <w:b/>
                <w:bCs/>
                <w:lang w:eastAsia="en-AU"/>
              </w:rPr>
            </w:pPr>
            <w:r w:rsidRPr="00DC5874">
              <w:rPr>
                <w:rFonts w:eastAsiaTheme="minorEastAsia"/>
                <w:b/>
                <w:bCs/>
                <w:lang w:eastAsia="en-AU"/>
              </w:rPr>
              <w:t>Total parliamentary authority</w:t>
            </w:r>
          </w:p>
        </w:tc>
        <w:tc>
          <w:tcPr>
            <w:tcW w:w="1036" w:type="dxa"/>
            <w:tcBorders>
              <w:top w:val="nil"/>
              <w:left w:val="nil"/>
              <w:bottom w:val="single" w:sz="12" w:space="0" w:color="auto"/>
              <w:right w:val="nil"/>
            </w:tcBorders>
            <w:shd w:val="solid" w:color="FFFFFF" w:fill="auto"/>
          </w:tcPr>
          <w:p w:rsidR="00A53D7D" w:rsidRPr="00DC5874" w:rsidRDefault="00A53D7D" w:rsidP="005140B4">
            <w:pPr>
              <w:pStyle w:val="TableofFigures"/>
              <w:rPr>
                <w:rFonts w:eastAsiaTheme="minorEastAsia"/>
                <w:b/>
                <w:bCs/>
                <w:lang w:eastAsia="en-AU"/>
              </w:rPr>
            </w:pPr>
            <w:r w:rsidRPr="00DC5874">
              <w:rPr>
                <w:rFonts w:eastAsiaTheme="minorEastAsia"/>
                <w:b/>
                <w:bCs/>
                <w:lang w:eastAsia="en-AU"/>
              </w:rPr>
              <w:t>6 299.3</w:t>
            </w:r>
          </w:p>
        </w:tc>
        <w:tc>
          <w:tcPr>
            <w:tcW w:w="1036" w:type="dxa"/>
            <w:tcBorders>
              <w:top w:val="nil"/>
              <w:left w:val="nil"/>
              <w:bottom w:val="single" w:sz="12" w:space="0" w:color="auto"/>
              <w:right w:val="nil"/>
            </w:tcBorders>
            <w:shd w:val="solid" w:color="FFFFFF" w:fill="auto"/>
          </w:tcPr>
          <w:p w:rsidR="00A53D7D" w:rsidRPr="00DC5874" w:rsidRDefault="00A53D7D" w:rsidP="005140B4">
            <w:pPr>
              <w:pStyle w:val="TableofFigures"/>
              <w:rPr>
                <w:rFonts w:eastAsiaTheme="minorEastAsia"/>
                <w:b/>
                <w:bCs/>
                <w:lang w:eastAsia="en-AU"/>
              </w:rPr>
            </w:pPr>
            <w:r w:rsidRPr="00DC5874">
              <w:rPr>
                <w:rFonts w:eastAsiaTheme="minorEastAsia"/>
                <w:b/>
                <w:bCs/>
                <w:lang w:eastAsia="en-AU"/>
              </w:rPr>
              <w:t>5 956.2</w:t>
            </w:r>
          </w:p>
        </w:tc>
        <w:tc>
          <w:tcPr>
            <w:tcW w:w="1036" w:type="dxa"/>
            <w:tcBorders>
              <w:top w:val="nil"/>
              <w:left w:val="nil"/>
              <w:bottom w:val="single" w:sz="12" w:space="0" w:color="auto"/>
              <w:right w:val="nil"/>
            </w:tcBorders>
            <w:shd w:val="solid" w:color="FFFFFF" w:fill="auto"/>
          </w:tcPr>
          <w:p w:rsidR="00A53D7D" w:rsidRPr="00DC5874" w:rsidRDefault="00A53D7D" w:rsidP="005140B4">
            <w:pPr>
              <w:pStyle w:val="TableofFigures"/>
              <w:rPr>
                <w:rFonts w:eastAsiaTheme="minorEastAsia"/>
                <w:b/>
                <w:bCs/>
                <w:lang w:eastAsia="en-AU"/>
              </w:rPr>
            </w:pPr>
            <w:r w:rsidRPr="00DC5874">
              <w:rPr>
                <w:rFonts w:eastAsiaTheme="minorEastAsia"/>
                <w:b/>
                <w:bCs/>
                <w:lang w:eastAsia="en-AU"/>
              </w:rPr>
              <w:t>6 296.0</w:t>
            </w:r>
          </w:p>
        </w:tc>
      </w:tr>
    </w:tbl>
    <w:p w:rsidR="00A53D7D" w:rsidRDefault="00A53D7D" w:rsidP="005140B4">
      <w:pPr>
        <w:pStyle w:val="Source"/>
      </w:pPr>
      <w:r>
        <w:t xml:space="preserve">Source: Departments of Justice and Treasury and Finance </w:t>
      </w:r>
      <w:r>
        <w:fldChar w:fldCharType="begin"/>
      </w:r>
      <w:r>
        <w:instrText xml:space="preserve"> XE "Department of Justice</w:instrText>
      </w:r>
      <w:r w:rsidRPr="00ED1DC7">
        <w:instrText>:Parliamentary authority for resources</w:instrText>
      </w:r>
      <w:r>
        <w:instrText xml:space="preserve">" </w:instrText>
      </w:r>
      <w:r>
        <w:fldChar w:fldCharType="end"/>
      </w:r>
    </w:p>
    <w:p w:rsidR="00A53D7D" w:rsidRDefault="00A53D7D" w:rsidP="005140B4">
      <w:pPr>
        <w:pStyle w:val="Notes"/>
      </w:pPr>
      <w:r>
        <w:t>Note:</w:t>
      </w:r>
    </w:p>
    <w:p w:rsidR="00A53D7D" w:rsidRDefault="00A53D7D" w:rsidP="005140B4">
      <w:pPr>
        <w:pStyle w:val="Notes"/>
      </w:pPr>
      <w:r w:rsidRPr="008A36D0">
        <w:t>(a)</w:t>
      </w:r>
      <w:r w:rsidRPr="008A36D0">
        <w:tab/>
      </w:r>
      <w:r>
        <w:t>The 2013</w:t>
      </w:r>
      <w:r>
        <w:noBreakHyphen/>
        <w:t>14 budget and 2013</w:t>
      </w:r>
      <w:r>
        <w:noBreakHyphen/>
        <w:t>14 revised include the Courts output so they are not comparable to the 2014</w:t>
      </w:r>
      <w:r>
        <w:noBreakHyphen/>
        <w:t>15 budget.</w:t>
      </w:r>
    </w:p>
    <w:p w:rsidR="00A53D7D" w:rsidRDefault="00A53D7D">
      <w:pPr>
        <w:spacing w:after="0"/>
      </w:pPr>
      <w:r>
        <w:br w:type="page"/>
      </w:r>
    </w:p>
    <w:p w:rsidR="00A53D7D" w:rsidRPr="003E2263" w:rsidRDefault="00A53D7D" w:rsidP="005140B4">
      <w:pPr>
        <w:pStyle w:val="OGHeading1"/>
      </w:pPr>
      <w:bookmarkStart w:id="107" w:name="BP3DOJPolicing"/>
      <w:r w:rsidRPr="00F55010">
        <w:rPr>
          <w:lang w:val="x-none" w:eastAsia="en-AU"/>
        </w:rPr>
        <w:t>Policing</w:t>
      </w:r>
    </w:p>
    <w:p w:rsidR="00A53D7D" w:rsidRPr="00E0401B" w:rsidRDefault="00A53D7D" w:rsidP="005140B4">
      <w:pPr>
        <w:pStyle w:val="OGText"/>
        <w:rPr>
          <w:color w:val="000000"/>
          <w:lang w:eastAsia="en-AU"/>
        </w:rPr>
      </w:pPr>
      <w:r w:rsidRPr="00E0401B">
        <w:rPr>
          <w:color w:val="000000"/>
          <w:lang w:eastAsia="en-AU"/>
        </w:rPr>
        <w:t>This output group reports on activities relating to the provision of effective police and law enforcement services that aim to prevent, detect, investigate and prosecute crime, and promote safer road user behaviour. It focuses on activities which enable Victorians to undertake their lawful pursuits confidently, safely and without fear of crime.</w:t>
      </w:r>
    </w:p>
    <w:p w:rsidR="00A53D7D" w:rsidRPr="00A0743C" w:rsidRDefault="00A53D7D" w:rsidP="005140B4">
      <w:pPr>
        <w:pStyle w:val="OGText"/>
        <w:rPr>
          <w:color w:val="000000"/>
          <w:lang w:eastAsia="en-AU"/>
        </w:rPr>
      </w:pPr>
      <w:r w:rsidRPr="00E0401B">
        <w:rPr>
          <w:color w:val="000000"/>
          <w:lang w:eastAsia="en-AU"/>
        </w:rPr>
        <w:t>This output group contributes to the Department’s objective of improving community safety through policing</w:t>
      </w:r>
      <w:r>
        <w:rPr>
          <w:color w:val="000000"/>
          <w:lang w:eastAsia="en-AU"/>
        </w:rPr>
        <w:fldChar w:fldCharType="begin"/>
      </w:r>
      <w:r>
        <w:instrText xml:space="preserve"> XE "</w:instrText>
      </w:r>
      <w:r w:rsidRPr="00F37EB9">
        <w:rPr>
          <w:color w:val="000000"/>
          <w:lang w:eastAsia="en-AU"/>
        </w:rPr>
        <w:instrText>Policing</w:instrText>
      </w:r>
      <w:r>
        <w:instrText xml:space="preserve">" </w:instrText>
      </w:r>
      <w:r>
        <w:rPr>
          <w:color w:val="000000"/>
          <w:lang w:eastAsia="en-AU"/>
        </w:rPr>
        <w:fldChar w:fldCharType="end"/>
      </w:r>
      <w:r w:rsidRPr="00E0401B">
        <w:rPr>
          <w:color w:val="000000"/>
          <w:lang w:eastAsia="en-AU"/>
        </w:rPr>
        <w:t>, law enforcement and prevention activities.</w:t>
      </w:r>
    </w:p>
    <w:tbl>
      <w:tblPr>
        <w:tblW w:w="7776" w:type="dxa"/>
        <w:tblInd w:w="29" w:type="dxa"/>
        <w:tblLayout w:type="fixed"/>
        <w:tblCellMar>
          <w:left w:w="43" w:type="dxa"/>
          <w:right w:w="43" w:type="dxa"/>
        </w:tblCellMar>
        <w:tblLook w:val="00A0" w:firstRow="1" w:lastRow="0" w:firstColumn="1" w:lastColumn="0" w:noHBand="0" w:noVBand="0"/>
      </w:tblPr>
      <w:tblGrid>
        <w:gridCol w:w="3155"/>
        <w:gridCol w:w="907"/>
        <w:gridCol w:w="907"/>
        <w:gridCol w:w="993"/>
        <w:gridCol w:w="907"/>
        <w:gridCol w:w="907"/>
      </w:tblGrid>
      <w:tr w:rsidR="00A53D7D" w:rsidRPr="00A475B8" w:rsidTr="005140B4">
        <w:trPr>
          <w:cantSplit/>
          <w:tblHeader/>
        </w:trPr>
        <w:tc>
          <w:tcPr>
            <w:tcW w:w="3155" w:type="dxa"/>
            <w:tcBorders>
              <w:top w:val="single" w:sz="4" w:space="0" w:color="auto"/>
              <w:left w:val="single" w:sz="4" w:space="0" w:color="auto"/>
              <w:right w:val="nil"/>
            </w:tcBorders>
            <w:shd w:val="clear" w:color="auto" w:fill="000000"/>
            <w:vAlign w:val="bottom"/>
          </w:tcPr>
          <w:p w:rsidR="00A53D7D" w:rsidRPr="00EC2CB7" w:rsidRDefault="00A53D7D" w:rsidP="005140B4">
            <w:pPr>
              <w:pStyle w:val="OGTabColLeft"/>
              <w:rPr>
                <w:i/>
                <w:color w:val="FFFFFF"/>
              </w:rPr>
            </w:pPr>
            <w:r w:rsidRPr="00EC2CB7">
              <w:rPr>
                <w:color w:val="FFFFFF"/>
              </w:rPr>
              <w:t>Major Outputs/Deliverables</w:t>
            </w:r>
            <w:r w:rsidRPr="00EC2CB7">
              <w:rPr>
                <w:color w:val="FFFFFF"/>
              </w:rPr>
              <w:br/>
            </w:r>
            <w:r w:rsidRPr="00EC2CB7">
              <w:rPr>
                <w:b w:val="0"/>
                <w:i/>
                <w:color w:val="FFFFFF"/>
              </w:rPr>
              <w:t>Performance measures</w:t>
            </w:r>
          </w:p>
        </w:tc>
        <w:tc>
          <w:tcPr>
            <w:tcW w:w="907" w:type="dxa"/>
            <w:tcBorders>
              <w:top w:val="single" w:sz="4" w:space="0" w:color="auto"/>
              <w:left w:val="nil"/>
              <w:right w:val="nil"/>
            </w:tcBorders>
            <w:shd w:val="clear" w:color="auto" w:fill="000000"/>
            <w:noWrap/>
            <w:vAlign w:val="bottom"/>
          </w:tcPr>
          <w:p w:rsidR="00A53D7D" w:rsidRPr="003E0A6C" w:rsidRDefault="00A53D7D" w:rsidP="005140B4">
            <w:pPr>
              <w:pStyle w:val="Tabletextheadingcentred"/>
            </w:pPr>
            <w:r w:rsidRPr="003E0A6C">
              <w:t xml:space="preserve">Unit of </w:t>
            </w:r>
            <w:r w:rsidRPr="003E0A6C">
              <w:br/>
            </w:r>
            <w:r>
              <w:t>m</w:t>
            </w:r>
            <w:r w:rsidRPr="003E0A6C">
              <w:t>easure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2014</w:t>
            </w:r>
            <w:r>
              <w:noBreakHyphen/>
              <w:t>15</w:t>
            </w:r>
            <w:r w:rsidRPr="00EC2CB7">
              <w:t xml:space="preserve"> Target</w:t>
            </w:r>
          </w:p>
        </w:tc>
        <w:tc>
          <w:tcPr>
            <w:tcW w:w="993"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Expected Outcome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Target</w:t>
            </w:r>
          </w:p>
        </w:tc>
        <w:tc>
          <w:tcPr>
            <w:tcW w:w="907" w:type="dxa"/>
            <w:tcBorders>
              <w:top w:val="single" w:sz="4" w:space="0" w:color="auto"/>
              <w:left w:val="nil"/>
              <w:right w:val="single" w:sz="4" w:space="0" w:color="auto"/>
            </w:tcBorders>
            <w:shd w:val="clear" w:color="auto" w:fill="000000"/>
            <w:noWrap/>
            <w:vAlign w:val="bottom"/>
          </w:tcPr>
          <w:p w:rsidR="00A53D7D" w:rsidRPr="00EC2CB7" w:rsidRDefault="00A53D7D" w:rsidP="005140B4">
            <w:pPr>
              <w:pStyle w:val="Tabletextheading"/>
            </w:pPr>
            <w:r w:rsidRPr="00EC2CB7">
              <w:t>2012</w:t>
            </w:r>
            <w:r>
              <w:noBreakHyphen/>
            </w:r>
            <w:r w:rsidRPr="00EC2CB7">
              <w:t>13 Actual</w:t>
            </w:r>
          </w:p>
        </w:tc>
      </w:tr>
      <w:tr w:rsidR="00A53D7D" w:rsidRPr="00A475B8" w:rsidTr="005140B4">
        <w:trPr>
          <w:cantSplit/>
        </w:trPr>
        <w:tc>
          <w:tcPr>
            <w:tcW w:w="7776" w:type="dxa"/>
            <w:gridSpan w:val="6"/>
            <w:tcBorders>
              <w:top w:val="nil"/>
              <w:left w:val="nil"/>
              <w:right w:val="nil"/>
            </w:tcBorders>
            <w:shd w:val="clear" w:color="auto" w:fill="auto"/>
            <w:vAlign w:val="center"/>
          </w:tcPr>
          <w:p w:rsidR="00A53D7D" w:rsidRPr="00EC2CB7" w:rsidRDefault="00A53D7D" w:rsidP="005140B4">
            <w:pPr>
              <w:pStyle w:val="OGHeading2"/>
              <w:rPr>
                <w:bCs/>
                <w:color w:val="000000"/>
                <w:lang w:eastAsia="en-AU"/>
              </w:rPr>
            </w:pPr>
            <w:r w:rsidRPr="00EC2CB7">
              <w:rPr>
                <w:color w:val="000000"/>
                <w:lang w:eastAsia="en-AU"/>
              </w:rPr>
              <w:t>Policing Services</w:t>
            </w:r>
          </w:p>
        </w:tc>
      </w:tr>
      <w:tr w:rsidR="00A53D7D" w:rsidRPr="00316516" w:rsidTr="005140B4">
        <w:trPr>
          <w:cantSplit/>
          <w:trHeight w:val="1097"/>
        </w:trPr>
        <w:tc>
          <w:tcPr>
            <w:tcW w:w="7776" w:type="dxa"/>
            <w:gridSpan w:val="6"/>
            <w:tcBorders>
              <w:top w:val="nil"/>
              <w:left w:val="nil"/>
              <w:bottom w:val="single" w:sz="6" w:space="0" w:color="auto"/>
              <w:right w:val="nil"/>
            </w:tcBorders>
            <w:shd w:val="clear" w:color="auto" w:fill="auto"/>
            <w:vAlign w:val="center"/>
          </w:tcPr>
          <w:p w:rsidR="00A53D7D" w:rsidRPr="00316516" w:rsidRDefault="00A53D7D" w:rsidP="005140B4">
            <w:pPr>
              <w:pStyle w:val="OGText"/>
            </w:pPr>
            <w:r w:rsidRPr="00316516">
              <w:t xml:space="preserve">Victoria Police strives to reduce violence and crime through law enforcement, judicial support, community assistance, </w:t>
            </w:r>
            <w:proofErr w:type="gramStart"/>
            <w:r w:rsidRPr="00316516">
              <w:t>guidance</w:t>
            </w:r>
            <w:proofErr w:type="gramEnd"/>
            <w:r w:rsidRPr="00316516">
              <w:t xml:space="preserve"> and leadership.</w:t>
            </w:r>
          </w:p>
          <w:p w:rsidR="00A53D7D" w:rsidRPr="003B380F" w:rsidRDefault="00A53D7D" w:rsidP="005140B4">
            <w:pPr>
              <w:pStyle w:val="OGText"/>
            </w:pPr>
            <w:r w:rsidRPr="00316516">
              <w:t>The output reflects the Government’s focus on reducing the overall incidence and fear of crime and enhancing the safety of individuals and families.</w:t>
            </w:r>
          </w:p>
        </w:tc>
      </w:tr>
      <w:tr w:rsidR="00A53D7D" w:rsidRPr="00316516" w:rsidTr="005140B4">
        <w:trPr>
          <w:cantSplit/>
        </w:trPr>
        <w:tc>
          <w:tcPr>
            <w:tcW w:w="3155" w:type="dxa"/>
            <w:tcBorders>
              <w:top w:val="single" w:sz="6" w:space="0" w:color="auto"/>
              <w:left w:val="nil"/>
              <w:bottom w:val="nil"/>
              <w:right w:val="nil"/>
            </w:tcBorders>
            <w:shd w:val="clear" w:color="auto" w:fill="auto"/>
            <w:vAlign w:val="center"/>
          </w:tcPr>
          <w:p w:rsidR="00A53D7D" w:rsidRPr="00316516" w:rsidRDefault="00A53D7D" w:rsidP="005140B4">
            <w:pPr>
              <w:pStyle w:val="OGTabHead"/>
              <w:rPr>
                <w:color w:val="000000"/>
                <w:lang w:eastAsia="en-AU"/>
              </w:rPr>
            </w:pPr>
            <w:r w:rsidRPr="00316516">
              <w:rPr>
                <w:iCs/>
                <w:color w:val="000000"/>
                <w:lang w:eastAsia="en-AU"/>
              </w:rPr>
              <w:t>Quantity</w:t>
            </w:r>
          </w:p>
        </w:tc>
        <w:tc>
          <w:tcPr>
            <w:tcW w:w="907" w:type="dxa"/>
            <w:tcBorders>
              <w:top w:val="single" w:sz="6" w:space="0" w:color="auto"/>
              <w:left w:val="nil"/>
              <w:right w:val="nil"/>
            </w:tcBorders>
            <w:shd w:val="clear" w:color="auto" w:fill="auto"/>
            <w:vAlign w:val="center"/>
          </w:tcPr>
          <w:p w:rsidR="00A53D7D" w:rsidRPr="00316516" w:rsidRDefault="00A53D7D" w:rsidP="005140B4">
            <w:pPr>
              <w:pStyle w:val="OGUoM"/>
              <w:rPr>
                <w:color w:val="000000"/>
                <w:lang w:eastAsia="en-AU"/>
              </w:rPr>
            </w:pPr>
          </w:p>
        </w:tc>
        <w:tc>
          <w:tcPr>
            <w:tcW w:w="907" w:type="dxa"/>
            <w:tcBorders>
              <w:top w:val="single" w:sz="6" w:space="0" w:color="auto"/>
              <w:left w:val="nil"/>
              <w:bottom w:val="nil"/>
              <w:right w:val="nil"/>
            </w:tcBorders>
            <w:shd w:val="clear" w:color="auto" w:fill="E6E6E6"/>
            <w:vAlign w:val="center"/>
          </w:tcPr>
          <w:p w:rsidR="00A53D7D" w:rsidRPr="00316516" w:rsidRDefault="00A53D7D" w:rsidP="005140B4">
            <w:pPr>
              <w:pStyle w:val="OGTableofFigures"/>
              <w:rPr>
                <w:color w:val="000000"/>
                <w:lang w:eastAsia="en-AU"/>
              </w:rPr>
            </w:pPr>
          </w:p>
        </w:tc>
        <w:tc>
          <w:tcPr>
            <w:tcW w:w="993" w:type="dxa"/>
            <w:tcBorders>
              <w:top w:val="single" w:sz="6" w:space="0" w:color="auto"/>
              <w:left w:val="nil"/>
              <w:bottom w:val="nil"/>
              <w:right w:val="nil"/>
            </w:tcBorders>
            <w:shd w:val="clear" w:color="auto" w:fill="auto"/>
            <w:vAlign w:val="center"/>
          </w:tcPr>
          <w:p w:rsidR="00A53D7D" w:rsidRPr="00316516" w:rsidRDefault="00A53D7D" w:rsidP="005140B4">
            <w:pPr>
              <w:pStyle w:val="OGTableofFigures"/>
              <w:rPr>
                <w:color w:val="000000"/>
                <w:lang w:eastAsia="en-AU"/>
              </w:rPr>
            </w:pPr>
          </w:p>
        </w:tc>
        <w:tc>
          <w:tcPr>
            <w:tcW w:w="907" w:type="dxa"/>
            <w:tcBorders>
              <w:top w:val="single" w:sz="6" w:space="0" w:color="auto"/>
              <w:left w:val="nil"/>
              <w:bottom w:val="nil"/>
              <w:right w:val="nil"/>
            </w:tcBorders>
            <w:shd w:val="clear" w:color="auto" w:fill="auto"/>
            <w:vAlign w:val="center"/>
          </w:tcPr>
          <w:p w:rsidR="00A53D7D" w:rsidRPr="00316516" w:rsidRDefault="00A53D7D" w:rsidP="005140B4">
            <w:pPr>
              <w:pStyle w:val="OGTableofFigures"/>
              <w:rPr>
                <w:color w:val="000000"/>
                <w:lang w:eastAsia="en-AU"/>
              </w:rPr>
            </w:pPr>
          </w:p>
        </w:tc>
        <w:tc>
          <w:tcPr>
            <w:tcW w:w="907" w:type="dxa"/>
            <w:tcBorders>
              <w:top w:val="single" w:sz="6" w:space="0" w:color="auto"/>
              <w:left w:val="nil"/>
              <w:bottom w:val="nil"/>
              <w:right w:val="nil"/>
            </w:tcBorders>
            <w:shd w:val="clear" w:color="auto" w:fill="auto"/>
            <w:vAlign w:val="center"/>
          </w:tcPr>
          <w:p w:rsidR="00A53D7D" w:rsidRPr="00316516" w:rsidRDefault="00A53D7D" w:rsidP="005140B4">
            <w:pPr>
              <w:pStyle w:val="OGTableofFigures"/>
              <w:rPr>
                <w:color w:val="000000"/>
                <w:lang w:eastAsia="en-AU"/>
              </w:rPr>
            </w:pPr>
          </w:p>
        </w:tc>
      </w:tr>
      <w:tr w:rsidR="00A53D7D" w:rsidRPr="00316516" w:rsidTr="005140B4">
        <w:trPr>
          <w:cantSplit/>
        </w:trPr>
        <w:tc>
          <w:tcPr>
            <w:tcW w:w="3155" w:type="dxa"/>
            <w:tcBorders>
              <w:top w:val="nil"/>
              <w:left w:val="nil"/>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Criminal history checks conducted to contribute to community safety</w:t>
            </w:r>
          </w:p>
        </w:tc>
        <w:tc>
          <w:tcPr>
            <w:tcW w:w="907" w:type="dxa"/>
            <w:tcBorders>
              <w:top w:val="nil"/>
              <w:left w:val="nil"/>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number</w:t>
            </w:r>
          </w:p>
        </w:tc>
        <w:tc>
          <w:tcPr>
            <w:tcW w:w="907" w:type="dxa"/>
            <w:tcBorders>
              <w:top w:val="nil"/>
              <w:left w:val="nil"/>
              <w:right w:val="nil"/>
            </w:tcBorders>
            <w:shd w:val="clear" w:color="auto" w:fill="E6E6E6"/>
          </w:tcPr>
          <w:p w:rsidR="00A53D7D" w:rsidRPr="00316516" w:rsidRDefault="00A53D7D" w:rsidP="005140B4">
            <w:pPr>
              <w:pStyle w:val="OGTableofFigures"/>
              <w:rPr>
                <w:color w:val="000000"/>
                <w:lang w:eastAsia="en-AU"/>
              </w:rPr>
            </w:pPr>
            <w:r w:rsidRPr="00316516">
              <w:rPr>
                <w:color w:val="000000"/>
                <w:lang w:eastAsia="en-AU"/>
              </w:rPr>
              <w:t>508</w:t>
            </w:r>
            <w:r>
              <w:rPr>
                <w:color w:val="000000"/>
                <w:lang w:eastAsia="en-AU"/>
              </w:rPr>
              <w:t> </w:t>
            </w:r>
            <w:r w:rsidRPr="00316516">
              <w:rPr>
                <w:color w:val="000000"/>
                <w:lang w:eastAsia="en-AU"/>
              </w:rPr>
              <w:t>000</w:t>
            </w:r>
            <w:r w:rsidRPr="00316516">
              <w:rPr>
                <w:color w:val="000000"/>
                <w:lang w:eastAsia="en-AU"/>
              </w:rPr>
              <w:br/>
            </w:r>
          </w:p>
        </w:tc>
        <w:tc>
          <w:tcPr>
            <w:tcW w:w="993" w:type="dxa"/>
            <w:tcBorders>
              <w:top w:val="nil"/>
              <w:left w:val="nil"/>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490</w:t>
            </w:r>
            <w:r>
              <w:rPr>
                <w:color w:val="000000"/>
                <w:lang w:eastAsia="en-AU"/>
              </w:rPr>
              <w:t> </w:t>
            </w:r>
            <w:r w:rsidRPr="00316516">
              <w:rPr>
                <w:color w:val="000000"/>
                <w:lang w:eastAsia="en-AU"/>
              </w:rPr>
              <w:t>000</w:t>
            </w:r>
            <w:r w:rsidRPr="00316516">
              <w:rPr>
                <w:color w:val="000000"/>
                <w:lang w:eastAsia="en-AU"/>
              </w:rPr>
              <w:br/>
            </w:r>
          </w:p>
        </w:tc>
        <w:tc>
          <w:tcPr>
            <w:tcW w:w="907" w:type="dxa"/>
            <w:tcBorders>
              <w:top w:val="nil"/>
              <w:left w:val="nil"/>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490 000</w:t>
            </w:r>
          </w:p>
        </w:tc>
        <w:tc>
          <w:tcPr>
            <w:tcW w:w="907" w:type="dxa"/>
            <w:tcBorders>
              <w:top w:val="nil"/>
              <w:left w:val="nil"/>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481</w:t>
            </w:r>
            <w:r>
              <w:rPr>
                <w:color w:val="000000"/>
                <w:lang w:eastAsia="en-AU"/>
              </w:rPr>
              <w:t> </w:t>
            </w:r>
            <w:r w:rsidRPr="00316516">
              <w:rPr>
                <w:color w:val="000000"/>
                <w:lang w:eastAsia="en-AU"/>
              </w:rPr>
              <w:t>945</w:t>
            </w:r>
          </w:p>
        </w:tc>
      </w:tr>
      <w:tr w:rsidR="00A53D7D" w:rsidRPr="00316516" w:rsidTr="005140B4">
        <w:trPr>
          <w:cantSplit/>
        </w:trPr>
        <w:tc>
          <w:tcPr>
            <w:tcW w:w="7776" w:type="dxa"/>
            <w:gridSpan w:val="6"/>
            <w:tcBorders>
              <w:top w:val="nil"/>
              <w:left w:val="nil"/>
              <w:bottom w:val="single" w:sz="6" w:space="0" w:color="auto"/>
              <w:right w:val="nil"/>
            </w:tcBorders>
            <w:shd w:val="clear" w:color="auto" w:fill="auto"/>
            <w:vAlign w:val="center"/>
          </w:tcPr>
          <w:p w:rsidR="00A53D7D" w:rsidRPr="00316516" w:rsidRDefault="00A53D7D" w:rsidP="005140B4">
            <w:pPr>
              <w:pStyle w:val="OGNotes"/>
              <w:rPr>
                <w:color w:val="000000"/>
                <w:sz w:val="20"/>
                <w:szCs w:val="18"/>
              </w:rPr>
            </w:pPr>
            <w:r w:rsidRPr="00316516">
              <w:rPr>
                <w:color w:val="000000"/>
              </w:rPr>
              <w:t>The higher 2014</w:t>
            </w:r>
            <w:r>
              <w:rPr>
                <w:color w:val="000000"/>
              </w:rPr>
              <w:noBreakHyphen/>
            </w:r>
            <w:r w:rsidRPr="00316516">
              <w:rPr>
                <w:color w:val="000000"/>
              </w:rPr>
              <w:t xml:space="preserve">15 target reflects increased demand from external agencies for referrals for </w:t>
            </w:r>
            <w:proofErr w:type="spellStart"/>
            <w:r w:rsidRPr="00316516">
              <w:rPr>
                <w:color w:val="000000"/>
              </w:rPr>
              <w:t>Crimtrack</w:t>
            </w:r>
            <w:proofErr w:type="spellEnd"/>
            <w:r w:rsidRPr="00316516">
              <w:rPr>
                <w:color w:val="000000"/>
              </w:rPr>
              <w:t xml:space="preserve"> accreditation.</w:t>
            </w:r>
          </w:p>
        </w:tc>
      </w:tr>
      <w:tr w:rsidR="00A53D7D" w:rsidRPr="00316516" w:rsidTr="004C4B47">
        <w:trPr>
          <w:cantSplit/>
        </w:trPr>
        <w:tc>
          <w:tcPr>
            <w:tcW w:w="3155" w:type="dxa"/>
            <w:tcBorders>
              <w:top w:val="single" w:sz="6" w:space="0" w:color="auto"/>
              <w:left w:val="nil"/>
              <w:bottom w:val="single" w:sz="6" w:space="0" w:color="auto"/>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Community calls for assistance to which a Victoria Police response is dispatched</w:t>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number</w:t>
            </w:r>
          </w:p>
        </w:tc>
        <w:tc>
          <w:tcPr>
            <w:tcW w:w="907" w:type="dxa"/>
            <w:tcBorders>
              <w:top w:val="single" w:sz="6" w:space="0" w:color="auto"/>
              <w:left w:val="nil"/>
              <w:bottom w:val="single" w:sz="6" w:space="0" w:color="auto"/>
              <w:right w:val="nil"/>
            </w:tcBorders>
            <w:shd w:val="clear" w:color="auto" w:fill="E6E6E6"/>
          </w:tcPr>
          <w:p w:rsidR="00A53D7D" w:rsidRPr="00316516" w:rsidRDefault="00A53D7D" w:rsidP="005140B4">
            <w:pPr>
              <w:pStyle w:val="OGTableofFigures"/>
              <w:rPr>
                <w:color w:val="000000"/>
                <w:lang w:eastAsia="en-AU"/>
              </w:rPr>
            </w:pPr>
            <w:r w:rsidRPr="00316516">
              <w:rPr>
                <w:color w:val="000000"/>
                <w:lang w:eastAsia="en-AU"/>
              </w:rPr>
              <w:t>800 000</w:t>
            </w:r>
          </w:p>
        </w:tc>
        <w:tc>
          <w:tcPr>
            <w:tcW w:w="993"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B380F">
              <w:rPr>
                <w:color w:val="000000"/>
                <w:lang w:eastAsia="en-AU"/>
              </w:rPr>
              <w:t>819</w:t>
            </w:r>
            <w:r>
              <w:rPr>
                <w:color w:val="000000"/>
                <w:lang w:eastAsia="en-AU"/>
              </w:rPr>
              <w:t> </w:t>
            </w:r>
            <w:r w:rsidRPr="003B380F">
              <w:rPr>
                <w:color w:val="000000"/>
                <w:lang w:eastAsia="en-AU"/>
              </w:rPr>
              <w:t>500</w:t>
            </w:r>
            <w:r w:rsidRPr="00316516">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800</w:t>
            </w:r>
            <w:r>
              <w:rPr>
                <w:color w:val="000000"/>
                <w:lang w:eastAsia="en-AU"/>
              </w:rPr>
              <w:t> </w:t>
            </w:r>
            <w:r w:rsidRPr="00316516">
              <w:rPr>
                <w:color w:val="000000"/>
                <w:lang w:eastAsia="en-AU"/>
              </w:rPr>
              <w:t>000</w:t>
            </w:r>
            <w:r w:rsidRPr="00316516">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3B380F" w:rsidRDefault="00A53D7D" w:rsidP="005140B4">
            <w:pPr>
              <w:pStyle w:val="OGTableofFigures"/>
              <w:rPr>
                <w:color w:val="000000"/>
                <w:lang w:eastAsia="en-AU"/>
              </w:rPr>
            </w:pPr>
            <w:r w:rsidRPr="00316516">
              <w:rPr>
                <w:color w:val="000000"/>
                <w:lang w:eastAsia="en-AU"/>
              </w:rPr>
              <w:t>884</w:t>
            </w:r>
            <w:r>
              <w:rPr>
                <w:color w:val="000000"/>
                <w:lang w:eastAsia="en-AU"/>
              </w:rPr>
              <w:t> </w:t>
            </w:r>
            <w:r w:rsidRPr="00316516">
              <w:rPr>
                <w:color w:val="000000"/>
                <w:lang w:eastAsia="en-AU"/>
              </w:rPr>
              <w:t>380</w:t>
            </w:r>
          </w:p>
        </w:tc>
      </w:tr>
      <w:tr w:rsidR="00A53D7D" w:rsidRPr="003B380F" w:rsidTr="004C4B47">
        <w:trPr>
          <w:cantSplit/>
        </w:trPr>
        <w:tc>
          <w:tcPr>
            <w:tcW w:w="3155" w:type="dxa"/>
            <w:tcBorders>
              <w:top w:val="single" w:sz="6" w:space="0" w:color="auto"/>
              <w:left w:val="nil"/>
              <w:right w:val="nil"/>
            </w:tcBorders>
            <w:shd w:val="clear" w:color="auto" w:fill="auto"/>
            <w:vAlign w:val="center"/>
          </w:tcPr>
          <w:p w:rsidR="00A53D7D" w:rsidRPr="00316516" w:rsidRDefault="00A53D7D" w:rsidP="005140B4">
            <w:pPr>
              <w:pStyle w:val="OGTabText"/>
              <w:rPr>
                <w:color w:val="000000"/>
              </w:rPr>
            </w:pPr>
            <w:r w:rsidRPr="00316516">
              <w:rPr>
                <w:color w:val="000000"/>
              </w:rPr>
              <w:t>Crimes against the person – excluding family violence related crime (rate per 100 000 population)</w:t>
            </w:r>
          </w:p>
        </w:tc>
        <w:tc>
          <w:tcPr>
            <w:tcW w:w="907" w:type="dxa"/>
            <w:tcBorders>
              <w:top w:val="single" w:sz="6" w:space="0" w:color="auto"/>
              <w:left w:val="nil"/>
              <w:right w:val="nil"/>
            </w:tcBorders>
            <w:shd w:val="clear" w:color="auto" w:fill="auto"/>
          </w:tcPr>
          <w:p w:rsidR="00A53D7D" w:rsidRPr="00316516" w:rsidRDefault="00A53D7D" w:rsidP="005140B4">
            <w:pPr>
              <w:pStyle w:val="OGUoM"/>
              <w:rPr>
                <w:color w:val="000000"/>
              </w:rPr>
            </w:pPr>
            <w:r w:rsidRPr="00316516">
              <w:rPr>
                <w:color w:val="000000"/>
              </w:rPr>
              <w:t>number</w:t>
            </w:r>
          </w:p>
        </w:tc>
        <w:tc>
          <w:tcPr>
            <w:tcW w:w="907" w:type="dxa"/>
            <w:tcBorders>
              <w:top w:val="single" w:sz="6" w:space="0" w:color="auto"/>
              <w:left w:val="nil"/>
              <w:right w:val="nil"/>
            </w:tcBorders>
            <w:shd w:val="clear" w:color="auto" w:fill="E6E6E6"/>
          </w:tcPr>
          <w:p w:rsidR="00A53D7D" w:rsidRPr="00316516" w:rsidRDefault="00A53D7D" w:rsidP="005140B4">
            <w:pPr>
              <w:pStyle w:val="OGTableofFigures"/>
              <w:rPr>
                <w:color w:val="000000"/>
                <w:lang w:eastAsia="en-AU"/>
              </w:rPr>
            </w:pPr>
            <w:r w:rsidRPr="003B380F">
              <w:rPr>
                <w:rFonts w:cs="Calibri"/>
                <w:color w:val="000000"/>
                <w:lang w:eastAsia="en-AU"/>
              </w:rPr>
              <w:t>≤ 653.8</w:t>
            </w:r>
            <w:r w:rsidRPr="00316516">
              <w:rPr>
                <w:color w:val="000000"/>
                <w:lang w:eastAsia="en-AU"/>
              </w:rPr>
              <w:br/>
            </w:r>
          </w:p>
        </w:tc>
        <w:tc>
          <w:tcPr>
            <w:tcW w:w="993" w:type="dxa"/>
            <w:tcBorders>
              <w:top w:val="single" w:sz="6" w:space="0" w:color="auto"/>
              <w:left w:val="nil"/>
              <w:right w:val="nil"/>
            </w:tcBorders>
            <w:shd w:val="clear" w:color="auto" w:fill="auto"/>
          </w:tcPr>
          <w:p w:rsidR="00A53D7D" w:rsidRPr="00316516" w:rsidRDefault="00A53D7D" w:rsidP="005140B4">
            <w:pPr>
              <w:pStyle w:val="OGTableofFigures"/>
              <w:rPr>
                <w:color w:val="000000"/>
                <w:lang w:eastAsia="en-AU"/>
              </w:rPr>
            </w:pPr>
            <w:r w:rsidRPr="003B380F">
              <w:rPr>
                <w:color w:val="000000"/>
                <w:lang w:eastAsia="en-AU"/>
              </w:rPr>
              <w:t>607.9</w:t>
            </w:r>
            <w:r w:rsidRPr="00316516">
              <w:rPr>
                <w:color w:val="000000"/>
                <w:lang w:eastAsia="en-AU"/>
              </w:rPr>
              <w:br/>
            </w:r>
          </w:p>
        </w:tc>
        <w:tc>
          <w:tcPr>
            <w:tcW w:w="907" w:type="dxa"/>
            <w:tcBorders>
              <w:top w:val="single" w:sz="6" w:space="0" w:color="auto"/>
              <w:left w:val="nil"/>
              <w:right w:val="nil"/>
            </w:tcBorders>
            <w:shd w:val="clear" w:color="auto" w:fill="auto"/>
          </w:tcPr>
          <w:p w:rsidR="00A53D7D" w:rsidRPr="00316516" w:rsidRDefault="00A53D7D" w:rsidP="005140B4">
            <w:pPr>
              <w:pStyle w:val="OGTableofFigures"/>
              <w:rPr>
                <w:color w:val="000000"/>
                <w:lang w:eastAsia="en-AU"/>
              </w:rPr>
            </w:pPr>
            <w:r w:rsidRPr="00316516">
              <w:rPr>
                <w:rFonts w:cs="Calibri"/>
                <w:lang w:eastAsia="en-AU"/>
              </w:rPr>
              <w:sym w:font="Symbol" w:char="F0A3"/>
            </w:r>
            <w:r w:rsidRPr="00316516">
              <w:rPr>
                <w:rFonts w:cs="Calibri"/>
                <w:lang w:eastAsia="en-AU"/>
              </w:rPr>
              <w:t xml:space="preserve"> 653.8</w:t>
            </w:r>
            <w:r w:rsidRPr="00316516">
              <w:rPr>
                <w:color w:val="000000"/>
                <w:lang w:eastAsia="en-AU"/>
              </w:rPr>
              <w:br/>
            </w:r>
          </w:p>
        </w:tc>
        <w:tc>
          <w:tcPr>
            <w:tcW w:w="907" w:type="dxa"/>
            <w:tcBorders>
              <w:top w:val="single" w:sz="6" w:space="0" w:color="auto"/>
              <w:left w:val="nil"/>
              <w:right w:val="nil"/>
            </w:tcBorders>
            <w:shd w:val="clear" w:color="auto" w:fill="auto"/>
          </w:tcPr>
          <w:p w:rsidR="00A53D7D" w:rsidRPr="003B380F" w:rsidRDefault="00A53D7D" w:rsidP="005140B4">
            <w:pPr>
              <w:pStyle w:val="OGTableofFigures"/>
              <w:rPr>
                <w:lang w:eastAsia="en-AU"/>
              </w:rPr>
            </w:pPr>
            <w:r w:rsidRPr="00316516">
              <w:rPr>
                <w:lang w:eastAsia="en-AU"/>
              </w:rPr>
              <w:t>nm</w:t>
            </w:r>
            <w:r w:rsidRPr="003B380F">
              <w:rPr>
                <w:lang w:eastAsia="en-AU"/>
              </w:rPr>
              <w:br/>
            </w:r>
          </w:p>
        </w:tc>
      </w:tr>
      <w:tr w:rsidR="00A53D7D" w:rsidRPr="003B380F" w:rsidTr="004C4B47">
        <w:trPr>
          <w:cantSplit/>
        </w:trPr>
        <w:tc>
          <w:tcPr>
            <w:tcW w:w="7776" w:type="dxa"/>
            <w:gridSpan w:val="6"/>
            <w:tcBorders>
              <w:left w:val="nil"/>
              <w:bottom w:val="single" w:sz="6" w:space="0" w:color="auto"/>
              <w:right w:val="nil"/>
            </w:tcBorders>
            <w:shd w:val="clear" w:color="auto" w:fill="auto"/>
            <w:vAlign w:val="center"/>
          </w:tcPr>
          <w:p w:rsidR="00A53D7D" w:rsidRPr="00316516" w:rsidRDefault="00A53D7D" w:rsidP="005140B4">
            <w:pPr>
              <w:pStyle w:val="OGNotes"/>
              <w:rPr>
                <w:rFonts w:cs="Calibri"/>
                <w:szCs w:val="15"/>
              </w:rPr>
            </w:pPr>
            <w:r w:rsidRPr="003B380F">
              <w:rPr>
                <w:rFonts w:cs="Calibri"/>
                <w:szCs w:val="15"/>
              </w:rPr>
              <w:t>The 2013</w:t>
            </w:r>
            <w:r>
              <w:rPr>
                <w:rFonts w:cs="Calibri"/>
                <w:szCs w:val="15"/>
              </w:rPr>
              <w:noBreakHyphen/>
            </w:r>
            <w:r w:rsidRPr="003B380F">
              <w:rPr>
                <w:rFonts w:cs="Calibri"/>
                <w:szCs w:val="15"/>
              </w:rPr>
              <w:t>14 expected outcome is lower than the 2013</w:t>
            </w:r>
            <w:r>
              <w:rPr>
                <w:rFonts w:cs="Calibri"/>
                <w:szCs w:val="15"/>
              </w:rPr>
              <w:noBreakHyphen/>
            </w:r>
            <w:r w:rsidRPr="003B380F">
              <w:rPr>
                <w:rFonts w:cs="Calibri"/>
                <w:szCs w:val="15"/>
              </w:rPr>
              <w:t xml:space="preserve">14 target and </w:t>
            </w:r>
            <w:r w:rsidRPr="003B380F">
              <w:t xml:space="preserve">reflects a positive result, driven by decreases in robbery, </w:t>
            </w:r>
            <w:proofErr w:type="gramStart"/>
            <w:r w:rsidRPr="003B380F">
              <w:t>homicide</w:t>
            </w:r>
            <w:proofErr w:type="gramEnd"/>
            <w:r w:rsidRPr="003B380F">
              <w:t xml:space="preserve"> and assault offences.</w:t>
            </w:r>
          </w:p>
        </w:tc>
      </w:tr>
      <w:tr w:rsidR="00A53D7D" w:rsidRPr="003B380F" w:rsidTr="004C4B47">
        <w:trPr>
          <w:cantSplit/>
        </w:trPr>
        <w:tc>
          <w:tcPr>
            <w:tcW w:w="3155" w:type="dxa"/>
            <w:tcBorders>
              <w:top w:val="single" w:sz="6" w:space="0" w:color="auto"/>
              <w:left w:val="nil"/>
              <w:bottom w:val="single" w:sz="6" w:space="0" w:color="auto"/>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Crimes against property – excluding family violence related crime (rate per 100 000 population)</w:t>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number</w:t>
            </w:r>
          </w:p>
        </w:tc>
        <w:tc>
          <w:tcPr>
            <w:tcW w:w="907" w:type="dxa"/>
            <w:tcBorders>
              <w:top w:val="single" w:sz="6" w:space="0" w:color="auto"/>
              <w:left w:val="nil"/>
              <w:bottom w:val="single" w:sz="6" w:space="0" w:color="auto"/>
              <w:right w:val="nil"/>
            </w:tcBorders>
            <w:shd w:val="clear" w:color="auto" w:fill="E6E6E6"/>
          </w:tcPr>
          <w:p w:rsidR="00A53D7D" w:rsidRPr="00316516" w:rsidRDefault="00A53D7D" w:rsidP="005140B4">
            <w:pPr>
              <w:pStyle w:val="OGTableofFigures"/>
              <w:rPr>
                <w:color w:val="000000"/>
                <w:lang w:eastAsia="en-AU"/>
              </w:rPr>
            </w:pPr>
            <w:r w:rsidRPr="003B380F">
              <w:rPr>
                <w:rFonts w:cs="Calibri"/>
                <w:lang w:eastAsia="en-AU"/>
              </w:rPr>
              <w:sym w:font="Symbol" w:char="F0A3"/>
            </w:r>
            <w:r w:rsidRPr="003B380F">
              <w:rPr>
                <w:color w:val="000000"/>
                <w:lang w:eastAsia="en-AU"/>
              </w:rPr>
              <w:t xml:space="preserve"> 4</w:t>
            </w:r>
            <w:r>
              <w:rPr>
                <w:color w:val="000000"/>
                <w:lang w:eastAsia="en-AU"/>
              </w:rPr>
              <w:t> </w:t>
            </w:r>
            <w:r w:rsidRPr="003B380F">
              <w:rPr>
                <w:color w:val="000000"/>
                <w:lang w:eastAsia="en-AU"/>
              </w:rPr>
              <w:t>667.1</w:t>
            </w:r>
            <w:r w:rsidRPr="00316516">
              <w:rPr>
                <w:color w:val="000000"/>
                <w:lang w:eastAsia="en-AU"/>
              </w:rPr>
              <w:br/>
            </w:r>
          </w:p>
        </w:tc>
        <w:tc>
          <w:tcPr>
            <w:tcW w:w="993"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Pr>
                <w:color w:val="000000"/>
                <w:lang w:eastAsia="en-AU"/>
              </w:rPr>
              <w:t>4 </w:t>
            </w:r>
            <w:r w:rsidRPr="00316516">
              <w:rPr>
                <w:color w:val="000000"/>
                <w:lang w:eastAsia="en-AU"/>
              </w:rPr>
              <w:t>621.7</w:t>
            </w:r>
            <w:r w:rsidRPr="00316516">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rFonts w:cs="Calibri"/>
                <w:lang w:eastAsia="en-AU"/>
              </w:rPr>
              <w:sym w:font="Symbol" w:char="F0A3"/>
            </w:r>
            <w:r>
              <w:rPr>
                <w:color w:val="000000"/>
                <w:lang w:eastAsia="en-AU"/>
              </w:rPr>
              <w:t xml:space="preserve"> 4 </w:t>
            </w:r>
            <w:r w:rsidRPr="00316516">
              <w:rPr>
                <w:color w:val="000000"/>
                <w:lang w:eastAsia="en-AU"/>
              </w:rPr>
              <w:t>667.1</w:t>
            </w:r>
            <w:r w:rsidRPr="00316516">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3B380F" w:rsidRDefault="00A53D7D" w:rsidP="005140B4">
            <w:pPr>
              <w:pStyle w:val="OGTableofFigures"/>
              <w:rPr>
                <w:color w:val="000000"/>
                <w:lang w:eastAsia="en-AU"/>
              </w:rPr>
            </w:pPr>
            <w:r w:rsidRPr="00316516">
              <w:rPr>
                <w:color w:val="000000"/>
                <w:lang w:eastAsia="en-AU"/>
              </w:rPr>
              <w:t>nm</w:t>
            </w:r>
          </w:p>
        </w:tc>
      </w:tr>
      <w:tr w:rsidR="00A53D7D" w:rsidRPr="00316516" w:rsidTr="004C4B47">
        <w:trPr>
          <w:cantSplit/>
        </w:trPr>
        <w:tc>
          <w:tcPr>
            <w:tcW w:w="3155" w:type="dxa"/>
            <w:tcBorders>
              <w:top w:val="single" w:sz="6" w:space="0" w:color="auto"/>
              <w:left w:val="nil"/>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Crimes against the person – family violence related crime (rate per 100 000 population)</w:t>
            </w:r>
          </w:p>
        </w:tc>
        <w:tc>
          <w:tcPr>
            <w:tcW w:w="907" w:type="dxa"/>
            <w:tcBorders>
              <w:top w:val="single" w:sz="6" w:space="0" w:color="auto"/>
              <w:left w:val="nil"/>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number</w:t>
            </w:r>
          </w:p>
        </w:tc>
        <w:tc>
          <w:tcPr>
            <w:tcW w:w="907" w:type="dxa"/>
            <w:tcBorders>
              <w:top w:val="single" w:sz="6" w:space="0" w:color="auto"/>
              <w:left w:val="nil"/>
              <w:right w:val="nil"/>
            </w:tcBorders>
            <w:shd w:val="clear" w:color="auto" w:fill="E6E6E6"/>
          </w:tcPr>
          <w:p w:rsidR="00A53D7D" w:rsidRPr="00316516" w:rsidRDefault="00A53D7D" w:rsidP="005140B4">
            <w:pPr>
              <w:pStyle w:val="OGTableofFigures"/>
              <w:rPr>
                <w:color w:val="000000"/>
                <w:lang w:eastAsia="en-AU"/>
              </w:rPr>
            </w:pPr>
            <w:r w:rsidRPr="003B380F">
              <w:rPr>
                <w:rFonts w:cs="Calibri"/>
                <w:lang w:eastAsia="en-AU"/>
              </w:rPr>
              <w:sym w:font="Symbol" w:char="F0B3"/>
            </w:r>
            <w:r w:rsidRPr="003B380F">
              <w:rPr>
                <w:rFonts w:cs="Calibri"/>
                <w:lang w:eastAsia="en-AU"/>
              </w:rPr>
              <w:t xml:space="preserve"> 323.0</w:t>
            </w:r>
            <w:r w:rsidRPr="00316516">
              <w:rPr>
                <w:rFonts w:cs="Calibri"/>
                <w:color w:val="000000"/>
                <w:lang w:eastAsia="en-AU"/>
              </w:rPr>
              <w:br/>
            </w:r>
          </w:p>
        </w:tc>
        <w:tc>
          <w:tcPr>
            <w:tcW w:w="993" w:type="dxa"/>
            <w:tcBorders>
              <w:top w:val="single" w:sz="6" w:space="0" w:color="auto"/>
              <w:left w:val="nil"/>
              <w:right w:val="nil"/>
            </w:tcBorders>
            <w:shd w:val="clear" w:color="auto" w:fill="auto"/>
          </w:tcPr>
          <w:p w:rsidR="00A53D7D" w:rsidRPr="00316516" w:rsidRDefault="00A53D7D" w:rsidP="005140B4">
            <w:pPr>
              <w:pStyle w:val="OGTableofFigures"/>
              <w:rPr>
                <w:color w:val="000000"/>
                <w:lang w:eastAsia="en-AU"/>
              </w:rPr>
            </w:pPr>
            <w:r w:rsidRPr="003B380F">
              <w:rPr>
                <w:color w:val="000000"/>
                <w:lang w:eastAsia="en-AU"/>
              </w:rPr>
              <w:t>418.8</w:t>
            </w:r>
            <w:r w:rsidRPr="00316516">
              <w:rPr>
                <w:color w:val="000000"/>
                <w:lang w:eastAsia="en-AU"/>
              </w:rPr>
              <w:br/>
            </w:r>
          </w:p>
        </w:tc>
        <w:tc>
          <w:tcPr>
            <w:tcW w:w="907" w:type="dxa"/>
            <w:tcBorders>
              <w:top w:val="single" w:sz="6" w:space="0" w:color="auto"/>
              <w:left w:val="nil"/>
              <w:right w:val="nil"/>
            </w:tcBorders>
            <w:shd w:val="clear" w:color="auto" w:fill="auto"/>
          </w:tcPr>
          <w:p w:rsidR="00A53D7D" w:rsidRPr="00316516" w:rsidRDefault="00A53D7D" w:rsidP="005140B4">
            <w:pPr>
              <w:pStyle w:val="OGTableofFigures"/>
              <w:rPr>
                <w:color w:val="000000"/>
                <w:lang w:eastAsia="en-AU"/>
              </w:rPr>
            </w:pPr>
            <w:r w:rsidRPr="00316516">
              <w:rPr>
                <w:rFonts w:cs="Calibri"/>
                <w:lang w:eastAsia="en-AU"/>
              </w:rPr>
              <w:sym w:font="Symbol" w:char="F0B3"/>
            </w:r>
            <w:r w:rsidRPr="00316516">
              <w:rPr>
                <w:rFonts w:cs="Calibri"/>
                <w:lang w:eastAsia="en-AU"/>
              </w:rPr>
              <w:t xml:space="preserve"> 323.0</w:t>
            </w:r>
            <w:r w:rsidRPr="00316516">
              <w:rPr>
                <w:color w:val="000000"/>
                <w:lang w:eastAsia="en-AU"/>
              </w:rPr>
              <w:br/>
            </w:r>
          </w:p>
        </w:tc>
        <w:tc>
          <w:tcPr>
            <w:tcW w:w="907" w:type="dxa"/>
            <w:tcBorders>
              <w:top w:val="single" w:sz="6" w:space="0" w:color="auto"/>
              <w:left w:val="nil"/>
              <w:right w:val="nil"/>
            </w:tcBorders>
            <w:shd w:val="clear" w:color="auto" w:fill="auto"/>
          </w:tcPr>
          <w:p w:rsidR="00A53D7D" w:rsidRPr="003B380F" w:rsidRDefault="00A53D7D" w:rsidP="005140B4">
            <w:pPr>
              <w:pStyle w:val="OGTableofFigures"/>
              <w:rPr>
                <w:color w:val="000000"/>
                <w:lang w:eastAsia="en-AU"/>
              </w:rPr>
            </w:pPr>
            <w:r w:rsidRPr="00316516">
              <w:rPr>
                <w:color w:val="000000"/>
                <w:lang w:eastAsia="en-AU"/>
              </w:rPr>
              <w:t>nm</w:t>
            </w:r>
          </w:p>
        </w:tc>
      </w:tr>
      <w:tr w:rsidR="00A53D7D" w:rsidRPr="00316516" w:rsidTr="004C4B47">
        <w:trPr>
          <w:cantSplit/>
        </w:trPr>
        <w:tc>
          <w:tcPr>
            <w:tcW w:w="7776" w:type="dxa"/>
            <w:gridSpan w:val="6"/>
            <w:tcBorders>
              <w:left w:val="nil"/>
              <w:bottom w:val="single" w:sz="6" w:space="0" w:color="auto"/>
              <w:right w:val="nil"/>
            </w:tcBorders>
            <w:shd w:val="clear" w:color="auto" w:fill="auto"/>
            <w:vAlign w:val="center"/>
          </w:tcPr>
          <w:p w:rsidR="00A53D7D" w:rsidRPr="003B380F" w:rsidRDefault="00A53D7D" w:rsidP="005140B4">
            <w:pPr>
              <w:pStyle w:val="OGNotes"/>
              <w:rPr>
                <w:rFonts w:cs="Calibri"/>
                <w:szCs w:val="15"/>
              </w:rPr>
            </w:pPr>
            <w:bookmarkStart w:id="108" w:name="OLE_LINK1"/>
            <w:bookmarkStart w:id="109" w:name="OLE_LINK2"/>
            <w:r w:rsidRPr="003B380F">
              <w:rPr>
                <w:rFonts w:cs="Calibri"/>
                <w:szCs w:val="15"/>
              </w:rPr>
              <w:t>The 2013</w:t>
            </w:r>
            <w:r>
              <w:rPr>
                <w:rFonts w:cs="Calibri"/>
                <w:szCs w:val="15"/>
              </w:rPr>
              <w:noBreakHyphen/>
            </w:r>
            <w:r w:rsidRPr="003B380F">
              <w:rPr>
                <w:rFonts w:cs="Calibri"/>
                <w:szCs w:val="15"/>
              </w:rPr>
              <w:t>14 expected outcome is higher than the 2013</w:t>
            </w:r>
            <w:r>
              <w:rPr>
                <w:rFonts w:cs="Calibri"/>
                <w:szCs w:val="15"/>
              </w:rPr>
              <w:noBreakHyphen/>
            </w:r>
            <w:r w:rsidRPr="003B380F">
              <w:rPr>
                <w:rFonts w:cs="Calibri"/>
                <w:szCs w:val="15"/>
              </w:rPr>
              <w:t xml:space="preserve">14 target and </w:t>
            </w:r>
            <w:r w:rsidRPr="003B380F">
              <w:rPr>
                <w:color w:val="000000"/>
              </w:rPr>
              <w:t>reflects the increased reporting of family violence incidents to Victoria Police.</w:t>
            </w:r>
            <w:bookmarkEnd w:id="108"/>
            <w:bookmarkEnd w:id="109"/>
          </w:p>
        </w:tc>
      </w:tr>
      <w:tr w:rsidR="00A53D7D" w:rsidRPr="00316516" w:rsidTr="005140B4">
        <w:trPr>
          <w:cantSplit/>
        </w:trPr>
        <w:tc>
          <w:tcPr>
            <w:tcW w:w="3155" w:type="dxa"/>
            <w:tcBorders>
              <w:top w:val="single" w:sz="6" w:space="0" w:color="auto"/>
              <w:left w:val="nil"/>
              <w:right w:val="nil"/>
            </w:tcBorders>
            <w:shd w:val="clear" w:color="auto" w:fill="auto"/>
            <w:vAlign w:val="center"/>
          </w:tcPr>
          <w:p w:rsidR="00A53D7D" w:rsidRPr="00316516" w:rsidRDefault="00A53D7D" w:rsidP="005140B4">
            <w:pPr>
              <w:pStyle w:val="OGTabText"/>
              <w:keepNext/>
              <w:rPr>
                <w:lang w:eastAsia="en-AU"/>
              </w:rPr>
            </w:pPr>
            <w:r w:rsidRPr="00316516">
              <w:rPr>
                <w:lang w:eastAsia="en-AU"/>
              </w:rPr>
              <w:t>Crimes against property – family violence related crime (rate per 100 000 population)</w:t>
            </w:r>
          </w:p>
        </w:tc>
        <w:tc>
          <w:tcPr>
            <w:tcW w:w="907" w:type="dxa"/>
            <w:tcBorders>
              <w:top w:val="single" w:sz="6" w:space="0" w:color="auto"/>
              <w:left w:val="nil"/>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number</w:t>
            </w:r>
          </w:p>
        </w:tc>
        <w:tc>
          <w:tcPr>
            <w:tcW w:w="907" w:type="dxa"/>
            <w:tcBorders>
              <w:top w:val="single" w:sz="6" w:space="0" w:color="auto"/>
              <w:left w:val="nil"/>
              <w:right w:val="nil"/>
            </w:tcBorders>
            <w:shd w:val="clear" w:color="auto" w:fill="E6E6E6"/>
          </w:tcPr>
          <w:p w:rsidR="00A53D7D" w:rsidRPr="00316516" w:rsidRDefault="00A53D7D" w:rsidP="005140B4">
            <w:pPr>
              <w:pStyle w:val="OGTableofFigures"/>
              <w:rPr>
                <w:color w:val="000000"/>
                <w:lang w:eastAsia="en-AU"/>
              </w:rPr>
            </w:pPr>
            <w:r w:rsidRPr="00316516">
              <w:rPr>
                <w:rFonts w:cs="Calibri"/>
                <w:lang w:eastAsia="en-AU"/>
              </w:rPr>
              <w:sym w:font="Symbol" w:char="F0B3"/>
            </w:r>
            <w:r w:rsidRPr="00316516">
              <w:rPr>
                <w:rFonts w:cs="Calibri"/>
                <w:lang w:eastAsia="en-AU"/>
              </w:rPr>
              <w:t xml:space="preserve"> 95.2</w:t>
            </w:r>
          </w:p>
          <w:p w:rsidR="00A53D7D" w:rsidRPr="00316516" w:rsidRDefault="00A53D7D" w:rsidP="005140B4">
            <w:pPr>
              <w:pStyle w:val="OGTableofFigures"/>
              <w:rPr>
                <w:color w:val="000000"/>
                <w:lang w:eastAsia="en-AU"/>
              </w:rPr>
            </w:pPr>
            <w:r w:rsidRPr="00316516">
              <w:rPr>
                <w:rFonts w:cs="Calibri"/>
                <w:color w:val="000000"/>
                <w:lang w:eastAsia="en-AU"/>
              </w:rPr>
              <w:br/>
            </w:r>
          </w:p>
        </w:tc>
        <w:tc>
          <w:tcPr>
            <w:tcW w:w="993" w:type="dxa"/>
            <w:tcBorders>
              <w:top w:val="single" w:sz="6" w:space="0" w:color="auto"/>
              <w:left w:val="nil"/>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138.9</w:t>
            </w:r>
            <w:r w:rsidRPr="00316516">
              <w:rPr>
                <w:color w:val="000000"/>
                <w:lang w:eastAsia="en-AU"/>
              </w:rPr>
              <w:br/>
            </w:r>
          </w:p>
        </w:tc>
        <w:tc>
          <w:tcPr>
            <w:tcW w:w="907" w:type="dxa"/>
            <w:tcBorders>
              <w:top w:val="single" w:sz="6" w:space="0" w:color="auto"/>
              <w:left w:val="nil"/>
              <w:right w:val="nil"/>
            </w:tcBorders>
            <w:shd w:val="clear" w:color="auto" w:fill="auto"/>
          </w:tcPr>
          <w:p w:rsidR="00A53D7D" w:rsidRPr="00316516" w:rsidRDefault="00A53D7D" w:rsidP="005140B4">
            <w:pPr>
              <w:pStyle w:val="OGTableofFigures"/>
              <w:rPr>
                <w:color w:val="000000"/>
                <w:lang w:eastAsia="en-AU"/>
              </w:rPr>
            </w:pPr>
            <w:r w:rsidRPr="00316516">
              <w:rPr>
                <w:rFonts w:cs="Calibri"/>
                <w:lang w:eastAsia="en-AU"/>
              </w:rPr>
              <w:sym w:font="Symbol" w:char="F0B3"/>
            </w:r>
            <w:r w:rsidRPr="00316516">
              <w:rPr>
                <w:rFonts w:cs="Calibri"/>
                <w:lang w:eastAsia="en-AU"/>
              </w:rPr>
              <w:t xml:space="preserve"> 95.2</w:t>
            </w:r>
          </w:p>
          <w:p w:rsidR="00A53D7D" w:rsidRPr="00316516" w:rsidRDefault="00A53D7D" w:rsidP="005140B4">
            <w:pPr>
              <w:pStyle w:val="OGTableofFigures"/>
              <w:rPr>
                <w:strike/>
                <w:color w:val="000000"/>
                <w:sz w:val="16"/>
                <w:lang w:eastAsia="en-AU"/>
              </w:rPr>
            </w:pPr>
          </w:p>
        </w:tc>
        <w:tc>
          <w:tcPr>
            <w:tcW w:w="907" w:type="dxa"/>
            <w:tcBorders>
              <w:top w:val="single" w:sz="6" w:space="0" w:color="auto"/>
              <w:left w:val="nil"/>
              <w:right w:val="nil"/>
            </w:tcBorders>
            <w:shd w:val="clear" w:color="auto" w:fill="auto"/>
          </w:tcPr>
          <w:p w:rsidR="00A53D7D" w:rsidRPr="003B380F" w:rsidRDefault="00A53D7D" w:rsidP="005140B4">
            <w:pPr>
              <w:pStyle w:val="OGTableofFigures"/>
              <w:rPr>
                <w:color w:val="000000"/>
                <w:lang w:eastAsia="en-AU"/>
              </w:rPr>
            </w:pPr>
            <w:r w:rsidRPr="00316516">
              <w:rPr>
                <w:color w:val="000000"/>
                <w:lang w:eastAsia="en-AU"/>
              </w:rPr>
              <w:t>nm</w:t>
            </w:r>
          </w:p>
        </w:tc>
      </w:tr>
      <w:tr w:rsidR="00A53D7D" w:rsidRPr="00316516" w:rsidTr="005140B4">
        <w:trPr>
          <w:cantSplit/>
        </w:trPr>
        <w:tc>
          <w:tcPr>
            <w:tcW w:w="7776" w:type="dxa"/>
            <w:gridSpan w:val="6"/>
            <w:tcBorders>
              <w:left w:val="nil"/>
              <w:bottom w:val="single" w:sz="6" w:space="0" w:color="auto"/>
              <w:right w:val="nil"/>
            </w:tcBorders>
            <w:shd w:val="clear" w:color="auto" w:fill="auto"/>
            <w:vAlign w:val="center"/>
          </w:tcPr>
          <w:p w:rsidR="00A53D7D" w:rsidRPr="003B380F" w:rsidRDefault="00A53D7D" w:rsidP="005140B4">
            <w:pPr>
              <w:pStyle w:val="OGNotes"/>
              <w:rPr>
                <w:rFonts w:cs="Calibri"/>
                <w:szCs w:val="15"/>
              </w:rPr>
            </w:pPr>
            <w:r w:rsidRPr="003B380F">
              <w:rPr>
                <w:rFonts w:cs="Calibri"/>
                <w:szCs w:val="15"/>
              </w:rPr>
              <w:t>The 2013</w:t>
            </w:r>
            <w:r>
              <w:rPr>
                <w:rFonts w:cs="Calibri"/>
                <w:szCs w:val="15"/>
              </w:rPr>
              <w:noBreakHyphen/>
            </w:r>
            <w:r w:rsidRPr="003B380F">
              <w:rPr>
                <w:rFonts w:cs="Calibri"/>
                <w:szCs w:val="15"/>
              </w:rPr>
              <w:t>14 expected outcome is higher than the 2013</w:t>
            </w:r>
            <w:r>
              <w:rPr>
                <w:rFonts w:cs="Calibri"/>
                <w:szCs w:val="15"/>
              </w:rPr>
              <w:noBreakHyphen/>
            </w:r>
            <w:r w:rsidRPr="003B380F">
              <w:rPr>
                <w:rFonts w:cs="Calibri"/>
                <w:szCs w:val="15"/>
              </w:rPr>
              <w:t xml:space="preserve">14 target and </w:t>
            </w:r>
            <w:r w:rsidRPr="003B380F">
              <w:rPr>
                <w:color w:val="000000"/>
              </w:rPr>
              <w:t>reflects the increased reporting of family violence incidents to Victoria Police.</w:t>
            </w:r>
          </w:p>
        </w:tc>
      </w:tr>
      <w:tr w:rsidR="00A53D7D" w:rsidRPr="00316516"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Number of alcohol screening tests conducted</w:t>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UoM"/>
              <w:rPr>
                <w:color w:val="000000"/>
                <w:lang w:eastAsia="en-AU"/>
              </w:rPr>
            </w:pPr>
            <w:r>
              <w:rPr>
                <w:color w:val="000000"/>
                <w:lang w:eastAsia="en-AU"/>
              </w:rPr>
              <w:t>n</w:t>
            </w:r>
            <w:r w:rsidRPr="00316516">
              <w:rPr>
                <w:color w:val="000000"/>
                <w:lang w:eastAsia="en-AU"/>
              </w:rPr>
              <w:t>umber</w:t>
            </w:r>
          </w:p>
        </w:tc>
        <w:tc>
          <w:tcPr>
            <w:tcW w:w="907" w:type="dxa"/>
            <w:tcBorders>
              <w:top w:val="single" w:sz="6" w:space="0" w:color="auto"/>
              <w:left w:val="nil"/>
              <w:bottom w:val="single" w:sz="6" w:space="0" w:color="auto"/>
              <w:right w:val="nil"/>
            </w:tcBorders>
            <w:shd w:val="clear" w:color="auto" w:fill="E6E6E6"/>
          </w:tcPr>
          <w:p w:rsidR="00A53D7D" w:rsidRPr="00316516" w:rsidRDefault="00A53D7D" w:rsidP="005140B4">
            <w:pPr>
              <w:pStyle w:val="OGTableofFigures"/>
              <w:rPr>
                <w:color w:val="000000"/>
                <w:lang w:eastAsia="en-AU"/>
              </w:rPr>
            </w:pPr>
            <w:r w:rsidRPr="00316516">
              <w:rPr>
                <w:color w:val="000000"/>
                <w:lang w:eastAsia="en-AU"/>
              </w:rPr>
              <w:t>1 100 000</w:t>
            </w:r>
          </w:p>
        </w:tc>
        <w:tc>
          <w:tcPr>
            <w:tcW w:w="993"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1 050 000</w:t>
            </w:r>
            <w:r w:rsidRPr="00316516">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1 100 000</w:t>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1</w:t>
            </w:r>
            <w:r>
              <w:rPr>
                <w:color w:val="000000"/>
                <w:lang w:eastAsia="en-AU"/>
              </w:rPr>
              <w:t> </w:t>
            </w:r>
            <w:r w:rsidRPr="00316516">
              <w:rPr>
                <w:color w:val="000000"/>
                <w:lang w:eastAsia="en-AU"/>
              </w:rPr>
              <w:t>098</w:t>
            </w:r>
            <w:r>
              <w:rPr>
                <w:color w:val="000000"/>
                <w:lang w:eastAsia="en-AU"/>
              </w:rPr>
              <w:t> </w:t>
            </w:r>
            <w:r w:rsidRPr="00316516">
              <w:rPr>
                <w:color w:val="000000"/>
                <w:lang w:eastAsia="en-AU"/>
              </w:rPr>
              <w:t>831</w:t>
            </w:r>
          </w:p>
        </w:tc>
      </w:tr>
      <w:tr w:rsidR="00A53D7D" w:rsidRPr="00316516"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Number of prohibited drug screening tests conducted</w:t>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UoM"/>
              <w:rPr>
                <w:color w:val="000000"/>
                <w:lang w:eastAsia="en-AU"/>
              </w:rPr>
            </w:pPr>
            <w:r>
              <w:rPr>
                <w:color w:val="000000"/>
                <w:lang w:eastAsia="en-AU"/>
              </w:rPr>
              <w:t>n</w:t>
            </w:r>
            <w:r w:rsidRPr="00316516">
              <w:rPr>
                <w:color w:val="000000"/>
                <w:lang w:eastAsia="en-AU"/>
              </w:rPr>
              <w:t>umber</w:t>
            </w:r>
          </w:p>
        </w:tc>
        <w:tc>
          <w:tcPr>
            <w:tcW w:w="907" w:type="dxa"/>
            <w:tcBorders>
              <w:top w:val="single" w:sz="6" w:space="0" w:color="auto"/>
              <w:left w:val="nil"/>
              <w:bottom w:val="single" w:sz="6" w:space="0" w:color="auto"/>
              <w:right w:val="nil"/>
            </w:tcBorders>
            <w:shd w:val="clear" w:color="auto" w:fill="E6E6E6"/>
          </w:tcPr>
          <w:p w:rsidR="00A53D7D" w:rsidRPr="00316516" w:rsidRDefault="00A53D7D" w:rsidP="005140B4">
            <w:pPr>
              <w:pStyle w:val="OGTableofFigures"/>
              <w:rPr>
                <w:color w:val="000000"/>
                <w:lang w:eastAsia="en-AU"/>
              </w:rPr>
            </w:pPr>
            <w:r w:rsidRPr="00316516">
              <w:rPr>
                <w:color w:val="000000"/>
                <w:lang w:eastAsia="en-AU"/>
              </w:rPr>
              <w:t>40 000 </w:t>
            </w:r>
          </w:p>
        </w:tc>
        <w:tc>
          <w:tcPr>
            <w:tcW w:w="993"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40</w:t>
            </w:r>
            <w:r>
              <w:rPr>
                <w:color w:val="000000"/>
                <w:lang w:eastAsia="en-AU"/>
              </w:rPr>
              <w:t> </w:t>
            </w:r>
            <w:r w:rsidRPr="00316516">
              <w:rPr>
                <w:color w:val="000000"/>
                <w:lang w:eastAsia="en-AU"/>
              </w:rPr>
              <w:t>000</w:t>
            </w:r>
            <w:r w:rsidRPr="00316516">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Pr>
                <w:color w:val="000000"/>
                <w:lang w:eastAsia="en-AU"/>
              </w:rPr>
              <w:t>40 </w:t>
            </w:r>
            <w:r w:rsidRPr="00316516">
              <w:rPr>
                <w:color w:val="000000"/>
                <w:lang w:eastAsia="en-AU"/>
              </w:rPr>
              <w:t>000</w:t>
            </w:r>
          </w:p>
          <w:p w:rsidR="00A53D7D" w:rsidRPr="00316516" w:rsidRDefault="00A53D7D" w:rsidP="005140B4">
            <w:pPr>
              <w:pStyle w:val="OGTableofFigures"/>
              <w:rPr>
                <w:strike/>
                <w:color w:val="000000"/>
                <w:sz w:val="16"/>
                <w:lang w:eastAsia="en-AU"/>
              </w:rPr>
            </w:pP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Pr>
                <w:color w:val="000000"/>
                <w:lang w:eastAsia="en-AU"/>
              </w:rPr>
              <w:t>23 </w:t>
            </w:r>
            <w:r w:rsidRPr="00316516">
              <w:rPr>
                <w:color w:val="000000"/>
                <w:lang w:eastAsia="en-AU"/>
              </w:rPr>
              <w:t>245</w:t>
            </w:r>
          </w:p>
        </w:tc>
      </w:tr>
      <w:tr w:rsidR="00A53D7D" w:rsidRPr="00316516" w:rsidTr="005140B4">
        <w:trPr>
          <w:cantSplit/>
        </w:trPr>
        <w:tc>
          <w:tcPr>
            <w:tcW w:w="3155" w:type="dxa"/>
            <w:tcBorders>
              <w:top w:val="single" w:sz="6" w:space="0" w:color="auto"/>
              <w:left w:val="nil"/>
              <w:right w:val="nil"/>
            </w:tcBorders>
            <w:shd w:val="clear" w:color="auto" w:fill="auto"/>
            <w:vAlign w:val="center"/>
          </w:tcPr>
          <w:p w:rsidR="00A53D7D" w:rsidRPr="00316516" w:rsidRDefault="00A53D7D" w:rsidP="005140B4">
            <w:pPr>
              <w:pStyle w:val="OGTabHead"/>
              <w:rPr>
                <w:color w:val="000000"/>
                <w:lang w:eastAsia="en-AU"/>
              </w:rPr>
            </w:pPr>
            <w:r w:rsidRPr="00316516">
              <w:rPr>
                <w:iCs/>
                <w:color w:val="000000"/>
                <w:lang w:eastAsia="en-AU"/>
              </w:rPr>
              <w:t>Quality</w:t>
            </w:r>
          </w:p>
        </w:tc>
        <w:tc>
          <w:tcPr>
            <w:tcW w:w="907" w:type="dxa"/>
            <w:tcBorders>
              <w:top w:val="single" w:sz="6" w:space="0" w:color="auto"/>
              <w:left w:val="nil"/>
              <w:right w:val="nil"/>
            </w:tcBorders>
            <w:shd w:val="clear" w:color="auto" w:fill="auto"/>
            <w:vAlign w:val="center"/>
          </w:tcPr>
          <w:p w:rsidR="00A53D7D" w:rsidRPr="00316516" w:rsidRDefault="00A53D7D" w:rsidP="005140B4">
            <w:pPr>
              <w:pStyle w:val="OGUoM"/>
              <w:rPr>
                <w:color w:val="000000"/>
                <w:lang w:eastAsia="en-AU"/>
              </w:rPr>
            </w:pPr>
            <w:r w:rsidRPr="00316516">
              <w:rPr>
                <w:color w:val="000000"/>
                <w:lang w:eastAsia="en-AU"/>
              </w:rPr>
              <w:t> </w:t>
            </w:r>
          </w:p>
        </w:tc>
        <w:tc>
          <w:tcPr>
            <w:tcW w:w="907" w:type="dxa"/>
            <w:tcBorders>
              <w:top w:val="single" w:sz="6" w:space="0" w:color="auto"/>
              <w:left w:val="nil"/>
              <w:right w:val="nil"/>
            </w:tcBorders>
            <w:shd w:val="clear" w:color="auto" w:fill="E6E6E6"/>
            <w:vAlign w:val="center"/>
          </w:tcPr>
          <w:p w:rsidR="00A53D7D" w:rsidRPr="00316516" w:rsidRDefault="00A53D7D" w:rsidP="005140B4">
            <w:pPr>
              <w:pStyle w:val="OGTableofFigures"/>
              <w:rPr>
                <w:color w:val="000000"/>
                <w:lang w:eastAsia="en-AU"/>
              </w:rPr>
            </w:pPr>
            <w:r w:rsidRPr="00316516">
              <w:rPr>
                <w:color w:val="000000"/>
                <w:lang w:eastAsia="en-AU"/>
              </w:rPr>
              <w:t> </w:t>
            </w:r>
          </w:p>
        </w:tc>
        <w:tc>
          <w:tcPr>
            <w:tcW w:w="993" w:type="dxa"/>
            <w:tcBorders>
              <w:top w:val="single" w:sz="6" w:space="0" w:color="auto"/>
              <w:left w:val="nil"/>
              <w:right w:val="nil"/>
            </w:tcBorders>
            <w:shd w:val="clear" w:color="auto" w:fill="auto"/>
            <w:vAlign w:val="center"/>
          </w:tcPr>
          <w:p w:rsidR="00A53D7D" w:rsidRPr="00316516" w:rsidRDefault="00A53D7D" w:rsidP="005140B4">
            <w:pPr>
              <w:pStyle w:val="OGTableofFigures"/>
              <w:rPr>
                <w:color w:val="000000"/>
                <w:lang w:eastAsia="en-AU"/>
              </w:rPr>
            </w:pPr>
            <w:r w:rsidRPr="00316516">
              <w:rPr>
                <w:color w:val="000000"/>
                <w:lang w:eastAsia="en-AU"/>
              </w:rPr>
              <w:t> </w:t>
            </w:r>
          </w:p>
        </w:tc>
        <w:tc>
          <w:tcPr>
            <w:tcW w:w="907" w:type="dxa"/>
            <w:tcBorders>
              <w:top w:val="single" w:sz="6" w:space="0" w:color="auto"/>
              <w:left w:val="nil"/>
              <w:right w:val="nil"/>
            </w:tcBorders>
            <w:shd w:val="clear" w:color="auto" w:fill="auto"/>
            <w:vAlign w:val="center"/>
          </w:tcPr>
          <w:p w:rsidR="00A53D7D" w:rsidRPr="00316516" w:rsidRDefault="00A53D7D" w:rsidP="005140B4">
            <w:pPr>
              <w:pStyle w:val="OGTableofFigures"/>
              <w:rPr>
                <w:color w:val="000000"/>
                <w:lang w:eastAsia="en-AU"/>
              </w:rPr>
            </w:pPr>
            <w:r w:rsidRPr="00316516">
              <w:rPr>
                <w:color w:val="000000"/>
                <w:lang w:eastAsia="en-AU"/>
              </w:rPr>
              <w:t> </w:t>
            </w:r>
          </w:p>
        </w:tc>
        <w:tc>
          <w:tcPr>
            <w:tcW w:w="907" w:type="dxa"/>
            <w:tcBorders>
              <w:top w:val="single" w:sz="6" w:space="0" w:color="auto"/>
              <w:left w:val="nil"/>
              <w:right w:val="nil"/>
            </w:tcBorders>
            <w:shd w:val="clear" w:color="auto" w:fill="auto"/>
            <w:vAlign w:val="center"/>
          </w:tcPr>
          <w:p w:rsidR="00A53D7D" w:rsidRPr="00316516" w:rsidRDefault="00A53D7D" w:rsidP="005140B4">
            <w:pPr>
              <w:pStyle w:val="OGTableofFigures"/>
              <w:rPr>
                <w:color w:val="000000"/>
                <w:lang w:eastAsia="en-AU"/>
              </w:rPr>
            </w:pPr>
            <w:r w:rsidRPr="00316516">
              <w:rPr>
                <w:color w:val="000000"/>
                <w:lang w:eastAsia="en-AU"/>
              </w:rPr>
              <w:t> </w:t>
            </w:r>
          </w:p>
        </w:tc>
      </w:tr>
      <w:tr w:rsidR="00A53D7D" w:rsidRPr="00316516" w:rsidTr="005140B4">
        <w:trPr>
          <w:cantSplit/>
        </w:trPr>
        <w:tc>
          <w:tcPr>
            <w:tcW w:w="3155" w:type="dxa"/>
            <w:tcBorders>
              <w:top w:val="nil"/>
              <w:left w:val="nil"/>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Proportion of community satisfied with policing services (general satisfaction)</w:t>
            </w:r>
          </w:p>
        </w:tc>
        <w:tc>
          <w:tcPr>
            <w:tcW w:w="907" w:type="dxa"/>
            <w:tcBorders>
              <w:top w:val="nil"/>
              <w:left w:val="nil"/>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per cent</w:t>
            </w:r>
          </w:p>
        </w:tc>
        <w:tc>
          <w:tcPr>
            <w:tcW w:w="907" w:type="dxa"/>
            <w:tcBorders>
              <w:top w:val="nil"/>
              <w:left w:val="nil"/>
              <w:right w:val="nil"/>
            </w:tcBorders>
            <w:shd w:val="clear" w:color="auto" w:fill="E6E6E6"/>
          </w:tcPr>
          <w:p w:rsidR="00A53D7D" w:rsidRPr="00316516" w:rsidRDefault="00A53D7D" w:rsidP="005140B4">
            <w:pPr>
              <w:pStyle w:val="OGTableofFigures"/>
              <w:rPr>
                <w:color w:val="000000"/>
                <w:lang w:eastAsia="en-AU"/>
              </w:rPr>
            </w:pPr>
            <w:r w:rsidRPr="00316516">
              <w:rPr>
                <w:color w:val="000000"/>
                <w:lang w:eastAsia="en-AU"/>
              </w:rPr>
              <w:t>70</w:t>
            </w:r>
          </w:p>
        </w:tc>
        <w:tc>
          <w:tcPr>
            <w:tcW w:w="993" w:type="dxa"/>
            <w:tcBorders>
              <w:top w:val="nil"/>
              <w:left w:val="nil"/>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75.9</w:t>
            </w:r>
            <w:r w:rsidRPr="00316516">
              <w:rPr>
                <w:color w:val="000000"/>
                <w:lang w:eastAsia="en-AU"/>
              </w:rPr>
              <w:br/>
            </w:r>
          </w:p>
        </w:tc>
        <w:tc>
          <w:tcPr>
            <w:tcW w:w="907" w:type="dxa"/>
            <w:tcBorders>
              <w:top w:val="nil"/>
              <w:left w:val="nil"/>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70</w:t>
            </w:r>
          </w:p>
        </w:tc>
        <w:tc>
          <w:tcPr>
            <w:tcW w:w="907" w:type="dxa"/>
            <w:tcBorders>
              <w:top w:val="nil"/>
              <w:left w:val="nil"/>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78.2</w:t>
            </w:r>
          </w:p>
        </w:tc>
      </w:tr>
      <w:tr w:rsidR="00A53D7D" w:rsidRPr="00316516" w:rsidTr="005140B4">
        <w:trPr>
          <w:cantSplit/>
        </w:trPr>
        <w:tc>
          <w:tcPr>
            <w:tcW w:w="7776" w:type="dxa"/>
            <w:gridSpan w:val="6"/>
            <w:tcBorders>
              <w:left w:val="nil"/>
              <w:bottom w:val="single" w:sz="6" w:space="0" w:color="auto"/>
              <w:right w:val="nil"/>
            </w:tcBorders>
            <w:shd w:val="clear" w:color="auto" w:fill="auto"/>
            <w:vAlign w:val="center"/>
          </w:tcPr>
          <w:p w:rsidR="00A53D7D" w:rsidRPr="00316516" w:rsidRDefault="00A53D7D" w:rsidP="005140B4">
            <w:pPr>
              <w:pStyle w:val="OGNotes"/>
              <w:rPr>
                <w:color w:val="000000"/>
              </w:rPr>
            </w:pPr>
            <w:r w:rsidRPr="003B380F">
              <w:rPr>
                <w:rFonts w:cs="Calibri"/>
                <w:szCs w:val="15"/>
              </w:rPr>
              <w:t>The 2013</w:t>
            </w:r>
            <w:r>
              <w:rPr>
                <w:rFonts w:cs="Calibri"/>
                <w:szCs w:val="15"/>
              </w:rPr>
              <w:noBreakHyphen/>
            </w:r>
            <w:r w:rsidRPr="003B380F">
              <w:rPr>
                <w:rFonts w:cs="Calibri"/>
                <w:szCs w:val="15"/>
              </w:rPr>
              <w:t>14 expected outcome is higher than the 2013</w:t>
            </w:r>
            <w:r>
              <w:rPr>
                <w:rFonts w:cs="Calibri"/>
                <w:szCs w:val="15"/>
              </w:rPr>
              <w:noBreakHyphen/>
            </w:r>
            <w:r w:rsidRPr="003B380F">
              <w:rPr>
                <w:rFonts w:cs="Calibri"/>
                <w:szCs w:val="15"/>
              </w:rPr>
              <w:t xml:space="preserve">14 target and </w:t>
            </w:r>
            <w:r w:rsidRPr="003B380F">
              <w:rPr>
                <w:color w:val="000000"/>
              </w:rPr>
              <w:t>reflects on</w:t>
            </w:r>
            <w:r>
              <w:rPr>
                <w:color w:val="000000"/>
              </w:rPr>
              <w:t xml:space="preserve">going positive results for this </w:t>
            </w:r>
            <w:r w:rsidRPr="003B380F">
              <w:rPr>
                <w:color w:val="000000"/>
              </w:rPr>
              <w:t>measure.</w:t>
            </w:r>
          </w:p>
        </w:tc>
      </w:tr>
      <w:tr w:rsidR="00A53D7D" w:rsidRPr="00A475B8"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3B380F" w:rsidRDefault="00A53D7D" w:rsidP="005140B4">
            <w:pPr>
              <w:pStyle w:val="OGTabText"/>
              <w:rPr>
                <w:color w:val="000000"/>
                <w:lang w:eastAsia="en-AU"/>
              </w:rPr>
            </w:pPr>
            <w:r w:rsidRPr="00316516">
              <w:rPr>
                <w:color w:val="000000"/>
                <w:lang w:eastAsia="en-AU"/>
              </w:rPr>
              <w:t>Proportion of the community who have confidence in police (an integrity indicator)</w:t>
            </w:r>
          </w:p>
        </w:tc>
        <w:tc>
          <w:tcPr>
            <w:tcW w:w="907" w:type="dxa"/>
            <w:tcBorders>
              <w:top w:val="single" w:sz="6" w:space="0" w:color="auto"/>
              <w:left w:val="nil"/>
              <w:bottom w:val="single" w:sz="6" w:space="0" w:color="auto"/>
              <w:right w:val="nil"/>
            </w:tcBorders>
            <w:shd w:val="clear" w:color="auto" w:fill="auto"/>
          </w:tcPr>
          <w:p w:rsidR="00A53D7D" w:rsidRPr="003B380F" w:rsidRDefault="00A53D7D" w:rsidP="005140B4">
            <w:pPr>
              <w:pStyle w:val="OGUoM"/>
              <w:rPr>
                <w:color w:val="000000"/>
                <w:lang w:eastAsia="en-AU"/>
              </w:rPr>
            </w:pPr>
            <w:r w:rsidRPr="00316516">
              <w:rPr>
                <w:color w:val="000000"/>
                <w:lang w:eastAsia="en-AU"/>
              </w:rPr>
              <w:t>per cent</w:t>
            </w:r>
          </w:p>
        </w:tc>
        <w:tc>
          <w:tcPr>
            <w:tcW w:w="907" w:type="dxa"/>
            <w:tcBorders>
              <w:top w:val="single" w:sz="6" w:space="0" w:color="auto"/>
              <w:left w:val="nil"/>
              <w:bottom w:val="single" w:sz="6" w:space="0" w:color="auto"/>
              <w:right w:val="nil"/>
            </w:tcBorders>
            <w:shd w:val="clear" w:color="auto" w:fill="E6E6E6"/>
          </w:tcPr>
          <w:p w:rsidR="00A53D7D" w:rsidRPr="00316516" w:rsidRDefault="00A53D7D" w:rsidP="005140B4">
            <w:pPr>
              <w:pStyle w:val="OGTableofFigures"/>
              <w:rPr>
                <w:color w:val="000000"/>
                <w:lang w:eastAsia="en-AU"/>
              </w:rPr>
            </w:pPr>
            <w:r w:rsidRPr="00316516">
              <w:rPr>
                <w:color w:val="000000"/>
                <w:lang w:eastAsia="en-AU"/>
              </w:rPr>
              <w:t>83</w:t>
            </w:r>
          </w:p>
        </w:tc>
        <w:tc>
          <w:tcPr>
            <w:tcW w:w="993"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83</w:t>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83</w:t>
            </w:r>
          </w:p>
        </w:tc>
        <w:tc>
          <w:tcPr>
            <w:tcW w:w="907" w:type="dxa"/>
            <w:tcBorders>
              <w:top w:val="single" w:sz="6" w:space="0" w:color="auto"/>
              <w:left w:val="nil"/>
              <w:bottom w:val="single" w:sz="6" w:space="0" w:color="auto"/>
              <w:right w:val="nil"/>
            </w:tcBorders>
            <w:shd w:val="clear" w:color="auto" w:fill="auto"/>
          </w:tcPr>
          <w:p w:rsidR="00A53D7D" w:rsidRPr="007A52CD" w:rsidRDefault="00A53D7D" w:rsidP="005140B4">
            <w:pPr>
              <w:pStyle w:val="OGTableofFigures"/>
              <w:rPr>
                <w:color w:val="000000"/>
                <w:lang w:eastAsia="en-AU"/>
              </w:rPr>
            </w:pPr>
            <w:r w:rsidRPr="00316516">
              <w:rPr>
                <w:color w:val="000000"/>
                <w:lang w:eastAsia="en-AU"/>
              </w:rPr>
              <w:t>86</w:t>
            </w:r>
          </w:p>
        </w:tc>
      </w:tr>
      <w:tr w:rsidR="00A53D7D" w:rsidRPr="00316516"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Proportion of drivers tested who comply with alcohol limits</w:t>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per cent</w:t>
            </w:r>
          </w:p>
        </w:tc>
        <w:tc>
          <w:tcPr>
            <w:tcW w:w="907" w:type="dxa"/>
            <w:tcBorders>
              <w:top w:val="single" w:sz="6" w:space="0" w:color="auto"/>
              <w:left w:val="nil"/>
              <w:bottom w:val="single" w:sz="6" w:space="0" w:color="auto"/>
              <w:right w:val="nil"/>
            </w:tcBorders>
            <w:shd w:val="clear" w:color="auto" w:fill="E6E6E6"/>
          </w:tcPr>
          <w:p w:rsidR="00A53D7D" w:rsidRPr="00316516" w:rsidRDefault="00A53D7D" w:rsidP="005140B4">
            <w:pPr>
              <w:pStyle w:val="OGTableofFigures"/>
              <w:rPr>
                <w:color w:val="000000"/>
                <w:lang w:eastAsia="en-AU"/>
              </w:rPr>
            </w:pPr>
            <w:r w:rsidRPr="00316516">
              <w:rPr>
                <w:color w:val="000000"/>
                <w:lang w:eastAsia="en-AU"/>
              </w:rPr>
              <w:t>99.5</w:t>
            </w:r>
          </w:p>
        </w:tc>
        <w:tc>
          <w:tcPr>
            <w:tcW w:w="993"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99.5</w:t>
            </w:r>
            <w:r w:rsidRPr="00316516">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99.5</w:t>
            </w:r>
          </w:p>
        </w:tc>
        <w:tc>
          <w:tcPr>
            <w:tcW w:w="907" w:type="dxa"/>
            <w:tcBorders>
              <w:top w:val="single" w:sz="6" w:space="0" w:color="auto"/>
              <w:left w:val="nil"/>
              <w:bottom w:val="single" w:sz="6" w:space="0" w:color="auto"/>
              <w:right w:val="nil"/>
            </w:tcBorders>
            <w:shd w:val="clear" w:color="auto" w:fill="auto"/>
          </w:tcPr>
          <w:p w:rsidR="00A53D7D" w:rsidRPr="003B380F" w:rsidRDefault="00A53D7D" w:rsidP="005140B4">
            <w:pPr>
              <w:pStyle w:val="OGTableofFigures"/>
              <w:rPr>
                <w:color w:val="000000"/>
                <w:lang w:eastAsia="en-AU"/>
              </w:rPr>
            </w:pPr>
            <w:r w:rsidRPr="00316516">
              <w:rPr>
                <w:color w:val="000000"/>
                <w:lang w:eastAsia="en-AU"/>
              </w:rPr>
              <w:t>99.8</w:t>
            </w:r>
          </w:p>
        </w:tc>
      </w:tr>
      <w:tr w:rsidR="00A53D7D" w:rsidRPr="00316516"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Proportion of drivers tested who comply with posted speed limits</w:t>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per cent</w:t>
            </w:r>
          </w:p>
        </w:tc>
        <w:tc>
          <w:tcPr>
            <w:tcW w:w="907" w:type="dxa"/>
            <w:tcBorders>
              <w:top w:val="single" w:sz="6" w:space="0" w:color="auto"/>
              <w:left w:val="nil"/>
              <w:bottom w:val="single" w:sz="6" w:space="0" w:color="auto"/>
              <w:right w:val="nil"/>
            </w:tcBorders>
            <w:shd w:val="clear" w:color="auto" w:fill="E6E6E6"/>
          </w:tcPr>
          <w:p w:rsidR="00A53D7D" w:rsidRPr="00316516" w:rsidRDefault="00A53D7D" w:rsidP="005140B4">
            <w:pPr>
              <w:pStyle w:val="OGTableofFigures"/>
              <w:rPr>
                <w:color w:val="000000"/>
                <w:lang w:eastAsia="en-AU"/>
              </w:rPr>
            </w:pPr>
            <w:r w:rsidRPr="00316516">
              <w:rPr>
                <w:color w:val="000000"/>
                <w:lang w:eastAsia="en-AU"/>
              </w:rPr>
              <w:t>99.5</w:t>
            </w:r>
          </w:p>
        </w:tc>
        <w:tc>
          <w:tcPr>
            <w:tcW w:w="993"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99.5</w:t>
            </w:r>
            <w:r w:rsidRPr="00316516">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99.5</w:t>
            </w:r>
          </w:p>
        </w:tc>
        <w:tc>
          <w:tcPr>
            <w:tcW w:w="907" w:type="dxa"/>
            <w:tcBorders>
              <w:top w:val="single" w:sz="6" w:space="0" w:color="auto"/>
              <w:left w:val="nil"/>
              <w:bottom w:val="single" w:sz="6" w:space="0" w:color="auto"/>
              <w:right w:val="nil"/>
            </w:tcBorders>
            <w:shd w:val="clear" w:color="auto" w:fill="auto"/>
          </w:tcPr>
          <w:p w:rsidR="00A53D7D" w:rsidRPr="003B380F" w:rsidRDefault="00A53D7D" w:rsidP="005140B4">
            <w:pPr>
              <w:pStyle w:val="OGTableofFigures"/>
              <w:rPr>
                <w:color w:val="000000"/>
                <w:lang w:eastAsia="en-AU"/>
              </w:rPr>
            </w:pPr>
            <w:r w:rsidRPr="00316516">
              <w:rPr>
                <w:color w:val="000000"/>
                <w:lang w:eastAsia="en-AU"/>
              </w:rPr>
              <w:t>99.9</w:t>
            </w:r>
          </w:p>
        </w:tc>
      </w:tr>
      <w:tr w:rsidR="00A53D7D" w:rsidRPr="00316516" w:rsidTr="005140B4">
        <w:trPr>
          <w:cantSplit/>
        </w:trPr>
        <w:tc>
          <w:tcPr>
            <w:tcW w:w="3155" w:type="dxa"/>
            <w:tcBorders>
              <w:top w:val="single" w:sz="6" w:space="0" w:color="auto"/>
              <w:left w:val="nil"/>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Proportion of drivers tested who return clear result for prohibited drugs</w:t>
            </w:r>
          </w:p>
        </w:tc>
        <w:tc>
          <w:tcPr>
            <w:tcW w:w="907" w:type="dxa"/>
            <w:tcBorders>
              <w:top w:val="single" w:sz="6" w:space="0" w:color="auto"/>
              <w:left w:val="nil"/>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per cent</w:t>
            </w:r>
          </w:p>
        </w:tc>
        <w:tc>
          <w:tcPr>
            <w:tcW w:w="907" w:type="dxa"/>
            <w:tcBorders>
              <w:top w:val="single" w:sz="6" w:space="0" w:color="auto"/>
              <w:left w:val="nil"/>
              <w:right w:val="nil"/>
            </w:tcBorders>
            <w:shd w:val="clear" w:color="auto" w:fill="E6E6E6"/>
          </w:tcPr>
          <w:p w:rsidR="00A53D7D" w:rsidRPr="00316516" w:rsidRDefault="00A53D7D" w:rsidP="005140B4">
            <w:pPr>
              <w:pStyle w:val="OGTableofFigures"/>
              <w:rPr>
                <w:color w:val="000000"/>
                <w:lang w:eastAsia="en-AU"/>
              </w:rPr>
            </w:pPr>
            <w:r w:rsidRPr="00316516">
              <w:rPr>
                <w:color w:val="000000"/>
                <w:lang w:eastAsia="en-AU"/>
              </w:rPr>
              <w:t>90</w:t>
            </w:r>
          </w:p>
        </w:tc>
        <w:tc>
          <w:tcPr>
            <w:tcW w:w="993" w:type="dxa"/>
            <w:tcBorders>
              <w:top w:val="single" w:sz="6" w:space="0" w:color="auto"/>
              <w:left w:val="nil"/>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91</w:t>
            </w:r>
            <w:r w:rsidRPr="00316516">
              <w:rPr>
                <w:color w:val="000000"/>
                <w:lang w:eastAsia="en-AU"/>
              </w:rPr>
              <w:br/>
            </w:r>
          </w:p>
        </w:tc>
        <w:tc>
          <w:tcPr>
            <w:tcW w:w="907" w:type="dxa"/>
            <w:tcBorders>
              <w:top w:val="single" w:sz="6" w:space="0" w:color="auto"/>
              <w:left w:val="nil"/>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94</w:t>
            </w:r>
            <w:r w:rsidRPr="00316516">
              <w:rPr>
                <w:color w:val="000000"/>
                <w:lang w:eastAsia="en-AU"/>
              </w:rPr>
              <w:br/>
            </w:r>
          </w:p>
        </w:tc>
        <w:tc>
          <w:tcPr>
            <w:tcW w:w="907" w:type="dxa"/>
            <w:tcBorders>
              <w:top w:val="single" w:sz="6" w:space="0" w:color="auto"/>
              <w:left w:val="nil"/>
              <w:right w:val="nil"/>
            </w:tcBorders>
            <w:shd w:val="clear" w:color="auto" w:fill="auto"/>
          </w:tcPr>
          <w:p w:rsidR="00A53D7D" w:rsidRPr="003B380F" w:rsidRDefault="00A53D7D" w:rsidP="005140B4">
            <w:pPr>
              <w:pStyle w:val="OGTableofFigures"/>
              <w:rPr>
                <w:color w:val="000000"/>
                <w:lang w:eastAsia="en-AU"/>
              </w:rPr>
            </w:pPr>
            <w:r w:rsidRPr="00316516">
              <w:rPr>
                <w:color w:val="000000"/>
                <w:lang w:eastAsia="en-AU"/>
              </w:rPr>
              <w:t>96.2</w:t>
            </w:r>
          </w:p>
        </w:tc>
      </w:tr>
      <w:tr w:rsidR="00A53D7D" w:rsidRPr="00316516" w:rsidTr="005140B4">
        <w:trPr>
          <w:cantSplit/>
        </w:trPr>
        <w:tc>
          <w:tcPr>
            <w:tcW w:w="7776" w:type="dxa"/>
            <w:gridSpan w:val="6"/>
            <w:tcBorders>
              <w:left w:val="nil"/>
              <w:bottom w:val="single" w:sz="6" w:space="0" w:color="auto"/>
              <w:right w:val="nil"/>
            </w:tcBorders>
            <w:shd w:val="clear" w:color="auto" w:fill="auto"/>
            <w:vAlign w:val="center"/>
          </w:tcPr>
          <w:p w:rsidR="00A53D7D" w:rsidRPr="00316516" w:rsidRDefault="00A53D7D" w:rsidP="005140B4">
            <w:pPr>
              <w:pStyle w:val="OGNotes"/>
              <w:rPr>
                <w:szCs w:val="18"/>
              </w:rPr>
            </w:pPr>
            <w:r w:rsidRPr="003B380F">
              <w:t>The lower 2014</w:t>
            </w:r>
            <w:r>
              <w:noBreakHyphen/>
            </w:r>
            <w:r w:rsidRPr="003B380F">
              <w:t>15 target reflects operational tasking decisions to target hotspot areas, thus improving the detection of drug affected drivers and reducing the proportion of clear results.</w:t>
            </w:r>
          </w:p>
        </w:tc>
      </w:tr>
      <w:tr w:rsidR="00A53D7D" w:rsidRPr="00316516"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Proportion of successful prosecution outcomes</w:t>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per cent</w:t>
            </w:r>
          </w:p>
        </w:tc>
        <w:tc>
          <w:tcPr>
            <w:tcW w:w="907" w:type="dxa"/>
            <w:tcBorders>
              <w:top w:val="single" w:sz="6" w:space="0" w:color="auto"/>
              <w:left w:val="nil"/>
              <w:bottom w:val="single" w:sz="6" w:space="0" w:color="auto"/>
              <w:right w:val="nil"/>
            </w:tcBorders>
            <w:shd w:val="clear" w:color="auto" w:fill="E6E6E6"/>
          </w:tcPr>
          <w:p w:rsidR="00A53D7D" w:rsidRPr="00316516" w:rsidRDefault="00A53D7D" w:rsidP="005140B4">
            <w:pPr>
              <w:pStyle w:val="OGTableofFigures"/>
              <w:rPr>
                <w:color w:val="000000"/>
                <w:lang w:eastAsia="en-AU"/>
              </w:rPr>
            </w:pPr>
            <w:r w:rsidRPr="00316516">
              <w:rPr>
                <w:color w:val="000000"/>
                <w:lang w:eastAsia="en-AU"/>
              </w:rPr>
              <w:t>92</w:t>
            </w:r>
          </w:p>
        </w:tc>
        <w:tc>
          <w:tcPr>
            <w:tcW w:w="993"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B380F">
              <w:rPr>
                <w:color w:val="000000"/>
                <w:lang w:eastAsia="en-AU"/>
              </w:rPr>
              <w:t>92.1</w:t>
            </w:r>
            <w:r w:rsidRPr="00316516">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92</w:t>
            </w:r>
          </w:p>
        </w:tc>
        <w:tc>
          <w:tcPr>
            <w:tcW w:w="907" w:type="dxa"/>
            <w:tcBorders>
              <w:top w:val="single" w:sz="6" w:space="0" w:color="auto"/>
              <w:left w:val="nil"/>
              <w:bottom w:val="single" w:sz="6" w:space="0" w:color="auto"/>
              <w:right w:val="nil"/>
            </w:tcBorders>
            <w:shd w:val="clear" w:color="auto" w:fill="auto"/>
          </w:tcPr>
          <w:p w:rsidR="00A53D7D" w:rsidRPr="003B380F" w:rsidRDefault="00A53D7D" w:rsidP="005140B4">
            <w:pPr>
              <w:pStyle w:val="OGTableofFigures"/>
              <w:rPr>
                <w:color w:val="000000"/>
                <w:lang w:eastAsia="en-AU"/>
              </w:rPr>
            </w:pPr>
            <w:r w:rsidRPr="00316516">
              <w:rPr>
                <w:color w:val="000000"/>
                <w:lang w:eastAsia="en-AU"/>
              </w:rPr>
              <w:t>92.3</w:t>
            </w:r>
          </w:p>
        </w:tc>
      </w:tr>
      <w:tr w:rsidR="00A53D7D" w:rsidRPr="00316516"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Victoria Police regions with plans, procedures and resources in place for the bushfire season</w:t>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per cent</w:t>
            </w:r>
          </w:p>
        </w:tc>
        <w:tc>
          <w:tcPr>
            <w:tcW w:w="907" w:type="dxa"/>
            <w:tcBorders>
              <w:top w:val="single" w:sz="6" w:space="0" w:color="auto"/>
              <w:left w:val="nil"/>
              <w:bottom w:val="single" w:sz="6" w:space="0" w:color="auto"/>
              <w:right w:val="nil"/>
            </w:tcBorders>
            <w:shd w:val="clear" w:color="auto" w:fill="E6E6E6"/>
          </w:tcPr>
          <w:p w:rsidR="00A53D7D" w:rsidRPr="00316516" w:rsidRDefault="00A53D7D" w:rsidP="005140B4">
            <w:pPr>
              <w:pStyle w:val="OGTableofFigures"/>
              <w:rPr>
                <w:color w:val="000000"/>
                <w:lang w:eastAsia="en-AU"/>
              </w:rPr>
            </w:pPr>
            <w:r w:rsidRPr="00316516">
              <w:rPr>
                <w:color w:val="000000"/>
                <w:lang w:eastAsia="en-AU"/>
              </w:rPr>
              <w:t>100</w:t>
            </w:r>
          </w:p>
        </w:tc>
        <w:tc>
          <w:tcPr>
            <w:tcW w:w="993"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100</w:t>
            </w:r>
            <w:r w:rsidRPr="00316516">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100</w:t>
            </w:r>
            <w:r w:rsidRPr="00316516">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nm</w:t>
            </w:r>
          </w:p>
        </w:tc>
      </w:tr>
      <w:tr w:rsidR="00A53D7D" w:rsidRPr="00316516" w:rsidTr="005140B4">
        <w:trPr>
          <w:cantSplit/>
        </w:trPr>
        <w:tc>
          <w:tcPr>
            <w:tcW w:w="3155" w:type="dxa"/>
            <w:tcBorders>
              <w:top w:val="single" w:sz="6" w:space="0" w:color="auto"/>
              <w:left w:val="nil"/>
              <w:right w:val="nil"/>
            </w:tcBorders>
            <w:shd w:val="clear" w:color="auto" w:fill="auto"/>
            <w:vAlign w:val="center"/>
          </w:tcPr>
          <w:p w:rsidR="00A53D7D" w:rsidRPr="00316516" w:rsidRDefault="00A53D7D" w:rsidP="005140B4">
            <w:pPr>
              <w:pStyle w:val="OGTabHead"/>
              <w:rPr>
                <w:lang w:eastAsia="en-AU"/>
              </w:rPr>
            </w:pPr>
            <w:r w:rsidRPr="00316516">
              <w:rPr>
                <w:iCs/>
                <w:color w:val="000000"/>
                <w:lang w:eastAsia="en-AU"/>
              </w:rPr>
              <w:t>Timeliness</w:t>
            </w:r>
          </w:p>
        </w:tc>
        <w:tc>
          <w:tcPr>
            <w:tcW w:w="907" w:type="dxa"/>
            <w:tcBorders>
              <w:top w:val="single" w:sz="6" w:space="0" w:color="auto"/>
              <w:left w:val="nil"/>
              <w:right w:val="nil"/>
            </w:tcBorders>
            <w:shd w:val="clear" w:color="auto" w:fill="auto"/>
            <w:vAlign w:val="center"/>
          </w:tcPr>
          <w:p w:rsidR="00A53D7D" w:rsidRPr="00316516" w:rsidRDefault="00A53D7D" w:rsidP="005140B4">
            <w:pPr>
              <w:pStyle w:val="OGUoM"/>
              <w:rPr>
                <w:color w:val="000000"/>
                <w:lang w:eastAsia="en-AU"/>
              </w:rPr>
            </w:pPr>
            <w:r w:rsidRPr="00316516">
              <w:rPr>
                <w:color w:val="000000"/>
                <w:lang w:eastAsia="en-AU"/>
              </w:rPr>
              <w:t> </w:t>
            </w:r>
          </w:p>
        </w:tc>
        <w:tc>
          <w:tcPr>
            <w:tcW w:w="907" w:type="dxa"/>
            <w:tcBorders>
              <w:top w:val="single" w:sz="6" w:space="0" w:color="auto"/>
              <w:left w:val="nil"/>
              <w:right w:val="nil"/>
            </w:tcBorders>
            <w:shd w:val="clear" w:color="auto" w:fill="E6E6E6"/>
            <w:vAlign w:val="center"/>
          </w:tcPr>
          <w:p w:rsidR="00A53D7D" w:rsidRPr="00316516" w:rsidRDefault="00A53D7D" w:rsidP="005140B4">
            <w:pPr>
              <w:pStyle w:val="OGTableofFigures"/>
              <w:rPr>
                <w:color w:val="000000"/>
                <w:lang w:eastAsia="en-AU"/>
              </w:rPr>
            </w:pPr>
            <w:r w:rsidRPr="00316516">
              <w:rPr>
                <w:color w:val="000000"/>
                <w:lang w:eastAsia="en-AU"/>
              </w:rPr>
              <w:t> </w:t>
            </w:r>
          </w:p>
        </w:tc>
        <w:tc>
          <w:tcPr>
            <w:tcW w:w="993" w:type="dxa"/>
            <w:tcBorders>
              <w:top w:val="single" w:sz="6" w:space="0" w:color="auto"/>
              <w:left w:val="nil"/>
              <w:right w:val="nil"/>
            </w:tcBorders>
            <w:shd w:val="clear" w:color="auto" w:fill="auto"/>
            <w:vAlign w:val="center"/>
          </w:tcPr>
          <w:p w:rsidR="00A53D7D" w:rsidRPr="00316516" w:rsidRDefault="00A53D7D" w:rsidP="005140B4">
            <w:pPr>
              <w:pStyle w:val="OGTableofFigures"/>
              <w:rPr>
                <w:color w:val="000000"/>
                <w:lang w:eastAsia="en-AU"/>
              </w:rPr>
            </w:pPr>
            <w:r w:rsidRPr="00316516">
              <w:rPr>
                <w:color w:val="000000"/>
                <w:lang w:eastAsia="en-AU"/>
              </w:rPr>
              <w:t> </w:t>
            </w:r>
          </w:p>
        </w:tc>
        <w:tc>
          <w:tcPr>
            <w:tcW w:w="907" w:type="dxa"/>
            <w:tcBorders>
              <w:top w:val="single" w:sz="6" w:space="0" w:color="auto"/>
              <w:left w:val="nil"/>
              <w:right w:val="nil"/>
            </w:tcBorders>
            <w:shd w:val="clear" w:color="auto" w:fill="auto"/>
            <w:vAlign w:val="center"/>
          </w:tcPr>
          <w:p w:rsidR="00A53D7D" w:rsidRPr="00316516" w:rsidRDefault="00A53D7D" w:rsidP="005140B4">
            <w:pPr>
              <w:pStyle w:val="OGTableofFigures"/>
              <w:rPr>
                <w:color w:val="000000"/>
                <w:lang w:eastAsia="en-AU"/>
              </w:rPr>
            </w:pPr>
            <w:r w:rsidRPr="00316516">
              <w:rPr>
                <w:color w:val="000000"/>
                <w:lang w:eastAsia="en-AU"/>
              </w:rPr>
              <w:t> </w:t>
            </w:r>
          </w:p>
        </w:tc>
        <w:tc>
          <w:tcPr>
            <w:tcW w:w="907" w:type="dxa"/>
            <w:tcBorders>
              <w:top w:val="single" w:sz="6" w:space="0" w:color="auto"/>
              <w:left w:val="nil"/>
              <w:right w:val="nil"/>
            </w:tcBorders>
            <w:shd w:val="clear" w:color="auto" w:fill="auto"/>
            <w:vAlign w:val="center"/>
          </w:tcPr>
          <w:p w:rsidR="00A53D7D" w:rsidRPr="00316516" w:rsidRDefault="00A53D7D" w:rsidP="005140B4">
            <w:pPr>
              <w:pStyle w:val="OGTableofFigures"/>
              <w:rPr>
                <w:color w:val="000000"/>
                <w:lang w:eastAsia="en-AU"/>
              </w:rPr>
            </w:pPr>
            <w:r w:rsidRPr="00316516">
              <w:rPr>
                <w:color w:val="000000"/>
                <w:lang w:eastAsia="en-AU"/>
              </w:rPr>
              <w:t> </w:t>
            </w:r>
          </w:p>
        </w:tc>
      </w:tr>
      <w:tr w:rsidR="00A53D7D" w:rsidRPr="00316516" w:rsidTr="005140B4">
        <w:trPr>
          <w:cantSplit/>
        </w:trPr>
        <w:tc>
          <w:tcPr>
            <w:tcW w:w="3155" w:type="dxa"/>
            <w:tcBorders>
              <w:left w:val="nil"/>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Proportion of crimes against the person resolved within 30 days</w:t>
            </w:r>
          </w:p>
        </w:tc>
        <w:tc>
          <w:tcPr>
            <w:tcW w:w="907" w:type="dxa"/>
            <w:tcBorders>
              <w:left w:val="nil"/>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per cent</w:t>
            </w:r>
          </w:p>
        </w:tc>
        <w:tc>
          <w:tcPr>
            <w:tcW w:w="907" w:type="dxa"/>
            <w:tcBorders>
              <w:left w:val="nil"/>
              <w:right w:val="nil"/>
            </w:tcBorders>
            <w:shd w:val="clear" w:color="auto" w:fill="E6E6E6"/>
          </w:tcPr>
          <w:p w:rsidR="00A53D7D" w:rsidRPr="00316516" w:rsidRDefault="00A53D7D" w:rsidP="005140B4">
            <w:pPr>
              <w:pStyle w:val="OGTableofFigures"/>
              <w:rPr>
                <w:color w:val="000000"/>
                <w:lang w:eastAsia="en-AU"/>
              </w:rPr>
            </w:pPr>
            <w:r w:rsidRPr="00316516">
              <w:rPr>
                <w:color w:val="000000"/>
                <w:lang w:eastAsia="en-AU"/>
              </w:rPr>
              <w:t>36</w:t>
            </w:r>
          </w:p>
        </w:tc>
        <w:tc>
          <w:tcPr>
            <w:tcW w:w="993" w:type="dxa"/>
            <w:tcBorders>
              <w:left w:val="nil"/>
              <w:right w:val="nil"/>
            </w:tcBorders>
            <w:shd w:val="clear" w:color="auto" w:fill="auto"/>
          </w:tcPr>
          <w:p w:rsidR="00A53D7D" w:rsidRPr="00316516" w:rsidRDefault="00A53D7D" w:rsidP="005140B4">
            <w:pPr>
              <w:pStyle w:val="OGTableofFigures"/>
              <w:rPr>
                <w:color w:val="000000"/>
                <w:lang w:eastAsia="en-AU"/>
              </w:rPr>
            </w:pPr>
            <w:r w:rsidRPr="003B380F">
              <w:rPr>
                <w:color w:val="000000"/>
                <w:lang w:eastAsia="en-AU"/>
              </w:rPr>
              <w:t>38.2</w:t>
            </w:r>
          </w:p>
          <w:p w:rsidR="00A53D7D" w:rsidRPr="003B380F" w:rsidRDefault="00A53D7D" w:rsidP="005140B4">
            <w:pPr>
              <w:pStyle w:val="OGTableofFigures"/>
              <w:rPr>
                <w:strike/>
                <w:color w:val="000000"/>
                <w:sz w:val="16"/>
                <w:lang w:eastAsia="en-AU"/>
              </w:rPr>
            </w:pPr>
          </w:p>
        </w:tc>
        <w:tc>
          <w:tcPr>
            <w:tcW w:w="907" w:type="dxa"/>
            <w:tcBorders>
              <w:left w:val="nil"/>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36</w:t>
            </w:r>
          </w:p>
          <w:p w:rsidR="00A53D7D" w:rsidRPr="003B380F" w:rsidRDefault="00A53D7D" w:rsidP="005140B4">
            <w:pPr>
              <w:pStyle w:val="OGTableofFigures"/>
              <w:rPr>
                <w:strike/>
                <w:color w:val="000000"/>
                <w:sz w:val="16"/>
                <w:lang w:eastAsia="en-AU"/>
              </w:rPr>
            </w:pPr>
          </w:p>
        </w:tc>
        <w:tc>
          <w:tcPr>
            <w:tcW w:w="907" w:type="dxa"/>
            <w:tcBorders>
              <w:left w:val="nil"/>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36.5</w:t>
            </w:r>
          </w:p>
        </w:tc>
      </w:tr>
      <w:tr w:rsidR="00A53D7D" w:rsidRPr="00316516" w:rsidTr="005140B4">
        <w:trPr>
          <w:cantSplit/>
        </w:trPr>
        <w:tc>
          <w:tcPr>
            <w:tcW w:w="7776" w:type="dxa"/>
            <w:gridSpan w:val="6"/>
            <w:tcBorders>
              <w:left w:val="nil"/>
              <w:bottom w:val="single" w:sz="6" w:space="0" w:color="auto"/>
              <w:right w:val="nil"/>
            </w:tcBorders>
            <w:shd w:val="clear" w:color="auto" w:fill="auto"/>
            <w:vAlign w:val="center"/>
          </w:tcPr>
          <w:p w:rsidR="00A53D7D" w:rsidRPr="00357449" w:rsidRDefault="00A53D7D" w:rsidP="005140B4">
            <w:pPr>
              <w:pStyle w:val="OGNotes"/>
            </w:pPr>
            <w:r w:rsidRPr="00357449">
              <w:t>The 2013</w:t>
            </w:r>
            <w:r>
              <w:noBreakHyphen/>
            </w:r>
            <w:r w:rsidRPr="00357449">
              <w:t>14 expected outcome is higher than the 2013</w:t>
            </w:r>
            <w:r>
              <w:noBreakHyphen/>
            </w:r>
            <w:r w:rsidRPr="00357449">
              <w:t>14 target due to increased numbers of police.</w:t>
            </w:r>
          </w:p>
        </w:tc>
      </w:tr>
      <w:tr w:rsidR="00A53D7D" w:rsidRPr="00316516" w:rsidTr="005140B4">
        <w:trPr>
          <w:cantSplit/>
        </w:trPr>
        <w:tc>
          <w:tcPr>
            <w:tcW w:w="3155" w:type="dxa"/>
            <w:tcBorders>
              <w:top w:val="single" w:sz="6" w:space="0" w:color="auto"/>
              <w:left w:val="nil"/>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Proportion of property crime resolved within 30 days</w:t>
            </w:r>
          </w:p>
        </w:tc>
        <w:tc>
          <w:tcPr>
            <w:tcW w:w="907" w:type="dxa"/>
            <w:tcBorders>
              <w:top w:val="single" w:sz="6" w:space="0" w:color="auto"/>
              <w:left w:val="nil"/>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per cent</w:t>
            </w:r>
          </w:p>
        </w:tc>
        <w:tc>
          <w:tcPr>
            <w:tcW w:w="907" w:type="dxa"/>
            <w:tcBorders>
              <w:top w:val="single" w:sz="6" w:space="0" w:color="auto"/>
              <w:left w:val="nil"/>
              <w:right w:val="nil"/>
            </w:tcBorders>
            <w:shd w:val="clear" w:color="auto" w:fill="E6E6E6"/>
          </w:tcPr>
          <w:p w:rsidR="00A53D7D" w:rsidRPr="00316516" w:rsidRDefault="00A53D7D" w:rsidP="005140B4">
            <w:pPr>
              <w:pStyle w:val="OGTableofFigures"/>
              <w:rPr>
                <w:color w:val="000000"/>
                <w:lang w:eastAsia="en-AU"/>
              </w:rPr>
            </w:pPr>
            <w:r w:rsidRPr="00316516">
              <w:rPr>
                <w:color w:val="000000"/>
                <w:lang w:eastAsia="en-AU"/>
              </w:rPr>
              <w:t>19</w:t>
            </w:r>
          </w:p>
        </w:tc>
        <w:tc>
          <w:tcPr>
            <w:tcW w:w="993" w:type="dxa"/>
            <w:tcBorders>
              <w:top w:val="single" w:sz="6" w:space="0" w:color="auto"/>
              <w:left w:val="nil"/>
              <w:right w:val="nil"/>
            </w:tcBorders>
            <w:shd w:val="clear" w:color="auto" w:fill="auto"/>
          </w:tcPr>
          <w:p w:rsidR="00A53D7D" w:rsidRPr="00316516" w:rsidRDefault="00A53D7D" w:rsidP="005140B4">
            <w:pPr>
              <w:pStyle w:val="OGTableofFigures"/>
              <w:rPr>
                <w:color w:val="000000"/>
                <w:lang w:eastAsia="en-AU"/>
              </w:rPr>
            </w:pPr>
            <w:r w:rsidRPr="003B380F">
              <w:rPr>
                <w:color w:val="000000"/>
                <w:lang w:eastAsia="en-AU"/>
              </w:rPr>
              <w:t>22.6</w:t>
            </w:r>
            <w:r w:rsidRPr="00316516">
              <w:rPr>
                <w:color w:val="000000"/>
                <w:lang w:eastAsia="en-AU"/>
              </w:rPr>
              <w:br/>
            </w:r>
          </w:p>
        </w:tc>
        <w:tc>
          <w:tcPr>
            <w:tcW w:w="907" w:type="dxa"/>
            <w:tcBorders>
              <w:top w:val="single" w:sz="6" w:space="0" w:color="auto"/>
              <w:left w:val="nil"/>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19</w:t>
            </w:r>
          </w:p>
        </w:tc>
        <w:tc>
          <w:tcPr>
            <w:tcW w:w="907" w:type="dxa"/>
            <w:tcBorders>
              <w:top w:val="single" w:sz="6" w:space="0" w:color="auto"/>
              <w:left w:val="nil"/>
              <w:right w:val="nil"/>
            </w:tcBorders>
            <w:shd w:val="clear" w:color="auto" w:fill="auto"/>
          </w:tcPr>
          <w:p w:rsidR="00A53D7D" w:rsidRPr="00316516" w:rsidRDefault="00A53D7D" w:rsidP="005140B4">
            <w:pPr>
              <w:pStyle w:val="OGTableofFigures"/>
              <w:rPr>
                <w:color w:val="000000"/>
                <w:lang w:eastAsia="en-AU"/>
              </w:rPr>
            </w:pPr>
            <w:r w:rsidRPr="00316516">
              <w:rPr>
                <w:color w:val="000000"/>
                <w:lang w:eastAsia="en-AU"/>
              </w:rPr>
              <w:t>19.3</w:t>
            </w:r>
          </w:p>
        </w:tc>
      </w:tr>
      <w:tr w:rsidR="00A53D7D" w:rsidRPr="00316516" w:rsidTr="005140B4">
        <w:trPr>
          <w:cantSplit/>
        </w:trPr>
        <w:tc>
          <w:tcPr>
            <w:tcW w:w="7776" w:type="dxa"/>
            <w:gridSpan w:val="6"/>
            <w:tcBorders>
              <w:left w:val="nil"/>
              <w:bottom w:val="single" w:sz="6" w:space="0" w:color="auto"/>
              <w:right w:val="nil"/>
            </w:tcBorders>
            <w:shd w:val="clear" w:color="auto" w:fill="auto"/>
            <w:vAlign w:val="center"/>
          </w:tcPr>
          <w:p w:rsidR="00A53D7D" w:rsidRPr="00316516" w:rsidRDefault="00A53D7D" w:rsidP="005140B4">
            <w:pPr>
              <w:pStyle w:val="OGNotes"/>
              <w:rPr>
                <w:sz w:val="20"/>
                <w:szCs w:val="18"/>
              </w:rPr>
            </w:pPr>
            <w:r w:rsidRPr="00316516">
              <w:t>The 2013</w:t>
            </w:r>
            <w:r>
              <w:noBreakHyphen/>
            </w:r>
            <w:r w:rsidRPr="00316516">
              <w:t>14 expected outcome</w:t>
            </w:r>
            <w:r>
              <w:t xml:space="preserve"> is higher than the</w:t>
            </w:r>
            <w:r w:rsidRPr="00316516">
              <w:t xml:space="preserve"> 2013</w:t>
            </w:r>
            <w:r>
              <w:noBreakHyphen/>
            </w:r>
            <w:r w:rsidRPr="00316516">
              <w:t xml:space="preserve">14 target </w:t>
            </w:r>
            <w:r>
              <w:t>due to</w:t>
            </w:r>
            <w:r w:rsidRPr="00316516">
              <w:t xml:space="preserve"> increased numbers of police</w:t>
            </w:r>
            <w:r>
              <w:rPr>
                <w:sz w:val="20"/>
                <w:szCs w:val="18"/>
              </w:rPr>
              <w:t xml:space="preserve">. </w:t>
            </w:r>
          </w:p>
        </w:tc>
      </w:tr>
      <w:tr w:rsidR="00A53D7D" w:rsidRPr="00316516" w:rsidTr="005140B4">
        <w:trPr>
          <w:cantSplit/>
        </w:trPr>
        <w:tc>
          <w:tcPr>
            <w:tcW w:w="3155" w:type="dxa"/>
            <w:tcBorders>
              <w:top w:val="single" w:sz="6" w:space="0" w:color="auto"/>
              <w:left w:val="nil"/>
              <w:right w:val="nil"/>
            </w:tcBorders>
            <w:shd w:val="clear" w:color="auto" w:fill="auto"/>
            <w:vAlign w:val="center"/>
          </w:tcPr>
          <w:p w:rsidR="00A53D7D" w:rsidRPr="00316516" w:rsidRDefault="00A53D7D" w:rsidP="005140B4">
            <w:pPr>
              <w:pStyle w:val="OGTabHead"/>
              <w:rPr>
                <w:color w:val="000000"/>
                <w:lang w:eastAsia="en-AU"/>
              </w:rPr>
            </w:pPr>
            <w:r w:rsidRPr="00316516">
              <w:rPr>
                <w:iCs/>
                <w:color w:val="000000"/>
                <w:lang w:eastAsia="en-AU"/>
              </w:rPr>
              <w:t>Cost</w:t>
            </w:r>
          </w:p>
        </w:tc>
        <w:tc>
          <w:tcPr>
            <w:tcW w:w="907" w:type="dxa"/>
            <w:tcBorders>
              <w:top w:val="single" w:sz="6" w:space="0" w:color="auto"/>
              <w:left w:val="nil"/>
              <w:right w:val="nil"/>
            </w:tcBorders>
            <w:shd w:val="clear" w:color="auto" w:fill="auto"/>
            <w:vAlign w:val="center"/>
          </w:tcPr>
          <w:p w:rsidR="00A53D7D" w:rsidRPr="00316516" w:rsidRDefault="00A53D7D" w:rsidP="005140B4">
            <w:pPr>
              <w:pStyle w:val="OGUoM"/>
              <w:rPr>
                <w:color w:val="000000"/>
                <w:lang w:eastAsia="en-AU"/>
              </w:rPr>
            </w:pPr>
            <w:r w:rsidRPr="00316516">
              <w:rPr>
                <w:color w:val="000000"/>
                <w:lang w:eastAsia="en-AU"/>
              </w:rPr>
              <w:t> </w:t>
            </w:r>
          </w:p>
        </w:tc>
        <w:tc>
          <w:tcPr>
            <w:tcW w:w="907" w:type="dxa"/>
            <w:tcBorders>
              <w:top w:val="single" w:sz="6" w:space="0" w:color="auto"/>
              <w:left w:val="nil"/>
              <w:right w:val="nil"/>
            </w:tcBorders>
            <w:shd w:val="clear" w:color="auto" w:fill="E6E6E6"/>
            <w:vAlign w:val="center"/>
          </w:tcPr>
          <w:p w:rsidR="00A53D7D" w:rsidRPr="00316516" w:rsidRDefault="00A53D7D" w:rsidP="005140B4">
            <w:pPr>
              <w:pStyle w:val="OGTableofFigures"/>
              <w:rPr>
                <w:color w:val="000000"/>
                <w:lang w:eastAsia="en-AU"/>
              </w:rPr>
            </w:pPr>
            <w:r w:rsidRPr="00316516">
              <w:rPr>
                <w:color w:val="000000"/>
                <w:lang w:eastAsia="en-AU"/>
              </w:rPr>
              <w:t> </w:t>
            </w:r>
          </w:p>
        </w:tc>
        <w:tc>
          <w:tcPr>
            <w:tcW w:w="993" w:type="dxa"/>
            <w:tcBorders>
              <w:top w:val="single" w:sz="6" w:space="0" w:color="auto"/>
              <w:left w:val="nil"/>
              <w:right w:val="nil"/>
            </w:tcBorders>
            <w:shd w:val="clear" w:color="auto" w:fill="auto"/>
            <w:vAlign w:val="center"/>
          </w:tcPr>
          <w:p w:rsidR="00A53D7D" w:rsidRPr="00316516" w:rsidRDefault="00A53D7D" w:rsidP="005140B4">
            <w:pPr>
              <w:pStyle w:val="OGTableofFigures"/>
              <w:rPr>
                <w:color w:val="000000"/>
                <w:lang w:eastAsia="en-AU"/>
              </w:rPr>
            </w:pPr>
            <w:r w:rsidRPr="00316516">
              <w:rPr>
                <w:color w:val="000000"/>
                <w:lang w:eastAsia="en-AU"/>
              </w:rPr>
              <w:t> </w:t>
            </w:r>
          </w:p>
        </w:tc>
        <w:tc>
          <w:tcPr>
            <w:tcW w:w="907" w:type="dxa"/>
            <w:tcBorders>
              <w:top w:val="single" w:sz="6" w:space="0" w:color="auto"/>
              <w:left w:val="nil"/>
              <w:right w:val="nil"/>
            </w:tcBorders>
            <w:shd w:val="clear" w:color="auto" w:fill="auto"/>
            <w:vAlign w:val="center"/>
          </w:tcPr>
          <w:p w:rsidR="00A53D7D" w:rsidRPr="00316516" w:rsidRDefault="00A53D7D" w:rsidP="005140B4">
            <w:pPr>
              <w:pStyle w:val="OGTableofFigures"/>
              <w:rPr>
                <w:color w:val="000000"/>
                <w:lang w:eastAsia="en-AU"/>
              </w:rPr>
            </w:pPr>
            <w:r w:rsidRPr="00316516">
              <w:rPr>
                <w:color w:val="000000"/>
                <w:lang w:eastAsia="en-AU"/>
              </w:rPr>
              <w:t> </w:t>
            </w:r>
          </w:p>
        </w:tc>
        <w:tc>
          <w:tcPr>
            <w:tcW w:w="907" w:type="dxa"/>
            <w:tcBorders>
              <w:top w:val="single" w:sz="6" w:space="0" w:color="auto"/>
              <w:left w:val="nil"/>
              <w:right w:val="nil"/>
            </w:tcBorders>
            <w:shd w:val="clear" w:color="auto" w:fill="auto"/>
            <w:vAlign w:val="center"/>
          </w:tcPr>
          <w:p w:rsidR="00A53D7D" w:rsidRPr="00316516" w:rsidRDefault="00A53D7D" w:rsidP="005140B4">
            <w:pPr>
              <w:pStyle w:val="OGTableofFigures"/>
              <w:rPr>
                <w:color w:val="000000"/>
                <w:lang w:eastAsia="en-AU"/>
              </w:rPr>
            </w:pPr>
            <w:r w:rsidRPr="00316516">
              <w:rPr>
                <w:color w:val="000000"/>
                <w:lang w:eastAsia="en-AU"/>
              </w:rPr>
              <w:t> </w:t>
            </w:r>
          </w:p>
        </w:tc>
      </w:tr>
      <w:tr w:rsidR="00A53D7D" w:rsidRPr="00261BBF" w:rsidTr="005140B4">
        <w:trPr>
          <w:cantSplit/>
        </w:trPr>
        <w:tc>
          <w:tcPr>
            <w:tcW w:w="3155" w:type="dxa"/>
            <w:tcBorders>
              <w:top w:val="nil"/>
              <w:left w:val="nil"/>
              <w:right w:val="nil"/>
            </w:tcBorders>
            <w:shd w:val="clear" w:color="auto" w:fill="auto"/>
            <w:vAlign w:val="center"/>
          </w:tcPr>
          <w:p w:rsidR="00A53D7D" w:rsidRPr="00316516" w:rsidRDefault="00A53D7D" w:rsidP="005140B4">
            <w:pPr>
              <w:pStyle w:val="OGTabText"/>
              <w:rPr>
                <w:color w:val="000000"/>
                <w:lang w:eastAsia="en-AU"/>
              </w:rPr>
            </w:pPr>
            <w:r w:rsidRPr="00316516">
              <w:rPr>
                <w:color w:val="000000"/>
                <w:lang w:eastAsia="en-AU"/>
              </w:rPr>
              <w:t>Total output cost</w:t>
            </w:r>
          </w:p>
        </w:tc>
        <w:tc>
          <w:tcPr>
            <w:tcW w:w="907" w:type="dxa"/>
            <w:tcBorders>
              <w:top w:val="nil"/>
              <w:left w:val="nil"/>
              <w:right w:val="nil"/>
            </w:tcBorders>
            <w:shd w:val="clear" w:color="auto" w:fill="auto"/>
          </w:tcPr>
          <w:p w:rsidR="00A53D7D" w:rsidRPr="00316516" w:rsidRDefault="00A53D7D" w:rsidP="005140B4">
            <w:pPr>
              <w:pStyle w:val="OGUoM"/>
              <w:rPr>
                <w:color w:val="000000"/>
                <w:lang w:eastAsia="en-AU"/>
              </w:rPr>
            </w:pPr>
            <w:r w:rsidRPr="00316516">
              <w:rPr>
                <w:color w:val="000000"/>
                <w:lang w:eastAsia="en-AU"/>
              </w:rPr>
              <w:t>$ million</w:t>
            </w:r>
          </w:p>
        </w:tc>
        <w:tc>
          <w:tcPr>
            <w:tcW w:w="907" w:type="dxa"/>
            <w:tcBorders>
              <w:top w:val="nil"/>
              <w:left w:val="nil"/>
              <w:right w:val="nil"/>
            </w:tcBorders>
            <w:shd w:val="clear" w:color="auto" w:fill="E6E6E6"/>
          </w:tcPr>
          <w:p w:rsidR="00A53D7D" w:rsidRPr="00316516" w:rsidRDefault="00A53D7D" w:rsidP="005140B4">
            <w:pPr>
              <w:pStyle w:val="OGTableofFigures"/>
              <w:rPr>
                <w:color w:val="000000"/>
                <w:lang w:eastAsia="en-AU"/>
              </w:rPr>
            </w:pPr>
            <w:r>
              <w:rPr>
                <w:color w:val="000000"/>
                <w:lang w:eastAsia="en-AU"/>
              </w:rPr>
              <w:t>2 434.6</w:t>
            </w:r>
            <w:r w:rsidRPr="00316516">
              <w:rPr>
                <w:color w:val="000000"/>
                <w:lang w:eastAsia="en-AU"/>
              </w:rPr>
              <w:t xml:space="preserve">  </w:t>
            </w:r>
          </w:p>
        </w:tc>
        <w:tc>
          <w:tcPr>
            <w:tcW w:w="993" w:type="dxa"/>
            <w:tcBorders>
              <w:top w:val="nil"/>
              <w:left w:val="nil"/>
              <w:right w:val="nil"/>
            </w:tcBorders>
            <w:shd w:val="clear" w:color="auto" w:fill="auto"/>
          </w:tcPr>
          <w:p w:rsidR="00A53D7D" w:rsidRPr="00316516" w:rsidRDefault="00A53D7D" w:rsidP="005140B4">
            <w:pPr>
              <w:pStyle w:val="OGTableofFigures"/>
              <w:rPr>
                <w:color w:val="000000"/>
                <w:lang w:eastAsia="en-AU"/>
              </w:rPr>
            </w:pPr>
            <w:r>
              <w:rPr>
                <w:color w:val="000000"/>
                <w:lang w:eastAsia="en-AU"/>
              </w:rPr>
              <w:t>2 325.9</w:t>
            </w:r>
          </w:p>
        </w:tc>
        <w:tc>
          <w:tcPr>
            <w:tcW w:w="907" w:type="dxa"/>
            <w:tcBorders>
              <w:top w:val="nil"/>
              <w:left w:val="nil"/>
              <w:right w:val="nil"/>
            </w:tcBorders>
            <w:shd w:val="clear" w:color="auto" w:fill="auto"/>
          </w:tcPr>
          <w:p w:rsidR="00A53D7D" w:rsidRPr="00316516" w:rsidRDefault="00A53D7D" w:rsidP="005140B4">
            <w:pPr>
              <w:pStyle w:val="OGTableofFigures"/>
              <w:rPr>
                <w:color w:val="000000"/>
                <w:lang w:eastAsia="en-AU"/>
              </w:rPr>
            </w:pPr>
            <w:r>
              <w:rPr>
                <w:color w:val="000000"/>
                <w:lang w:eastAsia="en-AU"/>
              </w:rPr>
              <w:t>2 282.7</w:t>
            </w:r>
            <w:r w:rsidRPr="00316516">
              <w:rPr>
                <w:color w:val="000000"/>
                <w:lang w:eastAsia="en-AU"/>
              </w:rPr>
              <w:t xml:space="preserve">  </w:t>
            </w:r>
          </w:p>
        </w:tc>
        <w:tc>
          <w:tcPr>
            <w:tcW w:w="907" w:type="dxa"/>
            <w:tcBorders>
              <w:top w:val="nil"/>
              <w:left w:val="nil"/>
              <w:right w:val="nil"/>
            </w:tcBorders>
            <w:shd w:val="clear" w:color="auto" w:fill="auto"/>
          </w:tcPr>
          <w:p w:rsidR="00A53D7D" w:rsidRPr="00350D9C" w:rsidRDefault="00A53D7D" w:rsidP="005140B4">
            <w:pPr>
              <w:pStyle w:val="OGTableofFigures"/>
              <w:rPr>
                <w:lang w:eastAsia="en-AU"/>
              </w:rPr>
            </w:pPr>
            <w:r>
              <w:rPr>
                <w:lang w:eastAsia="en-AU"/>
              </w:rPr>
              <w:t>2 144.3</w:t>
            </w:r>
            <w:r w:rsidRPr="00350D9C">
              <w:rPr>
                <w:lang w:eastAsia="en-AU"/>
              </w:rPr>
              <w:t xml:space="preserve"> </w:t>
            </w:r>
          </w:p>
        </w:tc>
      </w:tr>
      <w:tr w:rsidR="00A53D7D" w:rsidRPr="00261BBF" w:rsidTr="005140B4">
        <w:trPr>
          <w:cantSplit/>
        </w:trPr>
        <w:tc>
          <w:tcPr>
            <w:tcW w:w="7776" w:type="dxa"/>
            <w:gridSpan w:val="6"/>
            <w:tcBorders>
              <w:top w:val="nil"/>
              <w:left w:val="nil"/>
              <w:bottom w:val="single" w:sz="12" w:space="0" w:color="auto"/>
              <w:right w:val="nil"/>
            </w:tcBorders>
            <w:shd w:val="clear" w:color="auto" w:fill="auto"/>
            <w:vAlign w:val="center"/>
          </w:tcPr>
          <w:p w:rsidR="00A53D7D" w:rsidRPr="00316516" w:rsidDel="008A5122" w:rsidRDefault="00A53D7D" w:rsidP="005140B4">
            <w:pPr>
              <w:pStyle w:val="OGNotes"/>
              <w:rPr>
                <w:sz w:val="20"/>
                <w:szCs w:val="18"/>
              </w:rPr>
            </w:pPr>
            <w:r w:rsidRPr="003B380F">
              <w:t>The 2014</w:t>
            </w:r>
            <w:r>
              <w:noBreakHyphen/>
            </w:r>
            <w:r w:rsidRPr="003B380F">
              <w:t>15 target reflects incremental funding for the Public Order and Safety initiative, 940 Protective Services Officers and 1 700 new frontline Police and the commencement of the City West Complex lease in April 2015.</w:t>
            </w:r>
            <w:r>
              <w:rPr>
                <w:sz w:val="20"/>
                <w:szCs w:val="18"/>
              </w:rPr>
              <w:t xml:space="preserve"> </w:t>
            </w:r>
          </w:p>
        </w:tc>
      </w:tr>
    </w:tbl>
    <w:p w:rsidR="00A53D7D" w:rsidRDefault="00A53D7D" w:rsidP="005140B4">
      <w:pPr>
        <w:pStyle w:val="Source"/>
      </w:pPr>
      <w:r>
        <w:t>Source: Department of Justice</w:t>
      </w:r>
      <w:r>
        <w:fldChar w:fldCharType="begin"/>
      </w:r>
      <w:r>
        <w:instrText xml:space="preserve"> XE "</w:instrText>
      </w:r>
      <w:r w:rsidRPr="0019140F">
        <w:rPr>
          <w:lang w:eastAsia="en-AU"/>
        </w:rPr>
        <w:instrText>Department of Justice</w:instrText>
      </w:r>
      <w:r w:rsidRPr="0019140F">
        <w:instrText>:Policing</w:instrText>
      </w:r>
      <w:r>
        <w:instrText xml:space="preserve">" \r "BP3DOJPolicing" </w:instrText>
      </w:r>
      <w:r>
        <w:fldChar w:fldCharType="end"/>
      </w:r>
      <w:r>
        <w:fldChar w:fldCharType="begin"/>
      </w:r>
      <w:r>
        <w:instrText xml:space="preserve"> XE "</w:instrText>
      </w:r>
      <w:r w:rsidRPr="000518F6">
        <w:instrText>Policing</w:instrText>
      </w:r>
      <w:r>
        <w:instrText xml:space="preserve">" \r "BP3DOJPolicing" </w:instrText>
      </w:r>
      <w:r>
        <w:fldChar w:fldCharType="end"/>
      </w:r>
    </w:p>
    <w:bookmarkEnd w:id="107"/>
    <w:p w:rsidR="00A53D7D" w:rsidRPr="00A475B8" w:rsidRDefault="00A53D7D" w:rsidP="005140B4">
      <w:pPr>
        <w:pStyle w:val="OGHeading1"/>
        <w:rPr>
          <w:lang w:val="x-none" w:eastAsia="en-AU"/>
        </w:rPr>
      </w:pPr>
      <w:r w:rsidRPr="00510509">
        <w:br w:type="page"/>
      </w:r>
      <w:bookmarkStart w:id="110" w:name="BP3DOJInfringandEnhancCommSafty"/>
      <w:r w:rsidRPr="00A475B8">
        <w:rPr>
          <w:lang w:val="x-none" w:eastAsia="en-AU"/>
        </w:rPr>
        <w:t>Infringements and Enhancing Community Safety</w:t>
      </w:r>
    </w:p>
    <w:p w:rsidR="00A53D7D" w:rsidRPr="00E0401B" w:rsidRDefault="00A53D7D" w:rsidP="005140B4">
      <w:pPr>
        <w:pStyle w:val="OGText"/>
        <w:rPr>
          <w:lang w:eastAsia="en-AU"/>
        </w:rPr>
      </w:pPr>
      <w:r w:rsidRPr="00E0401B">
        <w:rPr>
          <w:lang w:eastAsia="en-AU"/>
        </w:rPr>
        <w:t>This output group reports on activities relating to the fair and effective enforcement of judicial fines, court orders and warrants, and processing of traffic</w:t>
      </w:r>
      <w:r>
        <w:rPr>
          <w:lang w:eastAsia="en-AU"/>
        </w:rPr>
        <w:t xml:space="preserve"> and other</w:t>
      </w:r>
      <w:r w:rsidRPr="00E0401B">
        <w:rPr>
          <w:lang w:eastAsia="en-AU"/>
        </w:rPr>
        <w:t xml:space="preserve"> infringement notices. </w:t>
      </w:r>
    </w:p>
    <w:p w:rsidR="00A53D7D" w:rsidRPr="00E0401B" w:rsidRDefault="00A53D7D" w:rsidP="005140B4">
      <w:pPr>
        <w:pStyle w:val="OGText"/>
        <w:rPr>
          <w:lang w:eastAsia="en-AU"/>
        </w:rPr>
      </w:pPr>
      <w:r w:rsidRPr="00E0401B">
        <w:rPr>
          <w:lang w:eastAsia="en-AU"/>
        </w:rPr>
        <w:t>It also reports on prevention activities aimed at enhancing community safety through the implementation of strategies to support local community engagement in crime prevention activities.</w:t>
      </w:r>
    </w:p>
    <w:p w:rsidR="00A53D7D" w:rsidRPr="00E0401B" w:rsidRDefault="00A53D7D" w:rsidP="005140B4">
      <w:pPr>
        <w:pStyle w:val="OGText"/>
        <w:rPr>
          <w:lang w:eastAsia="en-AU"/>
        </w:rPr>
      </w:pPr>
      <w:r w:rsidRPr="00E0401B">
        <w:rPr>
          <w:lang w:eastAsia="en-AU"/>
        </w:rPr>
        <w:t>This output group contributes to the Department’s objective of improving community safety through policing</w:t>
      </w:r>
      <w:r>
        <w:rPr>
          <w:lang w:eastAsia="en-AU"/>
        </w:rPr>
        <w:fldChar w:fldCharType="begin"/>
      </w:r>
      <w:r>
        <w:instrText xml:space="preserve"> XE "</w:instrText>
      </w:r>
      <w:r w:rsidRPr="009111BC">
        <w:rPr>
          <w:lang w:eastAsia="en-AU"/>
        </w:rPr>
        <w:instrText>Policing</w:instrText>
      </w:r>
      <w:r>
        <w:instrText xml:space="preserve">" </w:instrText>
      </w:r>
      <w:r>
        <w:rPr>
          <w:lang w:eastAsia="en-AU"/>
        </w:rPr>
        <w:fldChar w:fldCharType="end"/>
      </w:r>
      <w:r w:rsidRPr="00E0401B">
        <w:rPr>
          <w:lang w:eastAsia="en-AU"/>
        </w:rPr>
        <w:t>, law enforcement and prevention activities.</w:t>
      </w:r>
    </w:p>
    <w:tbl>
      <w:tblPr>
        <w:tblW w:w="7776" w:type="dxa"/>
        <w:tblInd w:w="29" w:type="dxa"/>
        <w:tblLayout w:type="fixed"/>
        <w:tblCellMar>
          <w:left w:w="43" w:type="dxa"/>
          <w:right w:w="43" w:type="dxa"/>
        </w:tblCellMar>
        <w:tblLook w:val="00A0" w:firstRow="1" w:lastRow="0" w:firstColumn="1" w:lastColumn="0" w:noHBand="0" w:noVBand="0"/>
      </w:tblPr>
      <w:tblGrid>
        <w:gridCol w:w="3159"/>
        <w:gridCol w:w="907"/>
        <w:gridCol w:w="906"/>
        <w:gridCol w:w="992"/>
        <w:gridCol w:w="906"/>
        <w:gridCol w:w="906"/>
      </w:tblGrid>
      <w:tr w:rsidR="00A53D7D" w:rsidRPr="00A475B8" w:rsidTr="005140B4">
        <w:trPr>
          <w:cantSplit/>
          <w:tblHeader/>
        </w:trPr>
        <w:tc>
          <w:tcPr>
            <w:tcW w:w="3159" w:type="dxa"/>
            <w:tcBorders>
              <w:top w:val="single" w:sz="4" w:space="0" w:color="auto"/>
              <w:left w:val="single" w:sz="4" w:space="0" w:color="auto"/>
              <w:right w:val="nil"/>
            </w:tcBorders>
            <w:shd w:val="clear" w:color="auto" w:fill="000000"/>
            <w:vAlign w:val="bottom"/>
          </w:tcPr>
          <w:p w:rsidR="00A53D7D" w:rsidRPr="00EC2CB7" w:rsidRDefault="00A53D7D" w:rsidP="005140B4">
            <w:pPr>
              <w:pStyle w:val="OGTabColLeft"/>
              <w:rPr>
                <w:i/>
                <w:color w:val="FFFFFF"/>
              </w:rPr>
            </w:pPr>
            <w:r w:rsidRPr="00EC2CB7">
              <w:rPr>
                <w:color w:val="FFFFFF"/>
              </w:rPr>
              <w:t>Major Outputs/Deliverables</w:t>
            </w:r>
            <w:r w:rsidRPr="00EC2CB7">
              <w:rPr>
                <w:color w:val="FFFFFF"/>
              </w:rPr>
              <w:br/>
            </w:r>
            <w:r w:rsidRPr="00EC2CB7">
              <w:rPr>
                <w:b w:val="0"/>
                <w:i/>
                <w:color w:val="FFFFFF"/>
              </w:rPr>
              <w:t>Performance measures</w:t>
            </w:r>
          </w:p>
        </w:tc>
        <w:tc>
          <w:tcPr>
            <w:tcW w:w="907" w:type="dxa"/>
            <w:tcBorders>
              <w:top w:val="single" w:sz="4" w:space="0" w:color="auto"/>
              <w:left w:val="nil"/>
              <w:right w:val="nil"/>
            </w:tcBorders>
            <w:shd w:val="clear" w:color="auto" w:fill="000000"/>
            <w:noWrap/>
            <w:vAlign w:val="bottom"/>
          </w:tcPr>
          <w:p w:rsidR="00A53D7D" w:rsidRPr="003E0A6C" w:rsidRDefault="00A53D7D" w:rsidP="005140B4">
            <w:pPr>
              <w:pStyle w:val="Tabletextheadingcentred"/>
            </w:pPr>
            <w:r w:rsidRPr="003E0A6C">
              <w:t xml:space="preserve">Unit of </w:t>
            </w:r>
            <w:r w:rsidRPr="003E0A6C">
              <w:br/>
            </w:r>
            <w:r>
              <w:t>m</w:t>
            </w:r>
            <w:r w:rsidRPr="003E0A6C">
              <w:t>easure</w:t>
            </w:r>
          </w:p>
        </w:tc>
        <w:tc>
          <w:tcPr>
            <w:tcW w:w="906"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2014</w:t>
            </w:r>
            <w:r>
              <w:noBreakHyphen/>
              <w:t>15</w:t>
            </w:r>
            <w:r w:rsidRPr="00EC2CB7">
              <w:t xml:space="preserve"> Target</w:t>
            </w:r>
          </w:p>
        </w:tc>
        <w:tc>
          <w:tcPr>
            <w:tcW w:w="992"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Expected Outcome</w:t>
            </w:r>
          </w:p>
        </w:tc>
        <w:tc>
          <w:tcPr>
            <w:tcW w:w="906"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Target</w:t>
            </w:r>
          </w:p>
        </w:tc>
        <w:tc>
          <w:tcPr>
            <w:tcW w:w="906" w:type="dxa"/>
            <w:tcBorders>
              <w:top w:val="single" w:sz="4" w:space="0" w:color="auto"/>
              <w:left w:val="nil"/>
              <w:right w:val="single" w:sz="4" w:space="0" w:color="auto"/>
            </w:tcBorders>
            <w:shd w:val="clear" w:color="auto" w:fill="000000"/>
            <w:noWrap/>
            <w:vAlign w:val="bottom"/>
          </w:tcPr>
          <w:p w:rsidR="00A53D7D" w:rsidRPr="00EC2CB7" w:rsidRDefault="00A53D7D" w:rsidP="005140B4">
            <w:pPr>
              <w:pStyle w:val="Tabletextheading"/>
            </w:pPr>
            <w:r w:rsidRPr="00EC2CB7">
              <w:t>2012</w:t>
            </w:r>
            <w:r>
              <w:noBreakHyphen/>
            </w:r>
            <w:r w:rsidRPr="00EC2CB7">
              <w:t>13 Actual</w:t>
            </w:r>
          </w:p>
        </w:tc>
      </w:tr>
      <w:tr w:rsidR="00A53D7D" w:rsidRPr="00A475B8" w:rsidTr="005140B4">
        <w:trPr>
          <w:cantSplit/>
        </w:trPr>
        <w:tc>
          <w:tcPr>
            <w:tcW w:w="7776" w:type="dxa"/>
            <w:gridSpan w:val="6"/>
            <w:tcBorders>
              <w:top w:val="nil"/>
              <w:left w:val="nil"/>
              <w:right w:val="nil"/>
            </w:tcBorders>
            <w:vAlign w:val="center"/>
          </w:tcPr>
          <w:p w:rsidR="00A53D7D" w:rsidRPr="00EC2CB7" w:rsidRDefault="00A53D7D" w:rsidP="005140B4">
            <w:pPr>
              <w:pStyle w:val="OGHeading2"/>
              <w:rPr>
                <w:bCs/>
                <w:color w:val="000000"/>
                <w:lang w:eastAsia="en-AU"/>
              </w:rPr>
            </w:pPr>
            <w:r w:rsidRPr="00EC2CB7">
              <w:rPr>
                <w:color w:val="000000"/>
                <w:lang w:eastAsia="en-AU"/>
              </w:rPr>
              <w:t>Infringement and Orders Management</w:t>
            </w:r>
          </w:p>
        </w:tc>
      </w:tr>
      <w:tr w:rsidR="00A53D7D" w:rsidRPr="00A475B8" w:rsidTr="005140B4">
        <w:trPr>
          <w:cantSplit/>
          <w:trHeight w:val="1785"/>
        </w:trPr>
        <w:tc>
          <w:tcPr>
            <w:tcW w:w="7776" w:type="dxa"/>
            <w:gridSpan w:val="6"/>
            <w:tcBorders>
              <w:top w:val="nil"/>
              <w:left w:val="nil"/>
              <w:bottom w:val="single" w:sz="6" w:space="0" w:color="auto"/>
              <w:right w:val="nil"/>
            </w:tcBorders>
            <w:shd w:val="clear" w:color="auto" w:fill="auto"/>
            <w:vAlign w:val="center"/>
          </w:tcPr>
          <w:p w:rsidR="00A53D7D" w:rsidRPr="00B2174E" w:rsidRDefault="00A53D7D" w:rsidP="005140B4">
            <w:pPr>
              <w:pStyle w:val="OGText"/>
              <w:rPr>
                <w:lang w:eastAsia="en-AU"/>
              </w:rPr>
            </w:pPr>
            <w:r w:rsidRPr="00B2174E">
              <w:rPr>
                <w:lang w:eastAsia="en-AU"/>
              </w:rPr>
              <w:t xml:space="preserve">This output reports on activities relating to the management of traffic and other infringement notices, the confiscation of assets obtained through criminal activity and enforcement action by the </w:t>
            </w:r>
            <w:r>
              <w:rPr>
                <w:lang w:eastAsia="en-AU"/>
              </w:rPr>
              <w:t>Office of the Sheriff.</w:t>
            </w:r>
          </w:p>
          <w:p w:rsidR="00A53D7D" w:rsidRPr="00B2174E" w:rsidRDefault="00A53D7D" w:rsidP="005140B4">
            <w:pPr>
              <w:pStyle w:val="OGText"/>
              <w:rPr>
                <w:lang w:eastAsia="en-AU"/>
              </w:rPr>
            </w:pPr>
            <w:r w:rsidRPr="00B2174E">
              <w:rPr>
                <w:lang w:eastAsia="en-AU"/>
              </w:rPr>
              <w:t>These activities serve as an administrative method for dealing with minor criminal offences, where a person alleged to have committed an offence has the option of paying a fixed penalty rather than going to court. The fixed penalty is intended to serve as a deterrent.</w:t>
            </w:r>
          </w:p>
        </w:tc>
      </w:tr>
      <w:tr w:rsidR="00A53D7D" w:rsidRPr="00A475B8" w:rsidTr="005140B4">
        <w:trPr>
          <w:cantSplit/>
        </w:trPr>
        <w:tc>
          <w:tcPr>
            <w:tcW w:w="3159" w:type="dxa"/>
            <w:tcBorders>
              <w:top w:val="single" w:sz="6" w:space="0" w:color="auto"/>
              <w:left w:val="nil"/>
              <w:right w:val="nil"/>
            </w:tcBorders>
            <w:shd w:val="clear" w:color="auto" w:fill="auto"/>
            <w:vAlign w:val="center"/>
          </w:tcPr>
          <w:p w:rsidR="00A53D7D" w:rsidRPr="00A475B8" w:rsidRDefault="00A53D7D" w:rsidP="005140B4">
            <w:pPr>
              <w:pStyle w:val="OGTabHead"/>
              <w:rPr>
                <w:color w:val="000000"/>
                <w:lang w:eastAsia="en-AU"/>
              </w:rPr>
            </w:pPr>
            <w:r w:rsidRPr="00A475B8">
              <w:rPr>
                <w:iCs/>
                <w:color w:val="000000"/>
                <w:lang w:eastAsia="en-AU"/>
              </w:rPr>
              <w:t>Quantity</w:t>
            </w:r>
          </w:p>
        </w:tc>
        <w:tc>
          <w:tcPr>
            <w:tcW w:w="907" w:type="dxa"/>
            <w:tcBorders>
              <w:top w:val="single" w:sz="6" w:space="0" w:color="auto"/>
              <w:left w:val="nil"/>
              <w:right w:val="nil"/>
            </w:tcBorders>
            <w:shd w:val="clear" w:color="auto" w:fill="auto"/>
            <w:vAlign w:val="center"/>
          </w:tcPr>
          <w:p w:rsidR="00A53D7D" w:rsidRPr="003E0A6C" w:rsidRDefault="00A53D7D" w:rsidP="005140B4">
            <w:pPr>
              <w:pStyle w:val="OGUoM"/>
              <w:rPr>
                <w:color w:val="000000"/>
                <w:lang w:eastAsia="en-AU"/>
              </w:rPr>
            </w:pPr>
          </w:p>
        </w:tc>
        <w:tc>
          <w:tcPr>
            <w:tcW w:w="906" w:type="dxa"/>
            <w:tcBorders>
              <w:top w:val="single" w:sz="6" w:space="0" w:color="auto"/>
              <w:left w:val="nil"/>
              <w:right w:val="nil"/>
            </w:tcBorders>
            <w:shd w:val="clear" w:color="auto" w:fill="E6E6E6"/>
            <w:vAlign w:val="center"/>
          </w:tcPr>
          <w:p w:rsidR="00A53D7D" w:rsidRPr="00B2174E" w:rsidRDefault="00A53D7D" w:rsidP="005140B4">
            <w:pPr>
              <w:pStyle w:val="OGTableofFigures"/>
              <w:rPr>
                <w:color w:val="000000"/>
                <w:lang w:eastAsia="en-AU"/>
              </w:rPr>
            </w:pPr>
            <w:r w:rsidRPr="00B2174E">
              <w:rPr>
                <w:color w:val="000000"/>
                <w:lang w:eastAsia="en-AU"/>
              </w:rPr>
              <w:t> </w:t>
            </w:r>
          </w:p>
        </w:tc>
        <w:tc>
          <w:tcPr>
            <w:tcW w:w="992" w:type="dxa"/>
            <w:tcBorders>
              <w:top w:val="single" w:sz="6" w:space="0" w:color="auto"/>
              <w:left w:val="nil"/>
              <w:right w:val="nil"/>
            </w:tcBorders>
            <w:shd w:val="clear" w:color="auto" w:fill="auto"/>
            <w:vAlign w:val="center"/>
          </w:tcPr>
          <w:p w:rsidR="00A53D7D" w:rsidRPr="00B2174E" w:rsidRDefault="00A53D7D" w:rsidP="005140B4">
            <w:pPr>
              <w:pStyle w:val="OGTableofFigures"/>
              <w:rPr>
                <w:color w:val="000000"/>
                <w:lang w:eastAsia="en-AU"/>
              </w:rPr>
            </w:pPr>
          </w:p>
        </w:tc>
        <w:tc>
          <w:tcPr>
            <w:tcW w:w="906" w:type="dxa"/>
            <w:tcBorders>
              <w:top w:val="single" w:sz="6" w:space="0" w:color="auto"/>
              <w:left w:val="nil"/>
              <w:right w:val="nil"/>
            </w:tcBorders>
            <w:shd w:val="clear" w:color="auto" w:fill="auto"/>
            <w:vAlign w:val="center"/>
          </w:tcPr>
          <w:p w:rsidR="00A53D7D" w:rsidRPr="00B2174E" w:rsidRDefault="00A53D7D" w:rsidP="005140B4">
            <w:pPr>
              <w:pStyle w:val="OGTableofFigures"/>
              <w:rPr>
                <w:color w:val="000000"/>
                <w:lang w:eastAsia="en-AU"/>
              </w:rPr>
            </w:pPr>
          </w:p>
        </w:tc>
        <w:tc>
          <w:tcPr>
            <w:tcW w:w="906" w:type="dxa"/>
            <w:tcBorders>
              <w:top w:val="single" w:sz="6" w:space="0" w:color="auto"/>
              <w:left w:val="nil"/>
              <w:right w:val="nil"/>
            </w:tcBorders>
            <w:shd w:val="clear" w:color="auto" w:fill="auto"/>
            <w:vAlign w:val="center"/>
          </w:tcPr>
          <w:p w:rsidR="00A53D7D" w:rsidRPr="00B2174E" w:rsidRDefault="00A53D7D" w:rsidP="005140B4">
            <w:pPr>
              <w:pStyle w:val="OGTableofFigures"/>
              <w:rPr>
                <w:color w:val="000000"/>
                <w:lang w:eastAsia="en-AU"/>
              </w:rPr>
            </w:pPr>
          </w:p>
        </w:tc>
      </w:tr>
      <w:tr w:rsidR="00A53D7D" w:rsidRPr="00A475B8" w:rsidTr="005140B4">
        <w:trPr>
          <w:cantSplit/>
        </w:trPr>
        <w:tc>
          <w:tcPr>
            <w:tcW w:w="3159" w:type="dxa"/>
            <w:tcBorders>
              <w:top w:val="nil"/>
              <w:left w:val="nil"/>
              <w:right w:val="nil"/>
            </w:tcBorders>
            <w:shd w:val="clear" w:color="auto" w:fill="auto"/>
            <w:vAlign w:val="center"/>
          </w:tcPr>
          <w:p w:rsidR="00A53D7D" w:rsidRPr="005A262C" w:rsidRDefault="00A53D7D" w:rsidP="005140B4">
            <w:pPr>
              <w:pStyle w:val="OGTabText"/>
              <w:rPr>
                <w:color w:val="000000"/>
                <w:lang w:eastAsia="en-AU"/>
              </w:rPr>
            </w:pPr>
            <w:r w:rsidRPr="005A262C">
              <w:rPr>
                <w:color w:val="000000"/>
                <w:lang w:eastAsia="en-AU"/>
              </w:rPr>
              <w:t>Warrants actioned</w:t>
            </w:r>
          </w:p>
        </w:tc>
        <w:tc>
          <w:tcPr>
            <w:tcW w:w="907" w:type="dxa"/>
            <w:tcBorders>
              <w:top w:val="nil"/>
              <w:left w:val="nil"/>
              <w:right w:val="nil"/>
            </w:tcBorders>
            <w:shd w:val="clear" w:color="auto" w:fill="auto"/>
            <w:vAlign w:val="center"/>
          </w:tcPr>
          <w:p w:rsidR="00A53D7D" w:rsidRPr="003E0A6C" w:rsidRDefault="00A53D7D" w:rsidP="005140B4">
            <w:pPr>
              <w:pStyle w:val="OGUoM"/>
              <w:rPr>
                <w:color w:val="000000"/>
                <w:lang w:eastAsia="en-AU"/>
              </w:rPr>
            </w:pPr>
            <w:r w:rsidRPr="003E0A6C">
              <w:rPr>
                <w:color w:val="000000"/>
                <w:lang w:eastAsia="en-AU"/>
              </w:rPr>
              <w:t>number</w:t>
            </w:r>
          </w:p>
        </w:tc>
        <w:tc>
          <w:tcPr>
            <w:tcW w:w="906" w:type="dxa"/>
            <w:tcBorders>
              <w:top w:val="nil"/>
              <w:left w:val="nil"/>
              <w:right w:val="nil"/>
            </w:tcBorders>
            <w:shd w:val="clear" w:color="auto" w:fill="E6E6E6"/>
          </w:tcPr>
          <w:p w:rsidR="00A53D7D" w:rsidRPr="00B2174E" w:rsidRDefault="00A53D7D" w:rsidP="005140B4">
            <w:pPr>
              <w:pStyle w:val="OGTableofFigures"/>
              <w:rPr>
                <w:color w:val="000000"/>
                <w:lang w:eastAsia="en-AU"/>
              </w:rPr>
            </w:pPr>
            <w:r>
              <w:rPr>
                <w:color w:val="000000"/>
                <w:lang w:eastAsia="en-AU"/>
              </w:rPr>
              <w:t>995 </w:t>
            </w:r>
            <w:r w:rsidRPr="00B2174E">
              <w:rPr>
                <w:color w:val="000000"/>
                <w:lang w:eastAsia="en-AU"/>
              </w:rPr>
              <w:t>000</w:t>
            </w:r>
          </w:p>
        </w:tc>
        <w:tc>
          <w:tcPr>
            <w:tcW w:w="992"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sidRPr="003B380F">
              <w:rPr>
                <w:color w:val="000000"/>
                <w:lang w:eastAsia="en-AU"/>
              </w:rPr>
              <w:t>945</w:t>
            </w:r>
            <w:r>
              <w:rPr>
                <w:color w:val="000000"/>
                <w:lang w:eastAsia="en-AU"/>
              </w:rPr>
              <w:t> </w:t>
            </w:r>
            <w:r w:rsidRPr="003B380F">
              <w:rPr>
                <w:color w:val="000000"/>
                <w:lang w:eastAsia="en-AU"/>
              </w:rPr>
              <w:t>000</w:t>
            </w:r>
          </w:p>
        </w:tc>
        <w:tc>
          <w:tcPr>
            <w:tcW w:w="906"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900 000</w:t>
            </w:r>
          </w:p>
        </w:tc>
        <w:tc>
          <w:tcPr>
            <w:tcW w:w="906"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1 </w:t>
            </w:r>
            <w:r w:rsidRPr="00B2174E">
              <w:rPr>
                <w:color w:val="000000"/>
                <w:lang w:eastAsia="en-AU"/>
              </w:rPr>
              <w:t>110</w:t>
            </w:r>
            <w:r>
              <w:rPr>
                <w:color w:val="000000"/>
                <w:lang w:eastAsia="en-AU"/>
              </w:rPr>
              <w:t> </w:t>
            </w:r>
            <w:r w:rsidRPr="00B2174E">
              <w:rPr>
                <w:color w:val="000000"/>
                <w:lang w:eastAsia="en-AU"/>
              </w:rPr>
              <w:t>586</w:t>
            </w:r>
          </w:p>
        </w:tc>
      </w:tr>
      <w:tr w:rsidR="00A53D7D" w:rsidRPr="005A262C" w:rsidTr="005140B4">
        <w:trPr>
          <w:cantSplit/>
        </w:trPr>
        <w:tc>
          <w:tcPr>
            <w:tcW w:w="7776" w:type="dxa"/>
            <w:gridSpan w:val="6"/>
            <w:tcBorders>
              <w:top w:val="nil"/>
              <w:left w:val="nil"/>
              <w:bottom w:val="single" w:sz="6" w:space="0" w:color="auto"/>
              <w:right w:val="nil"/>
            </w:tcBorders>
            <w:shd w:val="clear" w:color="auto" w:fill="auto"/>
            <w:vAlign w:val="center"/>
          </w:tcPr>
          <w:p w:rsidR="00A53D7D" w:rsidRPr="00B561EA" w:rsidRDefault="00A53D7D" w:rsidP="005140B4">
            <w:pPr>
              <w:pStyle w:val="OGNotes"/>
            </w:pPr>
            <w:r w:rsidRPr="00B561EA">
              <w:t>The 2013</w:t>
            </w:r>
            <w:r>
              <w:noBreakHyphen/>
            </w:r>
            <w:r w:rsidRPr="00B561EA">
              <w:t>14 expected outcome is higher than the 2013</w:t>
            </w:r>
            <w:r>
              <w:noBreakHyphen/>
            </w:r>
            <w:r w:rsidRPr="00B561EA">
              <w:t>14 target due to improved business processes, enhanced operational efficiencies and targeted enforcement activity. The 2014</w:t>
            </w:r>
            <w:r>
              <w:noBreakHyphen/>
            </w:r>
            <w:r w:rsidRPr="00B561EA">
              <w:t>15 target has been adjusted accordingly.</w:t>
            </w:r>
          </w:p>
        </w:tc>
      </w:tr>
      <w:tr w:rsidR="00A53D7D" w:rsidRPr="00A475B8" w:rsidTr="005140B4">
        <w:trPr>
          <w:cantSplit/>
        </w:trPr>
        <w:tc>
          <w:tcPr>
            <w:tcW w:w="3159" w:type="dxa"/>
            <w:tcBorders>
              <w:top w:val="single" w:sz="6" w:space="0" w:color="auto"/>
              <w:left w:val="nil"/>
              <w:bottom w:val="single" w:sz="6" w:space="0" w:color="auto"/>
              <w:right w:val="nil"/>
            </w:tcBorders>
            <w:shd w:val="clear" w:color="auto" w:fill="auto"/>
            <w:vAlign w:val="center"/>
          </w:tcPr>
          <w:p w:rsidR="00A53D7D" w:rsidRPr="005A262C" w:rsidRDefault="00A53D7D" w:rsidP="005140B4">
            <w:pPr>
              <w:pStyle w:val="OGTabText"/>
              <w:rPr>
                <w:color w:val="000000"/>
                <w:lang w:eastAsia="en-AU"/>
              </w:rPr>
            </w:pPr>
            <w:r w:rsidRPr="005A262C">
              <w:rPr>
                <w:color w:val="000000"/>
                <w:lang w:eastAsia="en-AU"/>
              </w:rPr>
              <w:t>Infringement notices processed</w:t>
            </w:r>
          </w:p>
        </w:tc>
        <w:tc>
          <w:tcPr>
            <w:tcW w:w="907" w:type="dxa"/>
            <w:tcBorders>
              <w:top w:val="single" w:sz="6" w:space="0" w:color="auto"/>
              <w:left w:val="nil"/>
              <w:bottom w:val="single" w:sz="6" w:space="0" w:color="auto"/>
              <w:right w:val="nil"/>
            </w:tcBorders>
            <w:shd w:val="clear" w:color="auto" w:fill="auto"/>
            <w:vAlign w:val="center"/>
          </w:tcPr>
          <w:p w:rsidR="00A53D7D" w:rsidRPr="003E0A6C" w:rsidRDefault="00A53D7D" w:rsidP="005140B4">
            <w:pPr>
              <w:pStyle w:val="OGUoM"/>
              <w:rPr>
                <w:color w:val="000000"/>
                <w:lang w:eastAsia="en-AU"/>
              </w:rPr>
            </w:pPr>
            <w:r w:rsidRPr="003E0A6C">
              <w:rPr>
                <w:color w:val="000000"/>
                <w:lang w:eastAsia="en-AU"/>
              </w:rPr>
              <w:t>number (million)</w:t>
            </w:r>
          </w:p>
        </w:tc>
        <w:tc>
          <w:tcPr>
            <w:tcW w:w="906"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2.8–3</w:t>
            </w:r>
          </w:p>
        </w:tc>
        <w:tc>
          <w:tcPr>
            <w:tcW w:w="992"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2.8–3</w:t>
            </w:r>
          </w:p>
        </w:tc>
        <w:tc>
          <w:tcPr>
            <w:tcW w:w="906"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2.8–3</w:t>
            </w:r>
          </w:p>
        </w:tc>
        <w:tc>
          <w:tcPr>
            <w:tcW w:w="906"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3.52</w:t>
            </w:r>
          </w:p>
        </w:tc>
      </w:tr>
      <w:tr w:rsidR="00A53D7D" w:rsidRPr="00A475B8" w:rsidTr="005140B4">
        <w:trPr>
          <w:cantSplit/>
        </w:trPr>
        <w:tc>
          <w:tcPr>
            <w:tcW w:w="3159" w:type="dxa"/>
            <w:tcBorders>
              <w:top w:val="single" w:sz="6" w:space="0" w:color="auto"/>
              <w:left w:val="nil"/>
              <w:right w:val="nil"/>
            </w:tcBorders>
            <w:shd w:val="clear" w:color="auto" w:fill="auto"/>
            <w:vAlign w:val="center"/>
          </w:tcPr>
          <w:p w:rsidR="00A53D7D" w:rsidRPr="00A475B8" w:rsidRDefault="00A53D7D" w:rsidP="005140B4">
            <w:pPr>
              <w:pStyle w:val="OGTabHead"/>
              <w:rPr>
                <w:iCs/>
                <w:color w:val="000000"/>
                <w:lang w:eastAsia="en-AU"/>
              </w:rPr>
            </w:pPr>
            <w:r w:rsidRPr="00A475B8">
              <w:rPr>
                <w:iCs/>
                <w:color w:val="000000"/>
                <w:lang w:eastAsia="en-AU"/>
              </w:rPr>
              <w:t>Quality</w:t>
            </w:r>
          </w:p>
        </w:tc>
        <w:tc>
          <w:tcPr>
            <w:tcW w:w="907" w:type="dxa"/>
            <w:tcBorders>
              <w:top w:val="single" w:sz="6" w:space="0" w:color="auto"/>
              <w:left w:val="nil"/>
              <w:right w:val="nil"/>
            </w:tcBorders>
            <w:shd w:val="clear" w:color="auto" w:fill="auto"/>
          </w:tcPr>
          <w:p w:rsidR="00A53D7D" w:rsidRPr="003E0A6C" w:rsidRDefault="00A53D7D" w:rsidP="005140B4">
            <w:pPr>
              <w:pStyle w:val="OGUoM"/>
              <w:rPr>
                <w:color w:val="000000"/>
                <w:lang w:eastAsia="en-AU"/>
              </w:rPr>
            </w:pPr>
          </w:p>
        </w:tc>
        <w:tc>
          <w:tcPr>
            <w:tcW w:w="906"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p>
        </w:tc>
        <w:tc>
          <w:tcPr>
            <w:tcW w:w="992"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6"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6"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r>
      <w:tr w:rsidR="00A53D7D" w:rsidRPr="00A475B8" w:rsidTr="005140B4">
        <w:trPr>
          <w:cantSplit/>
        </w:trPr>
        <w:tc>
          <w:tcPr>
            <w:tcW w:w="3159" w:type="dxa"/>
            <w:tcBorders>
              <w:top w:val="nil"/>
              <w:left w:val="nil"/>
              <w:bottom w:val="single" w:sz="6" w:space="0" w:color="auto"/>
              <w:right w:val="nil"/>
            </w:tcBorders>
            <w:shd w:val="clear" w:color="auto" w:fill="auto"/>
            <w:vAlign w:val="center"/>
          </w:tcPr>
          <w:p w:rsidR="00A53D7D" w:rsidRPr="005A262C" w:rsidRDefault="00A53D7D" w:rsidP="005140B4">
            <w:pPr>
              <w:pStyle w:val="OGTabText"/>
              <w:rPr>
                <w:color w:val="000000"/>
                <w:lang w:eastAsia="en-AU"/>
              </w:rPr>
            </w:pPr>
            <w:r w:rsidRPr="005A262C">
              <w:rPr>
                <w:color w:val="000000"/>
                <w:lang w:eastAsia="en-AU"/>
              </w:rPr>
              <w:t>Prosecutable images</w:t>
            </w:r>
          </w:p>
        </w:tc>
        <w:tc>
          <w:tcPr>
            <w:tcW w:w="907" w:type="dxa"/>
            <w:tcBorders>
              <w:top w:val="nil"/>
              <w:left w:val="nil"/>
              <w:bottom w:val="single" w:sz="6" w:space="0" w:color="auto"/>
              <w:right w:val="nil"/>
            </w:tcBorders>
            <w:shd w:val="clear" w:color="auto" w:fill="auto"/>
          </w:tcPr>
          <w:p w:rsidR="00A53D7D" w:rsidRPr="003E0A6C" w:rsidRDefault="00A53D7D" w:rsidP="005140B4">
            <w:pPr>
              <w:pStyle w:val="OGUoM"/>
              <w:rPr>
                <w:color w:val="000000"/>
                <w:lang w:eastAsia="en-AU"/>
              </w:rPr>
            </w:pPr>
            <w:r w:rsidRPr="003E0A6C">
              <w:rPr>
                <w:color w:val="000000"/>
                <w:lang w:eastAsia="en-AU"/>
              </w:rPr>
              <w:t>per cent</w:t>
            </w:r>
          </w:p>
        </w:tc>
        <w:tc>
          <w:tcPr>
            <w:tcW w:w="906" w:type="dxa"/>
            <w:tcBorders>
              <w:top w:val="nil"/>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93</w:t>
            </w:r>
          </w:p>
        </w:tc>
        <w:tc>
          <w:tcPr>
            <w:tcW w:w="992"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3B380F">
              <w:rPr>
                <w:color w:val="000000"/>
                <w:lang w:eastAsia="en-AU"/>
              </w:rPr>
              <w:t>95</w:t>
            </w:r>
          </w:p>
        </w:tc>
        <w:tc>
          <w:tcPr>
            <w:tcW w:w="906"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93</w:t>
            </w:r>
          </w:p>
        </w:tc>
        <w:tc>
          <w:tcPr>
            <w:tcW w:w="906"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95</w:t>
            </w:r>
          </w:p>
        </w:tc>
      </w:tr>
      <w:tr w:rsidR="00A53D7D" w:rsidRPr="00A475B8" w:rsidTr="005140B4">
        <w:trPr>
          <w:cantSplit/>
        </w:trPr>
        <w:tc>
          <w:tcPr>
            <w:tcW w:w="3159" w:type="dxa"/>
            <w:tcBorders>
              <w:top w:val="single" w:sz="6" w:space="0" w:color="auto"/>
              <w:left w:val="nil"/>
              <w:right w:val="nil"/>
            </w:tcBorders>
            <w:shd w:val="clear" w:color="auto" w:fill="auto"/>
            <w:vAlign w:val="center"/>
          </w:tcPr>
          <w:p w:rsidR="00A53D7D" w:rsidRPr="00A475B8" w:rsidRDefault="00A53D7D" w:rsidP="005140B4">
            <w:pPr>
              <w:pStyle w:val="OGTabHead"/>
              <w:rPr>
                <w:lang w:eastAsia="en-AU"/>
              </w:rPr>
            </w:pPr>
            <w:r w:rsidRPr="0016616A">
              <w:rPr>
                <w:iCs/>
                <w:color w:val="000000"/>
                <w:lang w:eastAsia="en-AU"/>
              </w:rPr>
              <w:t>Timeliness</w:t>
            </w:r>
          </w:p>
        </w:tc>
        <w:tc>
          <w:tcPr>
            <w:tcW w:w="907" w:type="dxa"/>
            <w:tcBorders>
              <w:top w:val="single" w:sz="6" w:space="0" w:color="auto"/>
              <w:left w:val="nil"/>
              <w:right w:val="nil"/>
            </w:tcBorders>
            <w:shd w:val="clear" w:color="auto" w:fill="auto"/>
          </w:tcPr>
          <w:p w:rsidR="00A53D7D" w:rsidRPr="003E0A6C" w:rsidRDefault="00A53D7D" w:rsidP="005140B4">
            <w:pPr>
              <w:pStyle w:val="OGUoM"/>
              <w:rPr>
                <w:color w:val="000000"/>
                <w:lang w:eastAsia="en-AU"/>
              </w:rPr>
            </w:pPr>
          </w:p>
        </w:tc>
        <w:tc>
          <w:tcPr>
            <w:tcW w:w="906" w:type="dxa"/>
            <w:tcBorders>
              <w:top w:val="single" w:sz="6" w:space="0" w:color="auto"/>
              <w:left w:val="nil"/>
              <w:right w:val="nil"/>
            </w:tcBorders>
            <w:shd w:val="clear" w:color="auto" w:fill="E6E6E6"/>
          </w:tcPr>
          <w:p w:rsidR="00A53D7D" w:rsidRPr="00EC2CB7" w:rsidRDefault="00A53D7D" w:rsidP="005140B4">
            <w:pPr>
              <w:pStyle w:val="OGTableofFigures"/>
              <w:rPr>
                <w:color w:val="000000"/>
                <w:lang w:eastAsia="en-AU"/>
              </w:rPr>
            </w:pPr>
            <w:r w:rsidRPr="00EC2CB7">
              <w:rPr>
                <w:color w:val="000000"/>
                <w:lang w:eastAsia="en-AU"/>
              </w:rPr>
              <w:t> </w:t>
            </w:r>
          </w:p>
        </w:tc>
        <w:tc>
          <w:tcPr>
            <w:tcW w:w="992"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c>
          <w:tcPr>
            <w:tcW w:w="906"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c>
          <w:tcPr>
            <w:tcW w:w="906" w:type="dxa"/>
            <w:tcBorders>
              <w:top w:val="single" w:sz="6" w:space="0" w:color="auto"/>
              <w:left w:val="nil"/>
              <w:right w:val="nil"/>
            </w:tcBorders>
            <w:shd w:val="clear" w:color="auto" w:fill="auto"/>
          </w:tcPr>
          <w:p w:rsidR="00A53D7D" w:rsidRPr="001562A3" w:rsidRDefault="00A53D7D" w:rsidP="005140B4">
            <w:pPr>
              <w:pStyle w:val="OGTableofFigures"/>
              <w:rPr>
                <w:color w:val="000000"/>
                <w:lang w:eastAsia="en-AU"/>
              </w:rPr>
            </w:pPr>
            <w:r w:rsidRPr="001562A3">
              <w:rPr>
                <w:color w:val="000000"/>
                <w:lang w:eastAsia="en-AU"/>
              </w:rPr>
              <w:t> </w:t>
            </w:r>
          </w:p>
        </w:tc>
      </w:tr>
      <w:tr w:rsidR="00A53D7D" w:rsidRPr="00A475B8" w:rsidTr="005140B4">
        <w:trPr>
          <w:cantSplit/>
        </w:trPr>
        <w:tc>
          <w:tcPr>
            <w:tcW w:w="3159" w:type="dxa"/>
            <w:tcBorders>
              <w:top w:val="nil"/>
              <w:left w:val="nil"/>
              <w:right w:val="nil"/>
            </w:tcBorders>
            <w:shd w:val="clear" w:color="auto" w:fill="auto"/>
            <w:vAlign w:val="center"/>
          </w:tcPr>
          <w:p w:rsidR="00A53D7D" w:rsidRPr="005A262C" w:rsidRDefault="00A53D7D" w:rsidP="005140B4">
            <w:pPr>
              <w:pStyle w:val="OGTabText"/>
              <w:rPr>
                <w:color w:val="000000"/>
                <w:lang w:eastAsia="en-AU"/>
              </w:rPr>
            </w:pPr>
            <w:r w:rsidRPr="005A262C">
              <w:rPr>
                <w:color w:val="000000"/>
                <w:lang w:eastAsia="en-AU"/>
              </w:rPr>
              <w:t>Clearance of infringements within 180 days</w:t>
            </w:r>
          </w:p>
        </w:tc>
        <w:tc>
          <w:tcPr>
            <w:tcW w:w="907" w:type="dxa"/>
            <w:tcBorders>
              <w:top w:val="nil"/>
              <w:left w:val="nil"/>
              <w:right w:val="nil"/>
            </w:tcBorders>
            <w:shd w:val="clear" w:color="auto" w:fill="auto"/>
          </w:tcPr>
          <w:p w:rsidR="00A53D7D" w:rsidRPr="003E0A6C" w:rsidRDefault="00A53D7D" w:rsidP="005140B4">
            <w:pPr>
              <w:pStyle w:val="OGUoM"/>
              <w:rPr>
                <w:color w:val="000000"/>
                <w:lang w:eastAsia="en-AU"/>
              </w:rPr>
            </w:pPr>
            <w:r w:rsidRPr="003E0A6C">
              <w:rPr>
                <w:color w:val="000000"/>
                <w:lang w:eastAsia="en-AU"/>
              </w:rPr>
              <w:t>per cent</w:t>
            </w:r>
          </w:p>
        </w:tc>
        <w:tc>
          <w:tcPr>
            <w:tcW w:w="906" w:type="dxa"/>
            <w:tcBorders>
              <w:top w:val="nil"/>
              <w:left w:val="nil"/>
              <w:right w:val="nil"/>
            </w:tcBorders>
            <w:shd w:val="clear" w:color="auto" w:fill="E6E6E6"/>
          </w:tcPr>
          <w:p w:rsidR="00A53D7D" w:rsidRPr="005A262C" w:rsidRDefault="00A53D7D" w:rsidP="005140B4">
            <w:pPr>
              <w:pStyle w:val="OGTableofFigures"/>
              <w:rPr>
                <w:color w:val="000000"/>
                <w:lang w:eastAsia="en-AU"/>
              </w:rPr>
            </w:pPr>
            <w:r w:rsidRPr="005A262C">
              <w:rPr>
                <w:color w:val="000000"/>
                <w:lang w:eastAsia="en-AU"/>
              </w:rPr>
              <w:t>75</w:t>
            </w:r>
          </w:p>
        </w:tc>
        <w:tc>
          <w:tcPr>
            <w:tcW w:w="992" w:type="dxa"/>
            <w:tcBorders>
              <w:top w:val="nil"/>
              <w:left w:val="nil"/>
              <w:right w:val="nil"/>
            </w:tcBorders>
            <w:shd w:val="clear" w:color="auto" w:fill="auto"/>
          </w:tcPr>
          <w:p w:rsidR="00A53D7D" w:rsidRPr="005A262C" w:rsidRDefault="00A53D7D" w:rsidP="005140B4">
            <w:pPr>
              <w:pStyle w:val="OGTableofFigures"/>
              <w:rPr>
                <w:color w:val="000000"/>
                <w:lang w:eastAsia="en-AU"/>
              </w:rPr>
            </w:pPr>
            <w:r w:rsidRPr="005A262C">
              <w:rPr>
                <w:color w:val="000000"/>
                <w:lang w:eastAsia="en-AU"/>
              </w:rPr>
              <w:t>75</w:t>
            </w:r>
          </w:p>
        </w:tc>
        <w:tc>
          <w:tcPr>
            <w:tcW w:w="906" w:type="dxa"/>
            <w:tcBorders>
              <w:top w:val="nil"/>
              <w:left w:val="nil"/>
              <w:right w:val="nil"/>
            </w:tcBorders>
            <w:shd w:val="clear" w:color="auto" w:fill="auto"/>
          </w:tcPr>
          <w:p w:rsidR="00A53D7D" w:rsidRPr="005A262C" w:rsidRDefault="00A53D7D" w:rsidP="005140B4">
            <w:pPr>
              <w:pStyle w:val="OGTableofFigures"/>
              <w:rPr>
                <w:color w:val="000000"/>
                <w:lang w:eastAsia="en-AU"/>
              </w:rPr>
            </w:pPr>
            <w:r w:rsidRPr="005A262C">
              <w:rPr>
                <w:color w:val="000000"/>
                <w:lang w:eastAsia="en-AU"/>
              </w:rPr>
              <w:t>75</w:t>
            </w:r>
          </w:p>
        </w:tc>
        <w:tc>
          <w:tcPr>
            <w:tcW w:w="906" w:type="dxa"/>
            <w:tcBorders>
              <w:top w:val="nil"/>
              <w:left w:val="nil"/>
              <w:right w:val="nil"/>
            </w:tcBorders>
            <w:shd w:val="clear" w:color="auto" w:fill="auto"/>
          </w:tcPr>
          <w:p w:rsidR="00A53D7D" w:rsidRPr="001562A3" w:rsidRDefault="00A53D7D" w:rsidP="005140B4">
            <w:pPr>
              <w:pStyle w:val="OGTableofFigures"/>
              <w:rPr>
                <w:color w:val="000000"/>
                <w:lang w:eastAsia="en-AU"/>
              </w:rPr>
            </w:pPr>
            <w:r w:rsidRPr="001562A3">
              <w:rPr>
                <w:color w:val="000000"/>
                <w:lang w:eastAsia="en-AU"/>
              </w:rPr>
              <w:t>76.1</w:t>
            </w:r>
          </w:p>
        </w:tc>
      </w:tr>
      <w:tr w:rsidR="00A53D7D" w:rsidRPr="00A475B8" w:rsidTr="005140B4">
        <w:trPr>
          <w:cantSplit/>
        </w:trPr>
        <w:tc>
          <w:tcPr>
            <w:tcW w:w="3159" w:type="dxa"/>
            <w:tcBorders>
              <w:left w:val="nil"/>
              <w:bottom w:val="single" w:sz="6" w:space="0" w:color="auto"/>
              <w:right w:val="nil"/>
            </w:tcBorders>
            <w:shd w:val="clear" w:color="auto" w:fill="auto"/>
            <w:vAlign w:val="center"/>
          </w:tcPr>
          <w:p w:rsidR="00A53D7D" w:rsidRPr="005A262C" w:rsidRDefault="00A53D7D" w:rsidP="005140B4">
            <w:pPr>
              <w:pStyle w:val="OGTabText"/>
              <w:rPr>
                <w:color w:val="000000"/>
                <w:lang w:eastAsia="en-AU"/>
              </w:rPr>
            </w:pPr>
            <w:r>
              <w:rPr>
                <w:color w:val="000000"/>
                <w:lang w:eastAsia="en-AU"/>
              </w:rPr>
              <w:t xml:space="preserve">Assets converted within 90 day conversion cycle </w:t>
            </w:r>
          </w:p>
        </w:tc>
        <w:tc>
          <w:tcPr>
            <w:tcW w:w="907" w:type="dxa"/>
            <w:tcBorders>
              <w:left w:val="nil"/>
              <w:bottom w:val="single" w:sz="6" w:space="0" w:color="auto"/>
              <w:right w:val="nil"/>
            </w:tcBorders>
            <w:shd w:val="clear" w:color="auto" w:fill="auto"/>
          </w:tcPr>
          <w:p w:rsidR="00A53D7D" w:rsidRPr="003E0A6C" w:rsidRDefault="00A53D7D" w:rsidP="005140B4">
            <w:pPr>
              <w:pStyle w:val="OGUoM"/>
              <w:rPr>
                <w:color w:val="000000"/>
                <w:lang w:eastAsia="en-AU"/>
              </w:rPr>
            </w:pPr>
            <w:r>
              <w:rPr>
                <w:color w:val="000000"/>
                <w:lang w:eastAsia="en-AU"/>
              </w:rPr>
              <w:t>per cent</w:t>
            </w:r>
          </w:p>
        </w:tc>
        <w:tc>
          <w:tcPr>
            <w:tcW w:w="906" w:type="dxa"/>
            <w:tcBorders>
              <w:left w:val="nil"/>
              <w:bottom w:val="single" w:sz="6" w:space="0" w:color="auto"/>
              <w:right w:val="nil"/>
            </w:tcBorders>
            <w:shd w:val="clear" w:color="auto" w:fill="E6E6E6"/>
          </w:tcPr>
          <w:p w:rsidR="00A53D7D" w:rsidRPr="005A262C" w:rsidRDefault="00A53D7D" w:rsidP="005140B4">
            <w:pPr>
              <w:pStyle w:val="OGTableofFigures"/>
              <w:rPr>
                <w:color w:val="000000"/>
                <w:lang w:eastAsia="en-AU"/>
              </w:rPr>
            </w:pPr>
            <w:r>
              <w:rPr>
                <w:color w:val="000000"/>
                <w:lang w:eastAsia="en-AU"/>
              </w:rPr>
              <w:t>85</w:t>
            </w:r>
          </w:p>
        </w:tc>
        <w:tc>
          <w:tcPr>
            <w:tcW w:w="992" w:type="dxa"/>
            <w:tcBorders>
              <w:left w:val="nil"/>
              <w:bottom w:val="single" w:sz="6" w:space="0" w:color="auto"/>
              <w:right w:val="nil"/>
            </w:tcBorders>
            <w:shd w:val="clear" w:color="auto" w:fill="auto"/>
          </w:tcPr>
          <w:p w:rsidR="00A53D7D" w:rsidRPr="005A262C" w:rsidRDefault="00A53D7D" w:rsidP="005140B4">
            <w:pPr>
              <w:pStyle w:val="OGTableofFigures"/>
              <w:rPr>
                <w:color w:val="000000"/>
                <w:lang w:eastAsia="en-AU"/>
              </w:rPr>
            </w:pPr>
            <w:r>
              <w:rPr>
                <w:color w:val="000000"/>
                <w:lang w:eastAsia="en-AU"/>
              </w:rPr>
              <w:t>88</w:t>
            </w:r>
          </w:p>
        </w:tc>
        <w:tc>
          <w:tcPr>
            <w:tcW w:w="906" w:type="dxa"/>
            <w:tcBorders>
              <w:left w:val="nil"/>
              <w:bottom w:val="single" w:sz="6" w:space="0" w:color="auto"/>
              <w:right w:val="nil"/>
            </w:tcBorders>
            <w:shd w:val="clear" w:color="auto" w:fill="auto"/>
          </w:tcPr>
          <w:p w:rsidR="00A53D7D" w:rsidRPr="005A262C" w:rsidRDefault="00A53D7D" w:rsidP="005140B4">
            <w:pPr>
              <w:pStyle w:val="OGTableofFigures"/>
              <w:rPr>
                <w:color w:val="000000"/>
                <w:lang w:eastAsia="en-AU"/>
              </w:rPr>
            </w:pPr>
            <w:r>
              <w:rPr>
                <w:color w:val="000000"/>
                <w:lang w:eastAsia="en-AU"/>
              </w:rPr>
              <w:t>85</w:t>
            </w:r>
          </w:p>
        </w:tc>
        <w:tc>
          <w:tcPr>
            <w:tcW w:w="906" w:type="dxa"/>
            <w:tcBorders>
              <w:left w:val="nil"/>
              <w:bottom w:val="single" w:sz="6" w:space="0" w:color="auto"/>
              <w:right w:val="nil"/>
            </w:tcBorders>
            <w:shd w:val="clear" w:color="auto" w:fill="auto"/>
          </w:tcPr>
          <w:p w:rsidR="00A53D7D" w:rsidRPr="001562A3" w:rsidRDefault="00A53D7D" w:rsidP="005140B4">
            <w:pPr>
              <w:pStyle w:val="OGTableofFigures"/>
              <w:rPr>
                <w:color w:val="000000"/>
                <w:lang w:eastAsia="en-AU"/>
              </w:rPr>
            </w:pPr>
            <w:r>
              <w:rPr>
                <w:color w:val="000000"/>
                <w:lang w:eastAsia="en-AU"/>
              </w:rPr>
              <w:t>88.6</w:t>
            </w:r>
          </w:p>
        </w:tc>
      </w:tr>
      <w:tr w:rsidR="00A53D7D" w:rsidRPr="00A475B8" w:rsidTr="005140B4">
        <w:trPr>
          <w:cantSplit/>
        </w:trPr>
        <w:tc>
          <w:tcPr>
            <w:tcW w:w="3159" w:type="dxa"/>
            <w:tcBorders>
              <w:top w:val="single" w:sz="6" w:space="0" w:color="auto"/>
              <w:left w:val="nil"/>
              <w:right w:val="nil"/>
            </w:tcBorders>
            <w:shd w:val="clear" w:color="auto" w:fill="auto"/>
            <w:vAlign w:val="center"/>
          </w:tcPr>
          <w:p w:rsidR="00A53D7D" w:rsidRPr="00A475B8" w:rsidRDefault="00A53D7D" w:rsidP="005140B4">
            <w:pPr>
              <w:pStyle w:val="OGTabHead"/>
              <w:rPr>
                <w:color w:val="000000"/>
                <w:lang w:eastAsia="en-AU"/>
              </w:rPr>
            </w:pPr>
            <w:r w:rsidRPr="00A475B8">
              <w:rPr>
                <w:iCs/>
                <w:color w:val="000000"/>
                <w:lang w:eastAsia="en-AU"/>
              </w:rPr>
              <w:t>Cost</w:t>
            </w:r>
          </w:p>
        </w:tc>
        <w:tc>
          <w:tcPr>
            <w:tcW w:w="907" w:type="dxa"/>
            <w:tcBorders>
              <w:top w:val="single" w:sz="6" w:space="0" w:color="auto"/>
              <w:left w:val="nil"/>
              <w:right w:val="nil"/>
            </w:tcBorders>
            <w:shd w:val="clear" w:color="auto" w:fill="auto"/>
          </w:tcPr>
          <w:p w:rsidR="00A53D7D" w:rsidRPr="003E0A6C" w:rsidRDefault="00A53D7D" w:rsidP="005140B4">
            <w:pPr>
              <w:pStyle w:val="OGUoM"/>
              <w:rPr>
                <w:color w:val="000000"/>
                <w:lang w:eastAsia="en-AU"/>
              </w:rPr>
            </w:pPr>
          </w:p>
        </w:tc>
        <w:tc>
          <w:tcPr>
            <w:tcW w:w="906" w:type="dxa"/>
            <w:tcBorders>
              <w:top w:val="single" w:sz="6" w:space="0" w:color="auto"/>
              <w:left w:val="nil"/>
              <w:right w:val="nil"/>
            </w:tcBorders>
            <w:shd w:val="clear" w:color="auto" w:fill="E6E6E6"/>
          </w:tcPr>
          <w:p w:rsidR="00A53D7D" w:rsidRPr="00EC2CB7" w:rsidRDefault="00A53D7D" w:rsidP="005140B4">
            <w:pPr>
              <w:pStyle w:val="OGTableofFigures"/>
              <w:rPr>
                <w:color w:val="000000"/>
                <w:lang w:eastAsia="en-AU"/>
              </w:rPr>
            </w:pPr>
            <w:r w:rsidRPr="00EC2CB7">
              <w:rPr>
                <w:color w:val="000000"/>
                <w:lang w:eastAsia="en-AU"/>
              </w:rPr>
              <w:t> </w:t>
            </w:r>
          </w:p>
        </w:tc>
        <w:tc>
          <w:tcPr>
            <w:tcW w:w="992"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c>
          <w:tcPr>
            <w:tcW w:w="906"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c>
          <w:tcPr>
            <w:tcW w:w="906" w:type="dxa"/>
            <w:tcBorders>
              <w:top w:val="single" w:sz="6" w:space="0" w:color="auto"/>
              <w:left w:val="nil"/>
              <w:right w:val="nil"/>
            </w:tcBorders>
            <w:shd w:val="clear" w:color="auto" w:fill="auto"/>
          </w:tcPr>
          <w:p w:rsidR="00A53D7D" w:rsidRPr="001562A3" w:rsidRDefault="00A53D7D" w:rsidP="005140B4">
            <w:pPr>
              <w:pStyle w:val="OGTableofFigures"/>
              <w:rPr>
                <w:color w:val="000000"/>
                <w:lang w:eastAsia="en-AU"/>
              </w:rPr>
            </w:pPr>
            <w:r w:rsidRPr="001562A3">
              <w:rPr>
                <w:color w:val="000000"/>
                <w:lang w:eastAsia="en-AU"/>
              </w:rPr>
              <w:t> </w:t>
            </w:r>
          </w:p>
        </w:tc>
      </w:tr>
      <w:tr w:rsidR="00A53D7D" w:rsidRPr="003427E1" w:rsidTr="005140B4">
        <w:trPr>
          <w:cantSplit/>
        </w:trPr>
        <w:tc>
          <w:tcPr>
            <w:tcW w:w="3159" w:type="dxa"/>
            <w:tcBorders>
              <w:top w:val="nil"/>
              <w:left w:val="nil"/>
              <w:right w:val="nil"/>
            </w:tcBorders>
            <w:shd w:val="clear" w:color="auto" w:fill="auto"/>
            <w:vAlign w:val="center"/>
          </w:tcPr>
          <w:p w:rsidR="00A53D7D" w:rsidRPr="00E94801" w:rsidRDefault="00A53D7D" w:rsidP="005140B4">
            <w:pPr>
              <w:pStyle w:val="OGTabText"/>
              <w:rPr>
                <w:color w:val="000000"/>
                <w:lang w:eastAsia="en-AU"/>
              </w:rPr>
            </w:pPr>
            <w:r w:rsidRPr="00E94801">
              <w:rPr>
                <w:color w:val="000000"/>
                <w:lang w:eastAsia="en-AU"/>
              </w:rPr>
              <w:t>Total output cost</w:t>
            </w:r>
          </w:p>
        </w:tc>
        <w:tc>
          <w:tcPr>
            <w:tcW w:w="907" w:type="dxa"/>
            <w:tcBorders>
              <w:top w:val="nil"/>
              <w:left w:val="nil"/>
              <w:right w:val="nil"/>
            </w:tcBorders>
            <w:shd w:val="clear" w:color="auto" w:fill="auto"/>
          </w:tcPr>
          <w:p w:rsidR="00A53D7D" w:rsidRPr="00E94801" w:rsidRDefault="00A53D7D" w:rsidP="005140B4">
            <w:pPr>
              <w:pStyle w:val="OGUoM"/>
              <w:rPr>
                <w:color w:val="000000"/>
                <w:lang w:eastAsia="en-AU"/>
              </w:rPr>
            </w:pPr>
            <w:r w:rsidRPr="00E94801">
              <w:rPr>
                <w:color w:val="000000"/>
                <w:lang w:eastAsia="en-AU"/>
              </w:rPr>
              <w:t>$ million</w:t>
            </w:r>
          </w:p>
        </w:tc>
        <w:tc>
          <w:tcPr>
            <w:tcW w:w="906" w:type="dxa"/>
            <w:tcBorders>
              <w:top w:val="nil"/>
              <w:left w:val="nil"/>
              <w:right w:val="nil"/>
            </w:tcBorders>
            <w:shd w:val="clear" w:color="auto" w:fill="E6E6E6"/>
          </w:tcPr>
          <w:p w:rsidR="00A53D7D" w:rsidRPr="009B472E" w:rsidRDefault="00A53D7D" w:rsidP="005140B4">
            <w:pPr>
              <w:pStyle w:val="OGTableofFigures"/>
              <w:rPr>
                <w:color w:val="000000"/>
                <w:lang w:eastAsia="en-AU"/>
              </w:rPr>
            </w:pPr>
            <w:r>
              <w:rPr>
                <w:color w:val="000000"/>
                <w:lang w:eastAsia="en-AU"/>
              </w:rPr>
              <w:t>221.4</w:t>
            </w:r>
          </w:p>
        </w:tc>
        <w:tc>
          <w:tcPr>
            <w:tcW w:w="992" w:type="dxa"/>
            <w:tcBorders>
              <w:top w:val="nil"/>
              <w:left w:val="nil"/>
              <w:right w:val="nil"/>
            </w:tcBorders>
            <w:shd w:val="clear" w:color="auto" w:fill="auto"/>
          </w:tcPr>
          <w:p w:rsidR="00A53D7D" w:rsidRPr="00EA1F02" w:rsidRDefault="00A53D7D" w:rsidP="005140B4">
            <w:pPr>
              <w:pStyle w:val="OGTableofFigures"/>
              <w:rPr>
                <w:color w:val="000000"/>
                <w:lang w:eastAsia="en-AU"/>
              </w:rPr>
            </w:pPr>
            <w:r>
              <w:rPr>
                <w:color w:val="000000"/>
                <w:lang w:eastAsia="en-AU"/>
              </w:rPr>
              <w:t>204.9</w:t>
            </w:r>
          </w:p>
        </w:tc>
        <w:tc>
          <w:tcPr>
            <w:tcW w:w="906" w:type="dxa"/>
            <w:tcBorders>
              <w:top w:val="nil"/>
              <w:left w:val="nil"/>
              <w:right w:val="nil"/>
            </w:tcBorders>
            <w:shd w:val="clear" w:color="auto" w:fill="auto"/>
          </w:tcPr>
          <w:p w:rsidR="00A53D7D" w:rsidRPr="00E94801" w:rsidRDefault="00A53D7D" w:rsidP="005140B4">
            <w:pPr>
              <w:pStyle w:val="OGTableofFigures"/>
              <w:rPr>
                <w:color w:val="000000"/>
                <w:lang w:eastAsia="en-AU"/>
              </w:rPr>
            </w:pPr>
            <w:r>
              <w:rPr>
                <w:color w:val="000000"/>
                <w:lang w:eastAsia="en-AU"/>
              </w:rPr>
              <w:t xml:space="preserve">214.9 </w:t>
            </w:r>
          </w:p>
        </w:tc>
        <w:tc>
          <w:tcPr>
            <w:tcW w:w="906" w:type="dxa"/>
            <w:tcBorders>
              <w:top w:val="nil"/>
              <w:left w:val="nil"/>
              <w:right w:val="nil"/>
            </w:tcBorders>
            <w:shd w:val="clear" w:color="auto" w:fill="auto"/>
          </w:tcPr>
          <w:p w:rsidR="00A53D7D" w:rsidRPr="00E94801" w:rsidRDefault="00A53D7D" w:rsidP="005140B4">
            <w:pPr>
              <w:pStyle w:val="OGTableofFigures"/>
              <w:rPr>
                <w:lang w:eastAsia="en-AU"/>
              </w:rPr>
            </w:pPr>
            <w:r>
              <w:rPr>
                <w:lang w:eastAsia="en-AU"/>
              </w:rPr>
              <w:t xml:space="preserve">187.7 </w:t>
            </w:r>
          </w:p>
        </w:tc>
      </w:tr>
      <w:tr w:rsidR="00A53D7D" w:rsidRPr="003427E1" w:rsidTr="005140B4">
        <w:trPr>
          <w:cantSplit/>
        </w:trPr>
        <w:tc>
          <w:tcPr>
            <w:tcW w:w="7776" w:type="dxa"/>
            <w:gridSpan w:val="6"/>
            <w:tcBorders>
              <w:top w:val="nil"/>
              <w:left w:val="nil"/>
              <w:bottom w:val="single" w:sz="4" w:space="0" w:color="auto"/>
              <w:right w:val="nil"/>
            </w:tcBorders>
            <w:shd w:val="clear" w:color="auto" w:fill="auto"/>
            <w:vAlign w:val="center"/>
          </w:tcPr>
          <w:p w:rsidR="00A53D7D" w:rsidRPr="00B561EA" w:rsidRDefault="00A53D7D" w:rsidP="005140B4">
            <w:pPr>
              <w:pStyle w:val="OGNotes"/>
            </w:pPr>
            <w:r w:rsidRPr="00B561EA">
              <w:t>The higher 2014</w:t>
            </w:r>
            <w:r>
              <w:noBreakHyphen/>
            </w:r>
            <w:r w:rsidRPr="00B561EA">
              <w:t>15 target is due to incremental funding for the Mobile Camera Replacement program and a rephasing of funds to align with the Infringement Management and Enforcement system milestones. The 2013</w:t>
            </w:r>
            <w:r>
              <w:noBreakHyphen/>
            </w:r>
            <w:r w:rsidRPr="00B561EA">
              <w:t>14 target is higher than the 2013</w:t>
            </w:r>
            <w:r>
              <w:noBreakHyphen/>
            </w:r>
            <w:r w:rsidRPr="00B561EA">
              <w:t xml:space="preserve">14 expected outcome due to the rephasing of funds to align with the Infringement Management and Enforcement system milestones. </w:t>
            </w:r>
          </w:p>
        </w:tc>
      </w:tr>
      <w:tr w:rsidR="00A53D7D" w:rsidRPr="00A475B8" w:rsidTr="005140B4">
        <w:trPr>
          <w:cantSplit/>
        </w:trPr>
        <w:tc>
          <w:tcPr>
            <w:tcW w:w="7776" w:type="dxa"/>
            <w:gridSpan w:val="6"/>
            <w:tcBorders>
              <w:top w:val="single" w:sz="4" w:space="0" w:color="auto"/>
              <w:left w:val="nil"/>
              <w:right w:val="nil"/>
            </w:tcBorders>
            <w:vAlign w:val="center"/>
          </w:tcPr>
          <w:p w:rsidR="00A53D7D" w:rsidRPr="00EC2CB7" w:rsidRDefault="00A53D7D" w:rsidP="005140B4">
            <w:pPr>
              <w:pStyle w:val="OGHeading2"/>
              <w:rPr>
                <w:bCs/>
                <w:color w:val="000000"/>
                <w:lang w:eastAsia="en-AU"/>
              </w:rPr>
            </w:pPr>
            <w:r w:rsidRPr="00EC2CB7">
              <w:rPr>
                <w:color w:val="000000"/>
                <w:lang w:eastAsia="en-AU"/>
              </w:rPr>
              <w:t>Enhancing Community Safety</w:t>
            </w:r>
          </w:p>
        </w:tc>
      </w:tr>
      <w:tr w:rsidR="00A53D7D" w:rsidRPr="00A475B8" w:rsidTr="005140B4">
        <w:trPr>
          <w:cantSplit/>
          <w:trHeight w:val="2837"/>
        </w:trPr>
        <w:tc>
          <w:tcPr>
            <w:tcW w:w="7776" w:type="dxa"/>
            <w:gridSpan w:val="6"/>
            <w:tcBorders>
              <w:top w:val="nil"/>
              <w:left w:val="nil"/>
              <w:bottom w:val="single" w:sz="6" w:space="0" w:color="auto"/>
              <w:right w:val="nil"/>
            </w:tcBorders>
            <w:vAlign w:val="center"/>
          </w:tcPr>
          <w:p w:rsidR="00A53D7D" w:rsidRPr="00E0401B" w:rsidRDefault="00A53D7D" w:rsidP="005140B4">
            <w:pPr>
              <w:pStyle w:val="OGText"/>
            </w:pPr>
            <w:r w:rsidRPr="00E0401B">
              <w:t xml:space="preserve">This output delivers programs that focus on enhancing community safety. </w:t>
            </w:r>
          </w:p>
          <w:p w:rsidR="00A53D7D" w:rsidRPr="00E0401B" w:rsidRDefault="00A53D7D" w:rsidP="005140B4">
            <w:pPr>
              <w:pStyle w:val="OGText"/>
              <w:rPr>
                <w:lang w:eastAsia="en-AU"/>
              </w:rPr>
            </w:pPr>
            <w:r w:rsidRPr="00E0401B">
              <w:rPr>
                <w:lang w:eastAsia="en-AU"/>
              </w:rPr>
              <w:t xml:space="preserve">The Working with Children Check Unit, through the administration of the </w:t>
            </w:r>
            <w:r w:rsidRPr="00E0401B">
              <w:rPr>
                <w:i/>
                <w:iCs/>
                <w:lang w:eastAsia="en-AU"/>
              </w:rPr>
              <w:t>Working with Children Act 2005</w:t>
            </w:r>
            <w:r w:rsidRPr="00E0401B">
              <w:rPr>
                <w:lang w:eastAsia="en-AU"/>
              </w:rPr>
              <w:t>, aims to reduce the incidence of sexual and physical offences against children by only allowing Victorian adults who pass the working with children check to work with children.</w:t>
            </w:r>
          </w:p>
          <w:p w:rsidR="00A53D7D" w:rsidRPr="00E0401B" w:rsidRDefault="00A53D7D" w:rsidP="005140B4">
            <w:pPr>
              <w:pStyle w:val="OGText"/>
              <w:rPr>
                <w:lang w:eastAsia="en-AU"/>
              </w:rPr>
            </w:pPr>
            <w:r w:rsidRPr="00E0401B">
              <w:rPr>
                <w:lang w:eastAsia="en-AU"/>
              </w:rPr>
              <w:t xml:space="preserve">The Community Crime Prevention Program supports local communities in identifying and addressing local crime issues. </w:t>
            </w:r>
          </w:p>
          <w:p w:rsidR="00A53D7D" w:rsidRPr="008845FB" w:rsidRDefault="00A53D7D" w:rsidP="005140B4">
            <w:pPr>
              <w:pStyle w:val="OGText"/>
              <w:rPr>
                <w:highlight w:val="yellow"/>
              </w:rPr>
            </w:pPr>
            <w:r w:rsidRPr="00E0401B">
              <w:rPr>
                <w:lang w:eastAsia="en-AU"/>
              </w:rPr>
              <w:t>Consistent with Victoria’s commitment to the Aboriginal Justice Agreement, other initiatives undertaken focus on crime prevention and reducing re</w:t>
            </w:r>
            <w:r>
              <w:rPr>
                <w:lang w:eastAsia="en-AU"/>
              </w:rPr>
              <w:noBreakHyphen/>
            </w:r>
            <w:r w:rsidRPr="00E0401B">
              <w:rPr>
                <w:lang w:eastAsia="en-AU"/>
              </w:rPr>
              <w:t xml:space="preserve">offending of </w:t>
            </w:r>
            <w:proofErr w:type="spellStart"/>
            <w:r w:rsidRPr="00E0401B">
              <w:rPr>
                <w:lang w:eastAsia="en-AU"/>
              </w:rPr>
              <w:t>Koories</w:t>
            </w:r>
            <w:proofErr w:type="spellEnd"/>
            <w:r w:rsidRPr="00E0401B">
              <w:rPr>
                <w:lang w:eastAsia="en-AU"/>
              </w:rPr>
              <w:t xml:space="preserve"> in the criminal justice system.</w:t>
            </w:r>
          </w:p>
        </w:tc>
      </w:tr>
      <w:tr w:rsidR="00A53D7D" w:rsidRPr="00A475B8" w:rsidTr="005140B4">
        <w:trPr>
          <w:cantSplit/>
        </w:trPr>
        <w:tc>
          <w:tcPr>
            <w:tcW w:w="3159" w:type="dxa"/>
            <w:tcBorders>
              <w:top w:val="single" w:sz="6" w:space="0" w:color="auto"/>
              <w:left w:val="nil"/>
              <w:right w:val="nil"/>
            </w:tcBorders>
            <w:vAlign w:val="center"/>
          </w:tcPr>
          <w:p w:rsidR="00A53D7D" w:rsidRPr="00A475B8" w:rsidRDefault="00A53D7D" w:rsidP="005140B4">
            <w:pPr>
              <w:pStyle w:val="OGTabHead"/>
              <w:rPr>
                <w:color w:val="000000"/>
                <w:lang w:eastAsia="en-AU"/>
              </w:rPr>
            </w:pPr>
            <w:r w:rsidRPr="00A475B8">
              <w:rPr>
                <w:iCs/>
                <w:color w:val="000000"/>
                <w:lang w:eastAsia="en-AU"/>
              </w:rPr>
              <w:t>Quantity</w:t>
            </w:r>
          </w:p>
        </w:tc>
        <w:tc>
          <w:tcPr>
            <w:tcW w:w="907" w:type="dxa"/>
            <w:tcBorders>
              <w:top w:val="single" w:sz="6" w:space="0" w:color="auto"/>
              <w:left w:val="nil"/>
              <w:right w:val="nil"/>
            </w:tcBorders>
            <w:shd w:val="clear" w:color="auto" w:fill="auto"/>
            <w:vAlign w:val="center"/>
          </w:tcPr>
          <w:p w:rsidR="00A53D7D" w:rsidRPr="003E0A6C" w:rsidRDefault="00A53D7D" w:rsidP="005140B4">
            <w:pPr>
              <w:pStyle w:val="OGUoM"/>
              <w:rPr>
                <w:color w:val="000000"/>
                <w:lang w:eastAsia="en-AU"/>
              </w:rPr>
            </w:pPr>
          </w:p>
        </w:tc>
        <w:tc>
          <w:tcPr>
            <w:tcW w:w="906" w:type="dxa"/>
            <w:tcBorders>
              <w:top w:val="single" w:sz="6" w:space="0" w:color="auto"/>
              <w:left w:val="nil"/>
              <w:right w:val="nil"/>
            </w:tcBorders>
            <w:shd w:val="clear" w:color="auto" w:fill="E6E6E6"/>
            <w:vAlign w:val="center"/>
          </w:tcPr>
          <w:p w:rsidR="00A53D7D" w:rsidRPr="00EC2CB7" w:rsidRDefault="00A53D7D" w:rsidP="005140B4">
            <w:pPr>
              <w:pStyle w:val="OGTableofFigures"/>
              <w:rPr>
                <w:color w:val="000000"/>
                <w:lang w:eastAsia="en-AU"/>
              </w:rPr>
            </w:pPr>
            <w:r w:rsidRPr="00EC2CB7">
              <w:rPr>
                <w:color w:val="000000"/>
                <w:lang w:eastAsia="en-AU"/>
              </w:rPr>
              <w:t> </w:t>
            </w:r>
          </w:p>
        </w:tc>
        <w:tc>
          <w:tcPr>
            <w:tcW w:w="992" w:type="dxa"/>
            <w:tcBorders>
              <w:top w:val="single" w:sz="6" w:space="0" w:color="auto"/>
              <w:left w:val="nil"/>
              <w:right w:val="nil"/>
            </w:tcBorders>
            <w:shd w:val="clear" w:color="auto" w:fill="auto"/>
            <w:vAlign w:val="center"/>
          </w:tcPr>
          <w:p w:rsidR="00A53D7D" w:rsidRPr="00EC2CB7" w:rsidRDefault="00A53D7D" w:rsidP="005140B4">
            <w:pPr>
              <w:pStyle w:val="OGTableofFigures"/>
              <w:rPr>
                <w:color w:val="000000"/>
                <w:lang w:eastAsia="en-AU"/>
              </w:rPr>
            </w:pPr>
          </w:p>
        </w:tc>
        <w:tc>
          <w:tcPr>
            <w:tcW w:w="906" w:type="dxa"/>
            <w:tcBorders>
              <w:top w:val="single" w:sz="6" w:space="0" w:color="auto"/>
              <w:left w:val="nil"/>
              <w:right w:val="nil"/>
            </w:tcBorders>
            <w:shd w:val="clear" w:color="auto" w:fill="auto"/>
            <w:vAlign w:val="center"/>
          </w:tcPr>
          <w:p w:rsidR="00A53D7D" w:rsidRPr="00EC2CB7" w:rsidRDefault="00A53D7D" w:rsidP="005140B4">
            <w:pPr>
              <w:pStyle w:val="OGTableofFigures"/>
              <w:rPr>
                <w:color w:val="000000"/>
                <w:lang w:eastAsia="en-AU"/>
              </w:rPr>
            </w:pPr>
          </w:p>
        </w:tc>
        <w:tc>
          <w:tcPr>
            <w:tcW w:w="906" w:type="dxa"/>
            <w:tcBorders>
              <w:top w:val="single" w:sz="6" w:space="0" w:color="auto"/>
              <w:left w:val="nil"/>
              <w:right w:val="nil"/>
            </w:tcBorders>
            <w:shd w:val="clear" w:color="auto" w:fill="auto"/>
            <w:vAlign w:val="center"/>
          </w:tcPr>
          <w:p w:rsidR="00A53D7D" w:rsidRPr="00EC2CB7" w:rsidRDefault="00A53D7D" w:rsidP="005140B4">
            <w:pPr>
              <w:pStyle w:val="OGTableofFigures"/>
              <w:rPr>
                <w:color w:val="000000"/>
                <w:lang w:eastAsia="en-AU"/>
              </w:rPr>
            </w:pPr>
          </w:p>
        </w:tc>
      </w:tr>
      <w:tr w:rsidR="00A53D7D" w:rsidRPr="00B2174E" w:rsidTr="005140B4">
        <w:trPr>
          <w:cantSplit/>
          <w:trHeight w:val="608"/>
        </w:trPr>
        <w:tc>
          <w:tcPr>
            <w:tcW w:w="3159" w:type="dxa"/>
            <w:tcBorders>
              <w:top w:val="nil"/>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Number of Working with Children Checks processed</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 (‘000)</w:t>
            </w:r>
          </w:p>
        </w:tc>
        <w:tc>
          <w:tcPr>
            <w:tcW w:w="906" w:type="dxa"/>
            <w:tcBorders>
              <w:top w:val="nil"/>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200–250</w:t>
            </w:r>
          </w:p>
        </w:tc>
        <w:tc>
          <w:tcPr>
            <w:tcW w:w="992"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200–250</w:t>
            </w:r>
            <w:r w:rsidRPr="00B2174E">
              <w:rPr>
                <w:color w:val="000000"/>
                <w:lang w:eastAsia="en-AU"/>
              </w:rPr>
              <w:br/>
            </w:r>
          </w:p>
        </w:tc>
        <w:tc>
          <w:tcPr>
            <w:tcW w:w="906"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200–250</w:t>
            </w:r>
            <w:r w:rsidRPr="00B2174E">
              <w:rPr>
                <w:color w:val="000000"/>
                <w:lang w:eastAsia="en-AU"/>
              </w:rPr>
              <w:br/>
            </w:r>
          </w:p>
        </w:tc>
        <w:tc>
          <w:tcPr>
            <w:tcW w:w="906" w:type="dxa"/>
            <w:tcBorders>
              <w:top w:val="nil"/>
              <w:left w:val="nil"/>
              <w:bottom w:val="single" w:sz="6" w:space="0" w:color="auto"/>
              <w:right w:val="nil"/>
            </w:tcBorders>
            <w:shd w:val="clear" w:color="auto" w:fill="auto"/>
          </w:tcPr>
          <w:p w:rsidR="00A53D7D" w:rsidRPr="003B380F" w:rsidRDefault="00A53D7D" w:rsidP="005140B4">
            <w:pPr>
              <w:pStyle w:val="OGTableofFigures"/>
              <w:rPr>
                <w:color w:val="000000"/>
                <w:lang w:eastAsia="en-AU"/>
              </w:rPr>
            </w:pPr>
            <w:r w:rsidRPr="00B2174E">
              <w:rPr>
                <w:color w:val="000000"/>
                <w:lang w:eastAsia="en-AU"/>
              </w:rPr>
              <w:t>253.7</w:t>
            </w:r>
          </w:p>
        </w:tc>
      </w:tr>
      <w:tr w:rsidR="00A53D7D" w:rsidRPr="00B2174E" w:rsidTr="005140B4">
        <w:trPr>
          <w:cantSplit/>
        </w:trPr>
        <w:tc>
          <w:tcPr>
            <w:tcW w:w="3159" w:type="dxa"/>
            <w:tcBorders>
              <w:top w:val="single" w:sz="6" w:space="0" w:color="auto"/>
              <w:left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Square metres of graffiti removed through the Graffiti Removal Program</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 (‘000)</w:t>
            </w:r>
          </w:p>
        </w:tc>
        <w:tc>
          <w:tcPr>
            <w:tcW w:w="906"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246</w:t>
            </w:r>
          </w:p>
        </w:tc>
        <w:tc>
          <w:tcPr>
            <w:tcW w:w="992"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3B380F">
              <w:rPr>
                <w:color w:val="000000"/>
                <w:lang w:eastAsia="en-AU"/>
              </w:rPr>
              <w:t>341</w:t>
            </w:r>
            <w:r w:rsidRPr="00B2174E">
              <w:rPr>
                <w:color w:val="000000"/>
                <w:lang w:eastAsia="en-AU"/>
              </w:rPr>
              <w:br/>
            </w:r>
          </w:p>
        </w:tc>
        <w:tc>
          <w:tcPr>
            <w:tcW w:w="906"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246</w:t>
            </w:r>
          </w:p>
        </w:tc>
        <w:tc>
          <w:tcPr>
            <w:tcW w:w="906" w:type="dxa"/>
            <w:tcBorders>
              <w:top w:val="single" w:sz="6" w:space="0" w:color="auto"/>
              <w:left w:val="nil"/>
              <w:right w:val="nil"/>
            </w:tcBorders>
            <w:shd w:val="clear" w:color="auto" w:fill="auto"/>
          </w:tcPr>
          <w:p w:rsidR="00A53D7D" w:rsidRPr="003B380F" w:rsidRDefault="00A53D7D" w:rsidP="005140B4">
            <w:pPr>
              <w:pStyle w:val="OGTableofFigures"/>
              <w:rPr>
                <w:color w:val="000000"/>
                <w:lang w:eastAsia="en-AU"/>
              </w:rPr>
            </w:pPr>
            <w:r w:rsidRPr="00B2174E">
              <w:rPr>
                <w:color w:val="000000"/>
                <w:lang w:eastAsia="en-AU"/>
              </w:rPr>
              <w:t>363.8</w:t>
            </w:r>
          </w:p>
        </w:tc>
      </w:tr>
      <w:tr w:rsidR="00A53D7D" w:rsidRPr="00B2174E" w:rsidTr="005140B4">
        <w:trPr>
          <w:cantSplit/>
        </w:trPr>
        <w:tc>
          <w:tcPr>
            <w:tcW w:w="7776" w:type="dxa"/>
            <w:gridSpan w:val="6"/>
            <w:tcBorders>
              <w:left w:val="nil"/>
              <w:bottom w:val="single" w:sz="6" w:space="0" w:color="auto"/>
              <w:right w:val="nil"/>
            </w:tcBorders>
            <w:shd w:val="clear" w:color="auto" w:fill="auto"/>
            <w:vAlign w:val="center"/>
          </w:tcPr>
          <w:p w:rsidR="00A53D7D" w:rsidRPr="00B2174E" w:rsidRDefault="00A53D7D" w:rsidP="005140B4">
            <w:pPr>
              <w:pStyle w:val="OGNotes"/>
              <w:rPr>
                <w:color w:val="000000"/>
                <w:szCs w:val="15"/>
              </w:rPr>
            </w:pPr>
            <w:r w:rsidRPr="003B380F">
              <w:rPr>
                <w:color w:val="000000"/>
                <w:szCs w:val="15"/>
              </w:rPr>
              <w:t>The 2013</w:t>
            </w:r>
            <w:r>
              <w:rPr>
                <w:color w:val="000000"/>
                <w:szCs w:val="15"/>
              </w:rPr>
              <w:noBreakHyphen/>
            </w:r>
            <w:r w:rsidRPr="003B380F">
              <w:rPr>
                <w:color w:val="000000"/>
                <w:szCs w:val="15"/>
              </w:rPr>
              <w:t>14 expected outcome is higher than the 2013</w:t>
            </w:r>
            <w:r>
              <w:rPr>
                <w:color w:val="000000"/>
                <w:szCs w:val="15"/>
              </w:rPr>
              <w:noBreakHyphen/>
            </w:r>
            <w:r w:rsidRPr="003B380F">
              <w:rPr>
                <w:color w:val="000000"/>
                <w:szCs w:val="15"/>
              </w:rPr>
              <w:t>14 target due to a lower than anticipated number of days lost to inclement weather and efficiency improvements</w:t>
            </w:r>
            <w:r>
              <w:rPr>
                <w:color w:val="000000"/>
                <w:szCs w:val="15"/>
              </w:rPr>
              <w:t xml:space="preserve">. </w:t>
            </w:r>
          </w:p>
        </w:tc>
      </w:tr>
      <w:tr w:rsidR="00A53D7D" w:rsidRPr="00B2174E" w:rsidTr="005140B4">
        <w:trPr>
          <w:cantSplit/>
        </w:trPr>
        <w:tc>
          <w:tcPr>
            <w:tcW w:w="3159"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Crime prevention initiatives established to support the Koori community</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6"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35</w:t>
            </w:r>
          </w:p>
        </w:tc>
        <w:tc>
          <w:tcPr>
            <w:tcW w:w="992"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35</w:t>
            </w:r>
          </w:p>
        </w:tc>
        <w:tc>
          <w:tcPr>
            <w:tcW w:w="906"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35</w:t>
            </w:r>
          </w:p>
        </w:tc>
        <w:tc>
          <w:tcPr>
            <w:tcW w:w="906"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35</w:t>
            </w:r>
          </w:p>
        </w:tc>
      </w:tr>
      <w:tr w:rsidR="00A53D7D" w:rsidRPr="00B2174E" w:rsidTr="005140B4">
        <w:trPr>
          <w:cantSplit/>
        </w:trPr>
        <w:tc>
          <w:tcPr>
            <w:tcW w:w="3159" w:type="dxa"/>
            <w:tcBorders>
              <w:top w:val="single" w:sz="6" w:space="0" w:color="auto"/>
              <w:left w:val="nil"/>
              <w:right w:val="nil"/>
            </w:tcBorders>
            <w:shd w:val="clear" w:color="auto" w:fill="auto"/>
            <w:vAlign w:val="center"/>
          </w:tcPr>
          <w:p w:rsidR="00A53D7D" w:rsidRPr="00B2174E" w:rsidRDefault="00A53D7D" w:rsidP="005140B4">
            <w:pPr>
              <w:pStyle w:val="OGTabHead"/>
              <w:rPr>
                <w:color w:val="000000"/>
                <w:lang w:eastAsia="en-AU"/>
              </w:rPr>
            </w:pPr>
            <w:r w:rsidRPr="00B2174E">
              <w:rPr>
                <w:iCs/>
                <w:color w:val="000000"/>
                <w:lang w:eastAsia="en-AU"/>
              </w:rPr>
              <w:t>Quality</w:t>
            </w:r>
          </w:p>
        </w:tc>
        <w:tc>
          <w:tcPr>
            <w:tcW w:w="907" w:type="dxa"/>
            <w:tcBorders>
              <w:top w:val="single" w:sz="6" w:space="0" w:color="auto"/>
              <w:left w:val="nil"/>
              <w:right w:val="nil"/>
            </w:tcBorders>
            <w:shd w:val="clear" w:color="auto" w:fill="auto"/>
            <w:vAlign w:val="center"/>
          </w:tcPr>
          <w:p w:rsidR="00A53D7D" w:rsidRPr="00B2174E" w:rsidRDefault="00A53D7D" w:rsidP="005140B4">
            <w:pPr>
              <w:pStyle w:val="OGUoM"/>
              <w:rPr>
                <w:color w:val="000000"/>
                <w:lang w:eastAsia="en-AU"/>
              </w:rPr>
            </w:pPr>
          </w:p>
        </w:tc>
        <w:tc>
          <w:tcPr>
            <w:tcW w:w="906" w:type="dxa"/>
            <w:tcBorders>
              <w:top w:val="single" w:sz="6" w:space="0" w:color="auto"/>
              <w:left w:val="nil"/>
              <w:right w:val="nil"/>
            </w:tcBorders>
            <w:shd w:val="clear" w:color="auto" w:fill="E6E6E6"/>
            <w:vAlign w:val="center"/>
          </w:tcPr>
          <w:p w:rsidR="00A53D7D" w:rsidRPr="00B2174E" w:rsidRDefault="00A53D7D" w:rsidP="005140B4">
            <w:pPr>
              <w:pStyle w:val="OGTableofFigures"/>
              <w:rPr>
                <w:color w:val="000000"/>
                <w:lang w:eastAsia="en-AU"/>
              </w:rPr>
            </w:pPr>
            <w:r w:rsidRPr="00B2174E">
              <w:rPr>
                <w:color w:val="000000"/>
                <w:lang w:eastAsia="en-AU"/>
              </w:rPr>
              <w:t> </w:t>
            </w:r>
          </w:p>
        </w:tc>
        <w:tc>
          <w:tcPr>
            <w:tcW w:w="992" w:type="dxa"/>
            <w:tcBorders>
              <w:top w:val="single" w:sz="6" w:space="0" w:color="auto"/>
              <w:left w:val="nil"/>
              <w:right w:val="nil"/>
            </w:tcBorders>
            <w:shd w:val="clear" w:color="auto" w:fill="auto"/>
            <w:vAlign w:val="center"/>
          </w:tcPr>
          <w:p w:rsidR="00A53D7D" w:rsidRPr="00B2174E" w:rsidRDefault="00A53D7D" w:rsidP="005140B4">
            <w:pPr>
              <w:pStyle w:val="OGTableofFigures"/>
              <w:rPr>
                <w:color w:val="000000"/>
                <w:lang w:eastAsia="en-AU"/>
              </w:rPr>
            </w:pPr>
          </w:p>
        </w:tc>
        <w:tc>
          <w:tcPr>
            <w:tcW w:w="906" w:type="dxa"/>
            <w:tcBorders>
              <w:top w:val="single" w:sz="6" w:space="0" w:color="auto"/>
              <w:left w:val="nil"/>
              <w:right w:val="nil"/>
            </w:tcBorders>
            <w:shd w:val="clear" w:color="auto" w:fill="auto"/>
            <w:vAlign w:val="center"/>
          </w:tcPr>
          <w:p w:rsidR="00A53D7D" w:rsidRPr="00B2174E" w:rsidRDefault="00A53D7D" w:rsidP="005140B4">
            <w:pPr>
              <w:pStyle w:val="OGTableofFigures"/>
              <w:rPr>
                <w:color w:val="000000"/>
                <w:lang w:eastAsia="en-AU"/>
              </w:rPr>
            </w:pPr>
          </w:p>
        </w:tc>
        <w:tc>
          <w:tcPr>
            <w:tcW w:w="906" w:type="dxa"/>
            <w:tcBorders>
              <w:top w:val="single" w:sz="6" w:space="0" w:color="auto"/>
              <w:left w:val="nil"/>
              <w:right w:val="nil"/>
            </w:tcBorders>
            <w:shd w:val="clear" w:color="auto" w:fill="auto"/>
            <w:vAlign w:val="center"/>
          </w:tcPr>
          <w:p w:rsidR="00A53D7D" w:rsidRPr="00B2174E" w:rsidRDefault="00A53D7D" w:rsidP="005140B4">
            <w:pPr>
              <w:pStyle w:val="OGTableofFigures"/>
              <w:rPr>
                <w:color w:val="000000"/>
                <w:lang w:eastAsia="en-AU"/>
              </w:rPr>
            </w:pPr>
          </w:p>
        </w:tc>
      </w:tr>
      <w:tr w:rsidR="00A53D7D" w:rsidRPr="00B2174E" w:rsidTr="005140B4">
        <w:trPr>
          <w:cantSplit/>
        </w:trPr>
        <w:tc>
          <w:tcPr>
            <w:tcW w:w="3159" w:type="dxa"/>
            <w:tcBorders>
              <w:top w:val="nil"/>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Community crime prevention grant payments made against completion of milestones in funding agreement</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06" w:type="dxa"/>
            <w:tcBorders>
              <w:top w:val="nil"/>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100</w:t>
            </w:r>
          </w:p>
        </w:tc>
        <w:tc>
          <w:tcPr>
            <w:tcW w:w="992"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100</w:t>
            </w:r>
          </w:p>
        </w:tc>
        <w:tc>
          <w:tcPr>
            <w:tcW w:w="906"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100</w:t>
            </w:r>
          </w:p>
        </w:tc>
        <w:tc>
          <w:tcPr>
            <w:tcW w:w="906"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100</w:t>
            </w:r>
          </w:p>
        </w:tc>
      </w:tr>
      <w:tr w:rsidR="00A53D7D" w:rsidRPr="00B2174E" w:rsidTr="005140B4">
        <w:trPr>
          <w:cantSplit/>
        </w:trPr>
        <w:tc>
          <w:tcPr>
            <w:tcW w:w="3159" w:type="dxa"/>
            <w:tcBorders>
              <w:top w:val="single" w:sz="6" w:space="0" w:color="auto"/>
              <w:left w:val="nil"/>
              <w:bottom w:val="single" w:sz="6" w:space="0" w:color="auto"/>
              <w:right w:val="nil"/>
            </w:tcBorders>
            <w:shd w:val="clear" w:color="auto" w:fill="auto"/>
            <w:vAlign w:val="center"/>
          </w:tcPr>
          <w:p w:rsidR="00A53D7D" w:rsidRPr="003B380F" w:rsidRDefault="00A53D7D" w:rsidP="005140B4">
            <w:pPr>
              <w:pStyle w:val="OGTabText"/>
              <w:rPr>
                <w:color w:val="000000"/>
                <w:lang w:eastAsia="en-AU"/>
              </w:rPr>
            </w:pPr>
            <w:r w:rsidRPr="00B2174E">
              <w:rPr>
                <w:color w:val="000000"/>
                <w:lang w:eastAsia="en-AU"/>
              </w:rPr>
              <w:t xml:space="preserve">Issuing of Working with Children Check assessments in accordance with the </w:t>
            </w:r>
            <w:r w:rsidRPr="00B2174E">
              <w:rPr>
                <w:i/>
                <w:iCs/>
                <w:color w:val="000000"/>
                <w:lang w:eastAsia="en-AU"/>
              </w:rPr>
              <w:t>Working with Children Act 2005</w:t>
            </w:r>
          </w:p>
        </w:tc>
        <w:tc>
          <w:tcPr>
            <w:tcW w:w="907" w:type="dxa"/>
            <w:tcBorders>
              <w:top w:val="single" w:sz="6" w:space="0" w:color="auto"/>
              <w:left w:val="nil"/>
              <w:bottom w:val="single" w:sz="6" w:space="0" w:color="auto"/>
              <w:right w:val="nil"/>
            </w:tcBorders>
            <w:shd w:val="clear" w:color="auto" w:fill="auto"/>
          </w:tcPr>
          <w:p w:rsidR="00A53D7D" w:rsidRPr="003B380F" w:rsidRDefault="00A53D7D" w:rsidP="005140B4">
            <w:pPr>
              <w:pStyle w:val="OGUoM"/>
              <w:rPr>
                <w:color w:val="000000"/>
                <w:lang w:eastAsia="en-AU"/>
              </w:rPr>
            </w:pPr>
            <w:r w:rsidRPr="00B2174E">
              <w:rPr>
                <w:color w:val="000000"/>
                <w:lang w:eastAsia="en-AU"/>
              </w:rPr>
              <w:t>per cent</w:t>
            </w:r>
          </w:p>
        </w:tc>
        <w:tc>
          <w:tcPr>
            <w:tcW w:w="906"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100</w:t>
            </w:r>
          </w:p>
        </w:tc>
        <w:tc>
          <w:tcPr>
            <w:tcW w:w="992"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100</w:t>
            </w:r>
          </w:p>
        </w:tc>
        <w:tc>
          <w:tcPr>
            <w:tcW w:w="906"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100</w:t>
            </w:r>
          </w:p>
        </w:tc>
        <w:tc>
          <w:tcPr>
            <w:tcW w:w="906"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100</w:t>
            </w:r>
          </w:p>
        </w:tc>
      </w:tr>
      <w:tr w:rsidR="00A53D7D" w:rsidRPr="00B2174E" w:rsidTr="005140B4">
        <w:trPr>
          <w:cantSplit/>
        </w:trPr>
        <w:tc>
          <w:tcPr>
            <w:tcW w:w="3159" w:type="dxa"/>
            <w:tcBorders>
              <w:top w:val="single" w:sz="6" w:space="0" w:color="auto"/>
              <w:left w:val="nil"/>
              <w:right w:val="nil"/>
            </w:tcBorders>
            <w:shd w:val="clear" w:color="auto" w:fill="auto"/>
            <w:vAlign w:val="center"/>
          </w:tcPr>
          <w:p w:rsidR="00A53D7D" w:rsidRPr="00B2174E" w:rsidRDefault="00A53D7D" w:rsidP="005140B4">
            <w:pPr>
              <w:pStyle w:val="OGTabHead"/>
              <w:rPr>
                <w:color w:val="000000"/>
                <w:lang w:eastAsia="en-AU"/>
              </w:rPr>
            </w:pPr>
            <w:r w:rsidRPr="00B2174E">
              <w:rPr>
                <w:iCs/>
                <w:color w:val="000000"/>
                <w:lang w:eastAsia="en-AU"/>
              </w:rPr>
              <w:t>Cost</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p>
        </w:tc>
        <w:tc>
          <w:tcPr>
            <w:tcW w:w="906"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2"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6"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6"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r>
      <w:tr w:rsidR="00A53D7D" w:rsidRPr="00A475B8" w:rsidTr="005140B4">
        <w:trPr>
          <w:cantSplit/>
        </w:trPr>
        <w:tc>
          <w:tcPr>
            <w:tcW w:w="3159" w:type="dxa"/>
            <w:tcBorders>
              <w:top w:val="nil"/>
              <w:left w:val="nil"/>
              <w:bottom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Total output cost</w:t>
            </w:r>
          </w:p>
        </w:tc>
        <w:tc>
          <w:tcPr>
            <w:tcW w:w="907" w:type="dxa"/>
            <w:tcBorders>
              <w:top w:val="nil"/>
              <w:left w:val="nil"/>
              <w:bottom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 million</w:t>
            </w:r>
          </w:p>
        </w:tc>
        <w:tc>
          <w:tcPr>
            <w:tcW w:w="906" w:type="dxa"/>
            <w:tcBorders>
              <w:top w:val="nil"/>
              <w:left w:val="nil"/>
              <w:bottom w:val="nil"/>
              <w:right w:val="nil"/>
            </w:tcBorders>
            <w:shd w:val="clear" w:color="auto" w:fill="E6E6E6"/>
          </w:tcPr>
          <w:p w:rsidR="00A53D7D" w:rsidRPr="00B2174E" w:rsidRDefault="00A53D7D" w:rsidP="005140B4">
            <w:pPr>
              <w:pStyle w:val="OGTableofFigures"/>
              <w:rPr>
                <w:color w:val="000000"/>
                <w:lang w:eastAsia="en-AU"/>
              </w:rPr>
            </w:pPr>
            <w:r>
              <w:rPr>
                <w:color w:val="000000"/>
                <w:lang w:eastAsia="en-AU"/>
              </w:rPr>
              <w:t>38.1</w:t>
            </w:r>
          </w:p>
        </w:tc>
        <w:tc>
          <w:tcPr>
            <w:tcW w:w="992" w:type="dxa"/>
            <w:tcBorders>
              <w:top w:val="nil"/>
              <w:left w:val="nil"/>
              <w:bottom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42.2</w:t>
            </w:r>
          </w:p>
        </w:tc>
        <w:tc>
          <w:tcPr>
            <w:tcW w:w="906" w:type="dxa"/>
            <w:tcBorders>
              <w:top w:val="nil"/>
              <w:left w:val="nil"/>
              <w:bottom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xml:space="preserve"> 37.8</w:t>
            </w:r>
          </w:p>
        </w:tc>
        <w:tc>
          <w:tcPr>
            <w:tcW w:w="906" w:type="dxa"/>
            <w:tcBorders>
              <w:top w:val="nil"/>
              <w:left w:val="nil"/>
              <w:bottom w:val="nil"/>
              <w:right w:val="nil"/>
            </w:tcBorders>
            <w:shd w:val="clear" w:color="auto" w:fill="auto"/>
          </w:tcPr>
          <w:p w:rsidR="00A53D7D" w:rsidRPr="007E495A" w:rsidRDefault="00A53D7D" w:rsidP="005140B4">
            <w:pPr>
              <w:pStyle w:val="OGTableofFigures"/>
              <w:rPr>
                <w:lang w:eastAsia="en-AU"/>
              </w:rPr>
            </w:pPr>
            <w:r w:rsidRPr="00B2174E">
              <w:rPr>
                <w:lang w:eastAsia="en-AU"/>
              </w:rPr>
              <w:t>47.3</w:t>
            </w:r>
            <w:r>
              <w:rPr>
                <w:lang w:eastAsia="en-AU"/>
              </w:rPr>
              <w:t xml:space="preserve"> </w:t>
            </w:r>
          </w:p>
        </w:tc>
      </w:tr>
      <w:tr w:rsidR="00A53D7D" w:rsidRPr="00A475B8" w:rsidTr="005140B4">
        <w:trPr>
          <w:cantSplit/>
        </w:trPr>
        <w:tc>
          <w:tcPr>
            <w:tcW w:w="7776" w:type="dxa"/>
            <w:gridSpan w:val="6"/>
            <w:tcBorders>
              <w:top w:val="nil"/>
              <w:left w:val="nil"/>
              <w:bottom w:val="single" w:sz="12" w:space="0" w:color="auto"/>
              <w:right w:val="nil"/>
            </w:tcBorders>
            <w:shd w:val="clear" w:color="auto" w:fill="auto"/>
            <w:vAlign w:val="center"/>
          </w:tcPr>
          <w:p w:rsidR="00A53D7D" w:rsidRPr="001A384A" w:rsidRDefault="00A53D7D" w:rsidP="005140B4">
            <w:pPr>
              <w:pStyle w:val="OGNotes"/>
              <w:rPr>
                <w:sz w:val="20"/>
                <w:szCs w:val="18"/>
              </w:rPr>
            </w:pPr>
            <w:r w:rsidRPr="003B380F">
              <w:rPr>
                <w:color w:val="000000"/>
                <w:szCs w:val="15"/>
              </w:rPr>
              <w:t>The 2013</w:t>
            </w:r>
            <w:r>
              <w:rPr>
                <w:color w:val="000000"/>
                <w:szCs w:val="15"/>
              </w:rPr>
              <w:noBreakHyphen/>
            </w:r>
            <w:r w:rsidRPr="003B380F">
              <w:rPr>
                <w:color w:val="000000"/>
                <w:szCs w:val="15"/>
              </w:rPr>
              <w:t>14 expected outcome is higher than the 2013</w:t>
            </w:r>
            <w:r>
              <w:rPr>
                <w:color w:val="000000"/>
                <w:szCs w:val="15"/>
              </w:rPr>
              <w:noBreakHyphen/>
            </w:r>
            <w:r w:rsidRPr="003B380F">
              <w:rPr>
                <w:color w:val="000000"/>
                <w:szCs w:val="15"/>
              </w:rPr>
              <w:t>14 target due</w:t>
            </w:r>
            <w:r>
              <w:rPr>
                <w:color w:val="000000"/>
                <w:szCs w:val="15"/>
              </w:rPr>
              <w:t xml:space="preserve"> to a</w:t>
            </w:r>
            <w:r w:rsidRPr="003B380F">
              <w:rPr>
                <w:color w:val="000000"/>
                <w:szCs w:val="15"/>
              </w:rPr>
              <w:t xml:space="preserve"> carryover of funding from 2012</w:t>
            </w:r>
            <w:r>
              <w:rPr>
                <w:color w:val="000000"/>
                <w:szCs w:val="15"/>
              </w:rPr>
              <w:noBreakHyphen/>
            </w:r>
            <w:r w:rsidRPr="003B380F">
              <w:rPr>
                <w:color w:val="000000"/>
                <w:szCs w:val="15"/>
              </w:rPr>
              <w:t>13</w:t>
            </w:r>
            <w:r w:rsidRPr="00D57FA6">
              <w:rPr>
                <w:color w:val="000000"/>
                <w:szCs w:val="15"/>
              </w:rPr>
              <w:t>.</w:t>
            </w:r>
            <w:r>
              <w:rPr>
                <w:color w:val="000000"/>
                <w:szCs w:val="15"/>
              </w:rPr>
              <w:t xml:space="preserve"> </w:t>
            </w:r>
          </w:p>
        </w:tc>
      </w:tr>
    </w:tbl>
    <w:p w:rsidR="00A53D7D" w:rsidRDefault="00A53D7D" w:rsidP="005140B4">
      <w:pPr>
        <w:pStyle w:val="Source"/>
      </w:pPr>
      <w:r>
        <w:t>Source: Department of Justice</w:t>
      </w:r>
      <w:r>
        <w:fldChar w:fldCharType="begin"/>
      </w:r>
      <w:r>
        <w:instrText xml:space="preserve"> XE "</w:instrText>
      </w:r>
      <w:r w:rsidRPr="00AF1FB6">
        <w:rPr>
          <w:lang w:eastAsia="en-AU"/>
        </w:rPr>
        <w:instrText>Department of Justice</w:instrText>
      </w:r>
      <w:r w:rsidRPr="00AF1FB6">
        <w:instrText>:Infringements and Enhancing Community Safety</w:instrText>
      </w:r>
      <w:r>
        <w:instrText xml:space="preserve">" \r "BP3DOJInfringandEnhancCommSafty" </w:instrText>
      </w:r>
      <w:r>
        <w:fldChar w:fldCharType="end"/>
      </w:r>
      <w:r>
        <w:fldChar w:fldCharType="begin"/>
      </w:r>
      <w:r>
        <w:instrText xml:space="preserve"> XE "</w:instrText>
      </w:r>
      <w:r w:rsidRPr="004D2717">
        <w:rPr>
          <w:lang w:eastAsia="en-AU"/>
        </w:rPr>
        <w:instrText>Communities</w:instrText>
      </w:r>
      <w:r w:rsidRPr="004D2717">
        <w:instrText>:Infringements and Enhancing Community Safety</w:instrText>
      </w:r>
      <w:r>
        <w:instrText xml:space="preserve">" \r "BP3DOJInfringandEnhancCommSafty" </w:instrText>
      </w:r>
      <w:r>
        <w:fldChar w:fldCharType="end"/>
      </w:r>
      <w:r>
        <w:fldChar w:fldCharType="begin"/>
      </w:r>
      <w:r>
        <w:instrText xml:space="preserve"> XE "</w:instrText>
      </w:r>
      <w:r>
        <w:rPr>
          <w:lang w:eastAsia="en-AU"/>
        </w:rPr>
        <w:instrText>Law</w:instrText>
      </w:r>
      <w:r w:rsidRPr="004D2717">
        <w:instrText>:Infringements and Enhancing Community Safety</w:instrText>
      </w:r>
      <w:r>
        <w:instrText xml:space="preserve">" \r "BP3DOJInfringandEnhancCommSafty" </w:instrText>
      </w:r>
      <w:r>
        <w:fldChar w:fldCharType="end"/>
      </w:r>
    </w:p>
    <w:bookmarkEnd w:id="110"/>
    <w:p w:rsidR="00A53D7D" w:rsidRPr="00A475B8" w:rsidRDefault="00A53D7D" w:rsidP="005140B4">
      <w:pPr>
        <w:pStyle w:val="OGHeading1"/>
        <w:rPr>
          <w:lang w:val="x-none" w:eastAsia="en-AU"/>
        </w:rPr>
      </w:pPr>
      <w:r w:rsidRPr="00A475B8">
        <w:rPr>
          <w:color w:val="000000"/>
        </w:rPr>
        <w:br w:type="page"/>
      </w:r>
      <w:bookmarkStart w:id="111" w:name="BP3DOJSuppLegalProcesandLawRfrm"/>
      <w:r w:rsidRPr="00A475B8">
        <w:rPr>
          <w:lang w:val="x-none" w:eastAsia="en-AU"/>
        </w:rPr>
        <w:t>Supporting Legal Processes and Law Reform</w:t>
      </w:r>
    </w:p>
    <w:p w:rsidR="00A53D7D" w:rsidRPr="008B4245" w:rsidRDefault="00A53D7D" w:rsidP="005140B4">
      <w:pPr>
        <w:pStyle w:val="OGText"/>
        <w:rPr>
          <w:lang w:eastAsia="en-AU"/>
        </w:rPr>
      </w:pPr>
      <w:r w:rsidRPr="008B4245">
        <w:rPr>
          <w:lang w:eastAsia="en-AU"/>
        </w:rPr>
        <w:t>This output group relates to the provision of services that support legal processes and law reform.</w:t>
      </w:r>
    </w:p>
    <w:p w:rsidR="00A53D7D" w:rsidRPr="008B4245" w:rsidRDefault="00A53D7D" w:rsidP="005140B4">
      <w:pPr>
        <w:pStyle w:val="OGText"/>
        <w:rPr>
          <w:lang w:eastAsia="en-AU"/>
        </w:rPr>
      </w:pPr>
      <w:r w:rsidRPr="008B4245">
        <w:rPr>
          <w:lang w:eastAsia="en-AU"/>
        </w:rPr>
        <w:t xml:space="preserve">Services that support legal processes include legal aid, prosecution services, community mediation services, support for victims of </w:t>
      </w:r>
      <w:proofErr w:type="gramStart"/>
      <w:r w:rsidRPr="008B4245">
        <w:rPr>
          <w:lang w:eastAsia="en-AU"/>
        </w:rPr>
        <w:t>crime</w:t>
      </w:r>
      <w:proofErr w:type="gramEnd"/>
      <w:r w:rsidRPr="008B4245">
        <w:rPr>
          <w:lang w:eastAsia="en-AU"/>
        </w:rPr>
        <w:t xml:space="preserve"> and the delivery of independent, expert forensic medical services to the justice system.</w:t>
      </w:r>
    </w:p>
    <w:p w:rsidR="00A53D7D" w:rsidRPr="008B4245" w:rsidRDefault="00A53D7D" w:rsidP="005140B4">
      <w:pPr>
        <w:pStyle w:val="OGText"/>
        <w:rPr>
          <w:lang w:eastAsia="en-AU"/>
        </w:rPr>
      </w:pPr>
      <w:r w:rsidRPr="008B4245">
        <w:rPr>
          <w:lang w:eastAsia="en-AU"/>
        </w:rPr>
        <w:t>Other services in this output group include legal policy advice to government, law reform, implementation of new or amended legislation and the provision of legal advice to the Government.</w:t>
      </w:r>
    </w:p>
    <w:p w:rsidR="00A53D7D" w:rsidRPr="00A475B8" w:rsidRDefault="00A53D7D" w:rsidP="005140B4">
      <w:pPr>
        <w:pStyle w:val="OGText"/>
        <w:rPr>
          <w:lang w:eastAsia="en-AU"/>
        </w:rPr>
      </w:pPr>
      <w:r w:rsidRPr="008B4245">
        <w:rPr>
          <w:lang w:eastAsia="en-AU"/>
        </w:rPr>
        <w:t>This output group contributes to the Department’s objective of supporting the rule of law.</w:t>
      </w:r>
    </w:p>
    <w:tbl>
      <w:tblPr>
        <w:tblW w:w="7776" w:type="dxa"/>
        <w:tblInd w:w="29" w:type="dxa"/>
        <w:tblLayout w:type="fixed"/>
        <w:tblCellMar>
          <w:left w:w="43" w:type="dxa"/>
          <w:right w:w="43" w:type="dxa"/>
        </w:tblCellMar>
        <w:tblLook w:val="00A0" w:firstRow="1" w:lastRow="0" w:firstColumn="1" w:lastColumn="0" w:noHBand="0" w:noVBand="0"/>
      </w:tblPr>
      <w:tblGrid>
        <w:gridCol w:w="3155"/>
        <w:gridCol w:w="907"/>
        <w:gridCol w:w="907"/>
        <w:gridCol w:w="7"/>
        <w:gridCol w:w="978"/>
        <w:gridCol w:w="8"/>
        <w:gridCol w:w="907"/>
        <w:gridCol w:w="907"/>
      </w:tblGrid>
      <w:tr w:rsidR="00A53D7D" w:rsidRPr="00A475B8" w:rsidTr="005140B4">
        <w:trPr>
          <w:cantSplit/>
          <w:tblHeader/>
        </w:trPr>
        <w:tc>
          <w:tcPr>
            <w:tcW w:w="3155" w:type="dxa"/>
            <w:tcBorders>
              <w:top w:val="single" w:sz="4" w:space="0" w:color="auto"/>
              <w:left w:val="single" w:sz="4" w:space="0" w:color="auto"/>
              <w:right w:val="nil"/>
            </w:tcBorders>
            <w:shd w:val="clear" w:color="auto" w:fill="000000"/>
            <w:vAlign w:val="bottom"/>
          </w:tcPr>
          <w:p w:rsidR="00A53D7D" w:rsidRPr="00EC2CB7" w:rsidRDefault="00A53D7D" w:rsidP="005140B4">
            <w:pPr>
              <w:pStyle w:val="OGTabColLeft"/>
              <w:rPr>
                <w:i/>
                <w:color w:val="FFFFFF"/>
              </w:rPr>
            </w:pPr>
            <w:r w:rsidRPr="00EC2CB7">
              <w:rPr>
                <w:color w:val="FFFFFF"/>
              </w:rPr>
              <w:t>Major Outputs/Deliverables</w:t>
            </w:r>
            <w:r w:rsidRPr="00EC2CB7">
              <w:rPr>
                <w:color w:val="FFFFFF"/>
              </w:rPr>
              <w:br/>
            </w:r>
            <w:r w:rsidRPr="00EC2CB7">
              <w:rPr>
                <w:b w:val="0"/>
                <w:i/>
                <w:color w:val="FFFFFF"/>
              </w:rPr>
              <w:t>Performance measures</w:t>
            </w:r>
          </w:p>
        </w:tc>
        <w:tc>
          <w:tcPr>
            <w:tcW w:w="907" w:type="dxa"/>
            <w:tcBorders>
              <w:top w:val="single" w:sz="4" w:space="0" w:color="auto"/>
              <w:left w:val="nil"/>
              <w:right w:val="nil"/>
            </w:tcBorders>
            <w:shd w:val="clear" w:color="auto" w:fill="000000"/>
            <w:noWrap/>
            <w:vAlign w:val="bottom"/>
          </w:tcPr>
          <w:p w:rsidR="00A53D7D" w:rsidRPr="003E0A6C" w:rsidRDefault="00A53D7D" w:rsidP="005140B4">
            <w:pPr>
              <w:pStyle w:val="Tabletextheadingcentred"/>
            </w:pPr>
            <w:r w:rsidRPr="003E0A6C">
              <w:t xml:space="preserve">Unit of </w:t>
            </w:r>
            <w:r w:rsidRPr="003E0A6C">
              <w:br/>
            </w:r>
            <w:r>
              <w:t>m</w:t>
            </w:r>
            <w:r w:rsidRPr="003E0A6C">
              <w:t>easure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2014</w:t>
            </w:r>
            <w:r>
              <w:noBreakHyphen/>
              <w:t>15</w:t>
            </w:r>
            <w:r w:rsidRPr="00EC2CB7">
              <w:t xml:space="preserve"> Target</w:t>
            </w:r>
          </w:p>
        </w:tc>
        <w:tc>
          <w:tcPr>
            <w:tcW w:w="993" w:type="dxa"/>
            <w:gridSpan w:val="3"/>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Expected Outcome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Target</w:t>
            </w:r>
          </w:p>
        </w:tc>
        <w:tc>
          <w:tcPr>
            <w:tcW w:w="907" w:type="dxa"/>
            <w:tcBorders>
              <w:top w:val="single" w:sz="4" w:space="0" w:color="auto"/>
              <w:left w:val="nil"/>
              <w:right w:val="single" w:sz="4" w:space="0" w:color="auto"/>
            </w:tcBorders>
            <w:shd w:val="clear" w:color="auto" w:fill="000000"/>
            <w:noWrap/>
            <w:vAlign w:val="bottom"/>
          </w:tcPr>
          <w:p w:rsidR="00A53D7D" w:rsidRPr="00EC2CB7" w:rsidRDefault="00A53D7D" w:rsidP="005140B4">
            <w:pPr>
              <w:pStyle w:val="Tabletextheading"/>
            </w:pPr>
            <w:r w:rsidRPr="00EC2CB7">
              <w:t>2012</w:t>
            </w:r>
            <w:r>
              <w:noBreakHyphen/>
            </w:r>
            <w:r w:rsidRPr="00EC2CB7">
              <w:t>13 Actual</w:t>
            </w:r>
          </w:p>
        </w:tc>
      </w:tr>
      <w:tr w:rsidR="00A53D7D" w:rsidRPr="00A475B8" w:rsidTr="005140B4">
        <w:trPr>
          <w:cantSplit/>
        </w:trPr>
        <w:tc>
          <w:tcPr>
            <w:tcW w:w="7776" w:type="dxa"/>
            <w:gridSpan w:val="8"/>
            <w:tcBorders>
              <w:top w:val="nil"/>
              <w:left w:val="nil"/>
              <w:right w:val="nil"/>
            </w:tcBorders>
            <w:vAlign w:val="center"/>
          </w:tcPr>
          <w:p w:rsidR="00A53D7D" w:rsidRPr="00EC2CB7" w:rsidRDefault="00A53D7D" w:rsidP="005140B4">
            <w:pPr>
              <w:pStyle w:val="OGHeading2"/>
              <w:rPr>
                <w:bCs/>
                <w:color w:val="000000"/>
                <w:lang w:eastAsia="en-AU"/>
              </w:rPr>
            </w:pPr>
            <w:r w:rsidRPr="00EC2CB7">
              <w:rPr>
                <w:color w:val="000000"/>
                <w:lang w:eastAsia="en-AU"/>
              </w:rPr>
              <w:t>Access to Justice and Support Services</w:t>
            </w:r>
          </w:p>
        </w:tc>
      </w:tr>
      <w:tr w:rsidR="00A53D7D" w:rsidRPr="00A475B8" w:rsidTr="005140B4">
        <w:trPr>
          <w:cantSplit/>
        </w:trPr>
        <w:tc>
          <w:tcPr>
            <w:tcW w:w="7776" w:type="dxa"/>
            <w:gridSpan w:val="8"/>
            <w:tcBorders>
              <w:top w:val="nil"/>
              <w:left w:val="nil"/>
              <w:bottom w:val="single" w:sz="6" w:space="0" w:color="auto"/>
              <w:right w:val="nil"/>
            </w:tcBorders>
            <w:vAlign w:val="center"/>
          </w:tcPr>
          <w:p w:rsidR="00A53D7D" w:rsidRPr="008845FB" w:rsidRDefault="00A53D7D" w:rsidP="005140B4">
            <w:pPr>
              <w:pStyle w:val="OGTabText"/>
              <w:rPr>
                <w:color w:val="000000"/>
                <w:highlight w:val="yellow"/>
                <w:lang w:eastAsia="en-AU"/>
              </w:rPr>
            </w:pPr>
            <w:r w:rsidRPr="008B4245">
              <w:rPr>
                <w:color w:val="000000"/>
                <w:lang w:eastAsia="en-AU"/>
              </w:rPr>
              <w:t>This output delivers a broad range of services such as the provision of legal and law reform advice, management of Native Title legislation and claims, and access to justice and support services for the Victorian community including legal aid, forensic medical and scientific services, medico</w:t>
            </w:r>
            <w:r>
              <w:rPr>
                <w:color w:val="000000"/>
                <w:lang w:eastAsia="en-AU"/>
              </w:rPr>
              <w:noBreakHyphen/>
            </w:r>
            <w:r w:rsidRPr="008B4245">
              <w:rPr>
                <w:color w:val="000000"/>
                <w:lang w:eastAsia="en-AU"/>
              </w:rPr>
              <w:t>legal advice, support for victims and the prevention and early resolution of legal problems.</w:t>
            </w:r>
          </w:p>
        </w:tc>
      </w:tr>
      <w:tr w:rsidR="00A53D7D" w:rsidRPr="00A475B8" w:rsidTr="005140B4">
        <w:trPr>
          <w:cantSplit/>
        </w:trPr>
        <w:tc>
          <w:tcPr>
            <w:tcW w:w="3155" w:type="dxa"/>
            <w:tcBorders>
              <w:top w:val="single" w:sz="6" w:space="0" w:color="auto"/>
              <w:left w:val="nil"/>
              <w:right w:val="nil"/>
            </w:tcBorders>
            <w:vAlign w:val="center"/>
          </w:tcPr>
          <w:p w:rsidR="00A53D7D" w:rsidRPr="00A475B8" w:rsidRDefault="00A53D7D" w:rsidP="005140B4">
            <w:pPr>
              <w:pStyle w:val="OGTabHead"/>
              <w:rPr>
                <w:color w:val="000000"/>
                <w:lang w:eastAsia="en-AU"/>
              </w:rPr>
            </w:pPr>
            <w:r w:rsidRPr="00A475B8">
              <w:rPr>
                <w:iCs/>
                <w:color w:val="000000"/>
                <w:lang w:eastAsia="en-AU"/>
              </w:rPr>
              <w:t>Quantity</w:t>
            </w:r>
          </w:p>
        </w:tc>
        <w:tc>
          <w:tcPr>
            <w:tcW w:w="907" w:type="dxa"/>
            <w:tcBorders>
              <w:top w:val="single" w:sz="6" w:space="0" w:color="auto"/>
              <w:left w:val="nil"/>
              <w:right w:val="nil"/>
            </w:tcBorders>
            <w:shd w:val="clear" w:color="auto" w:fill="auto"/>
            <w:vAlign w:val="center"/>
          </w:tcPr>
          <w:p w:rsidR="00A53D7D" w:rsidRPr="003E0A6C"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vAlign w:val="center"/>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gridSpan w:val="3"/>
            <w:tcBorders>
              <w:top w:val="single" w:sz="6" w:space="0" w:color="auto"/>
              <w:left w:val="nil"/>
              <w:right w:val="nil"/>
            </w:tcBorders>
            <w:shd w:val="clear" w:color="auto" w:fill="auto"/>
            <w:vAlign w:val="center"/>
          </w:tcPr>
          <w:p w:rsidR="00A53D7D" w:rsidRPr="00EC2CB7" w:rsidRDefault="00A53D7D" w:rsidP="005140B4">
            <w:pPr>
              <w:pStyle w:val="OGTableofFigures"/>
              <w:rPr>
                <w:color w:val="000000"/>
                <w:lang w:eastAsia="en-AU"/>
              </w:rPr>
            </w:pPr>
            <w:r w:rsidRPr="00EC2CB7">
              <w:rPr>
                <w:color w:val="000000"/>
                <w:lang w:eastAsia="en-AU"/>
              </w:rPr>
              <w:t> </w:t>
            </w:r>
          </w:p>
        </w:tc>
        <w:tc>
          <w:tcPr>
            <w:tcW w:w="907" w:type="dxa"/>
            <w:tcBorders>
              <w:top w:val="single" w:sz="6" w:space="0" w:color="auto"/>
              <w:left w:val="nil"/>
              <w:right w:val="nil"/>
            </w:tcBorders>
            <w:shd w:val="clear" w:color="auto" w:fill="auto"/>
            <w:vAlign w:val="center"/>
          </w:tcPr>
          <w:p w:rsidR="00A53D7D" w:rsidRPr="00EC2CB7" w:rsidRDefault="00A53D7D" w:rsidP="005140B4">
            <w:pPr>
              <w:pStyle w:val="OGTableofFigures"/>
              <w:rPr>
                <w:color w:val="000000"/>
                <w:lang w:eastAsia="en-AU"/>
              </w:rPr>
            </w:pPr>
            <w:r w:rsidRPr="00EC2CB7">
              <w:rPr>
                <w:color w:val="000000"/>
                <w:lang w:eastAsia="en-AU"/>
              </w:rPr>
              <w:t> </w:t>
            </w:r>
          </w:p>
        </w:tc>
        <w:tc>
          <w:tcPr>
            <w:tcW w:w="907" w:type="dxa"/>
            <w:tcBorders>
              <w:top w:val="single" w:sz="6" w:space="0" w:color="auto"/>
              <w:left w:val="nil"/>
              <w:right w:val="nil"/>
            </w:tcBorders>
            <w:shd w:val="clear" w:color="auto" w:fill="auto"/>
            <w:vAlign w:val="center"/>
          </w:tcPr>
          <w:p w:rsidR="00A53D7D" w:rsidRPr="00EC2CB7" w:rsidRDefault="00A53D7D" w:rsidP="005140B4">
            <w:pPr>
              <w:pStyle w:val="OGTableofFigures"/>
              <w:rPr>
                <w:color w:val="000000"/>
                <w:lang w:eastAsia="en-AU"/>
              </w:rPr>
            </w:pPr>
          </w:p>
        </w:tc>
      </w:tr>
      <w:tr w:rsidR="00A53D7D" w:rsidRPr="00A475B8" w:rsidTr="005140B4">
        <w:trPr>
          <w:cantSplit/>
        </w:trPr>
        <w:tc>
          <w:tcPr>
            <w:tcW w:w="3155" w:type="dxa"/>
            <w:tcBorders>
              <w:top w:val="nil"/>
              <w:left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Community education and consultation sessions conducted by Victorian Law Reform Commission (VLRC)</w:t>
            </w:r>
          </w:p>
        </w:tc>
        <w:tc>
          <w:tcPr>
            <w:tcW w:w="907" w:type="dxa"/>
            <w:tcBorders>
              <w:top w:val="nil"/>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nil"/>
              <w:left w:val="nil"/>
              <w:right w:val="nil"/>
            </w:tcBorders>
            <w:shd w:val="clear" w:color="auto" w:fill="E6E6E6"/>
          </w:tcPr>
          <w:p w:rsidR="00A53D7D" w:rsidRPr="003B380F" w:rsidRDefault="00A53D7D" w:rsidP="005140B4">
            <w:pPr>
              <w:pStyle w:val="OGTableofFigures"/>
              <w:rPr>
                <w:color w:val="000000"/>
                <w:lang w:eastAsia="en-AU"/>
              </w:rPr>
            </w:pPr>
            <w:r w:rsidRPr="00B2174E">
              <w:rPr>
                <w:color w:val="000000"/>
                <w:lang w:eastAsia="en-AU"/>
              </w:rPr>
              <w:t>60</w:t>
            </w:r>
          </w:p>
        </w:tc>
        <w:tc>
          <w:tcPr>
            <w:tcW w:w="993" w:type="dxa"/>
            <w:gridSpan w:val="3"/>
            <w:tcBorders>
              <w:top w:val="nil"/>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139</w:t>
            </w:r>
          </w:p>
        </w:tc>
        <w:tc>
          <w:tcPr>
            <w:tcW w:w="907"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60</w:t>
            </w:r>
            <w:r w:rsidRPr="00B2174E">
              <w:rPr>
                <w:color w:val="000000"/>
                <w:lang w:eastAsia="en-AU"/>
              </w:rPr>
              <w:br/>
            </w:r>
          </w:p>
        </w:tc>
        <w:tc>
          <w:tcPr>
            <w:tcW w:w="907"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92</w:t>
            </w:r>
          </w:p>
        </w:tc>
      </w:tr>
      <w:tr w:rsidR="00A53D7D" w:rsidRPr="00A475B8" w:rsidTr="005140B4">
        <w:trPr>
          <w:cantSplit/>
        </w:trPr>
        <w:tc>
          <w:tcPr>
            <w:tcW w:w="7776" w:type="dxa"/>
            <w:gridSpan w:val="8"/>
            <w:tcBorders>
              <w:top w:val="nil"/>
              <w:left w:val="nil"/>
              <w:bottom w:val="single" w:sz="6" w:space="0" w:color="auto"/>
              <w:right w:val="nil"/>
            </w:tcBorders>
            <w:shd w:val="clear" w:color="auto" w:fill="auto"/>
            <w:vAlign w:val="center"/>
          </w:tcPr>
          <w:p w:rsidR="00A53D7D" w:rsidRPr="00B2174E" w:rsidRDefault="00A53D7D" w:rsidP="005140B4">
            <w:pPr>
              <w:pStyle w:val="OGNotes"/>
              <w:rPr>
                <w:color w:val="000000"/>
              </w:rPr>
            </w:pPr>
            <w:r w:rsidRPr="00B2174E">
              <w:rPr>
                <w:color w:val="000000"/>
              </w:rPr>
              <w:t>The 2013</w:t>
            </w:r>
            <w:r>
              <w:rPr>
                <w:color w:val="000000"/>
              </w:rPr>
              <w:noBreakHyphen/>
            </w:r>
            <w:r w:rsidRPr="00B2174E">
              <w:rPr>
                <w:color w:val="000000"/>
              </w:rPr>
              <w:t>14 expected outcome is higher than that 2013</w:t>
            </w:r>
            <w:r>
              <w:rPr>
                <w:color w:val="000000"/>
              </w:rPr>
              <w:noBreakHyphen/>
            </w:r>
            <w:r w:rsidRPr="00B2174E">
              <w:rPr>
                <w:color w:val="000000"/>
              </w:rPr>
              <w:t>14 target due to a higher than anticipated number of requests for education sessions. The actual outcomes are dependent on the nature of the Commission’s references. The long</w:t>
            </w:r>
            <w:r>
              <w:rPr>
                <w:color w:val="000000"/>
              </w:rPr>
              <w:noBreakHyphen/>
            </w:r>
            <w:r w:rsidRPr="00B2174E">
              <w:rPr>
                <w:color w:val="000000"/>
              </w:rPr>
              <w:t xml:space="preserve">term average is approximately 60. </w:t>
            </w:r>
          </w:p>
        </w:tc>
      </w:tr>
      <w:tr w:rsidR="00A53D7D" w:rsidRPr="00A475B8"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Law reform projects conducted by VLRC</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3</w:t>
            </w:r>
          </w:p>
        </w:tc>
        <w:tc>
          <w:tcPr>
            <w:tcW w:w="985" w:type="dxa"/>
            <w:gridSpan w:val="2"/>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3</w:t>
            </w:r>
          </w:p>
        </w:tc>
        <w:tc>
          <w:tcPr>
            <w:tcW w:w="915" w:type="dxa"/>
            <w:gridSpan w:val="2"/>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3</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3</w:t>
            </w:r>
          </w:p>
        </w:tc>
      </w:tr>
      <w:tr w:rsidR="00A53D7D" w:rsidRPr="00A475B8"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Groups in negotiation towards resolution of Native Title claims</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2</w:t>
            </w:r>
          </w:p>
        </w:tc>
        <w:tc>
          <w:tcPr>
            <w:tcW w:w="985" w:type="dxa"/>
            <w:gridSpan w:val="2"/>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w:t>
            </w:r>
          </w:p>
        </w:tc>
        <w:tc>
          <w:tcPr>
            <w:tcW w:w="915" w:type="dxa"/>
            <w:gridSpan w:val="2"/>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w:t>
            </w:r>
          </w:p>
        </w:tc>
      </w:tr>
      <w:tr w:rsidR="00A53D7D" w:rsidRPr="00A475B8"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Provision of expert forensic medical and scientific evidence in court by Victorian Institute of Forensic Medicine (VIFM)</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bottom w:val="single" w:sz="6" w:space="0" w:color="auto"/>
              <w:right w:val="nil"/>
            </w:tcBorders>
            <w:shd w:val="clear" w:color="auto" w:fill="E6E6E6"/>
          </w:tcPr>
          <w:p w:rsidR="00A53D7D" w:rsidRPr="003B380F" w:rsidRDefault="00A53D7D" w:rsidP="005140B4">
            <w:pPr>
              <w:pStyle w:val="OGTableofFigures"/>
              <w:rPr>
                <w:color w:val="000000"/>
                <w:lang w:eastAsia="en-AU"/>
              </w:rPr>
            </w:pPr>
            <w:r w:rsidRPr="00B2174E">
              <w:rPr>
                <w:color w:val="000000"/>
                <w:lang w:eastAsia="en-AU"/>
              </w:rPr>
              <w:t>250</w:t>
            </w:r>
          </w:p>
        </w:tc>
        <w:tc>
          <w:tcPr>
            <w:tcW w:w="985" w:type="dxa"/>
            <w:gridSpan w:val="2"/>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24</w:t>
            </w:r>
            <w:r w:rsidRPr="003B380F">
              <w:rPr>
                <w:color w:val="000000"/>
                <w:lang w:eastAsia="en-AU"/>
              </w:rPr>
              <w:t>0</w:t>
            </w:r>
            <w:r w:rsidRPr="00B2174E">
              <w:rPr>
                <w:color w:val="000000"/>
                <w:lang w:eastAsia="en-AU"/>
              </w:rPr>
              <w:br/>
            </w:r>
          </w:p>
        </w:tc>
        <w:tc>
          <w:tcPr>
            <w:tcW w:w="915" w:type="dxa"/>
            <w:gridSpan w:val="2"/>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250</w:t>
            </w:r>
            <w:r w:rsidRPr="00B2174E">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227</w:t>
            </w:r>
          </w:p>
        </w:tc>
      </w:tr>
      <w:tr w:rsidR="00A53D7D" w:rsidRPr="00A475B8" w:rsidTr="005140B4">
        <w:trPr>
          <w:cantSplit/>
        </w:trPr>
        <w:tc>
          <w:tcPr>
            <w:tcW w:w="3155"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Text"/>
              <w:rPr>
                <w:color w:val="000000"/>
                <w:lang w:eastAsia="en-AU"/>
              </w:rPr>
            </w:pPr>
            <w:r w:rsidRPr="00B2174E">
              <w:rPr>
                <w:color w:val="000000"/>
                <w:lang w:eastAsia="en-AU"/>
              </w:rPr>
              <w:t>Clinical forensic medical services (VIFM)</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2 100</w:t>
            </w:r>
            <w:r>
              <w:rPr>
                <w:color w:val="000000"/>
                <w:lang w:eastAsia="en-AU"/>
              </w:rPr>
              <w:t>–</w:t>
            </w:r>
            <w:r w:rsidRPr="00B2174E">
              <w:rPr>
                <w:color w:val="000000"/>
                <w:lang w:eastAsia="en-AU"/>
              </w:rPr>
              <w:t>2 500</w:t>
            </w:r>
          </w:p>
        </w:tc>
        <w:tc>
          <w:tcPr>
            <w:tcW w:w="985" w:type="dxa"/>
            <w:gridSpan w:val="2"/>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2 </w:t>
            </w:r>
            <w:r>
              <w:rPr>
                <w:color w:val="000000"/>
                <w:lang w:eastAsia="en-AU"/>
              </w:rPr>
              <w:t>200</w:t>
            </w:r>
          </w:p>
        </w:tc>
        <w:tc>
          <w:tcPr>
            <w:tcW w:w="915" w:type="dxa"/>
            <w:gridSpan w:val="2"/>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2 100</w:t>
            </w:r>
            <w:r>
              <w:rPr>
                <w:color w:val="000000"/>
                <w:lang w:eastAsia="en-AU"/>
              </w:rPr>
              <w:t>–</w:t>
            </w:r>
            <w:r w:rsidRPr="00B2174E">
              <w:rPr>
                <w:color w:val="000000"/>
                <w:lang w:eastAsia="en-AU"/>
              </w:rPr>
              <w:br/>
              <w:t>2 500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2 397</w:t>
            </w:r>
          </w:p>
        </w:tc>
      </w:tr>
      <w:tr w:rsidR="00A53D7D" w:rsidRPr="008B4245"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Text"/>
              <w:pageBreakBefore/>
              <w:ind w:left="142"/>
              <w:rPr>
                <w:color w:val="000000"/>
                <w:lang w:eastAsia="en-AU"/>
              </w:rPr>
            </w:pPr>
            <w:r w:rsidRPr="00B2174E">
              <w:rPr>
                <w:color w:val="000000"/>
                <w:lang w:eastAsia="en-AU"/>
              </w:rPr>
              <w:t>Grants of legal assistance provided by Victoria Legal Aid</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Pr>
                <w:color w:val="000000"/>
                <w:lang w:eastAsia="en-AU"/>
              </w:rPr>
              <w:t>33 </w:t>
            </w:r>
            <w:r w:rsidRPr="00B2174E">
              <w:rPr>
                <w:color w:val="000000"/>
                <w:lang w:eastAsia="en-AU"/>
              </w:rPr>
              <w:t>000</w:t>
            </w:r>
          </w:p>
        </w:tc>
        <w:tc>
          <w:tcPr>
            <w:tcW w:w="985" w:type="dxa"/>
            <w:gridSpan w:val="2"/>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33</w:t>
            </w:r>
            <w:r>
              <w:rPr>
                <w:color w:val="000000"/>
                <w:lang w:eastAsia="en-AU"/>
              </w:rPr>
              <w:t> </w:t>
            </w:r>
            <w:r w:rsidRPr="00B2174E">
              <w:rPr>
                <w:color w:val="000000"/>
                <w:lang w:eastAsia="en-AU"/>
              </w:rPr>
              <w:t>000</w:t>
            </w:r>
          </w:p>
        </w:tc>
        <w:tc>
          <w:tcPr>
            <w:tcW w:w="915" w:type="dxa"/>
            <w:gridSpan w:val="2"/>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40</w:t>
            </w:r>
            <w:r>
              <w:rPr>
                <w:color w:val="000000"/>
                <w:lang w:eastAsia="en-AU"/>
              </w:rPr>
              <w:t> </w:t>
            </w:r>
            <w:r w:rsidRPr="00B2174E">
              <w:rPr>
                <w:color w:val="000000"/>
                <w:lang w:eastAsia="en-AU"/>
              </w:rPr>
              <w:t>500</w:t>
            </w:r>
            <w:r w:rsidRPr="00B2174E">
              <w:rPr>
                <w:color w:val="000000"/>
                <w:lang w:eastAsia="en-AU"/>
              </w:rPr>
              <w:br/>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39</w:t>
            </w:r>
            <w:r>
              <w:rPr>
                <w:color w:val="000000"/>
                <w:lang w:eastAsia="en-AU"/>
              </w:rPr>
              <w:t> </w:t>
            </w:r>
            <w:r w:rsidRPr="00B2174E">
              <w:rPr>
                <w:color w:val="000000"/>
                <w:lang w:eastAsia="en-AU"/>
              </w:rPr>
              <w:t>782</w:t>
            </w:r>
          </w:p>
        </w:tc>
      </w:tr>
      <w:tr w:rsidR="00A53D7D" w:rsidRPr="00A475B8" w:rsidTr="005140B4">
        <w:trPr>
          <w:cantSplit/>
        </w:trPr>
        <w:tc>
          <w:tcPr>
            <w:tcW w:w="7776" w:type="dxa"/>
            <w:gridSpan w:val="8"/>
            <w:tcBorders>
              <w:top w:val="nil"/>
              <w:left w:val="nil"/>
              <w:bottom w:val="single" w:sz="6" w:space="0" w:color="auto"/>
              <w:right w:val="nil"/>
            </w:tcBorders>
            <w:shd w:val="clear" w:color="auto" w:fill="auto"/>
            <w:vAlign w:val="center"/>
          </w:tcPr>
          <w:p w:rsidR="00A53D7D" w:rsidRPr="00B561EA" w:rsidRDefault="00A53D7D" w:rsidP="005140B4">
            <w:pPr>
              <w:pStyle w:val="OGNotes"/>
            </w:pPr>
            <w:r w:rsidRPr="00B561EA">
              <w:t>The 2013</w:t>
            </w:r>
            <w:r>
              <w:noBreakHyphen/>
            </w:r>
            <w:r w:rsidRPr="00B561EA">
              <w:t>14 expected outcome is lower than the 2013</w:t>
            </w:r>
            <w:r>
              <w:noBreakHyphen/>
            </w:r>
            <w:r w:rsidRPr="00B561EA">
              <w:t>14 target due to a decrease in grants of assistance for family law matters as a result of changes to the eligibility guidelines made during 2012</w:t>
            </w:r>
            <w:r>
              <w:noBreakHyphen/>
            </w:r>
            <w:r w:rsidRPr="00B561EA">
              <w:t>13. The lower 2014</w:t>
            </w:r>
            <w:r>
              <w:noBreakHyphen/>
            </w:r>
            <w:r w:rsidRPr="00B561EA">
              <w:t>15 target reflects the changes made to the eligibility guidelines</w:t>
            </w:r>
            <w:proofErr w:type="gramStart"/>
            <w:r w:rsidRPr="00B561EA">
              <w:t xml:space="preserve">.  </w:t>
            </w:r>
            <w:proofErr w:type="gramEnd"/>
          </w:p>
        </w:tc>
      </w:tr>
      <w:tr w:rsidR="00A53D7D" w:rsidRPr="00A475B8"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3B380F" w:rsidRDefault="00A53D7D" w:rsidP="005140B4">
            <w:pPr>
              <w:pStyle w:val="OGTabText"/>
              <w:rPr>
                <w:color w:val="000000"/>
                <w:lang w:eastAsia="en-AU"/>
              </w:rPr>
            </w:pPr>
            <w:bookmarkStart w:id="112" w:name="_Hlk348364645" w:colFirst="1" w:colLast="5"/>
            <w:r w:rsidRPr="00B2174E">
              <w:rPr>
                <w:color w:val="000000"/>
                <w:lang w:eastAsia="en-AU"/>
              </w:rPr>
              <w:t>Legal advice and minor assistance for clients Victoria Legal Aid (VLA)</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47 000 </w:t>
            </w:r>
          </w:p>
        </w:tc>
        <w:tc>
          <w:tcPr>
            <w:tcW w:w="993" w:type="dxa"/>
            <w:gridSpan w:val="3"/>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47</w:t>
            </w:r>
            <w:r>
              <w:rPr>
                <w:color w:val="000000"/>
                <w:lang w:eastAsia="en-AU"/>
              </w:rPr>
              <w:t> </w:t>
            </w:r>
            <w:r w:rsidRPr="00B2174E">
              <w:rPr>
                <w:color w:val="000000"/>
                <w:lang w:eastAsia="en-AU"/>
              </w:rPr>
              <w:t>000</w:t>
            </w:r>
            <w:r w:rsidRPr="00B2174E">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47</w:t>
            </w:r>
            <w:r>
              <w:rPr>
                <w:color w:val="000000"/>
                <w:lang w:eastAsia="en-AU"/>
              </w:rPr>
              <w:t> </w:t>
            </w:r>
            <w:r w:rsidRPr="00B2174E">
              <w:rPr>
                <w:color w:val="000000"/>
                <w:lang w:eastAsia="en-AU"/>
              </w:rPr>
              <w:t>000</w:t>
            </w:r>
            <w:r w:rsidRPr="00B2174E">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3B380F" w:rsidRDefault="00A53D7D" w:rsidP="005140B4">
            <w:pPr>
              <w:pStyle w:val="OGTableofFigures"/>
              <w:rPr>
                <w:color w:val="000000"/>
                <w:lang w:eastAsia="en-AU"/>
              </w:rPr>
            </w:pPr>
            <w:r w:rsidRPr="00B2174E">
              <w:rPr>
                <w:color w:val="000000"/>
                <w:lang w:eastAsia="en-AU"/>
              </w:rPr>
              <w:t>51</w:t>
            </w:r>
            <w:r>
              <w:rPr>
                <w:color w:val="000000"/>
                <w:lang w:eastAsia="en-AU"/>
              </w:rPr>
              <w:t> </w:t>
            </w:r>
            <w:r w:rsidRPr="00B2174E">
              <w:rPr>
                <w:color w:val="000000"/>
                <w:lang w:eastAsia="en-AU"/>
              </w:rPr>
              <w:t>598</w:t>
            </w:r>
          </w:p>
        </w:tc>
      </w:tr>
      <w:bookmarkEnd w:id="112"/>
      <w:tr w:rsidR="00A53D7D" w:rsidRPr="00A475B8"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Community Legal Education and Information Services (VLA)</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90</w:t>
            </w:r>
            <w:r>
              <w:rPr>
                <w:color w:val="000000"/>
                <w:lang w:eastAsia="en-AU"/>
              </w:rPr>
              <w:t> </w:t>
            </w:r>
            <w:r w:rsidRPr="00B2174E">
              <w:rPr>
                <w:color w:val="000000"/>
                <w:lang w:eastAsia="en-AU"/>
              </w:rPr>
              <w:t>000</w:t>
            </w:r>
          </w:p>
        </w:tc>
        <w:tc>
          <w:tcPr>
            <w:tcW w:w="993" w:type="dxa"/>
            <w:gridSpan w:val="3"/>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88 000</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88</w:t>
            </w:r>
            <w:r>
              <w:rPr>
                <w:color w:val="000000"/>
                <w:lang w:eastAsia="en-AU"/>
              </w:rPr>
              <w:t> </w:t>
            </w:r>
            <w:r w:rsidRPr="00B2174E">
              <w:rPr>
                <w:color w:val="000000"/>
                <w:lang w:eastAsia="en-AU"/>
              </w:rPr>
              <w:t>000</w:t>
            </w:r>
            <w:r w:rsidRPr="00B2174E">
              <w:rPr>
                <w:color w:val="000000"/>
                <w:lang w:eastAsia="en-AU"/>
              </w:rPr>
              <w:br/>
            </w:r>
          </w:p>
        </w:tc>
        <w:tc>
          <w:tcPr>
            <w:tcW w:w="907" w:type="dxa"/>
            <w:tcBorders>
              <w:top w:val="single" w:sz="6" w:space="0" w:color="auto"/>
              <w:left w:val="nil"/>
              <w:right w:val="nil"/>
            </w:tcBorders>
            <w:shd w:val="clear" w:color="auto" w:fill="auto"/>
          </w:tcPr>
          <w:p w:rsidR="00A53D7D" w:rsidRPr="003B380F" w:rsidRDefault="00A53D7D" w:rsidP="005140B4">
            <w:pPr>
              <w:pStyle w:val="OGTableofFigures"/>
              <w:rPr>
                <w:color w:val="000000"/>
                <w:lang w:eastAsia="en-AU"/>
              </w:rPr>
            </w:pPr>
            <w:r w:rsidRPr="00B2174E">
              <w:rPr>
                <w:color w:val="000000"/>
                <w:lang w:eastAsia="en-AU"/>
              </w:rPr>
              <w:t>89</w:t>
            </w:r>
            <w:r>
              <w:rPr>
                <w:color w:val="000000"/>
                <w:lang w:eastAsia="en-AU"/>
              </w:rPr>
              <w:t> </w:t>
            </w:r>
            <w:r w:rsidRPr="00B2174E">
              <w:rPr>
                <w:color w:val="000000"/>
                <w:lang w:eastAsia="en-AU"/>
              </w:rPr>
              <w:t>993</w:t>
            </w:r>
          </w:p>
        </w:tc>
      </w:tr>
      <w:tr w:rsidR="00A53D7D" w:rsidRPr="00A475B8" w:rsidTr="005140B4">
        <w:trPr>
          <w:cantSplit/>
        </w:trPr>
        <w:tc>
          <w:tcPr>
            <w:tcW w:w="7776" w:type="dxa"/>
            <w:gridSpan w:val="8"/>
            <w:tcBorders>
              <w:left w:val="nil"/>
              <w:bottom w:val="single" w:sz="6" w:space="0" w:color="auto"/>
              <w:right w:val="nil"/>
            </w:tcBorders>
            <w:shd w:val="clear" w:color="auto" w:fill="auto"/>
            <w:vAlign w:val="center"/>
          </w:tcPr>
          <w:p w:rsidR="00A53D7D" w:rsidRPr="00B2174E" w:rsidRDefault="00A53D7D" w:rsidP="005140B4">
            <w:pPr>
              <w:pStyle w:val="OGNotes"/>
              <w:rPr>
                <w:szCs w:val="18"/>
              </w:rPr>
            </w:pPr>
            <w:r w:rsidRPr="00C1584A">
              <w:t>The higher 2014</w:t>
            </w:r>
            <w:r>
              <w:noBreakHyphen/>
            </w:r>
            <w:r w:rsidRPr="00C1584A">
              <w:t>15 target is a reflection of the consolidation, expansion and realignment of VLA’s primary intake and assessment telephone service, Legal Help.</w:t>
            </w:r>
          </w:p>
        </w:tc>
      </w:tr>
      <w:tr w:rsidR="00A53D7D" w:rsidRPr="00A475B8" w:rsidTr="005140B4">
        <w:trPr>
          <w:cantSplit/>
        </w:trPr>
        <w:tc>
          <w:tcPr>
            <w:tcW w:w="3155" w:type="dxa"/>
            <w:tcBorders>
              <w:top w:val="single" w:sz="6" w:space="0" w:color="auto"/>
              <w:left w:val="nil"/>
              <w:right w:val="nil"/>
            </w:tcBorders>
            <w:shd w:val="clear" w:color="auto" w:fill="auto"/>
            <w:vAlign w:val="center"/>
          </w:tcPr>
          <w:p w:rsidR="00A53D7D" w:rsidRPr="003B380F" w:rsidRDefault="00A53D7D" w:rsidP="005140B4">
            <w:pPr>
              <w:pStyle w:val="OGTabText"/>
              <w:rPr>
                <w:color w:val="000000"/>
                <w:lang w:eastAsia="en-AU"/>
              </w:rPr>
            </w:pPr>
            <w:r w:rsidRPr="00B2174E">
              <w:rPr>
                <w:color w:val="000000"/>
                <w:lang w:eastAsia="en-AU"/>
              </w:rPr>
              <w:t>Victims receiving a service from the Victims of Crime Helpline, Victims Assistance and Counselling Program and Victims Register</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Pr>
                <w:color w:val="000000"/>
                <w:lang w:eastAsia="en-AU"/>
              </w:rPr>
              <w:t>21 </w:t>
            </w:r>
            <w:r w:rsidRPr="00B2174E">
              <w:rPr>
                <w:color w:val="000000"/>
                <w:lang w:eastAsia="en-AU"/>
              </w:rPr>
              <w:t xml:space="preserve">000 </w:t>
            </w:r>
          </w:p>
        </w:tc>
        <w:tc>
          <w:tcPr>
            <w:tcW w:w="993" w:type="dxa"/>
            <w:gridSpan w:val="3"/>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11 </w:t>
            </w:r>
            <w:r w:rsidRPr="00B2174E">
              <w:rPr>
                <w:color w:val="000000"/>
                <w:lang w:eastAsia="en-AU"/>
              </w:rPr>
              <w:t>900</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11 </w:t>
            </w:r>
            <w:r w:rsidRPr="00B2174E">
              <w:rPr>
                <w:color w:val="000000"/>
                <w:lang w:eastAsia="en-AU"/>
              </w:rPr>
              <w:t>900</w:t>
            </w:r>
          </w:p>
        </w:tc>
        <w:tc>
          <w:tcPr>
            <w:tcW w:w="907" w:type="dxa"/>
            <w:tcBorders>
              <w:top w:val="single" w:sz="6" w:space="0" w:color="auto"/>
              <w:left w:val="nil"/>
              <w:right w:val="nil"/>
            </w:tcBorders>
            <w:shd w:val="clear" w:color="auto" w:fill="auto"/>
          </w:tcPr>
          <w:p w:rsidR="00A53D7D" w:rsidRPr="003B380F" w:rsidRDefault="00A53D7D" w:rsidP="005140B4">
            <w:pPr>
              <w:pStyle w:val="OGTableofFigures"/>
              <w:rPr>
                <w:color w:val="000000"/>
                <w:lang w:eastAsia="en-AU"/>
              </w:rPr>
            </w:pPr>
            <w:r w:rsidRPr="00B2174E">
              <w:rPr>
                <w:color w:val="000000"/>
                <w:lang w:eastAsia="en-AU"/>
              </w:rPr>
              <w:t>9</w:t>
            </w:r>
            <w:r>
              <w:rPr>
                <w:color w:val="000000"/>
                <w:lang w:eastAsia="en-AU"/>
              </w:rPr>
              <w:t> </w:t>
            </w:r>
            <w:r w:rsidRPr="00B2174E">
              <w:rPr>
                <w:color w:val="000000"/>
                <w:lang w:eastAsia="en-AU"/>
              </w:rPr>
              <w:t>038</w:t>
            </w:r>
          </w:p>
        </w:tc>
      </w:tr>
      <w:tr w:rsidR="00A53D7D" w:rsidRPr="00A475B8" w:rsidTr="005140B4">
        <w:trPr>
          <w:cantSplit/>
        </w:trPr>
        <w:tc>
          <w:tcPr>
            <w:tcW w:w="7776" w:type="dxa"/>
            <w:gridSpan w:val="8"/>
            <w:tcBorders>
              <w:left w:val="nil"/>
              <w:bottom w:val="single" w:sz="6" w:space="0" w:color="auto"/>
              <w:right w:val="nil"/>
            </w:tcBorders>
            <w:shd w:val="clear" w:color="auto" w:fill="auto"/>
            <w:vAlign w:val="center"/>
          </w:tcPr>
          <w:p w:rsidR="00A53D7D" w:rsidRPr="00B561EA" w:rsidRDefault="00A53D7D" w:rsidP="005140B4">
            <w:pPr>
              <w:pStyle w:val="OGNotes"/>
            </w:pPr>
            <w:r w:rsidRPr="00B561EA">
              <w:t>The 2014</w:t>
            </w:r>
            <w:r>
              <w:noBreakHyphen/>
            </w:r>
            <w:r w:rsidRPr="00B561EA">
              <w:t>15 target has increased by 9 100 on the 2013</w:t>
            </w:r>
            <w:r>
              <w:noBreakHyphen/>
            </w:r>
            <w:r w:rsidRPr="00B561EA">
              <w:t>14 target to reflect funded service expansion (850) and the inclusion of services to victims not previously counted (8 250). These services are: youth justice group conferences; Victoria Police e</w:t>
            </w:r>
            <w:r>
              <w:noBreakHyphen/>
            </w:r>
            <w:r w:rsidRPr="00B561EA">
              <w:t>referrals received for crimes against the person; male family violence referrals from Victoria Police; and processing of Victims Register applications.</w:t>
            </w:r>
          </w:p>
        </w:tc>
      </w:tr>
      <w:tr w:rsidR="00A53D7D" w:rsidRPr="00A475B8"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Medico</w:t>
            </w:r>
            <w:r>
              <w:rPr>
                <w:color w:val="000000"/>
                <w:lang w:eastAsia="en-AU"/>
              </w:rPr>
              <w:noBreakHyphen/>
            </w:r>
            <w:r w:rsidRPr="00B2174E">
              <w:rPr>
                <w:color w:val="000000"/>
                <w:lang w:eastAsia="en-AU"/>
              </w:rPr>
              <w:t>legal death investigations (VIFM)</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Pr>
                <w:color w:val="000000"/>
                <w:lang w:eastAsia="en-AU"/>
              </w:rPr>
              <w:t>5 0</w:t>
            </w:r>
            <w:r w:rsidRPr="00B2174E">
              <w:rPr>
                <w:color w:val="000000"/>
                <w:lang w:eastAsia="en-AU"/>
              </w:rPr>
              <w:t>00–</w:t>
            </w:r>
            <w:r>
              <w:rPr>
                <w:color w:val="000000"/>
                <w:lang w:eastAsia="en-AU"/>
              </w:rPr>
              <w:t>5 3</w:t>
            </w:r>
            <w:r w:rsidRPr="00B2174E">
              <w:rPr>
                <w:color w:val="000000"/>
                <w:lang w:eastAsia="en-AU"/>
              </w:rPr>
              <w:t>0</w:t>
            </w:r>
            <w:r>
              <w:rPr>
                <w:color w:val="000000"/>
                <w:lang w:eastAsia="en-AU"/>
              </w:rPr>
              <w:t>0</w:t>
            </w:r>
          </w:p>
        </w:tc>
        <w:tc>
          <w:tcPr>
            <w:tcW w:w="993" w:type="dxa"/>
            <w:gridSpan w:val="3"/>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5 </w:t>
            </w:r>
            <w:r w:rsidRPr="003B380F">
              <w:rPr>
                <w:color w:val="000000"/>
                <w:lang w:eastAsia="en-AU"/>
              </w:rPr>
              <w:t>600</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4 300–4 600</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4</w:t>
            </w:r>
            <w:r>
              <w:rPr>
                <w:color w:val="000000"/>
                <w:lang w:eastAsia="en-AU"/>
              </w:rPr>
              <w:t> </w:t>
            </w:r>
            <w:r w:rsidRPr="00B2174E">
              <w:rPr>
                <w:color w:val="000000"/>
                <w:lang w:eastAsia="en-AU"/>
              </w:rPr>
              <w:t>954</w:t>
            </w:r>
          </w:p>
        </w:tc>
      </w:tr>
      <w:tr w:rsidR="00A53D7D" w:rsidRPr="00A475B8" w:rsidTr="005140B4">
        <w:trPr>
          <w:cantSplit/>
        </w:trPr>
        <w:tc>
          <w:tcPr>
            <w:tcW w:w="7776" w:type="dxa"/>
            <w:gridSpan w:val="8"/>
            <w:tcBorders>
              <w:left w:val="nil"/>
              <w:bottom w:val="single" w:sz="6" w:space="0" w:color="auto"/>
              <w:right w:val="nil"/>
            </w:tcBorders>
            <w:shd w:val="clear" w:color="auto" w:fill="auto"/>
            <w:vAlign w:val="center"/>
          </w:tcPr>
          <w:p w:rsidR="00A53D7D" w:rsidRPr="00B2174E" w:rsidRDefault="00A53D7D" w:rsidP="005140B4">
            <w:pPr>
              <w:pStyle w:val="OGNotes"/>
              <w:rPr>
                <w:szCs w:val="18"/>
              </w:rPr>
            </w:pPr>
            <w:r w:rsidRPr="003B380F">
              <w:t>The 2013</w:t>
            </w:r>
            <w:r>
              <w:noBreakHyphen/>
            </w:r>
            <w:r w:rsidRPr="003B380F">
              <w:t>14 expected outcome is higher than the 2013</w:t>
            </w:r>
            <w:r>
              <w:noBreakHyphen/>
            </w:r>
            <w:r w:rsidRPr="003B380F">
              <w:t xml:space="preserve">14 target due to improved engagement with clinicians on the </w:t>
            </w:r>
            <w:proofErr w:type="spellStart"/>
            <w:r w:rsidRPr="003B380F">
              <w:t>reportability</w:t>
            </w:r>
            <w:proofErr w:type="spellEnd"/>
            <w:r w:rsidRPr="003B380F">
              <w:t xml:space="preserve"> of deaths following the introduction of </w:t>
            </w:r>
            <w:r>
              <w:t>VIFM’s</w:t>
            </w:r>
            <w:r w:rsidRPr="003B380F">
              <w:t xml:space="preserve"> Coronial Admissions and Enquir</w:t>
            </w:r>
            <w:r>
              <w:t>i</w:t>
            </w:r>
            <w:r w:rsidRPr="003B380F">
              <w:t>e</w:t>
            </w:r>
            <w:r>
              <w:t>s Office</w:t>
            </w:r>
            <w:r w:rsidRPr="003B380F">
              <w:t>.</w:t>
            </w:r>
            <w:r>
              <w:rPr>
                <w:szCs w:val="18"/>
              </w:rPr>
              <w:t xml:space="preserve"> </w:t>
            </w:r>
            <w:r w:rsidRPr="008D6196">
              <w:t>The 2014</w:t>
            </w:r>
            <w:r>
              <w:noBreakHyphen/>
            </w:r>
            <w:r w:rsidRPr="008D6196">
              <w:t>15 target has been adjusted accordingly.</w:t>
            </w:r>
          </w:p>
        </w:tc>
      </w:tr>
      <w:tr w:rsidR="00A53D7D" w:rsidRPr="00A475B8" w:rsidTr="005140B4">
        <w:trPr>
          <w:cantSplit/>
          <w:trHeight w:val="506"/>
        </w:trPr>
        <w:tc>
          <w:tcPr>
            <w:tcW w:w="3155"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Text"/>
              <w:rPr>
                <w:color w:val="000000"/>
                <w:lang w:eastAsia="en-AU"/>
              </w:rPr>
            </w:pPr>
            <w:r w:rsidRPr="00B2174E">
              <w:rPr>
                <w:color w:val="000000"/>
                <w:lang w:eastAsia="en-AU"/>
              </w:rPr>
              <w:t>Duty lawyer services (VLA)</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74 000</w:t>
            </w:r>
          </w:p>
        </w:tc>
        <w:tc>
          <w:tcPr>
            <w:tcW w:w="993" w:type="dxa"/>
            <w:gridSpan w:val="3"/>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74 </w:t>
            </w:r>
            <w:r w:rsidRPr="00B2174E">
              <w:rPr>
                <w:color w:val="000000"/>
                <w:lang w:eastAsia="en-AU"/>
              </w:rPr>
              <w:t>000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74 </w:t>
            </w:r>
            <w:r w:rsidRPr="00B2174E">
              <w:rPr>
                <w:color w:val="000000"/>
                <w:lang w:eastAsia="en-AU"/>
              </w:rPr>
              <w:t>000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65 </w:t>
            </w:r>
            <w:r w:rsidRPr="00B2174E">
              <w:rPr>
                <w:color w:val="000000"/>
                <w:lang w:eastAsia="en-AU"/>
              </w:rPr>
              <w:t>303</w:t>
            </w:r>
          </w:p>
        </w:tc>
      </w:tr>
      <w:tr w:rsidR="00A53D7D" w:rsidRPr="003276B2" w:rsidTr="005140B4">
        <w:trPr>
          <w:cantSplit/>
        </w:trPr>
        <w:tc>
          <w:tcPr>
            <w:tcW w:w="3155" w:type="dxa"/>
            <w:tcBorders>
              <w:top w:val="single" w:sz="6" w:space="0" w:color="auto"/>
              <w:left w:val="nil"/>
              <w:right w:val="nil"/>
            </w:tcBorders>
            <w:shd w:val="clear" w:color="auto" w:fill="auto"/>
            <w:vAlign w:val="center"/>
          </w:tcPr>
          <w:p w:rsidR="00A53D7D" w:rsidRPr="003B380F" w:rsidRDefault="00A53D7D" w:rsidP="005140B4">
            <w:pPr>
              <w:pStyle w:val="OGTabText"/>
              <w:rPr>
                <w:color w:val="000000"/>
                <w:lang w:eastAsia="en-AU"/>
              </w:rPr>
            </w:pPr>
            <w:r w:rsidRPr="00B2174E">
              <w:rPr>
                <w:color w:val="000000"/>
                <w:lang w:eastAsia="en-AU"/>
              </w:rPr>
              <w:t>Dispute resolution services provided in the Dispute Settlement Centre of Victoria (DSCV)</w:t>
            </w:r>
          </w:p>
        </w:tc>
        <w:tc>
          <w:tcPr>
            <w:tcW w:w="907" w:type="dxa"/>
            <w:tcBorders>
              <w:top w:val="single" w:sz="6" w:space="0" w:color="auto"/>
              <w:left w:val="nil"/>
              <w:right w:val="nil"/>
            </w:tcBorders>
            <w:shd w:val="clear" w:color="auto" w:fill="auto"/>
          </w:tcPr>
          <w:p w:rsidR="00A53D7D" w:rsidRPr="003B380F" w:rsidRDefault="00A53D7D" w:rsidP="005140B4">
            <w:pPr>
              <w:pStyle w:val="OGUoM"/>
              <w:rPr>
                <w:color w:val="000000"/>
                <w:lang w:eastAsia="en-AU"/>
              </w:rPr>
            </w:pPr>
            <w:r>
              <w:rPr>
                <w:color w:val="000000"/>
                <w:lang w:eastAsia="en-AU"/>
              </w:rPr>
              <w:t>n</w:t>
            </w:r>
            <w:r w:rsidRPr="00B2174E">
              <w:rPr>
                <w:color w:val="000000"/>
                <w:lang w:eastAsia="en-AU"/>
              </w:rPr>
              <w:t>umber</w:t>
            </w: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Pr>
                <w:color w:val="000000"/>
                <w:lang w:eastAsia="en-AU"/>
              </w:rPr>
              <w:t>21 500</w:t>
            </w:r>
          </w:p>
        </w:tc>
        <w:tc>
          <w:tcPr>
            <w:tcW w:w="993" w:type="dxa"/>
            <w:gridSpan w:val="3"/>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21</w:t>
            </w:r>
            <w:r>
              <w:rPr>
                <w:color w:val="000000"/>
                <w:lang w:eastAsia="en-AU"/>
              </w:rPr>
              <w:t> </w:t>
            </w:r>
            <w:r w:rsidRPr="00B2174E">
              <w:rPr>
                <w:color w:val="000000"/>
                <w:lang w:eastAsia="en-AU"/>
              </w:rPr>
              <w:t>000</w:t>
            </w:r>
            <w:r w:rsidRPr="00B2174E">
              <w:rPr>
                <w:color w:val="000000"/>
                <w:lang w:eastAsia="en-AU"/>
              </w:rPr>
              <w:br/>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19 500</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nm</w:t>
            </w:r>
          </w:p>
        </w:tc>
      </w:tr>
      <w:tr w:rsidR="00A53D7D" w:rsidRPr="00A475B8" w:rsidTr="005140B4">
        <w:trPr>
          <w:cantSplit/>
        </w:trPr>
        <w:tc>
          <w:tcPr>
            <w:tcW w:w="7776" w:type="dxa"/>
            <w:gridSpan w:val="8"/>
            <w:tcBorders>
              <w:top w:val="nil"/>
              <w:left w:val="nil"/>
              <w:bottom w:val="single" w:sz="6" w:space="0" w:color="auto"/>
              <w:right w:val="nil"/>
            </w:tcBorders>
            <w:shd w:val="clear" w:color="auto" w:fill="auto"/>
            <w:vAlign w:val="center"/>
          </w:tcPr>
          <w:p w:rsidR="00A53D7D" w:rsidRPr="003B380F" w:rsidRDefault="00A53D7D" w:rsidP="005140B4">
            <w:pPr>
              <w:pStyle w:val="OGNotes"/>
            </w:pPr>
            <w:r w:rsidRPr="00B2174E">
              <w:rPr>
                <w:rFonts w:cs="Calibri"/>
                <w:szCs w:val="15"/>
              </w:rPr>
              <w:t>The 2013</w:t>
            </w:r>
            <w:r>
              <w:rPr>
                <w:rFonts w:cs="Calibri"/>
                <w:szCs w:val="15"/>
              </w:rPr>
              <w:noBreakHyphen/>
            </w:r>
            <w:r w:rsidRPr="00B2174E">
              <w:rPr>
                <w:rFonts w:cs="Calibri"/>
                <w:szCs w:val="15"/>
              </w:rPr>
              <w:t>14 expected outcome is higher than the 2013</w:t>
            </w:r>
            <w:r>
              <w:rPr>
                <w:rFonts w:cs="Calibri"/>
                <w:szCs w:val="15"/>
              </w:rPr>
              <w:noBreakHyphen/>
            </w:r>
            <w:r w:rsidRPr="00B2174E">
              <w:rPr>
                <w:rFonts w:cs="Calibri"/>
                <w:szCs w:val="15"/>
              </w:rPr>
              <w:t>14 target arising from the Dispute Settlement Centre's (DSCV) head office new phone syste</w:t>
            </w:r>
            <w:r>
              <w:rPr>
                <w:rFonts w:cs="Calibri"/>
                <w:szCs w:val="15"/>
              </w:rPr>
              <w:t xml:space="preserve">m </w:t>
            </w:r>
            <w:r w:rsidRPr="00B2174E">
              <w:rPr>
                <w:rFonts w:cs="Calibri"/>
                <w:szCs w:val="15"/>
              </w:rPr>
              <w:t>which resulted in higher than expected performance over 2013</w:t>
            </w:r>
            <w:r>
              <w:rPr>
                <w:rFonts w:cs="Calibri"/>
                <w:szCs w:val="15"/>
              </w:rPr>
              <w:noBreakHyphen/>
            </w:r>
            <w:r w:rsidRPr="00B2174E">
              <w:rPr>
                <w:rFonts w:cs="Calibri"/>
                <w:szCs w:val="15"/>
              </w:rPr>
              <w:t>14. The new phone system</w:t>
            </w:r>
            <w:r>
              <w:rPr>
                <w:rFonts w:cs="Calibri"/>
                <w:szCs w:val="15"/>
              </w:rPr>
              <w:t xml:space="preserve">, rolled out </w:t>
            </w:r>
            <w:r w:rsidRPr="00B2174E">
              <w:rPr>
                <w:rFonts w:cs="Calibri"/>
                <w:szCs w:val="15"/>
              </w:rPr>
              <w:t>in August 2013</w:t>
            </w:r>
            <w:r>
              <w:rPr>
                <w:rFonts w:cs="Calibri"/>
                <w:szCs w:val="15"/>
              </w:rPr>
              <w:t>,</w:t>
            </w:r>
            <w:r w:rsidRPr="00B2174E">
              <w:rPr>
                <w:rFonts w:cs="Calibri"/>
                <w:szCs w:val="15"/>
              </w:rPr>
              <w:t xml:space="preserve"> provides the Centre with a number of extra features that has improved access to services and a reduction in caller "drop</w:t>
            </w:r>
            <w:r>
              <w:rPr>
                <w:rFonts w:cs="Calibri"/>
                <w:szCs w:val="15"/>
              </w:rPr>
              <w:noBreakHyphen/>
            </w:r>
            <w:r w:rsidRPr="00B2174E">
              <w:rPr>
                <w:rFonts w:cs="Calibri"/>
                <w:szCs w:val="15"/>
              </w:rPr>
              <w:t>off" rates. The 2014</w:t>
            </w:r>
            <w:r>
              <w:rPr>
                <w:rFonts w:cs="Calibri"/>
                <w:szCs w:val="15"/>
              </w:rPr>
              <w:noBreakHyphen/>
            </w:r>
            <w:r w:rsidRPr="00B2174E">
              <w:rPr>
                <w:rFonts w:cs="Calibri"/>
                <w:szCs w:val="15"/>
              </w:rPr>
              <w:t>15 target has been adjusted accordingly.</w:t>
            </w:r>
          </w:p>
        </w:tc>
      </w:tr>
      <w:tr w:rsidR="00A53D7D" w:rsidRPr="00A475B8"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lang w:eastAsia="en-AU"/>
              </w:rPr>
            </w:pPr>
            <w:r w:rsidRPr="00316516">
              <w:rPr>
                <w:lang w:eastAsia="en-AU"/>
              </w:rPr>
              <w:t>Quality</w:t>
            </w:r>
          </w:p>
        </w:tc>
        <w:tc>
          <w:tcPr>
            <w:tcW w:w="907" w:type="dxa"/>
            <w:tcBorders>
              <w:top w:val="single" w:sz="6" w:space="0" w:color="auto"/>
              <w:left w:val="nil"/>
              <w:right w:val="nil"/>
            </w:tcBorders>
            <w:shd w:val="clear" w:color="auto" w:fill="auto"/>
            <w:vAlign w:val="center"/>
          </w:tcPr>
          <w:p w:rsidR="00A53D7D" w:rsidRPr="00B2174E" w:rsidRDefault="00A53D7D" w:rsidP="005140B4">
            <w:pPr>
              <w:pStyle w:val="OGUoM"/>
              <w:rPr>
                <w:color w:val="000000"/>
                <w:lang w:eastAsia="en-AU"/>
              </w:rPr>
            </w:pPr>
            <w:r w:rsidRPr="00316516">
              <w:rPr>
                <w:color w:val="000000"/>
                <w:lang w:eastAsia="en-AU"/>
              </w:rPr>
              <w:t> </w:t>
            </w:r>
          </w:p>
        </w:tc>
        <w:tc>
          <w:tcPr>
            <w:tcW w:w="914" w:type="dxa"/>
            <w:gridSpan w:val="2"/>
            <w:tcBorders>
              <w:top w:val="single" w:sz="6" w:space="0" w:color="auto"/>
              <w:left w:val="nil"/>
              <w:right w:val="nil"/>
            </w:tcBorders>
            <w:shd w:val="clear" w:color="auto" w:fill="E6E6E6"/>
            <w:vAlign w:val="center"/>
          </w:tcPr>
          <w:p w:rsidR="00A53D7D" w:rsidRPr="00B2174E" w:rsidRDefault="00A53D7D" w:rsidP="005140B4">
            <w:pPr>
              <w:pStyle w:val="OGTableofFigures"/>
              <w:rPr>
                <w:color w:val="000000"/>
                <w:lang w:eastAsia="en-AU"/>
              </w:rPr>
            </w:pPr>
            <w:r w:rsidRPr="00316516">
              <w:rPr>
                <w:color w:val="000000"/>
                <w:lang w:eastAsia="en-AU"/>
              </w:rPr>
              <w:t> </w:t>
            </w:r>
          </w:p>
        </w:tc>
        <w:tc>
          <w:tcPr>
            <w:tcW w:w="986" w:type="dxa"/>
            <w:gridSpan w:val="2"/>
            <w:tcBorders>
              <w:top w:val="single" w:sz="6" w:space="0" w:color="auto"/>
              <w:left w:val="nil"/>
              <w:right w:val="nil"/>
            </w:tcBorders>
            <w:shd w:val="clear" w:color="auto" w:fill="auto"/>
            <w:vAlign w:val="center"/>
          </w:tcPr>
          <w:p w:rsidR="00A53D7D" w:rsidRPr="00B2174E" w:rsidRDefault="00A53D7D" w:rsidP="005140B4">
            <w:pPr>
              <w:pStyle w:val="OGTableofFigures"/>
              <w:rPr>
                <w:color w:val="000000"/>
                <w:lang w:eastAsia="en-AU"/>
              </w:rPr>
            </w:pPr>
            <w:r w:rsidRPr="00316516">
              <w:rPr>
                <w:color w:val="000000"/>
                <w:lang w:eastAsia="en-AU"/>
              </w:rPr>
              <w:t> </w:t>
            </w:r>
          </w:p>
        </w:tc>
        <w:tc>
          <w:tcPr>
            <w:tcW w:w="907" w:type="dxa"/>
            <w:tcBorders>
              <w:top w:val="single" w:sz="6" w:space="0" w:color="auto"/>
              <w:left w:val="nil"/>
              <w:right w:val="nil"/>
            </w:tcBorders>
            <w:shd w:val="clear" w:color="auto" w:fill="auto"/>
            <w:vAlign w:val="center"/>
          </w:tcPr>
          <w:p w:rsidR="00A53D7D" w:rsidRPr="00B2174E" w:rsidRDefault="00A53D7D" w:rsidP="005140B4">
            <w:pPr>
              <w:pStyle w:val="OGTableofFigures"/>
              <w:rPr>
                <w:color w:val="000000"/>
                <w:lang w:eastAsia="en-AU"/>
              </w:rPr>
            </w:pPr>
            <w:r w:rsidRPr="00316516">
              <w:rPr>
                <w:color w:val="000000"/>
                <w:lang w:eastAsia="en-AU"/>
              </w:rPr>
              <w:t> </w:t>
            </w:r>
          </w:p>
        </w:tc>
        <w:tc>
          <w:tcPr>
            <w:tcW w:w="907" w:type="dxa"/>
            <w:tcBorders>
              <w:top w:val="single" w:sz="6" w:space="0" w:color="auto"/>
              <w:left w:val="nil"/>
              <w:right w:val="nil"/>
            </w:tcBorders>
            <w:shd w:val="clear" w:color="auto" w:fill="auto"/>
            <w:vAlign w:val="center"/>
          </w:tcPr>
          <w:p w:rsidR="00A53D7D" w:rsidRPr="00B2174E" w:rsidRDefault="00A53D7D" w:rsidP="005140B4">
            <w:pPr>
              <w:pStyle w:val="OGTableofFigures"/>
              <w:rPr>
                <w:color w:val="000000"/>
                <w:lang w:eastAsia="en-AU"/>
              </w:rPr>
            </w:pPr>
            <w:r w:rsidRPr="00316516">
              <w:rPr>
                <w:color w:val="000000"/>
                <w:lang w:eastAsia="en-AU"/>
              </w:rPr>
              <w:t> </w:t>
            </w:r>
          </w:p>
        </w:tc>
      </w:tr>
      <w:tr w:rsidR="00A53D7D" w:rsidRPr="00A475B8" w:rsidTr="005140B4">
        <w:trPr>
          <w:cantSplit/>
        </w:trPr>
        <w:tc>
          <w:tcPr>
            <w:tcW w:w="3155" w:type="dxa"/>
            <w:tcBorders>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Stakeholder satisfaction with consultation/education processes (VLRC)</w:t>
            </w:r>
          </w:p>
        </w:tc>
        <w:tc>
          <w:tcPr>
            <w:tcW w:w="907" w:type="dxa"/>
            <w:tcBorders>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14" w:type="dxa"/>
            <w:gridSpan w:val="2"/>
            <w:tcBorders>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85</w:t>
            </w:r>
          </w:p>
        </w:tc>
        <w:tc>
          <w:tcPr>
            <w:tcW w:w="986" w:type="dxa"/>
            <w:gridSpan w:val="2"/>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85</w:t>
            </w:r>
          </w:p>
        </w:tc>
        <w:tc>
          <w:tcPr>
            <w:tcW w:w="907" w:type="dxa"/>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85</w:t>
            </w:r>
          </w:p>
        </w:tc>
        <w:tc>
          <w:tcPr>
            <w:tcW w:w="907" w:type="dxa"/>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85</w:t>
            </w:r>
          </w:p>
        </w:tc>
      </w:tr>
      <w:tr w:rsidR="00A53D7D" w:rsidRPr="00A475B8"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Client satisfaction with quality of legal advice provided (VGSO)</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14" w:type="dxa"/>
            <w:gridSpan w:val="2"/>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80</w:t>
            </w:r>
          </w:p>
        </w:tc>
        <w:tc>
          <w:tcPr>
            <w:tcW w:w="986" w:type="dxa"/>
            <w:gridSpan w:val="2"/>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85</w:t>
            </w:r>
          </w:p>
        </w:tc>
      </w:tr>
      <w:tr w:rsidR="00A53D7D" w:rsidRPr="00A475B8"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Victorian Institute of Forensic Medicine quality audit (VIFM)</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14" w:type="dxa"/>
            <w:gridSpan w:val="2"/>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95</w:t>
            </w:r>
          </w:p>
        </w:tc>
        <w:tc>
          <w:tcPr>
            <w:tcW w:w="986" w:type="dxa"/>
            <w:gridSpan w:val="2"/>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3B380F">
              <w:rPr>
                <w:color w:val="000000"/>
                <w:lang w:eastAsia="en-AU"/>
              </w:rPr>
              <w:t>88</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95</w:t>
            </w:r>
          </w:p>
        </w:tc>
        <w:tc>
          <w:tcPr>
            <w:tcW w:w="907" w:type="dxa"/>
            <w:tcBorders>
              <w:top w:val="single" w:sz="6" w:space="0" w:color="auto"/>
              <w:left w:val="nil"/>
              <w:right w:val="nil"/>
            </w:tcBorders>
            <w:shd w:val="clear" w:color="auto" w:fill="auto"/>
          </w:tcPr>
          <w:p w:rsidR="00A53D7D" w:rsidRPr="003B380F" w:rsidRDefault="00A53D7D" w:rsidP="005140B4">
            <w:pPr>
              <w:pStyle w:val="OGTableofFigures"/>
              <w:rPr>
                <w:color w:val="000000"/>
                <w:lang w:eastAsia="en-AU"/>
              </w:rPr>
            </w:pPr>
            <w:r w:rsidRPr="00B2174E">
              <w:rPr>
                <w:color w:val="000000"/>
                <w:lang w:eastAsia="en-AU"/>
              </w:rPr>
              <w:t>90</w:t>
            </w:r>
          </w:p>
        </w:tc>
      </w:tr>
      <w:tr w:rsidR="00A53D7D" w:rsidRPr="00A475B8" w:rsidTr="005140B4">
        <w:trPr>
          <w:cantSplit/>
        </w:trPr>
        <w:tc>
          <w:tcPr>
            <w:tcW w:w="7776" w:type="dxa"/>
            <w:gridSpan w:val="8"/>
            <w:tcBorders>
              <w:top w:val="nil"/>
              <w:left w:val="nil"/>
              <w:bottom w:val="single" w:sz="6" w:space="0" w:color="auto"/>
              <w:right w:val="nil"/>
            </w:tcBorders>
            <w:shd w:val="clear" w:color="auto" w:fill="auto"/>
            <w:vAlign w:val="center"/>
          </w:tcPr>
          <w:p w:rsidR="00A53D7D" w:rsidRPr="00B2174E" w:rsidRDefault="00A53D7D" w:rsidP="005140B4">
            <w:pPr>
              <w:pStyle w:val="OGNotes"/>
              <w:rPr>
                <w:szCs w:val="18"/>
              </w:rPr>
            </w:pPr>
            <w:r w:rsidRPr="003B380F">
              <w:t>The 2013</w:t>
            </w:r>
            <w:r>
              <w:noBreakHyphen/>
            </w:r>
            <w:r w:rsidRPr="003B380F">
              <w:t>14 expected outcome is lower than the 2013</w:t>
            </w:r>
            <w:r>
              <w:noBreakHyphen/>
            </w:r>
            <w:r w:rsidRPr="003B380F">
              <w:t xml:space="preserve">14 target due to the implementation of updated audit criteria during the </w:t>
            </w:r>
            <w:r w:rsidRPr="003B380F">
              <w:rPr>
                <w:szCs w:val="18"/>
              </w:rPr>
              <w:t>period.</w:t>
            </w:r>
          </w:p>
        </w:tc>
      </w:tr>
      <w:tr w:rsidR="00A53D7D" w:rsidRPr="00A475B8" w:rsidTr="005140B4">
        <w:trPr>
          <w:cantSplit/>
        </w:trPr>
        <w:tc>
          <w:tcPr>
            <w:tcW w:w="3155" w:type="dxa"/>
            <w:tcBorders>
              <w:left w:val="nil"/>
              <w:bottom w:val="single" w:sz="6" w:space="0" w:color="auto"/>
              <w:right w:val="nil"/>
            </w:tcBorders>
            <w:shd w:val="clear" w:color="auto" w:fill="auto"/>
            <w:vAlign w:val="center"/>
          </w:tcPr>
          <w:p w:rsidR="00A53D7D" w:rsidRPr="00296880" w:rsidRDefault="00A53D7D" w:rsidP="005140B4">
            <w:pPr>
              <w:pStyle w:val="OGTabHead"/>
            </w:pPr>
            <w:r w:rsidRPr="00296880">
              <w:t>Timeliness</w:t>
            </w:r>
          </w:p>
        </w:tc>
        <w:tc>
          <w:tcPr>
            <w:tcW w:w="907" w:type="dxa"/>
            <w:tcBorders>
              <w:left w:val="nil"/>
              <w:bottom w:val="single" w:sz="6" w:space="0" w:color="auto"/>
              <w:right w:val="nil"/>
            </w:tcBorders>
            <w:shd w:val="clear" w:color="auto" w:fill="auto"/>
          </w:tcPr>
          <w:p w:rsidR="00A53D7D" w:rsidRPr="00B2174E" w:rsidRDefault="00A53D7D" w:rsidP="005140B4">
            <w:pPr>
              <w:pStyle w:val="OGUoM"/>
              <w:rPr>
                <w:color w:val="000000"/>
                <w:lang w:eastAsia="en-AU"/>
              </w:rPr>
            </w:pPr>
          </w:p>
        </w:tc>
        <w:tc>
          <w:tcPr>
            <w:tcW w:w="914" w:type="dxa"/>
            <w:gridSpan w:val="2"/>
            <w:tcBorders>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p>
        </w:tc>
        <w:tc>
          <w:tcPr>
            <w:tcW w:w="986" w:type="dxa"/>
            <w:gridSpan w:val="2"/>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p>
        </w:tc>
        <w:tc>
          <w:tcPr>
            <w:tcW w:w="907" w:type="dxa"/>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p>
        </w:tc>
        <w:tc>
          <w:tcPr>
            <w:tcW w:w="907" w:type="dxa"/>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p>
        </w:tc>
      </w:tr>
      <w:tr w:rsidR="00A53D7D" w:rsidRPr="00A475B8" w:rsidTr="005140B4">
        <w:trPr>
          <w:cantSplit/>
        </w:trPr>
        <w:tc>
          <w:tcPr>
            <w:tcW w:w="3155" w:type="dxa"/>
            <w:tcBorders>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Client satisfaction with timeliness of legal advice provided (VGSO)</w:t>
            </w:r>
          </w:p>
        </w:tc>
        <w:tc>
          <w:tcPr>
            <w:tcW w:w="907" w:type="dxa"/>
            <w:tcBorders>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14" w:type="dxa"/>
            <w:gridSpan w:val="2"/>
            <w:tcBorders>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80</w:t>
            </w:r>
          </w:p>
        </w:tc>
        <w:tc>
          <w:tcPr>
            <w:tcW w:w="986" w:type="dxa"/>
            <w:gridSpan w:val="2"/>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80</w:t>
            </w:r>
          </w:p>
        </w:tc>
        <w:tc>
          <w:tcPr>
            <w:tcW w:w="907" w:type="dxa"/>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80</w:t>
            </w:r>
          </w:p>
        </w:tc>
        <w:tc>
          <w:tcPr>
            <w:tcW w:w="907" w:type="dxa"/>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78</w:t>
            </w:r>
          </w:p>
        </w:tc>
      </w:tr>
      <w:tr w:rsidR="00A53D7D" w:rsidRPr="00A475B8"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Proportion of Native Title negotiations progressed in accordance with the department’s annual work plan and timeframes monitored by the Federal Court</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14" w:type="dxa"/>
            <w:gridSpan w:val="2"/>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100</w:t>
            </w:r>
          </w:p>
        </w:tc>
        <w:tc>
          <w:tcPr>
            <w:tcW w:w="986" w:type="dxa"/>
            <w:gridSpan w:val="2"/>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100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100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100</w:t>
            </w:r>
          </w:p>
        </w:tc>
      </w:tr>
      <w:tr w:rsidR="00A53D7D" w:rsidRPr="00A475B8"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Applications for legal aid processed within 15 days (VLA)</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14" w:type="dxa"/>
            <w:gridSpan w:val="2"/>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95</w:t>
            </w:r>
          </w:p>
        </w:tc>
        <w:tc>
          <w:tcPr>
            <w:tcW w:w="986" w:type="dxa"/>
            <w:gridSpan w:val="2"/>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95</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95</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85</w:t>
            </w:r>
          </w:p>
        </w:tc>
      </w:tr>
      <w:tr w:rsidR="00A53D7D" w:rsidRPr="00A475B8"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Medico</w:t>
            </w:r>
            <w:r>
              <w:rPr>
                <w:color w:val="000000"/>
                <w:lang w:eastAsia="en-AU"/>
              </w:rPr>
              <w:noBreakHyphen/>
            </w:r>
            <w:r w:rsidRPr="00B2174E">
              <w:rPr>
                <w:color w:val="000000"/>
                <w:lang w:eastAsia="en-AU"/>
              </w:rPr>
              <w:t>legal death investigation reports issued within agreed period (VIFM)</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14" w:type="dxa"/>
            <w:gridSpan w:val="2"/>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60–70</w:t>
            </w:r>
          </w:p>
        </w:tc>
        <w:tc>
          <w:tcPr>
            <w:tcW w:w="986" w:type="dxa"/>
            <w:gridSpan w:val="2"/>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3B380F">
              <w:rPr>
                <w:color w:val="000000"/>
                <w:lang w:eastAsia="en-AU"/>
              </w:rPr>
              <w:t>60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60–70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61</w:t>
            </w:r>
          </w:p>
        </w:tc>
      </w:tr>
      <w:tr w:rsidR="00A53D7D" w:rsidRPr="00A475B8"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Medical and scientific investigations on the body of the deceased completed within two days</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14" w:type="dxa"/>
            <w:gridSpan w:val="2"/>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xml:space="preserve">75–85 </w:t>
            </w:r>
          </w:p>
        </w:tc>
        <w:tc>
          <w:tcPr>
            <w:tcW w:w="986" w:type="dxa"/>
            <w:gridSpan w:val="2"/>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3B380F">
              <w:rPr>
                <w:color w:val="000000"/>
                <w:lang w:eastAsia="en-AU"/>
              </w:rPr>
              <w:t>70</w:t>
            </w:r>
            <w:r w:rsidRPr="00B2174E">
              <w:rPr>
                <w:color w:val="000000"/>
                <w:lang w:eastAsia="en-AU"/>
              </w:rPr>
              <w:br/>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75–85</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82</w:t>
            </w:r>
          </w:p>
        </w:tc>
      </w:tr>
      <w:tr w:rsidR="00A53D7D" w:rsidRPr="00A475B8" w:rsidTr="005140B4">
        <w:trPr>
          <w:cantSplit/>
        </w:trPr>
        <w:tc>
          <w:tcPr>
            <w:tcW w:w="7776" w:type="dxa"/>
            <w:gridSpan w:val="8"/>
            <w:tcBorders>
              <w:left w:val="nil"/>
              <w:bottom w:val="single" w:sz="6" w:space="0" w:color="auto"/>
              <w:right w:val="nil"/>
            </w:tcBorders>
            <w:shd w:val="clear" w:color="auto" w:fill="auto"/>
            <w:vAlign w:val="center"/>
          </w:tcPr>
          <w:p w:rsidR="00A53D7D" w:rsidRPr="00B2174E" w:rsidRDefault="00A53D7D" w:rsidP="005140B4">
            <w:pPr>
              <w:pStyle w:val="OGNotes"/>
              <w:rPr>
                <w:szCs w:val="18"/>
              </w:rPr>
            </w:pPr>
            <w:r>
              <w:t>The 2013</w:t>
            </w:r>
            <w:r>
              <w:noBreakHyphen/>
              <w:t xml:space="preserve">14 </w:t>
            </w:r>
            <w:r w:rsidRPr="00AA2691">
              <w:t>expected outcome is lower than the 2013</w:t>
            </w:r>
            <w:r>
              <w:noBreakHyphen/>
            </w:r>
            <w:r w:rsidRPr="00AA2691">
              <w:t xml:space="preserve">14 </w:t>
            </w:r>
            <w:r>
              <w:t>t</w:t>
            </w:r>
            <w:r w:rsidRPr="00AA2691">
              <w:t xml:space="preserve">arget due to the impact of </w:t>
            </w:r>
            <w:r>
              <w:t>increased m</w:t>
            </w:r>
            <w:r w:rsidRPr="00AA2691">
              <w:t>edico</w:t>
            </w:r>
            <w:r>
              <w:noBreakHyphen/>
            </w:r>
            <w:r w:rsidRPr="00AA2691">
              <w:t>legal death investigations</w:t>
            </w:r>
            <w:r>
              <w:t>.</w:t>
            </w:r>
            <w:r w:rsidRPr="00AA2691" w:rsidDel="00E723DF">
              <w:t xml:space="preserve"> </w:t>
            </w:r>
          </w:p>
        </w:tc>
      </w:tr>
      <w:tr w:rsidR="00A53D7D" w:rsidRPr="00A475B8" w:rsidTr="004E7A50">
        <w:trPr>
          <w:cantSplit/>
        </w:trPr>
        <w:tc>
          <w:tcPr>
            <w:tcW w:w="3155" w:type="dxa"/>
            <w:tcBorders>
              <w:top w:val="single" w:sz="6" w:space="0" w:color="auto"/>
              <w:left w:val="nil"/>
              <w:right w:val="nil"/>
            </w:tcBorders>
            <w:shd w:val="clear" w:color="auto" w:fill="auto"/>
            <w:vAlign w:val="center"/>
          </w:tcPr>
          <w:p w:rsidR="00A53D7D" w:rsidRPr="003B380F" w:rsidRDefault="00A53D7D" w:rsidP="005140B4">
            <w:pPr>
              <w:pStyle w:val="OGTabText"/>
              <w:rPr>
                <w:color w:val="000000"/>
                <w:lang w:eastAsia="en-AU"/>
              </w:rPr>
            </w:pPr>
            <w:r w:rsidRPr="00B2174E">
              <w:rPr>
                <w:color w:val="000000"/>
                <w:lang w:eastAsia="en-AU"/>
              </w:rPr>
              <w:t>Intake and mediation services conducted within agreed timeframes by the Dispute Settlement Centre of Victoria (DSCV)</w:t>
            </w:r>
          </w:p>
        </w:tc>
        <w:tc>
          <w:tcPr>
            <w:tcW w:w="907" w:type="dxa"/>
            <w:tcBorders>
              <w:top w:val="single" w:sz="6" w:space="0" w:color="auto"/>
              <w:left w:val="nil"/>
              <w:right w:val="nil"/>
            </w:tcBorders>
            <w:shd w:val="clear" w:color="auto" w:fill="auto"/>
          </w:tcPr>
          <w:p w:rsidR="00A53D7D" w:rsidRPr="003B380F" w:rsidRDefault="00A53D7D" w:rsidP="005140B4">
            <w:pPr>
              <w:pStyle w:val="OGUoM"/>
              <w:rPr>
                <w:color w:val="000000"/>
                <w:lang w:eastAsia="en-AU"/>
              </w:rPr>
            </w:pPr>
            <w:r w:rsidRPr="00B2174E">
              <w:rPr>
                <w:color w:val="000000"/>
                <w:lang w:eastAsia="en-AU"/>
              </w:rPr>
              <w:t>per cent</w:t>
            </w:r>
          </w:p>
        </w:tc>
        <w:tc>
          <w:tcPr>
            <w:tcW w:w="914" w:type="dxa"/>
            <w:gridSpan w:val="2"/>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85</w:t>
            </w:r>
          </w:p>
        </w:tc>
        <w:tc>
          <w:tcPr>
            <w:tcW w:w="986" w:type="dxa"/>
            <w:gridSpan w:val="2"/>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88</w:t>
            </w:r>
            <w:r w:rsidRPr="00B2174E">
              <w:rPr>
                <w:color w:val="000000"/>
                <w:lang w:eastAsia="en-AU"/>
              </w:rPr>
              <w:br/>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85</w:t>
            </w:r>
          </w:p>
        </w:tc>
        <w:tc>
          <w:tcPr>
            <w:tcW w:w="907" w:type="dxa"/>
            <w:tcBorders>
              <w:top w:val="single" w:sz="6" w:space="0" w:color="auto"/>
              <w:left w:val="nil"/>
              <w:right w:val="nil"/>
            </w:tcBorders>
            <w:shd w:val="clear" w:color="auto" w:fill="auto"/>
          </w:tcPr>
          <w:p w:rsidR="00A53D7D" w:rsidRPr="003B380F" w:rsidRDefault="00A53D7D" w:rsidP="005140B4">
            <w:pPr>
              <w:pStyle w:val="OGTableofFigures"/>
              <w:rPr>
                <w:color w:val="000000"/>
                <w:lang w:eastAsia="en-AU"/>
              </w:rPr>
            </w:pPr>
            <w:r w:rsidRPr="00B2174E">
              <w:rPr>
                <w:color w:val="000000"/>
                <w:lang w:eastAsia="en-AU"/>
              </w:rPr>
              <w:t>nm</w:t>
            </w:r>
          </w:p>
        </w:tc>
      </w:tr>
      <w:tr w:rsidR="00A53D7D" w:rsidRPr="00A475B8" w:rsidTr="005140B4">
        <w:trPr>
          <w:cantSplit/>
          <w:trHeight w:val="251"/>
        </w:trPr>
        <w:tc>
          <w:tcPr>
            <w:tcW w:w="7776" w:type="dxa"/>
            <w:gridSpan w:val="8"/>
            <w:tcBorders>
              <w:left w:val="nil"/>
              <w:bottom w:val="single" w:sz="6" w:space="0" w:color="auto"/>
              <w:right w:val="nil"/>
            </w:tcBorders>
            <w:shd w:val="clear" w:color="auto" w:fill="auto"/>
            <w:vAlign w:val="center"/>
          </w:tcPr>
          <w:p w:rsidR="00A53D7D" w:rsidRPr="003B380F" w:rsidRDefault="00A53D7D" w:rsidP="005140B4">
            <w:pPr>
              <w:pStyle w:val="OGNotes"/>
            </w:pPr>
            <w:r w:rsidRPr="00B2174E">
              <w:rPr>
                <w:rFonts w:cs="Calibri"/>
                <w:szCs w:val="15"/>
              </w:rPr>
              <w:t>The 2013</w:t>
            </w:r>
            <w:r>
              <w:rPr>
                <w:rFonts w:cs="Calibri"/>
                <w:szCs w:val="15"/>
              </w:rPr>
              <w:noBreakHyphen/>
            </w:r>
            <w:r w:rsidRPr="00B2174E">
              <w:rPr>
                <w:rFonts w:cs="Calibri"/>
                <w:szCs w:val="15"/>
              </w:rPr>
              <w:t>14 expected outcome is higher than the 2013</w:t>
            </w:r>
            <w:r>
              <w:rPr>
                <w:rFonts w:cs="Calibri"/>
                <w:szCs w:val="15"/>
              </w:rPr>
              <w:noBreakHyphen/>
            </w:r>
            <w:r w:rsidRPr="00B2174E">
              <w:rPr>
                <w:rFonts w:cs="Calibri"/>
                <w:szCs w:val="15"/>
              </w:rPr>
              <w:t>14 target due to the DSCV managing an additional volume of calls over the first half of 2013</w:t>
            </w:r>
            <w:r>
              <w:rPr>
                <w:rFonts w:cs="Calibri"/>
                <w:szCs w:val="15"/>
              </w:rPr>
              <w:noBreakHyphen/>
            </w:r>
            <w:r w:rsidRPr="00B2174E">
              <w:rPr>
                <w:rFonts w:cs="Calibri"/>
                <w:szCs w:val="15"/>
              </w:rPr>
              <w:t>14</w:t>
            </w:r>
            <w:proofErr w:type="gramStart"/>
            <w:r w:rsidRPr="00B2174E">
              <w:rPr>
                <w:rFonts w:cs="Calibri"/>
                <w:szCs w:val="15"/>
              </w:rPr>
              <w:t xml:space="preserve">. </w:t>
            </w:r>
            <w:r w:rsidRPr="00B2174E">
              <w:t xml:space="preserve"> </w:t>
            </w:r>
            <w:proofErr w:type="gramEnd"/>
          </w:p>
        </w:tc>
      </w:tr>
      <w:tr w:rsidR="00A53D7D" w:rsidRPr="00A475B8" w:rsidTr="005140B4">
        <w:trPr>
          <w:cantSplit/>
        </w:trPr>
        <w:tc>
          <w:tcPr>
            <w:tcW w:w="3155" w:type="dxa"/>
            <w:tcBorders>
              <w:top w:val="single" w:sz="6" w:space="0" w:color="auto"/>
              <w:left w:val="nil"/>
              <w:right w:val="nil"/>
            </w:tcBorders>
            <w:vAlign w:val="center"/>
          </w:tcPr>
          <w:p w:rsidR="00A53D7D" w:rsidRPr="00A475B8" w:rsidRDefault="00A53D7D" w:rsidP="005140B4">
            <w:pPr>
              <w:pStyle w:val="OGTabHead"/>
              <w:rPr>
                <w:color w:val="000000"/>
                <w:lang w:eastAsia="en-AU"/>
              </w:rPr>
            </w:pPr>
            <w:r w:rsidRPr="00A475B8">
              <w:rPr>
                <w:iCs/>
                <w:color w:val="000000"/>
                <w:lang w:eastAsia="en-AU"/>
              </w:rPr>
              <w:t>Cost</w:t>
            </w:r>
          </w:p>
        </w:tc>
        <w:tc>
          <w:tcPr>
            <w:tcW w:w="907" w:type="dxa"/>
            <w:tcBorders>
              <w:top w:val="single" w:sz="6" w:space="0" w:color="auto"/>
              <w:left w:val="nil"/>
              <w:right w:val="nil"/>
            </w:tcBorders>
          </w:tcPr>
          <w:p w:rsidR="00A53D7D" w:rsidRPr="003E0A6C" w:rsidRDefault="00A53D7D" w:rsidP="005140B4">
            <w:pPr>
              <w:pStyle w:val="OGUoM"/>
              <w:rPr>
                <w:color w:val="000000"/>
                <w:lang w:eastAsia="en-AU"/>
              </w:rPr>
            </w:pPr>
          </w:p>
        </w:tc>
        <w:tc>
          <w:tcPr>
            <w:tcW w:w="907" w:type="dxa"/>
            <w:tcBorders>
              <w:top w:val="single" w:sz="6" w:space="0" w:color="auto"/>
              <w:left w:val="nil"/>
              <w:right w:val="nil"/>
            </w:tcBorders>
            <w:shd w:val="clear" w:color="auto" w:fill="D9D9D9"/>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gridSpan w:val="3"/>
            <w:tcBorders>
              <w:top w:val="single" w:sz="6" w:space="0" w:color="auto"/>
              <w:left w:val="nil"/>
              <w:right w:val="nil"/>
            </w:tcBorders>
          </w:tcPr>
          <w:p w:rsidR="00A53D7D" w:rsidRPr="00EC2CB7" w:rsidRDefault="00A53D7D" w:rsidP="005140B4">
            <w:pPr>
              <w:pStyle w:val="OGTableofFigures"/>
              <w:rPr>
                <w:color w:val="000000"/>
                <w:lang w:eastAsia="en-AU"/>
              </w:rPr>
            </w:pPr>
            <w:r w:rsidRPr="00EC2CB7">
              <w:rPr>
                <w:color w:val="000000"/>
                <w:lang w:eastAsia="en-AU"/>
              </w:rPr>
              <w:t> </w:t>
            </w:r>
          </w:p>
        </w:tc>
        <w:tc>
          <w:tcPr>
            <w:tcW w:w="907" w:type="dxa"/>
            <w:tcBorders>
              <w:top w:val="single" w:sz="6" w:space="0" w:color="auto"/>
              <w:left w:val="nil"/>
              <w:right w:val="nil"/>
            </w:tcBorders>
          </w:tcPr>
          <w:p w:rsidR="00A53D7D" w:rsidRPr="00EC2CB7" w:rsidRDefault="00A53D7D" w:rsidP="005140B4">
            <w:pPr>
              <w:pStyle w:val="OGTableofFigures"/>
              <w:rPr>
                <w:color w:val="000000"/>
                <w:lang w:eastAsia="en-AU"/>
              </w:rPr>
            </w:pPr>
            <w:r w:rsidRPr="00EC2CB7">
              <w:rPr>
                <w:color w:val="000000"/>
                <w:lang w:eastAsia="en-AU"/>
              </w:rPr>
              <w:t> </w:t>
            </w:r>
          </w:p>
        </w:tc>
        <w:tc>
          <w:tcPr>
            <w:tcW w:w="907" w:type="dxa"/>
            <w:tcBorders>
              <w:top w:val="single" w:sz="6" w:space="0" w:color="auto"/>
              <w:left w:val="nil"/>
              <w:right w:val="nil"/>
            </w:tcBorders>
          </w:tcPr>
          <w:p w:rsidR="00A53D7D" w:rsidRPr="00EC2CB7" w:rsidRDefault="00A53D7D" w:rsidP="005140B4">
            <w:pPr>
              <w:pStyle w:val="OGTableofFigures"/>
              <w:rPr>
                <w:color w:val="000000"/>
                <w:lang w:eastAsia="en-AU"/>
              </w:rPr>
            </w:pPr>
            <w:r w:rsidRPr="00EC2CB7">
              <w:rPr>
                <w:color w:val="000000"/>
                <w:lang w:eastAsia="en-AU"/>
              </w:rPr>
              <w:t> </w:t>
            </w:r>
          </w:p>
        </w:tc>
      </w:tr>
      <w:tr w:rsidR="00A53D7D" w:rsidRPr="00A475B8" w:rsidTr="005140B4">
        <w:trPr>
          <w:cantSplit/>
        </w:trPr>
        <w:tc>
          <w:tcPr>
            <w:tcW w:w="3155" w:type="dxa"/>
            <w:tcBorders>
              <w:top w:val="nil"/>
              <w:left w:val="nil"/>
              <w:right w:val="nil"/>
            </w:tcBorders>
            <w:vAlign w:val="center"/>
          </w:tcPr>
          <w:p w:rsidR="00A53D7D" w:rsidRPr="005D0760" w:rsidRDefault="00A53D7D" w:rsidP="005140B4">
            <w:pPr>
              <w:pStyle w:val="OGTabText"/>
              <w:rPr>
                <w:color w:val="000000"/>
                <w:lang w:eastAsia="en-AU"/>
              </w:rPr>
            </w:pPr>
            <w:r w:rsidRPr="005D0760">
              <w:rPr>
                <w:color w:val="000000"/>
                <w:lang w:eastAsia="en-AU"/>
              </w:rPr>
              <w:t>Total output cost</w:t>
            </w:r>
          </w:p>
        </w:tc>
        <w:tc>
          <w:tcPr>
            <w:tcW w:w="907" w:type="dxa"/>
            <w:tcBorders>
              <w:top w:val="nil"/>
              <w:left w:val="nil"/>
              <w:right w:val="nil"/>
            </w:tcBorders>
          </w:tcPr>
          <w:p w:rsidR="00A53D7D" w:rsidRPr="005D0760" w:rsidRDefault="00A53D7D" w:rsidP="005140B4">
            <w:pPr>
              <w:pStyle w:val="OGUoM"/>
              <w:rPr>
                <w:color w:val="000000"/>
                <w:lang w:eastAsia="en-AU"/>
              </w:rPr>
            </w:pPr>
            <w:r w:rsidRPr="005D0760">
              <w:rPr>
                <w:color w:val="000000"/>
                <w:lang w:eastAsia="en-AU"/>
              </w:rPr>
              <w:t>$ million</w:t>
            </w:r>
          </w:p>
        </w:tc>
        <w:tc>
          <w:tcPr>
            <w:tcW w:w="907" w:type="dxa"/>
            <w:tcBorders>
              <w:top w:val="nil"/>
              <w:left w:val="nil"/>
              <w:right w:val="nil"/>
            </w:tcBorders>
            <w:shd w:val="clear" w:color="auto" w:fill="D9D9D9"/>
          </w:tcPr>
          <w:p w:rsidR="00A53D7D" w:rsidRPr="00B96FFB" w:rsidRDefault="00A53D7D" w:rsidP="005140B4">
            <w:pPr>
              <w:pStyle w:val="OGTableofFigures"/>
              <w:rPr>
                <w:color w:val="000000"/>
                <w:lang w:eastAsia="en-AU"/>
              </w:rPr>
            </w:pPr>
            <w:r>
              <w:rPr>
                <w:color w:val="000000"/>
                <w:lang w:eastAsia="en-AU"/>
              </w:rPr>
              <w:t>264.0</w:t>
            </w:r>
          </w:p>
        </w:tc>
        <w:tc>
          <w:tcPr>
            <w:tcW w:w="993" w:type="dxa"/>
            <w:gridSpan w:val="3"/>
            <w:tcBorders>
              <w:top w:val="nil"/>
              <w:left w:val="nil"/>
              <w:right w:val="nil"/>
            </w:tcBorders>
          </w:tcPr>
          <w:p w:rsidR="00A53D7D" w:rsidRPr="00B96FFB" w:rsidRDefault="00A53D7D" w:rsidP="005140B4">
            <w:pPr>
              <w:pStyle w:val="OGTableofFigures"/>
              <w:rPr>
                <w:color w:val="000000"/>
                <w:lang w:eastAsia="en-AU"/>
              </w:rPr>
            </w:pPr>
            <w:r>
              <w:rPr>
                <w:color w:val="000000"/>
                <w:lang w:eastAsia="en-AU"/>
              </w:rPr>
              <w:t>276.6</w:t>
            </w:r>
          </w:p>
        </w:tc>
        <w:tc>
          <w:tcPr>
            <w:tcW w:w="907" w:type="dxa"/>
            <w:tcBorders>
              <w:top w:val="nil"/>
              <w:left w:val="nil"/>
              <w:right w:val="nil"/>
            </w:tcBorders>
          </w:tcPr>
          <w:p w:rsidR="00A53D7D" w:rsidRPr="005D0760" w:rsidRDefault="00A53D7D" w:rsidP="005140B4">
            <w:pPr>
              <w:pStyle w:val="OGTableofFigures"/>
              <w:rPr>
                <w:lang w:eastAsia="en-AU"/>
              </w:rPr>
            </w:pPr>
            <w:r>
              <w:rPr>
                <w:lang w:eastAsia="en-AU"/>
              </w:rPr>
              <w:t>263.2</w:t>
            </w:r>
          </w:p>
        </w:tc>
        <w:tc>
          <w:tcPr>
            <w:tcW w:w="907" w:type="dxa"/>
            <w:tcBorders>
              <w:top w:val="nil"/>
              <w:left w:val="nil"/>
              <w:right w:val="nil"/>
            </w:tcBorders>
          </w:tcPr>
          <w:p w:rsidR="00A53D7D" w:rsidRPr="005D0760" w:rsidRDefault="00A53D7D" w:rsidP="005140B4">
            <w:pPr>
              <w:pStyle w:val="OGTableofFigures"/>
              <w:rPr>
                <w:lang w:eastAsia="en-AU"/>
              </w:rPr>
            </w:pPr>
            <w:r>
              <w:rPr>
                <w:lang w:eastAsia="en-AU"/>
              </w:rPr>
              <w:t>241.0</w:t>
            </w:r>
          </w:p>
        </w:tc>
      </w:tr>
      <w:tr w:rsidR="00A53D7D" w:rsidRPr="003B380F" w:rsidTr="005140B4">
        <w:trPr>
          <w:cantSplit/>
        </w:trPr>
        <w:tc>
          <w:tcPr>
            <w:tcW w:w="7776" w:type="dxa"/>
            <w:gridSpan w:val="8"/>
            <w:tcBorders>
              <w:left w:val="nil"/>
              <w:bottom w:val="single" w:sz="6" w:space="0" w:color="auto"/>
              <w:right w:val="nil"/>
            </w:tcBorders>
            <w:vAlign w:val="center"/>
          </w:tcPr>
          <w:p w:rsidR="00A53D7D" w:rsidRPr="00DB04E8" w:rsidDel="008A5122" w:rsidRDefault="00A53D7D" w:rsidP="005140B4">
            <w:pPr>
              <w:pStyle w:val="OGNotes"/>
            </w:pPr>
            <w:r w:rsidRPr="00DB04E8">
              <w:t>The 2013</w:t>
            </w:r>
            <w:r w:rsidRPr="00DB04E8">
              <w:noBreakHyphen/>
              <w:t>14 expected outcome is higher than the 2013</w:t>
            </w:r>
            <w:r w:rsidRPr="00DB04E8">
              <w:noBreakHyphen/>
              <w:t>14 target due to an expanded legislative program and significant activities including the coordination of the Victorian Government Response to the Royal Commission Inquiry into Child Abuse and the Parliamentary Inquiry into the handling of child abuse by religious and other non</w:t>
            </w:r>
            <w:r w:rsidRPr="00DB04E8">
              <w:noBreakHyphen/>
              <w:t>government organisations.</w:t>
            </w:r>
          </w:p>
        </w:tc>
      </w:tr>
      <w:tr w:rsidR="00A53D7D" w:rsidRPr="00A475B8" w:rsidTr="005140B4">
        <w:trPr>
          <w:cantSplit/>
        </w:trPr>
        <w:tc>
          <w:tcPr>
            <w:tcW w:w="7776" w:type="dxa"/>
            <w:gridSpan w:val="8"/>
            <w:tcBorders>
              <w:top w:val="single" w:sz="6" w:space="0" w:color="auto"/>
              <w:left w:val="nil"/>
              <w:right w:val="nil"/>
            </w:tcBorders>
            <w:shd w:val="clear" w:color="auto" w:fill="auto"/>
            <w:vAlign w:val="center"/>
          </w:tcPr>
          <w:p w:rsidR="00A53D7D" w:rsidRPr="00EC2CB7" w:rsidRDefault="00A53D7D" w:rsidP="005140B4">
            <w:pPr>
              <w:pStyle w:val="OGHeading2"/>
              <w:pageBreakBefore/>
              <w:rPr>
                <w:bCs/>
                <w:color w:val="000000"/>
                <w:lang w:eastAsia="en-AU"/>
              </w:rPr>
            </w:pPr>
            <w:r w:rsidRPr="00EC2CB7">
              <w:rPr>
                <w:color w:val="000000"/>
                <w:lang w:eastAsia="en-AU"/>
              </w:rPr>
              <w:t>Public Prosecutions</w:t>
            </w:r>
          </w:p>
        </w:tc>
      </w:tr>
      <w:tr w:rsidR="00A53D7D" w:rsidRPr="00B2174E" w:rsidTr="005140B4">
        <w:trPr>
          <w:cantSplit/>
        </w:trPr>
        <w:tc>
          <w:tcPr>
            <w:tcW w:w="7776" w:type="dxa"/>
            <w:gridSpan w:val="8"/>
            <w:tcBorders>
              <w:top w:val="nil"/>
              <w:left w:val="nil"/>
              <w:bottom w:val="single" w:sz="6" w:space="0" w:color="auto"/>
              <w:right w:val="nil"/>
            </w:tcBorders>
            <w:shd w:val="clear" w:color="auto" w:fill="auto"/>
            <w:vAlign w:val="center"/>
          </w:tcPr>
          <w:p w:rsidR="00A53D7D" w:rsidRPr="00B2174E" w:rsidRDefault="00A53D7D" w:rsidP="005140B4">
            <w:pPr>
              <w:pStyle w:val="OGText"/>
              <w:rPr>
                <w:lang w:eastAsia="en-AU"/>
              </w:rPr>
            </w:pPr>
            <w:r w:rsidRPr="00B2174E">
              <w:rPr>
                <w:lang w:eastAsia="en-AU"/>
              </w:rPr>
              <w:t xml:space="preserve">This output delivers activities relating to </w:t>
            </w:r>
            <w:smartTag w:uri="urn:schemas-microsoft-com:office:smarttags" w:element="place">
              <w:smartTag w:uri="urn:schemas-microsoft-com:office:smarttags" w:element="State">
                <w:r w:rsidRPr="00B2174E">
                  <w:rPr>
                    <w:lang w:eastAsia="en-AU"/>
                  </w:rPr>
                  <w:t>Victoria</w:t>
                </w:r>
              </w:smartTag>
            </w:smartTag>
            <w:r w:rsidRPr="00B2174E">
              <w:rPr>
                <w:lang w:eastAsia="en-AU"/>
              </w:rPr>
              <w:t>’s public prosecutions service. The Office of Public Prosecutions (OPP) provides an independent, effective and efficient prosecutions service on behalf of the Director of Public Prosecutions (DPP). In addition to the prosecution of serious crimes, the OPP also provides professional support to prosecution witnesses and victims of crime involved in its cases.</w:t>
            </w:r>
          </w:p>
        </w:tc>
      </w:tr>
      <w:tr w:rsidR="00A53D7D" w:rsidRPr="00B2174E"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color w:val="000000"/>
                <w:lang w:eastAsia="en-AU"/>
              </w:rPr>
            </w:pPr>
            <w:r w:rsidRPr="00B2174E">
              <w:rPr>
                <w:iCs/>
                <w:color w:val="000000"/>
                <w:lang w:eastAsia="en-AU"/>
              </w:rPr>
              <w:t>Quantity</w:t>
            </w:r>
          </w:p>
        </w:tc>
        <w:tc>
          <w:tcPr>
            <w:tcW w:w="907" w:type="dxa"/>
            <w:tcBorders>
              <w:top w:val="single" w:sz="6" w:space="0" w:color="auto"/>
              <w:left w:val="nil"/>
              <w:right w:val="nil"/>
            </w:tcBorders>
            <w:shd w:val="clear" w:color="auto" w:fill="auto"/>
            <w:vAlign w:val="center"/>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gridSpan w:val="3"/>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r>
      <w:tr w:rsidR="00A53D7D" w:rsidRPr="003276B2" w:rsidTr="005140B4">
        <w:trPr>
          <w:cantSplit/>
        </w:trPr>
        <w:tc>
          <w:tcPr>
            <w:tcW w:w="3155" w:type="dxa"/>
            <w:tcBorders>
              <w:top w:val="nil"/>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Number of briefs prepared and hearings attended</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nil"/>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68 500</w:t>
            </w:r>
            <w:r>
              <w:rPr>
                <w:color w:val="000000"/>
                <w:lang w:eastAsia="en-AU"/>
              </w:rPr>
              <w:t>–</w:t>
            </w:r>
            <w:r w:rsidRPr="00B2174E">
              <w:rPr>
                <w:color w:val="000000"/>
                <w:lang w:eastAsia="en-AU"/>
              </w:rPr>
              <w:t> 73 500</w:t>
            </w:r>
          </w:p>
        </w:tc>
        <w:tc>
          <w:tcPr>
            <w:tcW w:w="993" w:type="dxa"/>
            <w:gridSpan w:val="3"/>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71 500</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68 500–73 500</w:t>
            </w:r>
          </w:p>
        </w:tc>
        <w:tc>
          <w:tcPr>
            <w:tcW w:w="907" w:type="dxa"/>
            <w:tcBorders>
              <w:top w:val="nil"/>
              <w:left w:val="nil"/>
              <w:bottom w:val="single" w:sz="6" w:space="0" w:color="auto"/>
              <w:right w:val="nil"/>
            </w:tcBorders>
            <w:shd w:val="clear" w:color="auto" w:fill="auto"/>
          </w:tcPr>
          <w:p w:rsidR="00A53D7D" w:rsidRPr="003276B2" w:rsidRDefault="00A53D7D" w:rsidP="005140B4">
            <w:pPr>
              <w:pStyle w:val="OGTableofFigures"/>
              <w:tabs>
                <w:tab w:val="right" w:pos="821"/>
              </w:tabs>
              <w:jc w:val="left"/>
              <w:rPr>
                <w:color w:val="000000"/>
                <w:lang w:eastAsia="en-AU"/>
              </w:rPr>
            </w:pPr>
            <w:r w:rsidRPr="00B2174E">
              <w:rPr>
                <w:color w:val="000000"/>
                <w:lang w:eastAsia="en-AU"/>
              </w:rPr>
              <w:tab/>
              <w:t>70</w:t>
            </w:r>
            <w:r>
              <w:rPr>
                <w:color w:val="000000"/>
                <w:lang w:eastAsia="en-AU"/>
              </w:rPr>
              <w:t> </w:t>
            </w:r>
            <w:r w:rsidRPr="00B2174E">
              <w:rPr>
                <w:color w:val="000000"/>
                <w:lang w:eastAsia="en-AU"/>
              </w:rPr>
              <w:t>238</w:t>
            </w:r>
          </w:p>
        </w:tc>
      </w:tr>
      <w:tr w:rsidR="00A53D7D" w:rsidRPr="003276B2"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Judicial Officer sitting days requiring prosecutors</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9 500</w:t>
            </w:r>
            <w:r>
              <w:rPr>
                <w:color w:val="000000"/>
                <w:lang w:eastAsia="en-AU"/>
              </w:rPr>
              <w:t>–</w:t>
            </w:r>
            <w:r w:rsidRPr="00B2174E">
              <w:rPr>
                <w:color w:val="000000"/>
                <w:lang w:eastAsia="en-AU"/>
              </w:rPr>
              <w:t>10 500</w:t>
            </w:r>
          </w:p>
        </w:tc>
        <w:tc>
          <w:tcPr>
            <w:tcW w:w="993" w:type="dxa"/>
            <w:gridSpan w:val="3"/>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9 </w:t>
            </w:r>
            <w:r>
              <w:rPr>
                <w:color w:val="000000"/>
                <w:lang w:eastAsia="en-AU"/>
              </w:rPr>
              <w:t>9</w:t>
            </w:r>
            <w:r w:rsidRPr="00B2174E">
              <w:rPr>
                <w:color w:val="000000"/>
                <w:lang w:eastAsia="en-AU"/>
              </w:rPr>
              <w:t>00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9 500–10 500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tabs>
                <w:tab w:val="right" w:pos="821"/>
              </w:tabs>
              <w:rPr>
                <w:color w:val="000000"/>
                <w:lang w:eastAsia="en-AU"/>
              </w:rPr>
            </w:pPr>
            <w:r>
              <w:rPr>
                <w:color w:val="000000"/>
                <w:lang w:eastAsia="en-AU"/>
              </w:rPr>
              <w:t>9 </w:t>
            </w:r>
            <w:r w:rsidRPr="00B2174E">
              <w:rPr>
                <w:color w:val="000000"/>
                <w:lang w:eastAsia="en-AU"/>
              </w:rPr>
              <w:t>814</w:t>
            </w:r>
          </w:p>
        </w:tc>
      </w:tr>
      <w:tr w:rsidR="00A53D7D" w:rsidRPr="003276B2"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Number of victim and witness consultations</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3B380F">
              <w:rPr>
                <w:color w:val="000000"/>
                <w:lang w:eastAsia="en-AU"/>
              </w:rPr>
              <w:t>9 750</w:t>
            </w:r>
            <w:r>
              <w:rPr>
                <w:color w:val="000000"/>
                <w:lang w:eastAsia="en-AU"/>
              </w:rPr>
              <w:t>–</w:t>
            </w:r>
            <w:r w:rsidRPr="003B380F">
              <w:rPr>
                <w:color w:val="000000"/>
                <w:lang w:eastAsia="en-AU"/>
              </w:rPr>
              <w:t xml:space="preserve">  10 750</w:t>
            </w:r>
          </w:p>
        </w:tc>
        <w:tc>
          <w:tcPr>
            <w:tcW w:w="993" w:type="dxa"/>
            <w:gridSpan w:val="3"/>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10 000</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xml:space="preserve">8 500–9 500 </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tabs>
                <w:tab w:val="right" w:pos="821"/>
              </w:tabs>
              <w:rPr>
                <w:color w:val="000000"/>
                <w:lang w:eastAsia="en-AU"/>
              </w:rPr>
            </w:pPr>
            <w:r>
              <w:rPr>
                <w:color w:val="000000"/>
                <w:lang w:eastAsia="en-AU"/>
              </w:rPr>
              <w:t>11 </w:t>
            </w:r>
            <w:r w:rsidRPr="00B2174E">
              <w:rPr>
                <w:color w:val="000000"/>
                <w:lang w:eastAsia="en-AU"/>
              </w:rPr>
              <w:t>122</w:t>
            </w:r>
          </w:p>
        </w:tc>
      </w:tr>
      <w:tr w:rsidR="00A53D7D" w:rsidRPr="003276B2" w:rsidTr="005140B4">
        <w:trPr>
          <w:cantSplit/>
        </w:trPr>
        <w:tc>
          <w:tcPr>
            <w:tcW w:w="7776" w:type="dxa"/>
            <w:gridSpan w:val="8"/>
            <w:tcBorders>
              <w:top w:val="nil"/>
              <w:left w:val="nil"/>
              <w:bottom w:val="single" w:sz="6" w:space="0" w:color="auto"/>
              <w:right w:val="nil"/>
            </w:tcBorders>
            <w:shd w:val="clear" w:color="auto" w:fill="auto"/>
            <w:vAlign w:val="center"/>
          </w:tcPr>
          <w:p w:rsidR="00A53D7D" w:rsidRPr="00B2174E" w:rsidRDefault="00A53D7D" w:rsidP="005140B4">
            <w:pPr>
              <w:pStyle w:val="OGNotes"/>
              <w:rPr>
                <w:color w:val="000000"/>
                <w:sz w:val="20"/>
                <w:szCs w:val="18"/>
              </w:rPr>
            </w:pPr>
            <w:r w:rsidRPr="003B380F">
              <w:rPr>
                <w:rFonts w:cs="Calibri"/>
                <w:szCs w:val="15"/>
              </w:rPr>
              <w:t>The 2013</w:t>
            </w:r>
            <w:r>
              <w:rPr>
                <w:rFonts w:cs="Calibri"/>
                <w:szCs w:val="15"/>
              </w:rPr>
              <w:noBreakHyphen/>
            </w:r>
            <w:r w:rsidRPr="003B380F">
              <w:rPr>
                <w:rFonts w:cs="Calibri"/>
                <w:szCs w:val="15"/>
              </w:rPr>
              <w:t>14 expected outcome is higher than the 2013</w:t>
            </w:r>
            <w:r>
              <w:rPr>
                <w:rFonts w:cs="Calibri"/>
                <w:szCs w:val="15"/>
              </w:rPr>
              <w:noBreakHyphen/>
            </w:r>
            <w:r w:rsidRPr="003B380F">
              <w:rPr>
                <w:rFonts w:cs="Calibri"/>
                <w:szCs w:val="15"/>
              </w:rPr>
              <w:t xml:space="preserve">14 target due to </w:t>
            </w:r>
            <w:r w:rsidRPr="003B380F">
              <w:t>increased demand for fam</w:t>
            </w:r>
            <w:r>
              <w:t>ily violence related assistance</w:t>
            </w:r>
            <w:r w:rsidRPr="003B380F">
              <w:t>, with greater number of telephone consultations undertaken where appropriate</w:t>
            </w:r>
            <w:r w:rsidRPr="003B380F">
              <w:rPr>
                <w:szCs w:val="18"/>
              </w:rPr>
              <w:t>.</w:t>
            </w:r>
            <w:r w:rsidRPr="003B380F">
              <w:t xml:space="preserve"> </w:t>
            </w:r>
            <w:bookmarkStart w:id="113" w:name="OLE_LINK3"/>
            <w:bookmarkStart w:id="114" w:name="OLE_LINK4"/>
            <w:r w:rsidRPr="003B380F">
              <w:t>The 2014</w:t>
            </w:r>
            <w:r>
              <w:noBreakHyphen/>
            </w:r>
            <w:r w:rsidRPr="003B380F">
              <w:t>15 target has been adjusted accordingly.</w:t>
            </w:r>
            <w:r>
              <w:rPr>
                <w:color w:val="000000"/>
                <w:sz w:val="20"/>
                <w:szCs w:val="18"/>
              </w:rPr>
              <w:t xml:space="preserve"> </w:t>
            </w:r>
            <w:bookmarkEnd w:id="113"/>
            <w:bookmarkEnd w:id="114"/>
          </w:p>
        </w:tc>
      </w:tr>
      <w:tr w:rsidR="00A53D7D" w:rsidRPr="003276B2"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color w:val="000000"/>
                <w:lang w:eastAsia="en-AU"/>
              </w:rPr>
            </w:pPr>
            <w:r w:rsidRPr="00B2174E">
              <w:rPr>
                <w:iCs/>
                <w:color w:val="000000"/>
                <w:lang w:eastAsia="en-AU"/>
              </w:rPr>
              <w:t>Quality</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gridSpan w:val="3"/>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tabs>
                <w:tab w:val="right" w:pos="821"/>
              </w:tabs>
              <w:jc w:val="left"/>
              <w:rPr>
                <w:color w:val="000000"/>
                <w:lang w:eastAsia="en-AU"/>
              </w:rPr>
            </w:pPr>
          </w:p>
        </w:tc>
      </w:tr>
      <w:tr w:rsidR="00A53D7D" w:rsidRPr="003276B2" w:rsidTr="005140B4">
        <w:trPr>
          <w:cantSplit/>
        </w:trPr>
        <w:tc>
          <w:tcPr>
            <w:tcW w:w="3155" w:type="dxa"/>
            <w:tcBorders>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Guilty outcomes (guilty pleas and trial convictions) as a percentage of case completions</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nil"/>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85</w:t>
            </w:r>
          </w:p>
        </w:tc>
        <w:tc>
          <w:tcPr>
            <w:tcW w:w="993" w:type="dxa"/>
            <w:gridSpan w:val="3"/>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88</w:t>
            </w:r>
            <w:r w:rsidRPr="00B2174E">
              <w:rPr>
                <w:color w:val="000000"/>
                <w:lang w:eastAsia="en-AU"/>
              </w:rPr>
              <w:br/>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85</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TableofFigures"/>
              <w:tabs>
                <w:tab w:val="right" w:pos="821"/>
              </w:tabs>
              <w:rPr>
                <w:color w:val="000000"/>
                <w:lang w:eastAsia="en-AU"/>
              </w:rPr>
            </w:pPr>
            <w:r w:rsidRPr="00B2174E">
              <w:rPr>
                <w:color w:val="000000"/>
                <w:lang w:eastAsia="en-AU"/>
              </w:rPr>
              <w:t>87.6</w:t>
            </w:r>
          </w:p>
        </w:tc>
      </w:tr>
      <w:tr w:rsidR="00A53D7D" w:rsidRPr="003276B2"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color w:val="000000"/>
                <w:lang w:eastAsia="en-AU"/>
              </w:rPr>
            </w:pPr>
            <w:r w:rsidRPr="00B2174E">
              <w:rPr>
                <w:iCs/>
                <w:color w:val="000000"/>
                <w:lang w:eastAsia="en-AU"/>
              </w:rPr>
              <w:t>Timeliness</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gridSpan w:val="3"/>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tabs>
                <w:tab w:val="right" w:pos="821"/>
              </w:tabs>
              <w:jc w:val="left"/>
              <w:rPr>
                <w:color w:val="000000"/>
                <w:lang w:eastAsia="en-AU"/>
              </w:rPr>
            </w:pPr>
          </w:p>
        </w:tc>
      </w:tr>
      <w:tr w:rsidR="00A53D7D" w:rsidRPr="003276B2" w:rsidTr="005140B4">
        <w:trPr>
          <w:cantSplit/>
        </w:trPr>
        <w:tc>
          <w:tcPr>
            <w:tcW w:w="3155" w:type="dxa"/>
            <w:tcBorders>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Proportion of trials listed which did not proceed to adjournment on application of the Crown</w:t>
            </w:r>
          </w:p>
        </w:tc>
        <w:tc>
          <w:tcPr>
            <w:tcW w:w="907" w:type="dxa"/>
            <w:tcBorders>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99</w:t>
            </w:r>
          </w:p>
        </w:tc>
        <w:tc>
          <w:tcPr>
            <w:tcW w:w="993" w:type="dxa"/>
            <w:gridSpan w:val="3"/>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99</w:t>
            </w:r>
          </w:p>
        </w:tc>
        <w:tc>
          <w:tcPr>
            <w:tcW w:w="907" w:type="dxa"/>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99</w:t>
            </w:r>
          </w:p>
        </w:tc>
        <w:tc>
          <w:tcPr>
            <w:tcW w:w="907" w:type="dxa"/>
            <w:tcBorders>
              <w:left w:val="nil"/>
              <w:bottom w:val="single" w:sz="6" w:space="0" w:color="auto"/>
              <w:right w:val="nil"/>
            </w:tcBorders>
            <w:shd w:val="clear" w:color="auto" w:fill="auto"/>
          </w:tcPr>
          <w:p w:rsidR="00A53D7D" w:rsidRPr="00B2174E" w:rsidRDefault="00A53D7D" w:rsidP="005140B4">
            <w:pPr>
              <w:pStyle w:val="OGTableofFigures"/>
              <w:tabs>
                <w:tab w:val="right" w:pos="821"/>
              </w:tabs>
              <w:rPr>
                <w:color w:val="000000"/>
                <w:lang w:eastAsia="en-AU"/>
              </w:rPr>
            </w:pPr>
            <w:r w:rsidRPr="00B2174E">
              <w:rPr>
                <w:color w:val="000000"/>
                <w:lang w:eastAsia="en-AU"/>
              </w:rPr>
              <w:t>98.8</w:t>
            </w:r>
          </w:p>
        </w:tc>
      </w:tr>
      <w:tr w:rsidR="00A53D7D" w:rsidRPr="003276B2"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lang w:eastAsia="en-AU"/>
              </w:rPr>
            </w:pPr>
            <w:r w:rsidRPr="00B2174E">
              <w:rPr>
                <w:lang w:eastAsia="en-AU"/>
              </w:rPr>
              <w:t>Cost</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gridSpan w:val="3"/>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tabs>
                <w:tab w:val="right" w:pos="821"/>
              </w:tabs>
              <w:jc w:val="left"/>
              <w:rPr>
                <w:color w:val="000000"/>
                <w:lang w:eastAsia="en-AU"/>
              </w:rPr>
            </w:pPr>
          </w:p>
        </w:tc>
      </w:tr>
      <w:tr w:rsidR="00A53D7D" w:rsidRPr="003276B2" w:rsidTr="005140B4">
        <w:trPr>
          <w:cantSplit/>
        </w:trPr>
        <w:tc>
          <w:tcPr>
            <w:tcW w:w="3155" w:type="dxa"/>
            <w:tcBorders>
              <w:top w:val="nil"/>
              <w:left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Total output cost</w:t>
            </w:r>
          </w:p>
        </w:tc>
        <w:tc>
          <w:tcPr>
            <w:tcW w:w="907" w:type="dxa"/>
            <w:tcBorders>
              <w:top w:val="nil"/>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 million</w:t>
            </w:r>
          </w:p>
        </w:tc>
        <w:tc>
          <w:tcPr>
            <w:tcW w:w="907" w:type="dxa"/>
            <w:tcBorders>
              <w:top w:val="nil"/>
              <w:left w:val="nil"/>
              <w:right w:val="nil"/>
            </w:tcBorders>
            <w:shd w:val="clear" w:color="auto" w:fill="E6E6E6"/>
          </w:tcPr>
          <w:p w:rsidR="00A53D7D" w:rsidRPr="00B2174E" w:rsidRDefault="00A53D7D" w:rsidP="005140B4">
            <w:pPr>
              <w:pStyle w:val="OGTableofFigures"/>
              <w:rPr>
                <w:color w:val="000000"/>
                <w:lang w:eastAsia="en-AU"/>
              </w:rPr>
            </w:pPr>
            <w:r>
              <w:rPr>
                <w:color w:val="000000"/>
                <w:lang w:eastAsia="en-AU"/>
              </w:rPr>
              <w:t>69.6</w:t>
            </w:r>
          </w:p>
        </w:tc>
        <w:tc>
          <w:tcPr>
            <w:tcW w:w="993" w:type="dxa"/>
            <w:gridSpan w:val="3"/>
            <w:tcBorders>
              <w:top w:val="nil"/>
              <w:left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68.1</w:t>
            </w:r>
          </w:p>
        </w:tc>
        <w:tc>
          <w:tcPr>
            <w:tcW w:w="907"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66</w:t>
            </w:r>
            <w:r>
              <w:rPr>
                <w:color w:val="000000"/>
                <w:lang w:eastAsia="en-AU"/>
              </w:rPr>
              <w:t>.5</w:t>
            </w:r>
          </w:p>
        </w:tc>
        <w:tc>
          <w:tcPr>
            <w:tcW w:w="907" w:type="dxa"/>
            <w:tcBorders>
              <w:top w:val="nil"/>
              <w:left w:val="nil"/>
              <w:right w:val="nil"/>
            </w:tcBorders>
            <w:shd w:val="clear" w:color="auto" w:fill="auto"/>
          </w:tcPr>
          <w:p w:rsidR="00A53D7D" w:rsidRPr="00B2174E" w:rsidRDefault="00A53D7D" w:rsidP="005140B4">
            <w:pPr>
              <w:pStyle w:val="OGTableofFigures"/>
              <w:tabs>
                <w:tab w:val="right" w:pos="821"/>
              </w:tabs>
              <w:rPr>
                <w:color w:val="000000"/>
                <w:lang w:eastAsia="en-AU"/>
              </w:rPr>
            </w:pPr>
            <w:r w:rsidRPr="00B2174E">
              <w:rPr>
                <w:lang w:eastAsia="en-AU"/>
              </w:rPr>
              <w:t>63.3</w:t>
            </w:r>
          </w:p>
        </w:tc>
      </w:tr>
      <w:tr w:rsidR="00A53D7D" w:rsidRPr="003276B2" w:rsidTr="005140B4">
        <w:trPr>
          <w:cantSplit/>
        </w:trPr>
        <w:tc>
          <w:tcPr>
            <w:tcW w:w="7776" w:type="dxa"/>
            <w:gridSpan w:val="8"/>
            <w:tcBorders>
              <w:top w:val="nil"/>
              <w:left w:val="nil"/>
              <w:bottom w:val="single" w:sz="12" w:space="0" w:color="auto"/>
              <w:right w:val="nil"/>
            </w:tcBorders>
            <w:shd w:val="clear" w:color="auto" w:fill="auto"/>
            <w:vAlign w:val="center"/>
          </w:tcPr>
          <w:p w:rsidR="00A53D7D" w:rsidRPr="00D930E5" w:rsidRDefault="00A53D7D" w:rsidP="005140B4">
            <w:pPr>
              <w:pStyle w:val="OGNotes"/>
              <w:rPr>
                <w:sz w:val="20"/>
                <w:szCs w:val="18"/>
              </w:rPr>
            </w:pPr>
            <w:r w:rsidRPr="005A6B25">
              <w:rPr>
                <w:rFonts w:cs="Calibri"/>
                <w:szCs w:val="15"/>
              </w:rPr>
              <w:t xml:space="preserve">The </w:t>
            </w:r>
            <w:r w:rsidRPr="003B380F">
              <w:rPr>
                <w:rFonts w:cs="Calibri"/>
                <w:szCs w:val="15"/>
              </w:rPr>
              <w:t>2014</w:t>
            </w:r>
            <w:r>
              <w:rPr>
                <w:rFonts w:cs="Calibri"/>
                <w:szCs w:val="15"/>
              </w:rPr>
              <w:noBreakHyphen/>
            </w:r>
            <w:r w:rsidRPr="003B380F">
              <w:rPr>
                <w:rFonts w:cs="Calibri"/>
                <w:szCs w:val="15"/>
              </w:rPr>
              <w:t xml:space="preserve">15 target </w:t>
            </w:r>
            <w:r w:rsidRPr="005A6B25">
              <w:rPr>
                <w:rFonts w:cs="Calibri"/>
                <w:szCs w:val="15"/>
              </w:rPr>
              <w:t>is</w:t>
            </w:r>
            <w:r>
              <w:rPr>
                <w:rFonts w:cs="Calibri"/>
                <w:szCs w:val="15"/>
              </w:rPr>
              <w:t xml:space="preserve"> higher than the 2013</w:t>
            </w:r>
            <w:r>
              <w:rPr>
                <w:rFonts w:cs="Calibri"/>
                <w:szCs w:val="15"/>
              </w:rPr>
              <w:noBreakHyphen/>
              <w:t xml:space="preserve">14 target </w:t>
            </w:r>
            <w:r w:rsidRPr="005A6B25">
              <w:rPr>
                <w:rFonts w:cs="Calibri"/>
                <w:szCs w:val="15"/>
              </w:rPr>
              <w:t>due to carryover from 2013</w:t>
            </w:r>
            <w:r>
              <w:rPr>
                <w:rFonts w:cs="Calibri"/>
                <w:szCs w:val="15"/>
              </w:rPr>
              <w:noBreakHyphen/>
            </w:r>
            <w:r w:rsidRPr="005A6B25">
              <w:rPr>
                <w:rFonts w:cs="Calibri"/>
                <w:szCs w:val="15"/>
              </w:rPr>
              <w:t>14.</w:t>
            </w:r>
            <w:r>
              <w:rPr>
                <w:rFonts w:cs="Calibri"/>
                <w:szCs w:val="15"/>
              </w:rPr>
              <w:t xml:space="preserve"> </w:t>
            </w:r>
          </w:p>
        </w:tc>
      </w:tr>
    </w:tbl>
    <w:p w:rsidR="00A53D7D" w:rsidRDefault="00A53D7D" w:rsidP="005140B4">
      <w:pPr>
        <w:pStyle w:val="Source"/>
      </w:pPr>
      <w:r>
        <w:t>Source: Department of Justice</w:t>
      </w:r>
      <w:r>
        <w:fldChar w:fldCharType="begin"/>
      </w:r>
      <w:r>
        <w:instrText xml:space="preserve"> XE "</w:instrText>
      </w:r>
      <w:r w:rsidRPr="0026407E">
        <w:rPr>
          <w:lang w:eastAsia="en-AU"/>
        </w:rPr>
        <w:instrText>Department of Justice</w:instrText>
      </w:r>
      <w:r w:rsidRPr="0026407E">
        <w:instrText>:Supporting Legal Processes and Law Reform</w:instrText>
      </w:r>
      <w:r>
        <w:instrText xml:space="preserve">" \r "BP3DOJSuppLegalProcesandLawRfrm" </w:instrText>
      </w:r>
      <w:r>
        <w:fldChar w:fldCharType="end"/>
      </w:r>
      <w:r>
        <w:fldChar w:fldCharType="begin"/>
      </w:r>
      <w:r>
        <w:instrText xml:space="preserve"> XE "</w:instrText>
      </w:r>
      <w:r w:rsidRPr="00900F7B">
        <w:rPr>
          <w:lang w:eastAsia="en-AU"/>
        </w:rPr>
        <w:instrText>Law</w:instrText>
      </w:r>
      <w:r w:rsidRPr="00900F7B">
        <w:instrText>:Supporting Legal Processes and Law Reform</w:instrText>
      </w:r>
      <w:r>
        <w:instrText xml:space="preserve">" \r "BP3DOJSuppLegalProcesandLawRfrm" </w:instrText>
      </w:r>
      <w:r>
        <w:fldChar w:fldCharType="end"/>
      </w:r>
    </w:p>
    <w:bookmarkEnd w:id="111"/>
    <w:p w:rsidR="00A53D7D" w:rsidRPr="00A475B8" w:rsidRDefault="00A53D7D" w:rsidP="005140B4">
      <w:pPr>
        <w:pStyle w:val="OGHeading1"/>
        <w:rPr>
          <w:lang w:val="x-none" w:eastAsia="en-AU"/>
        </w:rPr>
      </w:pPr>
      <w:r w:rsidRPr="00A475B8">
        <w:br w:type="page"/>
      </w:r>
      <w:bookmarkStart w:id="115" w:name="BP3DOJPersIdentIndivRightandPartic"/>
      <w:r w:rsidRPr="00A475B8">
        <w:rPr>
          <w:lang w:val="x-none" w:eastAsia="en-AU"/>
        </w:rPr>
        <w:t>Personal Identity, Individual Rights and Participation in Civic Life</w:t>
      </w:r>
    </w:p>
    <w:p w:rsidR="00A53D7D" w:rsidRPr="003276B2" w:rsidRDefault="00A53D7D" w:rsidP="005140B4">
      <w:pPr>
        <w:pStyle w:val="OGText"/>
        <w:rPr>
          <w:lang w:eastAsia="en-AU"/>
        </w:rPr>
      </w:pPr>
      <w:r w:rsidRPr="003276B2">
        <w:rPr>
          <w:lang w:eastAsia="en-AU"/>
        </w:rPr>
        <w:t xml:space="preserve">This output group delivers services that safeguard the Victorian community through the provision of services relating to rights and equal opportunity, </w:t>
      </w:r>
      <w:r>
        <w:rPr>
          <w:lang w:eastAsia="en-AU"/>
        </w:rPr>
        <w:t xml:space="preserve">life event registration and </w:t>
      </w:r>
      <w:r w:rsidRPr="003276B2">
        <w:rPr>
          <w:lang w:eastAsia="en-AU"/>
        </w:rPr>
        <w:t>identity protection, privacy regulation, advocacy and guardianship for Victorians with a disability or mental illness and the administration of the Victorian electoral system.</w:t>
      </w:r>
    </w:p>
    <w:p w:rsidR="00A53D7D" w:rsidRPr="003276B2" w:rsidRDefault="00A53D7D" w:rsidP="005140B4">
      <w:pPr>
        <w:pStyle w:val="OGText"/>
        <w:rPr>
          <w:lang w:eastAsia="en-AU"/>
        </w:rPr>
      </w:pPr>
      <w:r w:rsidRPr="003276B2">
        <w:rPr>
          <w:lang w:eastAsia="en-AU"/>
        </w:rPr>
        <w:t>This output group contributes to the Department’s objective of protecting individual rights and encouraging community participation.</w:t>
      </w:r>
    </w:p>
    <w:tbl>
      <w:tblPr>
        <w:tblW w:w="7776" w:type="dxa"/>
        <w:tblInd w:w="29" w:type="dxa"/>
        <w:tblLayout w:type="fixed"/>
        <w:tblCellMar>
          <w:left w:w="43" w:type="dxa"/>
          <w:right w:w="43" w:type="dxa"/>
        </w:tblCellMar>
        <w:tblLook w:val="00A0" w:firstRow="1" w:lastRow="0" w:firstColumn="1" w:lastColumn="0" w:noHBand="0" w:noVBand="0"/>
      </w:tblPr>
      <w:tblGrid>
        <w:gridCol w:w="3155"/>
        <w:gridCol w:w="907"/>
        <w:gridCol w:w="907"/>
        <w:gridCol w:w="993"/>
        <w:gridCol w:w="907"/>
        <w:gridCol w:w="907"/>
      </w:tblGrid>
      <w:tr w:rsidR="00A53D7D" w:rsidRPr="00A475B8" w:rsidTr="005140B4">
        <w:trPr>
          <w:cantSplit/>
          <w:tblHeader/>
        </w:trPr>
        <w:tc>
          <w:tcPr>
            <w:tcW w:w="3155" w:type="dxa"/>
            <w:tcBorders>
              <w:top w:val="single" w:sz="4" w:space="0" w:color="auto"/>
              <w:left w:val="single" w:sz="4" w:space="0" w:color="auto"/>
              <w:right w:val="nil"/>
            </w:tcBorders>
            <w:shd w:val="clear" w:color="auto" w:fill="000000"/>
            <w:vAlign w:val="bottom"/>
          </w:tcPr>
          <w:p w:rsidR="00A53D7D" w:rsidRPr="00EC2CB7" w:rsidRDefault="00A53D7D" w:rsidP="005140B4">
            <w:pPr>
              <w:pStyle w:val="OGTabColLeft"/>
              <w:rPr>
                <w:i/>
                <w:color w:val="FFFFFF"/>
              </w:rPr>
            </w:pPr>
            <w:r w:rsidRPr="00EC2CB7">
              <w:rPr>
                <w:color w:val="FFFFFF"/>
              </w:rPr>
              <w:t>Major Outputs/Deliverables</w:t>
            </w:r>
            <w:r w:rsidRPr="00EC2CB7">
              <w:rPr>
                <w:color w:val="FFFFFF"/>
              </w:rPr>
              <w:br/>
            </w:r>
            <w:r w:rsidRPr="00EC2CB7">
              <w:rPr>
                <w:b w:val="0"/>
                <w:i/>
                <w:color w:val="FFFFFF"/>
              </w:rPr>
              <w:t>Performance measures</w:t>
            </w:r>
          </w:p>
        </w:tc>
        <w:tc>
          <w:tcPr>
            <w:tcW w:w="907" w:type="dxa"/>
            <w:tcBorders>
              <w:top w:val="single" w:sz="4" w:space="0" w:color="auto"/>
              <w:left w:val="nil"/>
              <w:right w:val="nil"/>
            </w:tcBorders>
            <w:shd w:val="clear" w:color="auto" w:fill="000000"/>
            <w:noWrap/>
            <w:vAlign w:val="bottom"/>
          </w:tcPr>
          <w:p w:rsidR="00A53D7D" w:rsidRPr="003E0A6C" w:rsidRDefault="00A53D7D" w:rsidP="005140B4">
            <w:pPr>
              <w:pStyle w:val="Tabletextheadingcentred"/>
            </w:pPr>
            <w:r w:rsidRPr="003E0A6C">
              <w:t xml:space="preserve">Unit of </w:t>
            </w:r>
            <w:r w:rsidRPr="003E0A6C">
              <w:br/>
            </w:r>
            <w:r>
              <w:t>m</w:t>
            </w:r>
            <w:r w:rsidRPr="003E0A6C">
              <w:t>easure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2014</w:t>
            </w:r>
            <w:r>
              <w:noBreakHyphen/>
              <w:t>15</w:t>
            </w:r>
            <w:r w:rsidRPr="00EC2CB7">
              <w:t xml:space="preserve"> Target</w:t>
            </w:r>
          </w:p>
        </w:tc>
        <w:tc>
          <w:tcPr>
            <w:tcW w:w="993"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Expected Outcome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Target</w:t>
            </w:r>
          </w:p>
        </w:tc>
        <w:tc>
          <w:tcPr>
            <w:tcW w:w="907" w:type="dxa"/>
            <w:tcBorders>
              <w:top w:val="single" w:sz="4" w:space="0" w:color="auto"/>
              <w:left w:val="nil"/>
              <w:right w:val="single" w:sz="4" w:space="0" w:color="auto"/>
            </w:tcBorders>
            <w:shd w:val="clear" w:color="auto" w:fill="000000"/>
            <w:noWrap/>
            <w:vAlign w:val="bottom"/>
          </w:tcPr>
          <w:p w:rsidR="00A53D7D" w:rsidRPr="00EC2CB7" w:rsidRDefault="00A53D7D" w:rsidP="005140B4">
            <w:pPr>
              <w:pStyle w:val="Tabletextheading"/>
            </w:pPr>
            <w:r w:rsidRPr="00EC2CB7">
              <w:t>2012</w:t>
            </w:r>
            <w:r>
              <w:noBreakHyphen/>
            </w:r>
            <w:r w:rsidRPr="00EC2CB7">
              <w:t>13 Actual</w:t>
            </w:r>
          </w:p>
        </w:tc>
      </w:tr>
      <w:tr w:rsidR="00A53D7D" w:rsidRPr="00A475B8" w:rsidTr="005140B4">
        <w:trPr>
          <w:cantSplit/>
        </w:trPr>
        <w:tc>
          <w:tcPr>
            <w:tcW w:w="7776" w:type="dxa"/>
            <w:gridSpan w:val="6"/>
            <w:tcBorders>
              <w:top w:val="nil"/>
              <w:left w:val="nil"/>
              <w:right w:val="nil"/>
            </w:tcBorders>
            <w:shd w:val="clear" w:color="auto" w:fill="auto"/>
            <w:vAlign w:val="center"/>
          </w:tcPr>
          <w:p w:rsidR="00A53D7D" w:rsidRPr="00EC2CB7" w:rsidRDefault="00A53D7D" w:rsidP="005140B4">
            <w:pPr>
              <w:pStyle w:val="OGHeading2"/>
              <w:rPr>
                <w:bCs/>
                <w:color w:val="000000"/>
                <w:lang w:eastAsia="en-AU"/>
              </w:rPr>
            </w:pPr>
            <w:r w:rsidRPr="00EC2CB7">
              <w:rPr>
                <w:color w:val="000000"/>
                <w:lang w:eastAsia="en-AU"/>
              </w:rPr>
              <w:t>Protecting Community Rights</w:t>
            </w:r>
          </w:p>
        </w:tc>
      </w:tr>
      <w:tr w:rsidR="00A53D7D" w:rsidRPr="00B2174E" w:rsidTr="005140B4">
        <w:trPr>
          <w:cantSplit/>
        </w:trPr>
        <w:tc>
          <w:tcPr>
            <w:tcW w:w="7776" w:type="dxa"/>
            <w:gridSpan w:val="6"/>
            <w:tcBorders>
              <w:left w:val="nil"/>
              <w:bottom w:val="single" w:sz="6" w:space="0" w:color="auto"/>
              <w:right w:val="nil"/>
            </w:tcBorders>
            <w:shd w:val="clear" w:color="auto" w:fill="auto"/>
            <w:vAlign w:val="center"/>
          </w:tcPr>
          <w:p w:rsidR="00A53D7D" w:rsidRPr="003B380F" w:rsidRDefault="00A53D7D" w:rsidP="005140B4">
            <w:pPr>
              <w:pStyle w:val="OGText"/>
              <w:rPr>
                <w:lang w:eastAsia="en-AU"/>
              </w:rPr>
            </w:pPr>
            <w:r w:rsidRPr="00B2174E">
              <w:rPr>
                <w:lang w:eastAsia="en-AU"/>
              </w:rPr>
              <w:t>This output protects community rights through education, engagement, capacity building and actively assisting parties to quickly and effectively resolve disputes through the Victorian Equal Opportunity and Human Rights Commission (VEOHRC), protecting the rights, interests and dignity of people with disabilities or mental illness through the Office of the Public Advocate (OPA), and providing for the registration of significant life events an</w:t>
            </w:r>
            <w:r>
              <w:rPr>
                <w:lang w:eastAsia="en-AU"/>
              </w:rPr>
              <w:t>d protection of personal identit</w:t>
            </w:r>
            <w:r w:rsidRPr="00B2174E">
              <w:rPr>
                <w:lang w:eastAsia="en-AU"/>
              </w:rPr>
              <w:t>y by the Victorian Registry of Births, Deaths and Marriages (BDM).</w:t>
            </w:r>
          </w:p>
        </w:tc>
      </w:tr>
      <w:tr w:rsidR="00A53D7D" w:rsidRPr="00B2174E"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color w:val="000000"/>
                <w:lang w:eastAsia="en-AU"/>
              </w:rPr>
            </w:pPr>
            <w:r w:rsidRPr="00B2174E">
              <w:rPr>
                <w:iCs/>
                <w:color w:val="000000"/>
                <w:lang w:eastAsia="en-AU"/>
              </w:rPr>
              <w:t>Quantity</w:t>
            </w:r>
          </w:p>
        </w:tc>
        <w:tc>
          <w:tcPr>
            <w:tcW w:w="907" w:type="dxa"/>
            <w:tcBorders>
              <w:top w:val="single" w:sz="6" w:space="0" w:color="auto"/>
              <w:left w:val="nil"/>
              <w:right w:val="nil"/>
            </w:tcBorders>
            <w:shd w:val="clear" w:color="auto" w:fill="auto"/>
            <w:vAlign w:val="center"/>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r>
      <w:tr w:rsidR="00A53D7D" w:rsidRPr="00B2174E" w:rsidTr="005140B4">
        <w:trPr>
          <w:cantSplit/>
        </w:trPr>
        <w:tc>
          <w:tcPr>
            <w:tcW w:w="3155" w:type="dxa"/>
            <w:tcBorders>
              <w:top w:val="nil"/>
              <w:left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Enquiries made by the community to VEOHRC for information and advice</w:t>
            </w:r>
          </w:p>
        </w:tc>
        <w:tc>
          <w:tcPr>
            <w:tcW w:w="907" w:type="dxa"/>
            <w:tcBorders>
              <w:top w:val="nil"/>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nil"/>
              <w:left w:val="nil"/>
              <w:right w:val="nil"/>
            </w:tcBorders>
            <w:shd w:val="clear" w:color="auto" w:fill="E6E6E6"/>
          </w:tcPr>
          <w:p w:rsidR="00A53D7D" w:rsidRPr="00B2174E" w:rsidRDefault="00A53D7D" w:rsidP="005140B4">
            <w:pPr>
              <w:pStyle w:val="OGTableofFigures"/>
              <w:rPr>
                <w:color w:val="000000"/>
                <w:lang w:eastAsia="en-AU"/>
              </w:rPr>
            </w:pPr>
            <w:r w:rsidRPr="003B380F">
              <w:rPr>
                <w:color w:val="000000"/>
                <w:lang w:eastAsia="en-AU"/>
              </w:rPr>
              <w:t>8</w:t>
            </w:r>
            <w:r>
              <w:rPr>
                <w:color w:val="000000"/>
                <w:lang w:eastAsia="en-AU"/>
              </w:rPr>
              <w:t> </w:t>
            </w:r>
            <w:r w:rsidRPr="003B380F">
              <w:rPr>
                <w:color w:val="000000"/>
                <w:lang w:eastAsia="en-AU"/>
              </w:rPr>
              <w:t>500</w:t>
            </w:r>
            <w:r>
              <w:rPr>
                <w:color w:val="000000"/>
                <w:lang w:eastAsia="en-AU"/>
              </w:rPr>
              <w:t>–</w:t>
            </w:r>
            <w:r w:rsidRPr="003B380F">
              <w:rPr>
                <w:color w:val="000000"/>
                <w:lang w:eastAsia="en-AU"/>
              </w:rPr>
              <w:t>9</w:t>
            </w:r>
            <w:r>
              <w:rPr>
                <w:color w:val="000000"/>
                <w:lang w:eastAsia="en-AU"/>
              </w:rPr>
              <w:t> </w:t>
            </w:r>
            <w:r w:rsidRPr="003B380F">
              <w:rPr>
                <w:color w:val="000000"/>
                <w:lang w:eastAsia="en-AU"/>
              </w:rPr>
              <w:t>000</w:t>
            </w:r>
          </w:p>
        </w:tc>
        <w:tc>
          <w:tcPr>
            <w:tcW w:w="993"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8 </w:t>
            </w:r>
            <w:r w:rsidRPr="003B380F">
              <w:rPr>
                <w:color w:val="000000"/>
                <w:lang w:eastAsia="en-AU"/>
              </w:rPr>
              <w:t>990</w:t>
            </w:r>
            <w:r w:rsidRPr="00B2174E">
              <w:rPr>
                <w:color w:val="000000"/>
                <w:lang w:eastAsia="en-AU"/>
              </w:rPr>
              <w:br/>
            </w:r>
          </w:p>
        </w:tc>
        <w:tc>
          <w:tcPr>
            <w:tcW w:w="907"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7 500–8 000</w:t>
            </w:r>
          </w:p>
        </w:tc>
        <w:tc>
          <w:tcPr>
            <w:tcW w:w="907"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8 </w:t>
            </w:r>
            <w:r w:rsidRPr="00B2174E">
              <w:rPr>
                <w:color w:val="000000"/>
                <w:lang w:eastAsia="en-AU"/>
              </w:rPr>
              <w:t>470</w:t>
            </w:r>
          </w:p>
        </w:tc>
      </w:tr>
      <w:tr w:rsidR="00A53D7D" w:rsidRPr="00B2174E" w:rsidTr="005140B4">
        <w:trPr>
          <w:cantSplit/>
        </w:trPr>
        <w:tc>
          <w:tcPr>
            <w:tcW w:w="7776" w:type="dxa"/>
            <w:gridSpan w:val="6"/>
            <w:tcBorders>
              <w:top w:val="nil"/>
              <w:left w:val="nil"/>
              <w:bottom w:val="single" w:sz="6" w:space="0" w:color="auto"/>
              <w:right w:val="nil"/>
            </w:tcBorders>
            <w:shd w:val="clear" w:color="auto" w:fill="auto"/>
            <w:vAlign w:val="center"/>
          </w:tcPr>
          <w:p w:rsidR="00A53D7D" w:rsidRPr="00B2174E" w:rsidRDefault="00A53D7D" w:rsidP="005140B4">
            <w:pPr>
              <w:pStyle w:val="OGNotes"/>
              <w:rPr>
                <w:szCs w:val="18"/>
              </w:rPr>
            </w:pPr>
            <w:r w:rsidRPr="003B380F">
              <w:rPr>
                <w:rFonts w:cs="Calibri"/>
                <w:szCs w:val="15"/>
              </w:rPr>
              <w:t>The 2013</w:t>
            </w:r>
            <w:r>
              <w:rPr>
                <w:rFonts w:cs="Calibri"/>
                <w:szCs w:val="15"/>
              </w:rPr>
              <w:noBreakHyphen/>
            </w:r>
            <w:r w:rsidRPr="003B380F">
              <w:rPr>
                <w:rFonts w:cs="Calibri"/>
                <w:szCs w:val="15"/>
              </w:rPr>
              <w:t>14 expected outcome is higher than the 2013</w:t>
            </w:r>
            <w:r>
              <w:rPr>
                <w:rFonts w:cs="Calibri"/>
                <w:szCs w:val="15"/>
              </w:rPr>
              <w:noBreakHyphen/>
            </w:r>
            <w:r w:rsidRPr="003B380F">
              <w:rPr>
                <w:rFonts w:cs="Calibri"/>
                <w:szCs w:val="15"/>
              </w:rPr>
              <w:t xml:space="preserve">14 target due to </w:t>
            </w:r>
            <w:r w:rsidRPr="003B380F">
              <w:t xml:space="preserve">increased demand arising from targeted stakeholder engagement, research </w:t>
            </w:r>
            <w:proofErr w:type="gramStart"/>
            <w:r w:rsidRPr="003B380F">
              <w:t>reports</w:t>
            </w:r>
            <w:proofErr w:type="gramEnd"/>
            <w:r w:rsidRPr="003B380F">
              <w:t xml:space="preserve"> and media campaigns.</w:t>
            </w:r>
            <w:r>
              <w:t xml:space="preserve"> The 2014</w:t>
            </w:r>
            <w:r>
              <w:noBreakHyphen/>
              <w:t>15 target has been adjusted accordingly.</w:t>
            </w:r>
          </w:p>
        </w:tc>
      </w:tr>
      <w:tr w:rsidR="00A53D7D" w:rsidRPr="00B2174E"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Complaint files received and handled by VEOHRC</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1 050–</w:t>
            </w:r>
            <w:r w:rsidRPr="00B2174E">
              <w:t>1 </w:t>
            </w:r>
            <w:r w:rsidRPr="00B2174E">
              <w:rPr>
                <w:lang w:eastAsia="en-AU"/>
              </w:rPr>
              <w:t>200</w:t>
            </w:r>
          </w:p>
        </w:tc>
        <w:tc>
          <w:tcPr>
            <w:tcW w:w="993"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1 050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1 050–1 200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1 </w:t>
            </w:r>
            <w:r w:rsidRPr="00B2174E">
              <w:rPr>
                <w:color w:val="000000"/>
                <w:lang w:eastAsia="en-AU"/>
              </w:rPr>
              <w:t>054</w:t>
            </w:r>
          </w:p>
        </w:tc>
      </w:tr>
      <w:tr w:rsidR="00A53D7D" w:rsidRPr="00B2174E"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Proportion of finalised complaint files resolved through dispute resolution (VEOHRC)</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35</w:t>
            </w:r>
          </w:p>
        </w:tc>
        <w:tc>
          <w:tcPr>
            <w:tcW w:w="993"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35</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35</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39</w:t>
            </w:r>
          </w:p>
        </w:tc>
      </w:tr>
      <w:tr w:rsidR="00A53D7D" w:rsidRPr="00B2174E"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Public Advocate protective interventions for people with a disability</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2 510</w:t>
            </w:r>
          </w:p>
        </w:tc>
        <w:tc>
          <w:tcPr>
            <w:tcW w:w="993"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2 </w:t>
            </w:r>
            <w:r w:rsidRPr="00B2174E">
              <w:rPr>
                <w:color w:val="000000"/>
                <w:lang w:eastAsia="en-AU"/>
              </w:rPr>
              <w:t>510</w:t>
            </w:r>
            <w:r w:rsidRPr="00B2174E">
              <w:rPr>
                <w:color w:val="000000"/>
                <w:lang w:eastAsia="en-AU"/>
              </w:rPr>
              <w:br/>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2 510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w:t>
            </w:r>
            <w:r>
              <w:rPr>
                <w:color w:val="000000"/>
                <w:lang w:eastAsia="en-AU"/>
              </w:rPr>
              <w:t> </w:t>
            </w:r>
            <w:r w:rsidRPr="00B2174E">
              <w:rPr>
                <w:color w:val="000000"/>
                <w:lang w:eastAsia="en-AU"/>
              </w:rPr>
              <w:t>449</w:t>
            </w:r>
          </w:p>
        </w:tc>
      </w:tr>
      <w:tr w:rsidR="00A53D7D" w:rsidRPr="00B2174E"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Community education/training programs, services and events delivered by VEOHRC</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80–100</w:t>
            </w:r>
          </w:p>
        </w:tc>
        <w:tc>
          <w:tcPr>
            <w:tcW w:w="993"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80–100</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91</w:t>
            </w:r>
          </w:p>
        </w:tc>
      </w:tr>
      <w:tr w:rsidR="00A53D7D" w:rsidRPr="00B2174E"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pageBreakBefore/>
              <w:rPr>
                <w:color w:val="000000"/>
                <w:lang w:eastAsia="en-AU"/>
              </w:rPr>
            </w:pPr>
            <w:r w:rsidRPr="00B2174E">
              <w:rPr>
                <w:iCs/>
                <w:color w:val="000000"/>
                <w:lang w:eastAsia="en-AU"/>
              </w:rPr>
              <w:t>Quality</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r>
      <w:tr w:rsidR="00A53D7D" w:rsidRPr="00B2174E" w:rsidTr="005140B4">
        <w:trPr>
          <w:cantSplit/>
        </w:trPr>
        <w:tc>
          <w:tcPr>
            <w:tcW w:w="3155" w:type="dxa"/>
            <w:tcBorders>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Births, deaths and marriages registration transaction error rate</w:t>
            </w:r>
          </w:p>
        </w:tc>
        <w:tc>
          <w:tcPr>
            <w:tcW w:w="907" w:type="dxa"/>
            <w:tcBorders>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&lt; 1.0</w:t>
            </w:r>
          </w:p>
        </w:tc>
        <w:tc>
          <w:tcPr>
            <w:tcW w:w="993" w:type="dxa"/>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&lt; 1.0</w:t>
            </w:r>
          </w:p>
        </w:tc>
        <w:tc>
          <w:tcPr>
            <w:tcW w:w="907" w:type="dxa"/>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&lt; 1.0</w:t>
            </w:r>
          </w:p>
        </w:tc>
        <w:tc>
          <w:tcPr>
            <w:tcW w:w="907" w:type="dxa"/>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0.8</w:t>
            </w:r>
          </w:p>
        </w:tc>
      </w:tr>
      <w:tr w:rsidR="00A53D7D" w:rsidRPr="00B2174E"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Customer satisfaction rating: Community education/training programs, services and events delivered by VEOHRC</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85</w:t>
            </w:r>
          </w:p>
        </w:tc>
        <w:tc>
          <w:tcPr>
            <w:tcW w:w="993"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85</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85</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86</w:t>
            </w:r>
          </w:p>
        </w:tc>
      </w:tr>
      <w:tr w:rsidR="00A53D7D" w:rsidRPr="00B2174E" w:rsidTr="005140B4">
        <w:trPr>
          <w:cantSplit/>
        </w:trPr>
        <w:tc>
          <w:tcPr>
            <w:tcW w:w="3155" w:type="dxa"/>
            <w:tcBorders>
              <w:top w:val="single" w:sz="6" w:space="0" w:color="auto"/>
              <w:left w:val="nil"/>
              <w:bottom w:val="nil"/>
              <w:right w:val="nil"/>
            </w:tcBorders>
            <w:shd w:val="clear" w:color="auto" w:fill="auto"/>
            <w:vAlign w:val="center"/>
          </w:tcPr>
          <w:p w:rsidR="00A53D7D" w:rsidRPr="00B2174E" w:rsidRDefault="00A53D7D" w:rsidP="005140B4">
            <w:pPr>
              <w:pStyle w:val="OGTabHead"/>
              <w:rPr>
                <w:lang w:eastAsia="en-AU"/>
              </w:rPr>
            </w:pPr>
            <w:r w:rsidRPr="00B2174E">
              <w:rPr>
                <w:iCs/>
                <w:color w:val="000000"/>
                <w:lang w:eastAsia="en-AU"/>
              </w:rPr>
              <w:t>Timeliness</w:t>
            </w:r>
          </w:p>
        </w:tc>
        <w:tc>
          <w:tcPr>
            <w:tcW w:w="907" w:type="dxa"/>
            <w:tcBorders>
              <w:top w:val="single" w:sz="6" w:space="0" w:color="auto"/>
              <w:left w:val="nil"/>
              <w:bottom w:val="nil"/>
              <w:right w:val="nil"/>
            </w:tcBorders>
            <w:shd w:val="clear" w:color="auto" w:fill="auto"/>
          </w:tcPr>
          <w:p w:rsidR="00A53D7D" w:rsidRPr="00B2174E" w:rsidRDefault="00A53D7D" w:rsidP="005140B4">
            <w:pPr>
              <w:pStyle w:val="OGUoM"/>
              <w:rPr>
                <w:color w:val="000000"/>
                <w:lang w:eastAsia="en-AU"/>
              </w:rPr>
            </w:pPr>
          </w:p>
        </w:tc>
        <w:tc>
          <w:tcPr>
            <w:tcW w:w="907" w:type="dxa"/>
            <w:tcBorders>
              <w:top w:val="single" w:sz="6" w:space="0" w:color="auto"/>
              <w:left w:val="nil"/>
              <w:bottom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bottom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bottom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bottom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r>
      <w:tr w:rsidR="00A53D7D" w:rsidRPr="00B2174E" w:rsidTr="005140B4">
        <w:trPr>
          <w:cantSplit/>
        </w:trPr>
        <w:tc>
          <w:tcPr>
            <w:tcW w:w="3155" w:type="dxa"/>
            <w:tcBorders>
              <w:top w:val="nil"/>
              <w:left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Timely provision of births, deaths and marriages certificates</w:t>
            </w:r>
          </w:p>
        </w:tc>
        <w:tc>
          <w:tcPr>
            <w:tcW w:w="907" w:type="dxa"/>
            <w:tcBorders>
              <w:top w:val="nil"/>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nil"/>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90</w:t>
            </w:r>
          </w:p>
        </w:tc>
        <w:tc>
          <w:tcPr>
            <w:tcW w:w="993"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sidRPr="003B380F">
              <w:rPr>
                <w:color w:val="000000"/>
                <w:lang w:eastAsia="en-AU"/>
              </w:rPr>
              <w:t>96</w:t>
            </w:r>
          </w:p>
        </w:tc>
        <w:tc>
          <w:tcPr>
            <w:tcW w:w="907"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90</w:t>
            </w:r>
          </w:p>
        </w:tc>
        <w:tc>
          <w:tcPr>
            <w:tcW w:w="907"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96.9</w:t>
            </w:r>
          </w:p>
        </w:tc>
      </w:tr>
      <w:tr w:rsidR="00A53D7D" w:rsidRPr="00B2174E" w:rsidTr="005140B4">
        <w:trPr>
          <w:cantSplit/>
        </w:trPr>
        <w:tc>
          <w:tcPr>
            <w:tcW w:w="7776" w:type="dxa"/>
            <w:gridSpan w:val="6"/>
            <w:tcBorders>
              <w:top w:val="nil"/>
              <w:left w:val="nil"/>
              <w:bottom w:val="single" w:sz="6" w:space="0" w:color="auto"/>
              <w:right w:val="nil"/>
            </w:tcBorders>
            <w:shd w:val="clear" w:color="auto" w:fill="auto"/>
            <w:vAlign w:val="center"/>
          </w:tcPr>
          <w:p w:rsidR="00A53D7D" w:rsidRPr="00B2174E" w:rsidRDefault="00A53D7D" w:rsidP="005140B4">
            <w:pPr>
              <w:pStyle w:val="OGNotes"/>
            </w:pPr>
            <w:r w:rsidRPr="003B380F">
              <w:rPr>
                <w:rFonts w:cs="Calibri"/>
                <w:szCs w:val="15"/>
              </w:rPr>
              <w:t>The 2013</w:t>
            </w:r>
            <w:r>
              <w:rPr>
                <w:rFonts w:cs="Calibri"/>
                <w:szCs w:val="15"/>
              </w:rPr>
              <w:noBreakHyphen/>
            </w:r>
            <w:r w:rsidRPr="003B380F">
              <w:rPr>
                <w:rFonts w:cs="Calibri"/>
                <w:szCs w:val="15"/>
              </w:rPr>
              <w:t xml:space="preserve">14 expected outcome is higher than the </w:t>
            </w:r>
            <w:r w:rsidRPr="003B380F">
              <w:t>2013</w:t>
            </w:r>
            <w:r>
              <w:noBreakHyphen/>
            </w:r>
            <w:r w:rsidRPr="003B380F">
              <w:t>14 target due to the implementation by BDM of a range of business process improvements including greater promotion of online services</w:t>
            </w:r>
            <w:r>
              <w:t xml:space="preserve">. </w:t>
            </w:r>
          </w:p>
        </w:tc>
      </w:tr>
      <w:tr w:rsidR="00A53D7D" w:rsidRPr="00B2174E" w:rsidTr="005140B4">
        <w:trPr>
          <w:cantSplit/>
        </w:trPr>
        <w:tc>
          <w:tcPr>
            <w:tcW w:w="3155" w:type="dxa"/>
            <w:tcBorders>
              <w:top w:val="single" w:sz="6" w:space="0" w:color="auto"/>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VEOHRC complaints finalised within agreed timeframe</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single" w:sz="6" w:space="0" w:color="auto"/>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85</w:t>
            </w:r>
          </w:p>
        </w:tc>
        <w:tc>
          <w:tcPr>
            <w:tcW w:w="993"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85</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85</w:t>
            </w:r>
          </w:p>
        </w:tc>
        <w:tc>
          <w:tcPr>
            <w:tcW w:w="907" w:type="dxa"/>
            <w:tcBorders>
              <w:top w:val="single" w:sz="6" w:space="0" w:color="auto"/>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65</w:t>
            </w:r>
          </w:p>
        </w:tc>
      </w:tr>
      <w:tr w:rsidR="00A53D7D" w:rsidRPr="00B2174E"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color w:val="000000"/>
                <w:lang w:eastAsia="en-AU"/>
              </w:rPr>
            </w:pPr>
            <w:r w:rsidRPr="00B2174E">
              <w:rPr>
                <w:iCs/>
                <w:color w:val="000000"/>
                <w:lang w:eastAsia="en-AU"/>
              </w:rPr>
              <w:t>Cost</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r>
      <w:tr w:rsidR="00A53D7D" w:rsidRPr="00F02D66" w:rsidTr="005140B4">
        <w:trPr>
          <w:cantSplit/>
        </w:trPr>
        <w:tc>
          <w:tcPr>
            <w:tcW w:w="3155" w:type="dxa"/>
            <w:tcBorders>
              <w:top w:val="nil"/>
              <w:left w:val="nil"/>
              <w:right w:val="nil"/>
            </w:tcBorders>
            <w:shd w:val="clear" w:color="auto" w:fill="auto"/>
            <w:vAlign w:val="center"/>
          </w:tcPr>
          <w:p w:rsidR="00A53D7D" w:rsidRPr="00B2174E" w:rsidRDefault="00A53D7D" w:rsidP="005140B4">
            <w:pPr>
              <w:pStyle w:val="OGTabText"/>
              <w:rPr>
                <w:lang w:eastAsia="en-AU"/>
              </w:rPr>
            </w:pPr>
            <w:r w:rsidRPr="00B2174E">
              <w:rPr>
                <w:lang w:eastAsia="en-AU"/>
              </w:rPr>
              <w:t>Total output cost</w:t>
            </w:r>
          </w:p>
        </w:tc>
        <w:tc>
          <w:tcPr>
            <w:tcW w:w="907" w:type="dxa"/>
            <w:tcBorders>
              <w:top w:val="nil"/>
              <w:left w:val="nil"/>
              <w:right w:val="nil"/>
            </w:tcBorders>
            <w:shd w:val="clear" w:color="auto" w:fill="auto"/>
          </w:tcPr>
          <w:p w:rsidR="00A53D7D" w:rsidRPr="00B2174E" w:rsidRDefault="00A53D7D" w:rsidP="005140B4">
            <w:pPr>
              <w:pStyle w:val="OGUoM"/>
              <w:rPr>
                <w:lang w:eastAsia="en-AU"/>
              </w:rPr>
            </w:pPr>
            <w:r w:rsidRPr="00B2174E">
              <w:rPr>
                <w:lang w:eastAsia="en-AU"/>
              </w:rPr>
              <w:t>$ million</w:t>
            </w:r>
          </w:p>
        </w:tc>
        <w:tc>
          <w:tcPr>
            <w:tcW w:w="907" w:type="dxa"/>
            <w:tcBorders>
              <w:top w:val="nil"/>
              <w:left w:val="nil"/>
              <w:right w:val="nil"/>
            </w:tcBorders>
            <w:shd w:val="clear" w:color="auto" w:fill="E6E6E6"/>
          </w:tcPr>
          <w:p w:rsidR="00A53D7D" w:rsidRPr="00B2174E" w:rsidRDefault="00A53D7D" w:rsidP="005140B4">
            <w:pPr>
              <w:pStyle w:val="OGTableofFigures"/>
              <w:rPr>
                <w:lang w:eastAsia="en-AU"/>
              </w:rPr>
            </w:pPr>
            <w:r>
              <w:rPr>
                <w:lang w:eastAsia="en-AU"/>
              </w:rPr>
              <w:t>34.1</w:t>
            </w:r>
          </w:p>
        </w:tc>
        <w:tc>
          <w:tcPr>
            <w:tcW w:w="993" w:type="dxa"/>
            <w:tcBorders>
              <w:top w:val="nil"/>
              <w:left w:val="nil"/>
              <w:right w:val="nil"/>
            </w:tcBorders>
            <w:shd w:val="clear" w:color="auto" w:fill="auto"/>
          </w:tcPr>
          <w:p w:rsidR="00A53D7D" w:rsidRPr="00B2174E" w:rsidRDefault="00A53D7D" w:rsidP="005140B4">
            <w:pPr>
              <w:pStyle w:val="OGTableofFigures"/>
              <w:rPr>
                <w:lang w:eastAsia="en-AU"/>
              </w:rPr>
            </w:pPr>
            <w:r>
              <w:rPr>
                <w:lang w:eastAsia="en-AU"/>
              </w:rPr>
              <w:t>35.2</w:t>
            </w:r>
          </w:p>
        </w:tc>
        <w:tc>
          <w:tcPr>
            <w:tcW w:w="907" w:type="dxa"/>
            <w:tcBorders>
              <w:top w:val="nil"/>
              <w:left w:val="nil"/>
              <w:right w:val="nil"/>
            </w:tcBorders>
            <w:shd w:val="clear" w:color="auto" w:fill="auto"/>
          </w:tcPr>
          <w:p w:rsidR="00A53D7D" w:rsidRPr="00B2174E" w:rsidRDefault="00A53D7D" w:rsidP="005140B4">
            <w:pPr>
              <w:pStyle w:val="OGTableofFigures"/>
              <w:rPr>
                <w:lang w:eastAsia="en-AU"/>
              </w:rPr>
            </w:pPr>
            <w:r>
              <w:rPr>
                <w:lang w:eastAsia="en-AU"/>
              </w:rPr>
              <w:t>32.7</w:t>
            </w:r>
          </w:p>
        </w:tc>
        <w:tc>
          <w:tcPr>
            <w:tcW w:w="907" w:type="dxa"/>
            <w:tcBorders>
              <w:top w:val="nil"/>
              <w:left w:val="nil"/>
              <w:right w:val="nil"/>
            </w:tcBorders>
            <w:shd w:val="clear" w:color="auto" w:fill="auto"/>
          </w:tcPr>
          <w:p w:rsidR="00A53D7D" w:rsidRPr="00A45C97" w:rsidRDefault="00A53D7D" w:rsidP="005140B4">
            <w:pPr>
              <w:pStyle w:val="OGTableofFigures"/>
              <w:rPr>
                <w:lang w:eastAsia="en-AU"/>
              </w:rPr>
            </w:pPr>
            <w:r w:rsidRPr="00B2174E">
              <w:rPr>
                <w:lang w:eastAsia="en-AU"/>
              </w:rPr>
              <w:t>38.2</w:t>
            </w:r>
          </w:p>
        </w:tc>
      </w:tr>
      <w:tr w:rsidR="00A53D7D" w:rsidRPr="003B380F" w:rsidTr="005140B4">
        <w:trPr>
          <w:cantSplit/>
        </w:trPr>
        <w:tc>
          <w:tcPr>
            <w:tcW w:w="7776" w:type="dxa"/>
            <w:gridSpan w:val="6"/>
            <w:tcBorders>
              <w:top w:val="nil"/>
              <w:left w:val="nil"/>
              <w:bottom w:val="single" w:sz="6" w:space="0" w:color="auto"/>
              <w:right w:val="nil"/>
            </w:tcBorders>
            <w:shd w:val="clear" w:color="auto" w:fill="auto"/>
            <w:vAlign w:val="center"/>
          </w:tcPr>
          <w:p w:rsidR="00A53D7D" w:rsidRPr="003B380F" w:rsidRDefault="00A53D7D" w:rsidP="005140B4">
            <w:pPr>
              <w:pStyle w:val="OGNotes"/>
              <w:rPr>
                <w:rFonts w:cs="Calibri"/>
                <w:szCs w:val="15"/>
              </w:rPr>
            </w:pPr>
            <w:r w:rsidRPr="003B380F">
              <w:rPr>
                <w:rFonts w:cs="Calibri"/>
                <w:szCs w:val="15"/>
              </w:rPr>
              <w:t>The 2</w:t>
            </w:r>
            <w:r w:rsidRPr="005A6B25">
              <w:rPr>
                <w:rFonts w:cs="Calibri"/>
                <w:szCs w:val="15"/>
              </w:rPr>
              <w:t>013</w:t>
            </w:r>
            <w:r>
              <w:rPr>
                <w:rFonts w:cs="Calibri"/>
                <w:szCs w:val="15"/>
              </w:rPr>
              <w:noBreakHyphen/>
            </w:r>
            <w:r w:rsidRPr="005A6B25">
              <w:rPr>
                <w:rFonts w:cs="Calibri"/>
                <w:szCs w:val="15"/>
              </w:rPr>
              <w:t xml:space="preserve">14 expected outcome is higher than the </w:t>
            </w:r>
            <w:r w:rsidRPr="003B380F">
              <w:rPr>
                <w:rFonts w:cs="Calibri"/>
                <w:szCs w:val="15"/>
              </w:rPr>
              <w:t>2013</w:t>
            </w:r>
            <w:r>
              <w:rPr>
                <w:rFonts w:cs="Calibri"/>
                <w:szCs w:val="15"/>
              </w:rPr>
              <w:noBreakHyphen/>
            </w:r>
            <w:r w:rsidRPr="003B380F">
              <w:rPr>
                <w:rFonts w:cs="Calibri"/>
                <w:szCs w:val="15"/>
              </w:rPr>
              <w:t xml:space="preserve">14 target due to </w:t>
            </w:r>
            <w:r>
              <w:rPr>
                <w:rFonts w:cs="Calibri"/>
                <w:szCs w:val="15"/>
              </w:rPr>
              <w:t xml:space="preserve">additional expenditure for the </w:t>
            </w:r>
            <w:r w:rsidRPr="003B380F">
              <w:rPr>
                <w:rFonts w:cs="Calibri"/>
                <w:szCs w:val="15"/>
              </w:rPr>
              <w:t xml:space="preserve">replacement of the Registry of Birth, </w:t>
            </w:r>
            <w:proofErr w:type="gramStart"/>
            <w:r w:rsidRPr="003B380F">
              <w:rPr>
                <w:rFonts w:cs="Calibri"/>
                <w:szCs w:val="15"/>
              </w:rPr>
              <w:t>Deaths</w:t>
            </w:r>
            <w:proofErr w:type="gramEnd"/>
            <w:r w:rsidRPr="003B380F">
              <w:rPr>
                <w:rFonts w:cs="Calibri"/>
                <w:szCs w:val="15"/>
              </w:rPr>
              <w:t xml:space="preserve"> and Marriages registry system.</w:t>
            </w:r>
          </w:p>
        </w:tc>
      </w:tr>
      <w:tr w:rsidR="00A53D7D" w:rsidRPr="00A475B8" w:rsidTr="005140B4">
        <w:trPr>
          <w:cantSplit/>
        </w:trPr>
        <w:tc>
          <w:tcPr>
            <w:tcW w:w="7776" w:type="dxa"/>
            <w:gridSpan w:val="6"/>
            <w:tcBorders>
              <w:top w:val="single" w:sz="6" w:space="0" w:color="auto"/>
              <w:left w:val="nil"/>
              <w:right w:val="nil"/>
            </w:tcBorders>
            <w:shd w:val="clear" w:color="auto" w:fill="auto"/>
            <w:vAlign w:val="center"/>
          </w:tcPr>
          <w:p w:rsidR="00A53D7D" w:rsidRPr="00EC2CB7" w:rsidRDefault="00A53D7D" w:rsidP="005140B4">
            <w:pPr>
              <w:pStyle w:val="OGHeading2"/>
              <w:rPr>
                <w:bCs/>
                <w:color w:val="000000"/>
                <w:lang w:eastAsia="en-AU"/>
              </w:rPr>
            </w:pPr>
            <w:r w:rsidRPr="00EC2CB7">
              <w:rPr>
                <w:color w:val="000000"/>
                <w:lang w:eastAsia="en-AU"/>
              </w:rPr>
              <w:t>Privacy Regulation</w:t>
            </w:r>
          </w:p>
        </w:tc>
      </w:tr>
      <w:tr w:rsidR="00A53D7D" w:rsidRPr="00B2174E" w:rsidTr="005140B4">
        <w:trPr>
          <w:cantSplit/>
        </w:trPr>
        <w:tc>
          <w:tcPr>
            <w:tcW w:w="7776" w:type="dxa"/>
            <w:gridSpan w:val="6"/>
            <w:tcBorders>
              <w:left w:val="nil"/>
              <w:bottom w:val="single" w:sz="6" w:space="0" w:color="auto"/>
              <w:right w:val="nil"/>
            </w:tcBorders>
            <w:shd w:val="clear" w:color="auto" w:fill="auto"/>
            <w:vAlign w:val="center"/>
          </w:tcPr>
          <w:p w:rsidR="00A53D7D" w:rsidRPr="003B380F" w:rsidRDefault="00A53D7D" w:rsidP="005140B4">
            <w:pPr>
              <w:pStyle w:val="OGText"/>
              <w:rPr>
                <w:lang w:eastAsia="en-AU"/>
              </w:rPr>
            </w:pPr>
            <w:r w:rsidRPr="00B2174E">
              <w:rPr>
                <w:lang w:eastAsia="en-AU"/>
              </w:rPr>
              <w:t xml:space="preserve">The </w:t>
            </w:r>
            <w:r w:rsidRPr="00B2174E">
              <w:rPr>
                <w:i/>
                <w:iCs/>
                <w:lang w:eastAsia="en-AU"/>
              </w:rPr>
              <w:t>Information Privacy Act 2000</w:t>
            </w:r>
            <w:r w:rsidRPr="00B2174E">
              <w:rPr>
                <w:lang w:eastAsia="en-AU"/>
              </w:rPr>
              <w:t xml:space="preserve"> regulates the collection and handling of personal information by the Victorian public sector and local government. The Office of the Victorian Privacy Commissioner (OVPC) receives and deals with complaints of alleged breaches of privacy and promotes privacy protection through advocacy, education and training, audit and investigation of breaches of the Act.</w:t>
            </w:r>
          </w:p>
        </w:tc>
      </w:tr>
      <w:tr w:rsidR="00A53D7D" w:rsidRPr="00B2174E"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color w:val="000000"/>
                <w:lang w:eastAsia="en-AU"/>
              </w:rPr>
            </w:pPr>
            <w:r w:rsidRPr="00B2174E">
              <w:rPr>
                <w:iCs/>
                <w:color w:val="000000"/>
                <w:lang w:eastAsia="en-AU"/>
              </w:rPr>
              <w:t>Quantity</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vAlign w:val="center"/>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right w:val="nil"/>
            </w:tcBorders>
            <w:shd w:val="clear" w:color="auto" w:fill="auto"/>
            <w:vAlign w:val="center"/>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vAlign w:val="center"/>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vAlign w:val="center"/>
          </w:tcPr>
          <w:p w:rsidR="00A53D7D" w:rsidRPr="00B2174E" w:rsidRDefault="00A53D7D" w:rsidP="005140B4">
            <w:pPr>
              <w:pStyle w:val="OGTableofFigures"/>
              <w:rPr>
                <w:color w:val="000000"/>
                <w:lang w:eastAsia="en-AU"/>
              </w:rPr>
            </w:pPr>
          </w:p>
        </w:tc>
      </w:tr>
      <w:tr w:rsidR="00A53D7D" w:rsidRPr="00B2174E" w:rsidTr="005140B4">
        <w:trPr>
          <w:cantSplit/>
        </w:trPr>
        <w:tc>
          <w:tcPr>
            <w:tcW w:w="3155" w:type="dxa"/>
            <w:tcBorders>
              <w:top w:val="nil"/>
              <w:left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Compliance activities conducted</w:t>
            </w:r>
          </w:p>
        </w:tc>
        <w:tc>
          <w:tcPr>
            <w:tcW w:w="907" w:type="dxa"/>
            <w:tcBorders>
              <w:top w:val="nil"/>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nil"/>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2 700</w:t>
            </w:r>
          </w:p>
        </w:tc>
        <w:tc>
          <w:tcPr>
            <w:tcW w:w="993"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2 700</w:t>
            </w:r>
          </w:p>
        </w:tc>
        <w:tc>
          <w:tcPr>
            <w:tcW w:w="907"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2 700</w:t>
            </w:r>
          </w:p>
        </w:tc>
        <w:tc>
          <w:tcPr>
            <w:tcW w:w="907"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2 </w:t>
            </w:r>
            <w:r w:rsidRPr="00B2174E">
              <w:rPr>
                <w:color w:val="000000"/>
                <w:lang w:eastAsia="en-AU"/>
              </w:rPr>
              <w:t>734</w:t>
            </w:r>
          </w:p>
        </w:tc>
      </w:tr>
      <w:tr w:rsidR="00A53D7D" w:rsidRPr="00B2174E" w:rsidTr="005140B4">
        <w:trPr>
          <w:cantSplit/>
        </w:trPr>
        <w:tc>
          <w:tcPr>
            <w:tcW w:w="3155" w:type="dxa"/>
            <w:tcBorders>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Privacy awareness activities conducted</w:t>
            </w:r>
          </w:p>
        </w:tc>
        <w:tc>
          <w:tcPr>
            <w:tcW w:w="907" w:type="dxa"/>
            <w:tcBorders>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195</w:t>
            </w:r>
          </w:p>
        </w:tc>
        <w:tc>
          <w:tcPr>
            <w:tcW w:w="993" w:type="dxa"/>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195</w:t>
            </w:r>
          </w:p>
        </w:tc>
        <w:tc>
          <w:tcPr>
            <w:tcW w:w="907" w:type="dxa"/>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195</w:t>
            </w:r>
          </w:p>
        </w:tc>
        <w:tc>
          <w:tcPr>
            <w:tcW w:w="907" w:type="dxa"/>
            <w:tcBorders>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217</w:t>
            </w:r>
          </w:p>
        </w:tc>
      </w:tr>
      <w:tr w:rsidR="00A53D7D" w:rsidRPr="00B2174E"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color w:val="000000"/>
                <w:lang w:eastAsia="en-AU"/>
              </w:rPr>
            </w:pPr>
            <w:r w:rsidRPr="00B2174E">
              <w:rPr>
                <w:iCs/>
                <w:color w:val="000000"/>
                <w:lang w:eastAsia="en-AU"/>
              </w:rPr>
              <w:t>Quality</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r>
      <w:tr w:rsidR="00A53D7D" w:rsidRPr="00B2174E" w:rsidTr="005140B4">
        <w:trPr>
          <w:cantSplit/>
        </w:trPr>
        <w:tc>
          <w:tcPr>
            <w:tcW w:w="3155" w:type="dxa"/>
            <w:tcBorders>
              <w:top w:val="nil"/>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Client feedback of satisfaction with complaint handling and training services provided</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level</w:t>
            </w:r>
          </w:p>
        </w:tc>
        <w:tc>
          <w:tcPr>
            <w:tcW w:w="907" w:type="dxa"/>
            <w:tcBorders>
              <w:top w:val="nil"/>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high</w:t>
            </w:r>
          </w:p>
        </w:tc>
        <w:tc>
          <w:tcPr>
            <w:tcW w:w="993"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high</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high</w:t>
            </w:r>
          </w:p>
        </w:tc>
        <w:tc>
          <w:tcPr>
            <w:tcW w:w="907" w:type="dxa"/>
            <w:tcBorders>
              <w:top w:val="nil"/>
              <w:left w:val="nil"/>
              <w:bottom w:val="single" w:sz="6" w:space="0" w:color="auto"/>
              <w:right w:val="nil"/>
            </w:tcBorders>
            <w:shd w:val="clear" w:color="auto" w:fill="auto"/>
          </w:tcPr>
          <w:p w:rsidR="00A53D7D" w:rsidRPr="003B380F" w:rsidRDefault="00A53D7D" w:rsidP="005140B4">
            <w:pPr>
              <w:pStyle w:val="OGTableofFigures"/>
              <w:rPr>
                <w:color w:val="000000"/>
                <w:lang w:eastAsia="en-AU"/>
              </w:rPr>
            </w:pPr>
            <w:r w:rsidRPr="00B2174E">
              <w:rPr>
                <w:color w:val="000000"/>
                <w:lang w:eastAsia="en-AU"/>
              </w:rPr>
              <w:t>high</w:t>
            </w:r>
          </w:p>
        </w:tc>
      </w:tr>
      <w:tr w:rsidR="00A53D7D" w:rsidRPr="00B2174E"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lang w:eastAsia="en-AU"/>
              </w:rPr>
            </w:pPr>
            <w:r w:rsidRPr="00B2174E">
              <w:rPr>
                <w:iCs/>
                <w:color w:val="000000"/>
                <w:lang w:eastAsia="en-AU"/>
              </w:rPr>
              <w:t>Timeliness</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r>
      <w:tr w:rsidR="00A53D7D" w:rsidRPr="00B2174E" w:rsidTr="005140B4">
        <w:trPr>
          <w:cantSplit/>
        </w:trPr>
        <w:tc>
          <w:tcPr>
            <w:tcW w:w="3155" w:type="dxa"/>
            <w:tcBorders>
              <w:top w:val="nil"/>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Statutory or agreed timelines met</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nil"/>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90</w:t>
            </w:r>
          </w:p>
        </w:tc>
        <w:tc>
          <w:tcPr>
            <w:tcW w:w="993"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90</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90</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90</w:t>
            </w:r>
          </w:p>
        </w:tc>
      </w:tr>
      <w:tr w:rsidR="00A53D7D" w:rsidRPr="00B2174E"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color w:val="000000"/>
                <w:lang w:eastAsia="en-AU"/>
              </w:rPr>
            </w:pPr>
            <w:r w:rsidRPr="00B2174E">
              <w:rPr>
                <w:iCs/>
                <w:color w:val="000000"/>
                <w:lang w:eastAsia="en-AU"/>
              </w:rPr>
              <w:t>Cost</w:t>
            </w:r>
          </w:p>
        </w:tc>
        <w:tc>
          <w:tcPr>
            <w:tcW w:w="907" w:type="dxa"/>
            <w:tcBorders>
              <w:top w:val="single" w:sz="6" w:space="0" w:color="auto"/>
              <w:left w:val="nil"/>
              <w:right w:val="nil"/>
            </w:tcBorders>
            <w:shd w:val="clear" w:color="auto" w:fill="auto"/>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 </w:t>
            </w:r>
          </w:p>
        </w:tc>
      </w:tr>
      <w:tr w:rsidR="00A53D7D" w:rsidRPr="00A475B8" w:rsidTr="005140B4">
        <w:trPr>
          <w:cantSplit/>
        </w:trPr>
        <w:tc>
          <w:tcPr>
            <w:tcW w:w="3155" w:type="dxa"/>
            <w:tcBorders>
              <w:top w:val="nil"/>
              <w:left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Total output cost</w:t>
            </w:r>
          </w:p>
        </w:tc>
        <w:tc>
          <w:tcPr>
            <w:tcW w:w="907" w:type="dxa"/>
            <w:tcBorders>
              <w:top w:val="nil"/>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 million</w:t>
            </w:r>
          </w:p>
        </w:tc>
        <w:tc>
          <w:tcPr>
            <w:tcW w:w="907" w:type="dxa"/>
            <w:tcBorders>
              <w:top w:val="nil"/>
              <w:left w:val="nil"/>
              <w:right w:val="nil"/>
            </w:tcBorders>
            <w:shd w:val="clear" w:color="auto" w:fill="E6E6E6"/>
          </w:tcPr>
          <w:p w:rsidR="00A53D7D" w:rsidRPr="00B2174E" w:rsidRDefault="00A53D7D" w:rsidP="005140B4">
            <w:pPr>
              <w:pStyle w:val="OGTableofFigures"/>
              <w:rPr>
                <w:color w:val="000000"/>
                <w:lang w:eastAsia="en-AU"/>
              </w:rPr>
            </w:pPr>
            <w:r>
              <w:rPr>
                <w:color w:val="000000"/>
                <w:lang w:eastAsia="en-AU"/>
              </w:rPr>
              <w:t>4.4</w:t>
            </w:r>
          </w:p>
        </w:tc>
        <w:tc>
          <w:tcPr>
            <w:tcW w:w="993"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3.9</w:t>
            </w:r>
          </w:p>
        </w:tc>
        <w:tc>
          <w:tcPr>
            <w:tcW w:w="907"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2.3</w:t>
            </w:r>
          </w:p>
        </w:tc>
        <w:tc>
          <w:tcPr>
            <w:tcW w:w="907" w:type="dxa"/>
            <w:tcBorders>
              <w:top w:val="nil"/>
              <w:left w:val="nil"/>
              <w:right w:val="nil"/>
            </w:tcBorders>
            <w:shd w:val="clear" w:color="auto" w:fill="auto"/>
          </w:tcPr>
          <w:p w:rsidR="00A53D7D" w:rsidRPr="003B380F" w:rsidRDefault="00A53D7D" w:rsidP="005140B4">
            <w:pPr>
              <w:pStyle w:val="OGTableofFigures"/>
              <w:rPr>
                <w:color w:val="000000"/>
                <w:lang w:eastAsia="en-AU"/>
              </w:rPr>
            </w:pPr>
            <w:r w:rsidRPr="00B2174E">
              <w:rPr>
                <w:color w:val="000000"/>
                <w:lang w:eastAsia="en-AU"/>
              </w:rPr>
              <w:t>2.4</w:t>
            </w:r>
          </w:p>
        </w:tc>
      </w:tr>
      <w:tr w:rsidR="00A53D7D" w:rsidRPr="00A475B8" w:rsidTr="005140B4">
        <w:trPr>
          <w:cantSplit/>
        </w:trPr>
        <w:tc>
          <w:tcPr>
            <w:tcW w:w="7776" w:type="dxa"/>
            <w:gridSpan w:val="6"/>
            <w:tcBorders>
              <w:top w:val="nil"/>
              <w:left w:val="nil"/>
              <w:bottom w:val="single" w:sz="6" w:space="0" w:color="auto"/>
              <w:right w:val="nil"/>
            </w:tcBorders>
            <w:shd w:val="clear" w:color="auto" w:fill="auto"/>
            <w:vAlign w:val="center"/>
          </w:tcPr>
          <w:p w:rsidR="00A53D7D" w:rsidRPr="003B380F" w:rsidRDefault="00A53D7D" w:rsidP="005140B4">
            <w:pPr>
              <w:pStyle w:val="OGNotes"/>
              <w:rPr>
                <w:rFonts w:cs="Calibri"/>
                <w:szCs w:val="15"/>
              </w:rPr>
            </w:pPr>
            <w:r>
              <w:rPr>
                <w:rFonts w:cs="Calibri"/>
                <w:szCs w:val="15"/>
              </w:rPr>
              <w:t>The increase in output cost targets between financial years and the increase from the 2013</w:t>
            </w:r>
            <w:r>
              <w:rPr>
                <w:rFonts w:cs="Calibri"/>
                <w:szCs w:val="15"/>
              </w:rPr>
              <w:noBreakHyphen/>
              <w:t>14 target to the 2013</w:t>
            </w:r>
            <w:r>
              <w:rPr>
                <w:rFonts w:cs="Calibri"/>
                <w:szCs w:val="15"/>
              </w:rPr>
              <w:noBreakHyphen/>
              <w:t>14 expected outcome reflects the functions of the Commissioner for Law Enforcement Data Security being transferred from the Policing Services output during the 2013</w:t>
            </w:r>
            <w:r>
              <w:rPr>
                <w:rFonts w:cs="Calibri"/>
                <w:szCs w:val="15"/>
              </w:rPr>
              <w:noBreakHyphen/>
              <w:t xml:space="preserve">14 financial year. </w:t>
            </w:r>
          </w:p>
        </w:tc>
      </w:tr>
      <w:tr w:rsidR="00A53D7D" w:rsidRPr="00A475B8" w:rsidTr="005140B4">
        <w:trPr>
          <w:cantSplit/>
        </w:trPr>
        <w:tc>
          <w:tcPr>
            <w:tcW w:w="7776" w:type="dxa"/>
            <w:gridSpan w:val="6"/>
            <w:tcBorders>
              <w:top w:val="single" w:sz="6" w:space="0" w:color="auto"/>
              <w:left w:val="nil"/>
              <w:right w:val="nil"/>
            </w:tcBorders>
            <w:vAlign w:val="center"/>
          </w:tcPr>
          <w:p w:rsidR="00A53D7D" w:rsidRPr="00EC2CB7" w:rsidRDefault="00A53D7D" w:rsidP="005140B4">
            <w:pPr>
              <w:pStyle w:val="OGHeading2"/>
              <w:keepNext w:val="0"/>
              <w:rPr>
                <w:bCs/>
                <w:color w:val="000000"/>
                <w:lang w:eastAsia="en-AU"/>
              </w:rPr>
            </w:pPr>
            <w:r w:rsidRPr="00EC2CB7">
              <w:rPr>
                <w:color w:val="000000"/>
                <w:lang w:eastAsia="en-AU"/>
              </w:rPr>
              <w:t>State Electoral Roll and Elections</w:t>
            </w:r>
          </w:p>
        </w:tc>
      </w:tr>
      <w:tr w:rsidR="00A53D7D" w:rsidRPr="00B2174E" w:rsidTr="005140B4">
        <w:trPr>
          <w:cantSplit/>
        </w:trPr>
        <w:tc>
          <w:tcPr>
            <w:tcW w:w="7776" w:type="dxa"/>
            <w:gridSpan w:val="6"/>
            <w:tcBorders>
              <w:top w:val="nil"/>
              <w:left w:val="nil"/>
              <w:bottom w:val="single" w:sz="6" w:space="0" w:color="auto"/>
              <w:right w:val="nil"/>
            </w:tcBorders>
            <w:shd w:val="clear" w:color="auto" w:fill="auto"/>
            <w:vAlign w:val="center"/>
          </w:tcPr>
          <w:p w:rsidR="00A53D7D" w:rsidRPr="00B2174E" w:rsidRDefault="00A53D7D" w:rsidP="005140B4">
            <w:pPr>
              <w:pStyle w:val="OGText"/>
              <w:keepNext w:val="0"/>
              <w:spacing w:before="60"/>
              <w:rPr>
                <w:lang w:eastAsia="en-AU"/>
              </w:rPr>
            </w:pPr>
            <w:r w:rsidRPr="00B2174E">
              <w:rPr>
                <w:lang w:eastAsia="en-AU"/>
              </w:rPr>
              <w:t>The Victorian Electoral Commission (VEC) maintains a high</w:t>
            </w:r>
            <w:r>
              <w:rPr>
                <w:lang w:eastAsia="en-AU"/>
              </w:rPr>
              <w:t xml:space="preserve"> </w:t>
            </w:r>
            <w:r w:rsidRPr="00B2174E">
              <w:rPr>
                <w:lang w:eastAsia="en-AU"/>
              </w:rPr>
              <w:t xml:space="preserve">quality electoral system that supports democracy in </w:t>
            </w:r>
            <w:smartTag w:uri="urn:schemas-microsoft-com:office:smarttags" w:element="place">
              <w:smartTag w:uri="urn:schemas-microsoft-com:office:smarttags" w:element="State">
                <w:r w:rsidRPr="00B2174E">
                  <w:rPr>
                    <w:lang w:eastAsia="en-AU"/>
                  </w:rPr>
                  <w:t>Victoria</w:t>
                </w:r>
              </w:smartTag>
            </w:smartTag>
            <w:r w:rsidRPr="00B2174E">
              <w:rPr>
                <w:lang w:eastAsia="en-AU"/>
              </w:rPr>
              <w:t xml:space="preserve"> through the administration of an accurate and secure electoral roll, electoral services to ensure fair and equitable representation, the conduct of fair and impartial elections and encouraging greater participation in civic life through education and awareness activities and improving ease of access.</w:t>
            </w:r>
          </w:p>
        </w:tc>
      </w:tr>
      <w:tr w:rsidR="00A53D7D" w:rsidRPr="00B2174E" w:rsidTr="005140B4">
        <w:trPr>
          <w:cantSplit/>
        </w:trPr>
        <w:tc>
          <w:tcPr>
            <w:tcW w:w="3155" w:type="dxa"/>
            <w:tcBorders>
              <w:top w:val="single" w:sz="6" w:space="0" w:color="auto"/>
              <w:left w:val="nil"/>
              <w:bottom w:val="nil"/>
              <w:right w:val="nil"/>
            </w:tcBorders>
            <w:shd w:val="clear" w:color="auto" w:fill="auto"/>
            <w:vAlign w:val="center"/>
          </w:tcPr>
          <w:p w:rsidR="00A53D7D" w:rsidRPr="00B2174E" w:rsidRDefault="00A53D7D" w:rsidP="005140B4">
            <w:pPr>
              <w:pStyle w:val="OGTabHead"/>
              <w:rPr>
                <w:color w:val="000000"/>
                <w:lang w:eastAsia="en-AU"/>
              </w:rPr>
            </w:pPr>
            <w:r w:rsidRPr="00B2174E">
              <w:rPr>
                <w:iCs/>
                <w:color w:val="000000"/>
                <w:lang w:eastAsia="en-AU"/>
              </w:rPr>
              <w:t>Quantity</w:t>
            </w:r>
          </w:p>
        </w:tc>
        <w:tc>
          <w:tcPr>
            <w:tcW w:w="907" w:type="dxa"/>
            <w:tcBorders>
              <w:top w:val="single" w:sz="6" w:space="0" w:color="auto"/>
              <w:left w:val="nil"/>
              <w:bottom w:val="nil"/>
              <w:right w:val="nil"/>
            </w:tcBorders>
            <w:shd w:val="clear" w:color="auto" w:fill="auto"/>
            <w:vAlign w:val="center"/>
          </w:tcPr>
          <w:p w:rsidR="00A53D7D" w:rsidRPr="00B2174E" w:rsidRDefault="00A53D7D" w:rsidP="005140B4">
            <w:pPr>
              <w:pStyle w:val="OGUoM"/>
              <w:rPr>
                <w:color w:val="000000"/>
                <w:lang w:eastAsia="en-AU"/>
              </w:rPr>
            </w:pPr>
          </w:p>
        </w:tc>
        <w:tc>
          <w:tcPr>
            <w:tcW w:w="907" w:type="dxa"/>
            <w:tcBorders>
              <w:top w:val="single" w:sz="6" w:space="0" w:color="auto"/>
              <w:left w:val="nil"/>
              <w:bottom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bottom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bottom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bottom w:val="nil"/>
              <w:right w:val="nil"/>
            </w:tcBorders>
            <w:shd w:val="clear" w:color="auto" w:fill="auto"/>
          </w:tcPr>
          <w:p w:rsidR="00A53D7D" w:rsidRPr="00B2174E" w:rsidRDefault="00A53D7D" w:rsidP="005140B4">
            <w:pPr>
              <w:pStyle w:val="OGTableofFigures"/>
              <w:rPr>
                <w:color w:val="000000"/>
                <w:lang w:eastAsia="en-AU"/>
              </w:rPr>
            </w:pPr>
          </w:p>
        </w:tc>
      </w:tr>
      <w:tr w:rsidR="00A53D7D" w:rsidRPr="00B2174E" w:rsidTr="005140B4">
        <w:trPr>
          <w:cantSplit/>
        </w:trPr>
        <w:tc>
          <w:tcPr>
            <w:tcW w:w="3155" w:type="dxa"/>
            <w:tcBorders>
              <w:top w:val="nil"/>
              <w:left w:val="nil"/>
              <w:right w:val="nil"/>
            </w:tcBorders>
            <w:shd w:val="clear" w:color="auto" w:fill="auto"/>
            <w:vAlign w:val="center"/>
          </w:tcPr>
          <w:p w:rsidR="00A53D7D" w:rsidRPr="003B380F" w:rsidRDefault="00A53D7D" w:rsidP="005140B4">
            <w:pPr>
              <w:pStyle w:val="OGTabText"/>
              <w:rPr>
                <w:color w:val="000000"/>
                <w:lang w:eastAsia="en-AU"/>
              </w:rPr>
            </w:pPr>
            <w:r w:rsidRPr="00B2174E">
              <w:rPr>
                <w:color w:val="000000"/>
                <w:lang w:eastAsia="en-AU"/>
              </w:rPr>
              <w:t>State elections, municipal and statutory elections, by</w:t>
            </w:r>
            <w:r>
              <w:rPr>
                <w:color w:val="000000"/>
                <w:lang w:eastAsia="en-AU"/>
              </w:rPr>
              <w:noBreakHyphen/>
            </w:r>
            <w:r w:rsidRPr="00B2174E">
              <w:rPr>
                <w:color w:val="000000"/>
                <w:lang w:eastAsia="en-AU"/>
              </w:rPr>
              <w:t>elections, polls and electoral representation reviews</w:t>
            </w:r>
          </w:p>
        </w:tc>
        <w:tc>
          <w:tcPr>
            <w:tcW w:w="907" w:type="dxa"/>
            <w:tcBorders>
              <w:top w:val="nil"/>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nil"/>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142</w:t>
            </w:r>
          </w:p>
        </w:tc>
        <w:tc>
          <w:tcPr>
            <w:tcW w:w="993" w:type="dxa"/>
            <w:tcBorders>
              <w:top w:val="nil"/>
              <w:left w:val="nil"/>
              <w:right w:val="nil"/>
            </w:tcBorders>
            <w:shd w:val="clear" w:color="auto" w:fill="auto"/>
          </w:tcPr>
          <w:p w:rsidR="00A53D7D" w:rsidRPr="00DB04E8" w:rsidRDefault="00A53D7D" w:rsidP="005140B4">
            <w:pPr>
              <w:pStyle w:val="OGTableofFigures"/>
              <w:rPr>
                <w:color w:val="000000"/>
                <w:lang w:eastAsia="en-AU"/>
              </w:rPr>
            </w:pPr>
            <w:r w:rsidRPr="00B2174E">
              <w:rPr>
                <w:color w:val="000000"/>
                <w:lang w:eastAsia="en-AU"/>
              </w:rPr>
              <w:t>24</w:t>
            </w:r>
          </w:p>
        </w:tc>
        <w:tc>
          <w:tcPr>
            <w:tcW w:w="907" w:type="dxa"/>
            <w:tcBorders>
              <w:top w:val="nil"/>
              <w:left w:val="nil"/>
              <w:right w:val="nil"/>
            </w:tcBorders>
            <w:shd w:val="clear" w:color="auto" w:fill="auto"/>
          </w:tcPr>
          <w:p w:rsidR="00A53D7D" w:rsidRPr="00DB04E8" w:rsidRDefault="00A53D7D" w:rsidP="005140B4">
            <w:pPr>
              <w:pStyle w:val="OGTableofFigures"/>
              <w:rPr>
                <w:color w:val="000000"/>
                <w:lang w:eastAsia="en-AU"/>
              </w:rPr>
            </w:pPr>
            <w:r w:rsidRPr="00B2174E">
              <w:rPr>
                <w:color w:val="000000"/>
                <w:lang w:eastAsia="en-AU"/>
              </w:rPr>
              <w:t>24</w:t>
            </w:r>
          </w:p>
        </w:tc>
        <w:tc>
          <w:tcPr>
            <w:tcW w:w="907" w:type="dxa"/>
            <w:tcBorders>
              <w:top w:val="nil"/>
              <w:left w:val="nil"/>
              <w:right w:val="nil"/>
            </w:tcBorders>
            <w:shd w:val="clear" w:color="auto" w:fill="auto"/>
          </w:tcPr>
          <w:p w:rsidR="00A53D7D" w:rsidRPr="003B380F" w:rsidRDefault="00A53D7D" w:rsidP="005140B4">
            <w:pPr>
              <w:pStyle w:val="OGTableofFigures"/>
              <w:rPr>
                <w:color w:val="000000"/>
                <w:lang w:eastAsia="en-AU"/>
              </w:rPr>
            </w:pPr>
            <w:r w:rsidRPr="00B2174E">
              <w:rPr>
                <w:color w:val="000000"/>
                <w:lang w:eastAsia="en-AU"/>
              </w:rPr>
              <w:t>103</w:t>
            </w:r>
          </w:p>
        </w:tc>
      </w:tr>
      <w:tr w:rsidR="00A53D7D" w:rsidRPr="00B2174E" w:rsidTr="005140B4">
        <w:trPr>
          <w:cantSplit/>
        </w:trPr>
        <w:tc>
          <w:tcPr>
            <w:tcW w:w="7776" w:type="dxa"/>
            <w:gridSpan w:val="6"/>
            <w:tcBorders>
              <w:top w:val="nil"/>
              <w:left w:val="nil"/>
              <w:bottom w:val="single" w:sz="6" w:space="0" w:color="auto"/>
              <w:right w:val="nil"/>
            </w:tcBorders>
            <w:shd w:val="clear" w:color="auto" w:fill="auto"/>
            <w:vAlign w:val="center"/>
          </w:tcPr>
          <w:p w:rsidR="00A53D7D" w:rsidRPr="003B380F" w:rsidRDefault="00A53D7D" w:rsidP="005140B4">
            <w:pPr>
              <w:pStyle w:val="OGNotes"/>
            </w:pPr>
            <w:r w:rsidRPr="00B2174E">
              <w:t>The higher 2014</w:t>
            </w:r>
            <w:r>
              <w:noBreakHyphen/>
            </w:r>
            <w:r w:rsidRPr="00B2174E">
              <w:t xml:space="preserve">15 target reflects the scheduled General Election for the State to be held in November 2014. </w:t>
            </w:r>
          </w:p>
        </w:tc>
      </w:tr>
      <w:tr w:rsidR="00A53D7D" w:rsidRPr="00B2174E"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color w:val="000000"/>
                <w:lang w:eastAsia="en-AU"/>
              </w:rPr>
            </w:pPr>
            <w:r w:rsidRPr="00B2174E">
              <w:rPr>
                <w:iCs/>
                <w:color w:val="000000"/>
                <w:lang w:eastAsia="en-AU"/>
              </w:rPr>
              <w:t>Quality</w:t>
            </w:r>
          </w:p>
        </w:tc>
        <w:tc>
          <w:tcPr>
            <w:tcW w:w="907" w:type="dxa"/>
            <w:tcBorders>
              <w:top w:val="single" w:sz="6" w:space="0" w:color="auto"/>
              <w:left w:val="nil"/>
              <w:right w:val="nil"/>
            </w:tcBorders>
            <w:shd w:val="clear" w:color="auto" w:fill="auto"/>
            <w:vAlign w:val="center"/>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r>
      <w:tr w:rsidR="00A53D7D" w:rsidRPr="00B2174E" w:rsidTr="005140B4">
        <w:trPr>
          <w:cantSplit/>
        </w:trPr>
        <w:tc>
          <w:tcPr>
            <w:tcW w:w="3155" w:type="dxa"/>
            <w:tcBorders>
              <w:top w:val="nil"/>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Challenges to VEC conduct upheld in Court</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nil"/>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0</w:t>
            </w:r>
          </w:p>
        </w:tc>
        <w:tc>
          <w:tcPr>
            <w:tcW w:w="993"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0</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0</w:t>
            </w:r>
          </w:p>
        </w:tc>
        <w:tc>
          <w:tcPr>
            <w:tcW w:w="907" w:type="dxa"/>
            <w:tcBorders>
              <w:top w:val="nil"/>
              <w:left w:val="nil"/>
              <w:bottom w:val="single" w:sz="6" w:space="0" w:color="auto"/>
              <w:right w:val="nil"/>
            </w:tcBorders>
            <w:shd w:val="clear" w:color="auto" w:fill="auto"/>
          </w:tcPr>
          <w:p w:rsidR="00A53D7D" w:rsidRPr="003B380F" w:rsidRDefault="00A53D7D" w:rsidP="005140B4">
            <w:pPr>
              <w:pStyle w:val="OGTableofFigures"/>
              <w:rPr>
                <w:color w:val="000000"/>
                <w:lang w:eastAsia="en-AU"/>
              </w:rPr>
            </w:pPr>
            <w:r w:rsidRPr="00B2174E">
              <w:rPr>
                <w:color w:val="000000"/>
                <w:lang w:eastAsia="en-AU"/>
              </w:rPr>
              <w:t>0</w:t>
            </w:r>
          </w:p>
        </w:tc>
      </w:tr>
      <w:tr w:rsidR="00A53D7D" w:rsidRPr="00B2174E"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lang w:eastAsia="en-AU"/>
              </w:rPr>
            </w:pPr>
            <w:r w:rsidRPr="00B2174E">
              <w:rPr>
                <w:iCs/>
                <w:color w:val="000000"/>
                <w:lang w:eastAsia="en-AU"/>
              </w:rPr>
              <w:t>Timeliness</w:t>
            </w:r>
          </w:p>
        </w:tc>
        <w:tc>
          <w:tcPr>
            <w:tcW w:w="907" w:type="dxa"/>
            <w:tcBorders>
              <w:top w:val="single" w:sz="6" w:space="0" w:color="auto"/>
              <w:left w:val="nil"/>
              <w:right w:val="nil"/>
            </w:tcBorders>
            <w:shd w:val="clear" w:color="auto" w:fill="auto"/>
            <w:vAlign w:val="center"/>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r>
      <w:tr w:rsidR="00A53D7D" w:rsidRPr="00B2174E" w:rsidTr="005140B4">
        <w:trPr>
          <w:cantSplit/>
        </w:trPr>
        <w:tc>
          <w:tcPr>
            <w:tcW w:w="3155" w:type="dxa"/>
            <w:tcBorders>
              <w:top w:val="nil"/>
              <w:left w:val="nil"/>
              <w:bottom w:val="single" w:sz="6" w:space="0" w:color="auto"/>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Elector enrolment changes and new enrolments processed within set timeframes</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nil"/>
              <w:left w:val="nil"/>
              <w:bottom w:val="single" w:sz="6" w:space="0" w:color="auto"/>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98</w:t>
            </w:r>
          </w:p>
        </w:tc>
        <w:tc>
          <w:tcPr>
            <w:tcW w:w="993"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98</w:t>
            </w:r>
            <w:r w:rsidRPr="00B2174E">
              <w:rPr>
                <w:color w:val="000000"/>
                <w:lang w:eastAsia="en-AU"/>
              </w:rPr>
              <w:br/>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98</w:t>
            </w:r>
          </w:p>
        </w:tc>
        <w:tc>
          <w:tcPr>
            <w:tcW w:w="907" w:type="dxa"/>
            <w:tcBorders>
              <w:top w:val="nil"/>
              <w:left w:val="nil"/>
              <w:bottom w:val="single" w:sz="6" w:space="0" w:color="auto"/>
              <w:right w:val="nil"/>
            </w:tcBorders>
            <w:shd w:val="clear" w:color="auto" w:fill="auto"/>
          </w:tcPr>
          <w:p w:rsidR="00A53D7D" w:rsidRPr="00B2174E" w:rsidRDefault="00A53D7D" w:rsidP="005140B4">
            <w:pPr>
              <w:pStyle w:val="OGTableofFigures"/>
              <w:rPr>
                <w:color w:val="000000"/>
                <w:lang w:eastAsia="en-AU"/>
              </w:rPr>
            </w:pPr>
            <w:r w:rsidRPr="00B2174E">
              <w:rPr>
                <w:color w:val="000000"/>
                <w:lang w:eastAsia="en-AU"/>
              </w:rPr>
              <w:t>100</w:t>
            </w:r>
          </w:p>
        </w:tc>
      </w:tr>
      <w:tr w:rsidR="00A53D7D" w:rsidRPr="00B2174E" w:rsidTr="005140B4">
        <w:trPr>
          <w:cantSplit/>
        </w:trPr>
        <w:tc>
          <w:tcPr>
            <w:tcW w:w="3155" w:type="dxa"/>
            <w:tcBorders>
              <w:top w:val="single" w:sz="6" w:space="0" w:color="auto"/>
              <w:left w:val="nil"/>
              <w:right w:val="nil"/>
            </w:tcBorders>
            <w:shd w:val="clear" w:color="auto" w:fill="auto"/>
            <w:vAlign w:val="center"/>
          </w:tcPr>
          <w:p w:rsidR="00A53D7D" w:rsidRPr="00B2174E" w:rsidRDefault="00A53D7D" w:rsidP="005140B4">
            <w:pPr>
              <w:pStyle w:val="OGTabHead"/>
              <w:rPr>
                <w:color w:val="000000"/>
                <w:lang w:eastAsia="en-AU"/>
              </w:rPr>
            </w:pPr>
            <w:r w:rsidRPr="00B2174E">
              <w:rPr>
                <w:iCs/>
                <w:color w:val="000000"/>
                <w:lang w:eastAsia="en-AU"/>
              </w:rPr>
              <w:t>Cost</w:t>
            </w:r>
          </w:p>
        </w:tc>
        <w:tc>
          <w:tcPr>
            <w:tcW w:w="907" w:type="dxa"/>
            <w:tcBorders>
              <w:top w:val="single" w:sz="6" w:space="0" w:color="auto"/>
              <w:left w:val="nil"/>
              <w:right w:val="nil"/>
            </w:tcBorders>
            <w:shd w:val="clear" w:color="auto" w:fill="auto"/>
            <w:vAlign w:val="center"/>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B2174E" w:rsidRDefault="00A53D7D" w:rsidP="005140B4">
            <w:pPr>
              <w:pStyle w:val="OGTableofFigures"/>
              <w:rPr>
                <w:color w:val="000000"/>
                <w:lang w:eastAsia="en-AU"/>
              </w:rPr>
            </w:pPr>
          </w:p>
        </w:tc>
      </w:tr>
      <w:tr w:rsidR="00A53D7D" w:rsidRPr="00AB2CFA" w:rsidTr="005140B4">
        <w:trPr>
          <w:cantSplit/>
        </w:trPr>
        <w:tc>
          <w:tcPr>
            <w:tcW w:w="3155" w:type="dxa"/>
            <w:tcBorders>
              <w:top w:val="nil"/>
              <w:left w:val="nil"/>
              <w:right w:val="nil"/>
            </w:tcBorders>
            <w:shd w:val="clear" w:color="auto" w:fill="auto"/>
            <w:vAlign w:val="center"/>
          </w:tcPr>
          <w:p w:rsidR="00A53D7D" w:rsidRPr="00B2174E" w:rsidRDefault="00A53D7D" w:rsidP="005140B4">
            <w:pPr>
              <w:pStyle w:val="OGTabText"/>
              <w:rPr>
                <w:color w:val="000000"/>
                <w:lang w:eastAsia="en-AU"/>
              </w:rPr>
            </w:pPr>
            <w:r w:rsidRPr="00B2174E">
              <w:rPr>
                <w:color w:val="000000"/>
                <w:lang w:eastAsia="en-AU"/>
              </w:rPr>
              <w:t>Total output cost</w:t>
            </w:r>
          </w:p>
        </w:tc>
        <w:tc>
          <w:tcPr>
            <w:tcW w:w="907" w:type="dxa"/>
            <w:tcBorders>
              <w:top w:val="nil"/>
              <w:left w:val="nil"/>
              <w:right w:val="nil"/>
            </w:tcBorders>
            <w:shd w:val="clear" w:color="auto" w:fill="auto"/>
          </w:tcPr>
          <w:p w:rsidR="00A53D7D" w:rsidRPr="00B2174E" w:rsidRDefault="00A53D7D" w:rsidP="005140B4">
            <w:pPr>
              <w:pStyle w:val="OGUoM"/>
              <w:rPr>
                <w:color w:val="000000"/>
                <w:lang w:eastAsia="en-AU"/>
              </w:rPr>
            </w:pPr>
            <w:r w:rsidRPr="00B2174E">
              <w:rPr>
                <w:color w:val="000000"/>
                <w:lang w:eastAsia="en-AU"/>
              </w:rPr>
              <w:t>$ million</w:t>
            </w:r>
          </w:p>
        </w:tc>
        <w:tc>
          <w:tcPr>
            <w:tcW w:w="907" w:type="dxa"/>
            <w:tcBorders>
              <w:top w:val="nil"/>
              <w:left w:val="nil"/>
              <w:right w:val="nil"/>
            </w:tcBorders>
            <w:shd w:val="clear" w:color="auto" w:fill="E6E6E6"/>
          </w:tcPr>
          <w:p w:rsidR="00A53D7D" w:rsidRPr="00B2174E" w:rsidRDefault="00A53D7D" w:rsidP="005140B4">
            <w:pPr>
              <w:pStyle w:val="OGTableofFigures"/>
              <w:rPr>
                <w:color w:val="000000"/>
                <w:lang w:eastAsia="en-AU"/>
              </w:rPr>
            </w:pPr>
            <w:r>
              <w:rPr>
                <w:color w:val="000000"/>
                <w:lang w:eastAsia="en-AU"/>
              </w:rPr>
              <w:t>71.0</w:t>
            </w:r>
          </w:p>
        </w:tc>
        <w:tc>
          <w:tcPr>
            <w:tcW w:w="993"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30.6</w:t>
            </w:r>
          </w:p>
        </w:tc>
        <w:tc>
          <w:tcPr>
            <w:tcW w:w="907" w:type="dxa"/>
            <w:tcBorders>
              <w:top w:val="nil"/>
              <w:left w:val="nil"/>
              <w:right w:val="nil"/>
            </w:tcBorders>
            <w:shd w:val="clear" w:color="auto" w:fill="auto"/>
          </w:tcPr>
          <w:p w:rsidR="00A53D7D" w:rsidRPr="00B2174E" w:rsidRDefault="00A53D7D" w:rsidP="005140B4">
            <w:pPr>
              <w:pStyle w:val="OGTableofFigures"/>
              <w:rPr>
                <w:color w:val="000000"/>
                <w:lang w:eastAsia="en-AU"/>
              </w:rPr>
            </w:pPr>
            <w:r>
              <w:rPr>
                <w:color w:val="000000"/>
                <w:lang w:eastAsia="en-AU"/>
              </w:rPr>
              <w:t>30.6</w:t>
            </w:r>
          </w:p>
        </w:tc>
        <w:tc>
          <w:tcPr>
            <w:tcW w:w="907" w:type="dxa"/>
            <w:tcBorders>
              <w:top w:val="nil"/>
              <w:left w:val="nil"/>
              <w:right w:val="nil"/>
            </w:tcBorders>
            <w:shd w:val="clear" w:color="auto" w:fill="auto"/>
          </w:tcPr>
          <w:p w:rsidR="00A53D7D" w:rsidRPr="00AB2CFA" w:rsidRDefault="00A53D7D" w:rsidP="005140B4">
            <w:pPr>
              <w:pStyle w:val="OGTableofFigures"/>
              <w:rPr>
                <w:color w:val="000000"/>
                <w:lang w:eastAsia="en-AU"/>
              </w:rPr>
            </w:pPr>
            <w:r w:rsidRPr="00B2174E">
              <w:rPr>
                <w:color w:val="000000"/>
                <w:lang w:eastAsia="en-AU"/>
              </w:rPr>
              <w:t>42.6</w:t>
            </w:r>
          </w:p>
        </w:tc>
      </w:tr>
      <w:tr w:rsidR="00A53D7D" w:rsidRPr="00AB2CFA" w:rsidTr="005140B4">
        <w:trPr>
          <w:cantSplit/>
        </w:trPr>
        <w:tc>
          <w:tcPr>
            <w:tcW w:w="7776" w:type="dxa"/>
            <w:gridSpan w:val="6"/>
            <w:tcBorders>
              <w:top w:val="nil"/>
              <w:left w:val="nil"/>
              <w:bottom w:val="single" w:sz="12" w:space="0" w:color="auto"/>
              <w:right w:val="nil"/>
            </w:tcBorders>
            <w:shd w:val="clear" w:color="auto" w:fill="auto"/>
            <w:vAlign w:val="center"/>
          </w:tcPr>
          <w:p w:rsidR="00A53D7D" w:rsidRPr="003E571E" w:rsidRDefault="00A53D7D" w:rsidP="005140B4">
            <w:pPr>
              <w:pStyle w:val="OGNotes"/>
              <w:rPr>
                <w:color w:val="000000"/>
                <w:sz w:val="20"/>
                <w:szCs w:val="18"/>
              </w:rPr>
            </w:pPr>
            <w:r w:rsidRPr="003B380F">
              <w:rPr>
                <w:rFonts w:cs="Calibri"/>
                <w:szCs w:val="15"/>
              </w:rPr>
              <w:t xml:space="preserve">The </w:t>
            </w:r>
            <w:r w:rsidRPr="002A2799">
              <w:rPr>
                <w:rFonts w:cs="Calibri"/>
                <w:szCs w:val="15"/>
              </w:rPr>
              <w:t>higher 2014</w:t>
            </w:r>
            <w:r>
              <w:rPr>
                <w:rFonts w:cs="Calibri"/>
                <w:szCs w:val="15"/>
              </w:rPr>
              <w:noBreakHyphen/>
            </w:r>
            <w:r w:rsidRPr="002A2799">
              <w:rPr>
                <w:rFonts w:cs="Calibri"/>
                <w:szCs w:val="15"/>
              </w:rPr>
              <w:t>15 target</w:t>
            </w:r>
            <w:r w:rsidRPr="003B380F">
              <w:rPr>
                <w:rFonts w:cs="Calibri"/>
                <w:szCs w:val="15"/>
              </w:rPr>
              <w:t xml:space="preserve"> is due to additional funding for the 2014 State Election.</w:t>
            </w:r>
            <w:r>
              <w:rPr>
                <w:color w:val="000000"/>
                <w:sz w:val="20"/>
                <w:szCs w:val="18"/>
              </w:rPr>
              <w:t xml:space="preserve"> </w:t>
            </w:r>
          </w:p>
        </w:tc>
      </w:tr>
    </w:tbl>
    <w:p w:rsidR="00A53D7D" w:rsidRDefault="00A53D7D" w:rsidP="005140B4">
      <w:pPr>
        <w:pStyle w:val="Source"/>
      </w:pPr>
      <w:r>
        <w:t>Source: Department of Justice</w:t>
      </w:r>
      <w:r>
        <w:fldChar w:fldCharType="begin"/>
      </w:r>
      <w:r>
        <w:instrText xml:space="preserve"> XE "</w:instrText>
      </w:r>
      <w:r w:rsidRPr="002504C0">
        <w:rPr>
          <w:lang w:eastAsia="en-AU"/>
        </w:rPr>
        <w:instrText>Department of Justice</w:instrText>
      </w:r>
      <w:r w:rsidRPr="002504C0">
        <w:instrText>:Personal Identity, Individual Rights and Participation in Civic Life</w:instrText>
      </w:r>
      <w:r>
        <w:instrText xml:space="preserve">" \r "BP3DOJPersIdentIndivRightandPartic" </w:instrText>
      </w:r>
      <w:r>
        <w:fldChar w:fldCharType="end"/>
      </w:r>
      <w:r>
        <w:fldChar w:fldCharType="begin"/>
      </w:r>
      <w:r>
        <w:instrText xml:space="preserve"> XE "</w:instrText>
      </w:r>
      <w:r w:rsidRPr="00EA2978">
        <w:rPr>
          <w:lang w:eastAsia="en-AU"/>
        </w:rPr>
        <w:instrText>Law</w:instrText>
      </w:r>
      <w:r w:rsidRPr="00EA2978">
        <w:instrText>:Personal Identity, Individual Rights and Participation in Civic Life</w:instrText>
      </w:r>
      <w:r>
        <w:instrText xml:space="preserve">" \r "BP3DOJPersIdentIndivRightandPartic" </w:instrText>
      </w:r>
      <w:r>
        <w:fldChar w:fldCharType="end"/>
      </w:r>
    </w:p>
    <w:bookmarkEnd w:id="115"/>
    <w:p w:rsidR="00A53D7D" w:rsidRPr="00A475B8" w:rsidRDefault="00A53D7D" w:rsidP="005140B4">
      <w:pPr>
        <w:pStyle w:val="OGHeading1"/>
        <w:rPr>
          <w:lang w:val="x-none" w:eastAsia="en-AU"/>
        </w:rPr>
      </w:pPr>
      <w:r w:rsidRPr="00A475B8">
        <w:rPr>
          <w:rFonts w:ascii="Garamond" w:hAnsi="Garamond"/>
          <w:sz w:val="22"/>
        </w:rPr>
        <w:br w:type="page"/>
      </w:r>
      <w:bookmarkStart w:id="116" w:name="BP3DOJEnforcCorrectOrders"/>
      <w:r w:rsidRPr="00A475B8">
        <w:rPr>
          <w:lang w:val="x-none" w:eastAsia="en-AU"/>
        </w:rPr>
        <w:t>Enforcing and Managing Correctional Orders</w:t>
      </w:r>
    </w:p>
    <w:p w:rsidR="00A53D7D" w:rsidRDefault="00A53D7D" w:rsidP="005140B4">
      <w:pPr>
        <w:pStyle w:val="OGText"/>
        <w:rPr>
          <w:lang w:eastAsia="en-AU"/>
        </w:rPr>
      </w:pPr>
      <w:r w:rsidRPr="00A475B8">
        <w:rPr>
          <w:lang w:eastAsia="en-AU"/>
        </w:rPr>
        <w:t>This output group relates to the management of the State’s correctional system.</w:t>
      </w:r>
      <w:r>
        <w:rPr>
          <w:lang w:eastAsia="en-AU"/>
        </w:rPr>
        <w:t xml:space="preserve"> It</w:t>
      </w:r>
      <w:r w:rsidRPr="00A475B8">
        <w:rPr>
          <w:lang w:eastAsia="en-AU"/>
        </w:rPr>
        <w:t xml:space="preserve"> contributes to the Department’s objective of promoting community safety through effective management of prisoners and offenders and provision of opportunities for rehabilitation and reparation.</w:t>
      </w:r>
    </w:p>
    <w:tbl>
      <w:tblPr>
        <w:tblW w:w="7776" w:type="dxa"/>
        <w:tblInd w:w="29" w:type="dxa"/>
        <w:tblLayout w:type="fixed"/>
        <w:tblCellMar>
          <w:left w:w="43" w:type="dxa"/>
          <w:right w:w="43" w:type="dxa"/>
        </w:tblCellMar>
        <w:tblLook w:val="00A0" w:firstRow="1" w:lastRow="0" w:firstColumn="1" w:lastColumn="0" w:noHBand="0" w:noVBand="0"/>
      </w:tblPr>
      <w:tblGrid>
        <w:gridCol w:w="3155"/>
        <w:gridCol w:w="907"/>
        <w:gridCol w:w="907"/>
        <w:gridCol w:w="993"/>
        <w:gridCol w:w="907"/>
        <w:gridCol w:w="907"/>
      </w:tblGrid>
      <w:tr w:rsidR="00A53D7D" w:rsidRPr="00A475B8" w:rsidTr="005140B4">
        <w:trPr>
          <w:cantSplit/>
          <w:tblHeader/>
        </w:trPr>
        <w:tc>
          <w:tcPr>
            <w:tcW w:w="3155" w:type="dxa"/>
            <w:tcBorders>
              <w:top w:val="single" w:sz="4" w:space="0" w:color="auto"/>
              <w:left w:val="single" w:sz="4" w:space="0" w:color="auto"/>
              <w:right w:val="nil"/>
            </w:tcBorders>
            <w:shd w:val="clear" w:color="auto" w:fill="000000"/>
            <w:vAlign w:val="bottom"/>
          </w:tcPr>
          <w:p w:rsidR="00A53D7D" w:rsidRPr="00EC2CB7" w:rsidRDefault="00A53D7D" w:rsidP="005140B4">
            <w:pPr>
              <w:pStyle w:val="OGTabColLeft"/>
              <w:rPr>
                <w:i/>
                <w:color w:val="FFFFFF"/>
              </w:rPr>
            </w:pPr>
            <w:r w:rsidRPr="00EC2CB7">
              <w:rPr>
                <w:color w:val="FFFFFF"/>
              </w:rPr>
              <w:t>Major Outputs/Deliverables</w:t>
            </w:r>
            <w:r w:rsidRPr="00EC2CB7">
              <w:rPr>
                <w:color w:val="FFFFFF"/>
              </w:rPr>
              <w:br/>
            </w:r>
            <w:r w:rsidRPr="00EC2CB7">
              <w:rPr>
                <w:b w:val="0"/>
                <w:i/>
                <w:color w:val="FFFFFF"/>
              </w:rPr>
              <w:t>Performance measures</w:t>
            </w:r>
          </w:p>
        </w:tc>
        <w:tc>
          <w:tcPr>
            <w:tcW w:w="907" w:type="dxa"/>
            <w:tcBorders>
              <w:top w:val="single" w:sz="4" w:space="0" w:color="auto"/>
              <w:left w:val="nil"/>
              <w:right w:val="nil"/>
            </w:tcBorders>
            <w:shd w:val="clear" w:color="auto" w:fill="000000"/>
            <w:noWrap/>
            <w:vAlign w:val="bottom"/>
          </w:tcPr>
          <w:p w:rsidR="00A53D7D" w:rsidRPr="003E0A6C" w:rsidRDefault="00A53D7D" w:rsidP="005140B4">
            <w:pPr>
              <w:pStyle w:val="Tabletextheadingcentred"/>
            </w:pPr>
            <w:r w:rsidRPr="003E0A6C">
              <w:t xml:space="preserve">Unit of </w:t>
            </w:r>
            <w:r w:rsidRPr="003E0A6C">
              <w:br/>
            </w:r>
            <w:r>
              <w:t>m</w:t>
            </w:r>
            <w:r w:rsidRPr="003E0A6C">
              <w:t>easure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2014</w:t>
            </w:r>
            <w:r>
              <w:noBreakHyphen/>
              <w:t>15</w:t>
            </w:r>
            <w:r w:rsidRPr="00EC2CB7">
              <w:t xml:space="preserve"> Target</w:t>
            </w:r>
          </w:p>
        </w:tc>
        <w:tc>
          <w:tcPr>
            <w:tcW w:w="993"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Expected Outcome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Target</w:t>
            </w:r>
          </w:p>
        </w:tc>
        <w:tc>
          <w:tcPr>
            <w:tcW w:w="907" w:type="dxa"/>
            <w:tcBorders>
              <w:top w:val="single" w:sz="4" w:space="0" w:color="auto"/>
              <w:left w:val="nil"/>
              <w:right w:val="single" w:sz="4" w:space="0" w:color="auto"/>
            </w:tcBorders>
            <w:shd w:val="clear" w:color="auto" w:fill="000000"/>
            <w:noWrap/>
            <w:vAlign w:val="bottom"/>
          </w:tcPr>
          <w:p w:rsidR="00A53D7D" w:rsidRPr="00EC2CB7" w:rsidRDefault="00A53D7D" w:rsidP="005140B4">
            <w:pPr>
              <w:pStyle w:val="Tabletextheading"/>
            </w:pPr>
            <w:r w:rsidRPr="00EC2CB7">
              <w:t>2012</w:t>
            </w:r>
            <w:r>
              <w:noBreakHyphen/>
            </w:r>
            <w:r w:rsidRPr="00EC2CB7">
              <w:t>13 Actual</w:t>
            </w:r>
          </w:p>
        </w:tc>
      </w:tr>
      <w:tr w:rsidR="00A53D7D" w:rsidRPr="00A475B8" w:rsidTr="005140B4">
        <w:trPr>
          <w:cantSplit/>
        </w:trPr>
        <w:tc>
          <w:tcPr>
            <w:tcW w:w="7776" w:type="dxa"/>
            <w:gridSpan w:val="6"/>
            <w:tcBorders>
              <w:top w:val="nil"/>
              <w:left w:val="nil"/>
              <w:right w:val="nil"/>
            </w:tcBorders>
            <w:vAlign w:val="center"/>
          </w:tcPr>
          <w:p w:rsidR="00A53D7D" w:rsidRPr="00EC2CB7" w:rsidRDefault="00A53D7D" w:rsidP="005140B4">
            <w:pPr>
              <w:pStyle w:val="OGHeading2"/>
              <w:rPr>
                <w:bCs/>
                <w:color w:val="000000"/>
                <w:lang w:eastAsia="en-AU"/>
              </w:rPr>
            </w:pPr>
            <w:r w:rsidRPr="00EC2CB7">
              <w:rPr>
                <w:color w:val="000000"/>
                <w:lang w:eastAsia="en-AU"/>
              </w:rPr>
              <w:t>Prisoner Supervision and Support</w:t>
            </w:r>
          </w:p>
        </w:tc>
      </w:tr>
      <w:tr w:rsidR="00A53D7D" w:rsidRPr="00A475B8" w:rsidTr="005140B4">
        <w:trPr>
          <w:cantSplit/>
        </w:trPr>
        <w:tc>
          <w:tcPr>
            <w:tcW w:w="7776" w:type="dxa"/>
            <w:gridSpan w:val="6"/>
            <w:tcBorders>
              <w:left w:val="nil"/>
              <w:bottom w:val="single" w:sz="6" w:space="0" w:color="auto"/>
              <w:right w:val="nil"/>
            </w:tcBorders>
            <w:vAlign w:val="center"/>
          </w:tcPr>
          <w:p w:rsidR="00A53D7D" w:rsidRPr="008845FB" w:rsidRDefault="00A53D7D" w:rsidP="005140B4">
            <w:pPr>
              <w:pStyle w:val="OGTabText"/>
              <w:rPr>
                <w:color w:val="000000"/>
                <w:highlight w:val="yellow"/>
                <w:lang w:eastAsia="en-AU"/>
              </w:rPr>
            </w:pPr>
            <w:r w:rsidRPr="00D205F4">
              <w:rPr>
                <w:color w:val="000000"/>
                <w:lang w:eastAsia="en-AU"/>
              </w:rPr>
              <w:t xml:space="preserve">This output relates to the safe, </w:t>
            </w:r>
            <w:proofErr w:type="gramStart"/>
            <w:r w:rsidRPr="00D205F4">
              <w:rPr>
                <w:color w:val="000000"/>
                <w:lang w:eastAsia="en-AU"/>
              </w:rPr>
              <w:t>secure</w:t>
            </w:r>
            <w:proofErr w:type="gramEnd"/>
            <w:r w:rsidRPr="00D205F4">
              <w:rPr>
                <w:color w:val="000000"/>
                <w:lang w:eastAsia="en-AU"/>
              </w:rPr>
              <w:t xml:space="preserve"> and humane containment of prisoners as well as the delivery of programs and effective case management to engage prisoners in positive behavioural change. </w:t>
            </w:r>
          </w:p>
        </w:tc>
      </w:tr>
      <w:tr w:rsidR="00A53D7D" w:rsidRPr="00A475B8" w:rsidTr="005140B4">
        <w:trPr>
          <w:cantSplit/>
        </w:trPr>
        <w:tc>
          <w:tcPr>
            <w:tcW w:w="3155" w:type="dxa"/>
            <w:tcBorders>
              <w:top w:val="single" w:sz="6" w:space="0" w:color="auto"/>
              <w:left w:val="nil"/>
              <w:bottom w:val="nil"/>
              <w:right w:val="nil"/>
            </w:tcBorders>
            <w:vAlign w:val="center"/>
          </w:tcPr>
          <w:p w:rsidR="00A53D7D" w:rsidRPr="00B2174E" w:rsidRDefault="00A53D7D" w:rsidP="005140B4">
            <w:pPr>
              <w:pStyle w:val="OGTabHead"/>
              <w:rPr>
                <w:color w:val="000000"/>
                <w:lang w:eastAsia="en-AU"/>
              </w:rPr>
            </w:pPr>
            <w:r w:rsidRPr="00B2174E">
              <w:rPr>
                <w:iCs/>
                <w:color w:val="000000"/>
                <w:lang w:eastAsia="en-AU"/>
              </w:rPr>
              <w:t>Quantity</w:t>
            </w:r>
          </w:p>
        </w:tc>
        <w:tc>
          <w:tcPr>
            <w:tcW w:w="907" w:type="dxa"/>
            <w:tcBorders>
              <w:top w:val="single" w:sz="6" w:space="0" w:color="auto"/>
              <w:left w:val="nil"/>
              <w:bottom w:val="nil"/>
              <w:right w:val="nil"/>
            </w:tcBorders>
            <w:vAlign w:val="center"/>
          </w:tcPr>
          <w:p w:rsidR="00A53D7D" w:rsidRPr="00B2174E" w:rsidRDefault="00A53D7D" w:rsidP="005140B4">
            <w:pPr>
              <w:pStyle w:val="OGUoM"/>
              <w:rPr>
                <w:color w:val="000000"/>
                <w:lang w:eastAsia="en-AU"/>
              </w:rPr>
            </w:pPr>
          </w:p>
        </w:tc>
        <w:tc>
          <w:tcPr>
            <w:tcW w:w="907" w:type="dxa"/>
            <w:tcBorders>
              <w:top w:val="single" w:sz="6" w:space="0" w:color="auto"/>
              <w:left w:val="nil"/>
              <w:bottom w:val="nil"/>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bottom w:val="nil"/>
              <w:right w:val="nil"/>
            </w:tcBorders>
          </w:tcPr>
          <w:p w:rsidR="00A53D7D" w:rsidRPr="00B2174E" w:rsidRDefault="00A53D7D" w:rsidP="005140B4">
            <w:pPr>
              <w:pStyle w:val="OGTableofFigures"/>
              <w:rPr>
                <w:color w:val="000000"/>
                <w:lang w:eastAsia="en-AU"/>
              </w:rPr>
            </w:pPr>
          </w:p>
        </w:tc>
        <w:tc>
          <w:tcPr>
            <w:tcW w:w="907" w:type="dxa"/>
            <w:tcBorders>
              <w:top w:val="single" w:sz="6" w:space="0" w:color="auto"/>
              <w:left w:val="nil"/>
              <w:bottom w:val="nil"/>
              <w:right w:val="nil"/>
            </w:tcBorders>
          </w:tcPr>
          <w:p w:rsidR="00A53D7D" w:rsidRPr="00B2174E" w:rsidRDefault="00A53D7D" w:rsidP="005140B4">
            <w:pPr>
              <w:pStyle w:val="OGTableofFigures"/>
              <w:rPr>
                <w:color w:val="000000"/>
                <w:lang w:eastAsia="en-AU"/>
              </w:rPr>
            </w:pPr>
          </w:p>
        </w:tc>
        <w:tc>
          <w:tcPr>
            <w:tcW w:w="907" w:type="dxa"/>
            <w:tcBorders>
              <w:top w:val="single" w:sz="6" w:space="0" w:color="auto"/>
              <w:left w:val="nil"/>
              <w:bottom w:val="nil"/>
              <w:right w:val="nil"/>
            </w:tcBorders>
          </w:tcPr>
          <w:p w:rsidR="00A53D7D" w:rsidRPr="00B2174E" w:rsidRDefault="00A53D7D" w:rsidP="005140B4">
            <w:pPr>
              <w:pStyle w:val="OGTableofFigures"/>
              <w:rPr>
                <w:color w:val="000000"/>
                <w:lang w:eastAsia="en-AU"/>
              </w:rPr>
            </w:pPr>
          </w:p>
        </w:tc>
      </w:tr>
      <w:tr w:rsidR="00A53D7D" w:rsidRPr="00A475B8" w:rsidTr="005140B4">
        <w:trPr>
          <w:cantSplit/>
        </w:trPr>
        <w:tc>
          <w:tcPr>
            <w:tcW w:w="3155" w:type="dxa"/>
            <w:tcBorders>
              <w:top w:val="nil"/>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Total annual daily average number of prisoners</w:t>
            </w:r>
          </w:p>
        </w:tc>
        <w:tc>
          <w:tcPr>
            <w:tcW w:w="907" w:type="dxa"/>
            <w:tcBorders>
              <w:top w:val="nil"/>
              <w:left w:val="nil"/>
              <w:right w:val="nil"/>
            </w:tcBorders>
          </w:tcPr>
          <w:p w:rsidR="00A53D7D" w:rsidRPr="00B2174E" w:rsidRDefault="00A53D7D" w:rsidP="005140B4">
            <w:pPr>
              <w:pStyle w:val="OGUoM"/>
              <w:rPr>
                <w:color w:val="000000"/>
                <w:lang w:eastAsia="en-AU"/>
              </w:rPr>
            </w:pPr>
            <w:r>
              <w:rPr>
                <w:color w:val="000000"/>
                <w:lang w:eastAsia="en-AU"/>
              </w:rPr>
              <w:t>n</w:t>
            </w:r>
            <w:r w:rsidRPr="00B2174E">
              <w:rPr>
                <w:color w:val="000000"/>
                <w:lang w:eastAsia="en-AU"/>
              </w:rPr>
              <w:t>umber</w:t>
            </w:r>
          </w:p>
        </w:tc>
        <w:tc>
          <w:tcPr>
            <w:tcW w:w="907" w:type="dxa"/>
            <w:tcBorders>
              <w:top w:val="nil"/>
              <w:left w:val="nil"/>
              <w:right w:val="nil"/>
            </w:tcBorders>
            <w:shd w:val="clear" w:color="auto" w:fill="D9D9D9"/>
          </w:tcPr>
          <w:p w:rsidR="00A53D7D" w:rsidRPr="00B2174E" w:rsidRDefault="00A53D7D" w:rsidP="005140B4">
            <w:pPr>
              <w:pStyle w:val="OGTableofFigures"/>
              <w:rPr>
                <w:rFonts w:cs="Calibri"/>
              </w:rPr>
            </w:pPr>
            <w:r>
              <w:rPr>
                <w:rFonts w:cs="Calibri"/>
              </w:rPr>
              <w:t>6 </w:t>
            </w:r>
            <w:r w:rsidRPr="00B2174E">
              <w:rPr>
                <w:rFonts w:cs="Calibri"/>
              </w:rPr>
              <w:t>480</w:t>
            </w:r>
            <w:r>
              <w:rPr>
                <w:color w:val="000000"/>
                <w:lang w:eastAsia="en-AU"/>
              </w:rPr>
              <w:t>–</w:t>
            </w:r>
          </w:p>
          <w:p w:rsidR="00A53D7D" w:rsidRPr="00B2174E" w:rsidRDefault="00A53D7D" w:rsidP="005140B4">
            <w:pPr>
              <w:pStyle w:val="OGTableofFigures"/>
              <w:rPr>
                <w:color w:val="000000"/>
                <w:lang w:eastAsia="en-AU"/>
              </w:rPr>
            </w:pPr>
            <w:r w:rsidRPr="00B2174E">
              <w:rPr>
                <w:rFonts w:cs="Calibri"/>
              </w:rPr>
              <w:t>6</w:t>
            </w:r>
            <w:r>
              <w:rPr>
                <w:rFonts w:cs="Calibri"/>
              </w:rPr>
              <w:t> </w:t>
            </w:r>
            <w:r w:rsidRPr="00B2174E">
              <w:rPr>
                <w:rFonts w:cs="Calibri"/>
              </w:rPr>
              <w:t>985</w:t>
            </w:r>
          </w:p>
        </w:tc>
        <w:tc>
          <w:tcPr>
            <w:tcW w:w="993" w:type="dxa"/>
            <w:tcBorders>
              <w:top w:val="nil"/>
              <w:left w:val="nil"/>
              <w:right w:val="nil"/>
            </w:tcBorders>
          </w:tcPr>
          <w:p w:rsidR="00A53D7D" w:rsidRPr="00B2174E" w:rsidRDefault="00A53D7D" w:rsidP="005140B4">
            <w:pPr>
              <w:pStyle w:val="OGTableofFigures"/>
              <w:rPr>
                <w:color w:val="000000"/>
                <w:lang w:eastAsia="en-AU"/>
              </w:rPr>
            </w:pPr>
            <w:r>
              <w:rPr>
                <w:color w:val="000000"/>
                <w:lang w:eastAsia="en-AU"/>
              </w:rPr>
              <w:t>5 </w:t>
            </w:r>
            <w:r w:rsidRPr="00B2174E">
              <w:rPr>
                <w:color w:val="000000"/>
                <w:lang w:eastAsia="en-AU"/>
              </w:rPr>
              <w:t>902</w:t>
            </w:r>
          </w:p>
        </w:tc>
        <w:tc>
          <w:tcPr>
            <w:tcW w:w="907" w:type="dxa"/>
            <w:tcBorders>
              <w:top w:val="nil"/>
              <w:left w:val="nil"/>
              <w:right w:val="nil"/>
            </w:tcBorders>
          </w:tcPr>
          <w:p w:rsidR="00A53D7D" w:rsidRPr="00B2174E" w:rsidRDefault="00A53D7D" w:rsidP="005140B4">
            <w:pPr>
              <w:pStyle w:val="OGTableofFigures"/>
              <w:rPr>
                <w:color w:val="000000"/>
                <w:lang w:eastAsia="en-AU"/>
              </w:rPr>
            </w:pPr>
            <w:r>
              <w:rPr>
                <w:rFonts w:cs="Calibri"/>
              </w:rPr>
              <w:t>5 </w:t>
            </w:r>
            <w:r w:rsidRPr="00B2174E">
              <w:rPr>
                <w:rFonts w:cs="Calibri"/>
              </w:rPr>
              <w:t>150</w:t>
            </w:r>
            <w:r>
              <w:rPr>
                <w:color w:val="000000"/>
                <w:lang w:eastAsia="en-AU"/>
              </w:rPr>
              <w:t>–</w:t>
            </w:r>
            <w:r>
              <w:rPr>
                <w:rFonts w:cs="Calibri"/>
              </w:rPr>
              <w:br/>
              <w:t>5 </w:t>
            </w:r>
            <w:r w:rsidRPr="00B2174E">
              <w:rPr>
                <w:rFonts w:cs="Calibri"/>
              </w:rPr>
              <w:t>435</w:t>
            </w:r>
          </w:p>
        </w:tc>
        <w:tc>
          <w:tcPr>
            <w:tcW w:w="907" w:type="dxa"/>
            <w:tcBorders>
              <w:top w:val="nil"/>
              <w:left w:val="nil"/>
              <w:right w:val="nil"/>
            </w:tcBorders>
          </w:tcPr>
          <w:p w:rsidR="00A53D7D" w:rsidRPr="003B380F" w:rsidRDefault="00A53D7D" w:rsidP="005140B4">
            <w:pPr>
              <w:pStyle w:val="OGTableofFigures"/>
              <w:rPr>
                <w:color w:val="000000"/>
                <w:lang w:eastAsia="en-AU"/>
              </w:rPr>
            </w:pPr>
            <w:r>
              <w:rPr>
                <w:color w:val="000000"/>
                <w:lang w:eastAsia="en-AU"/>
              </w:rPr>
              <w:t>5 </w:t>
            </w:r>
            <w:r w:rsidRPr="00B2174E">
              <w:rPr>
                <w:color w:val="000000"/>
                <w:lang w:eastAsia="en-AU"/>
              </w:rPr>
              <w:t>120</w:t>
            </w:r>
          </w:p>
        </w:tc>
      </w:tr>
      <w:tr w:rsidR="00A53D7D" w:rsidRPr="00A475B8" w:rsidTr="005140B4">
        <w:trPr>
          <w:cantSplit/>
        </w:trPr>
        <w:tc>
          <w:tcPr>
            <w:tcW w:w="7776" w:type="dxa"/>
            <w:gridSpan w:val="6"/>
            <w:tcBorders>
              <w:top w:val="nil"/>
              <w:left w:val="nil"/>
              <w:bottom w:val="single" w:sz="6" w:space="0" w:color="auto"/>
              <w:right w:val="nil"/>
            </w:tcBorders>
            <w:vAlign w:val="center"/>
          </w:tcPr>
          <w:p w:rsidR="00A53D7D" w:rsidRPr="00B2174E" w:rsidRDefault="00A53D7D" w:rsidP="005140B4">
            <w:pPr>
              <w:pStyle w:val="OGNotes"/>
              <w:rPr>
                <w:color w:val="000000"/>
              </w:rPr>
            </w:pPr>
            <w:r w:rsidRPr="00B2174E">
              <w:rPr>
                <w:color w:val="000000"/>
              </w:rPr>
              <w:t>The 2013</w:t>
            </w:r>
            <w:r>
              <w:rPr>
                <w:color w:val="000000"/>
              </w:rPr>
              <w:noBreakHyphen/>
            </w:r>
            <w:r w:rsidRPr="00B2174E">
              <w:rPr>
                <w:color w:val="000000"/>
              </w:rPr>
              <w:t xml:space="preserve">14 expected outcome </w:t>
            </w:r>
            <w:r>
              <w:rPr>
                <w:color w:val="000000"/>
              </w:rPr>
              <w:t>reflects the growth in prisoner numbers in the second half of 2013. The higher 2014</w:t>
            </w:r>
            <w:r>
              <w:rPr>
                <w:color w:val="000000"/>
              </w:rPr>
              <w:noBreakHyphen/>
              <w:t>15 target is a reflection of increased capacity in the prison system for 2014</w:t>
            </w:r>
            <w:r>
              <w:rPr>
                <w:color w:val="000000"/>
              </w:rPr>
              <w:noBreakHyphen/>
              <w:t>15.</w:t>
            </w:r>
            <w:r w:rsidRPr="00B2174E">
              <w:rPr>
                <w:color w:val="000000"/>
              </w:rPr>
              <w:t xml:space="preserve"> </w:t>
            </w:r>
          </w:p>
        </w:tc>
      </w:tr>
      <w:tr w:rsidR="00A53D7D" w:rsidRPr="00A475B8" w:rsidTr="005140B4">
        <w:trPr>
          <w:cantSplit/>
        </w:trPr>
        <w:tc>
          <w:tcPr>
            <w:tcW w:w="3155" w:type="dxa"/>
            <w:tcBorders>
              <w:top w:val="single" w:sz="6" w:space="0" w:color="auto"/>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Average daily prison utilisation rate of total prison capacity</w:t>
            </w:r>
          </w:p>
        </w:tc>
        <w:tc>
          <w:tcPr>
            <w:tcW w:w="907" w:type="dxa"/>
            <w:tcBorders>
              <w:top w:val="single" w:sz="6" w:space="0" w:color="auto"/>
              <w:left w:val="nil"/>
              <w:right w:val="nil"/>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single" w:sz="6" w:space="0" w:color="auto"/>
              <w:left w:val="nil"/>
              <w:right w:val="nil"/>
            </w:tcBorders>
            <w:shd w:val="clear" w:color="auto" w:fill="D9D9D9"/>
          </w:tcPr>
          <w:p w:rsidR="00A53D7D" w:rsidRPr="003B380F" w:rsidRDefault="00A53D7D" w:rsidP="005140B4">
            <w:pPr>
              <w:pStyle w:val="OGTableofFigures"/>
              <w:rPr>
                <w:color w:val="000000"/>
                <w:lang w:eastAsia="en-AU"/>
              </w:rPr>
            </w:pPr>
            <w:r w:rsidRPr="00B2174E">
              <w:rPr>
                <w:color w:val="000000"/>
                <w:lang w:eastAsia="en-AU"/>
              </w:rPr>
              <w:t>90–</w:t>
            </w:r>
            <w:r w:rsidRPr="003B380F">
              <w:rPr>
                <w:color w:val="000000"/>
                <w:lang w:eastAsia="en-AU"/>
              </w:rPr>
              <w:t>97</w:t>
            </w:r>
          </w:p>
        </w:tc>
        <w:tc>
          <w:tcPr>
            <w:tcW w:w="993" w:type="dxa"/>
            <w:tcBorders>
              <w:top w:val="single" w:sz="6" w:space="0" w:color="auto"/>
              <w:left w:val="nil"/>
              <w:right w:val="nil"/>
            </w:tcBorders>
          </w:tcPr>
          <w:p w:rsidR="00A53D7D" w:rsidRPr="003B380F" w:rsidRDefault="00A53D7D" w:rsidP="005140B4">
            <w:pPr>
              <w:pStyle w:val="OGTableofFigures"/>
              <w:rPr>
                <w:color w:val="000000"/>
                <w:lang w:eastAsia="en-AU"/>
              </w:rPr>
            </w:pPr>
            <w:r w:rsidRPr="00B2174E">
              <w:rPr>
                <w:color w:val="000000"/>
                <w:lang w:eastAsia="en-AU"/>
              </w:rPr>
              <w:t>98.5</w:t>
            </w:r>
            <w:r w:rsidRPr="00B2174E">
              <w:rPr>
                <w:color w:val="000000"/>
                <w:lang w:eastAsia="en-AU"/>
              </w:rPr>
              <w:br/>
            </w:r>
          </w:p>
        </w:tc>
        <w:tc>
          <w:tcPr>
            <w:tcW w:w="907" w:type="dxa"/>
            <w:tcBorders>
              <w:top w:val="single" w:sz="6" w:space="0" w:color="auto"/>
              <w:left w:val="nil"/>
              <w:right w:val="nil"/>
            </w:tcBorders>
          </w:tcPr>
          <w:p w:rsidR="00A53D7D" w:rsidRPr="003B380F" w:rsidRDefault="00A53D7D" w:rsidP="005140B4">
            <w:pPr>
              <w:pStyle w:val="OGTableofFigures"/>
              <w:rPr>
                <w:color w:val="000000"/>
                <w:lang w:eastAsia="en-AU"/>
              </w:rPr>
            </w:pPr>
            <w:r w:rsidRPr="00B2174E">
              <w:rPr>
                <w:color w:val="000000"/>
                <w:lang w:eastAsia="en-AU"/>
              </w:rPr>
              <w:t>90–95</w:t>
            </w:r>
          </w:p>
        </w:tc>
        <w:tc>
          <w:tcPr>
            <w:tcW w:w="907" w:type="dxa"/>
            <w:tcBorders>
              <w:top w:val="single" w:sz="6" w:space="0" w:color="auto"/>
              <w:left w:val="nil"/>
              <w:right w:val="nil"/>
            </w:tcBorders>
          </w:tcPr>
          <w:p w:rsidR="00A53D7D" w:rsidRPr="003B380F" w:rsidRDefault="00A53D7D" w:rsidP="005140B4">
            <w:pPr>
              <w:pStyle w:val="OGTableofFigures"/>
              <w:rPr>
                <w:color w:val="000000"/>
                <w:lang w:eastAsia="en-AU"/>
              </w:rPr>
            </w:pPr>
            <w:r w:rsidRPr="00B2174E">
              <w:rPr>
                <w:color w:val="000000"/>
                <w:lang w:eastAsia="en-AU"/>
              </w:rPr>
              <w:t>94.5</w:t>
            </w:r>
          </w:p>
        </w:tc>
      </w:tr>
      <w:tr w:rsidR="00A53D7D" w:rsidRPr="00A475B8" w:rsidTr="005140B4">
        <w:trPr>
          <w:cantSplit/>
        </w:trPr>
        <w:tc>
          <w:tcPr>
            <w:tcW w:w="7776" w:type="dxa"/>
            <w:gridSpan w:val="6"/>
            <w:tcBorders>
              <w:top w:val="nil"/>
              <w:left w:val="nil"/>
              <w:bottom w:val="single" w:sz="6" w:space="0" w:color="auto"/>
              <w:right w:val="nil"/>
            </w:tcBorders>
            <w:vAlign w:val="center"/>
          </w:tcPr>
          <w:p w:rsidR="00A53D7D" w:rsidRPr="00B2174E" w:rsidRDefault="00A53D7D" w:rsidP="005140B4">
            <w:pPr>
              <w:pStyle w:val="OGNotes"/>
              <w:rPr>
                <w:color w:val="000000"/>
              </w:rPr>
            </w:pPr>
            <w:r w:rsidRPr="00B2174E">
              <w:rPr>
                <w:color w:val="000000"/>
              </w:rPr>
              <w:t>The 2013</w:t>
            </w:r>
            <w:r>
              <w:rPr>
                <w:color w:val="000000"/>
              </w:rPr>
              <w:noBreakHyphen/>
            </w:r>
            <w:r w:rsidRPr="00B2174E">
              <w:rPr>
                <w:color w:val="000000"/>
              </w:rPr>
              <w:t xml:space="preserve">14 expected outcome </w:t>
            </w:r>
            <w:r>
              <w:rPr>
                <w:color w:val="000000"/>
              </w:rPr>
              <w:t>and the higher</w:t>
            </w:r>
            <w:r w:rsidRPr="003B380F">
              <w:rPr>
                <w:color w:val="000000"/>
              </w:rPr>
              <w:t xml:space="preserve"> 2014</w:t>
            </w:r>
            <w:r>
              <w:rPr>
                <w:color w:val="000000"/>
              </w:rPr>
              <w:noBreakHyphen/>
            </w:r>
            <w:r w:rsidRPr="003B380F">
              <w:rPr>
                <w:color w:val="000000"/>
              </w:rPr>
              <w:t xml:space="preserve">15 target reflects </w:t>
            </w:r>
            <w:r>
              <w:rPr>
                <w:color w:val="000000"/>
              </w:rPr>
              <w:t>actual and anticipated</w:t>
            </w:r>
            <w:r w:rsidRPr="003B380F">
              <w:rPr>
                <w:color w:val="000000"/>
              </w:rPr>
              <w:t xml:space="preserve"> utilisation until </w:t>
            </w:r>
            <w:r>
              <w:rPr>
                <w:color w:val="000000"/>
              </w:rPr>
              <w:t>further expansions are complete</w:t>
            </w:r>
            <w:r w:rsidRPr="003B380F">
              <w:rPr>
                <w:color w:val="000000"/>
              </w:rPr>
              <w:t>.</w:t>
            </w:r>
          </w:p>
        </w:tc>
      </w:tr>
      <w:tr w:rsidR="00A53D7D" w:rsidRPr="00A475B8" w:rsidTr="005140B4">
        <w:trPr>
          <w:cantSplit/>
        </w:trPr>
        <w:tc>
          <w:tcPr>
            <w:tcW w:w="3155" w:type="dxa"/>
            <w:tcBorders>
              <w:top w:val="single" w:sz="6" w:space="0" w:color="auto"/>
              <w:left w:val="nil"/>
              <w:right w:val="nil"/>
            </w:tcBorders>
            <w:vAlign w:val="center"/>
          </w:tcPr>
          <w:p w:rsidR="00A53D7D" w:rsidRPr="00B2174E" w:rsidRDefault="00A53D7D" w:rsidP="005140B4">
            <w:pPr>
              <w:pStyle w:val="OGTabHead"/>
              <w:rPr>
                <w:color w:val="000000"/>
                <w:lang w:eastAsia="en-AU"/>
              </w:rPr>
            </w:pPr>
            <w:r w:rsidRPr="00B2174E">
              <w:rPr>
                <w:iCs/>
                <w:color w:val="000000"/>
                <w:lang w:eastAsia="en-AU"/>
              </w:rPr>
              <w:t>Quality</w:t>
            </w:r>
          </w:p>
        </w:tc>
        <w:tc>
          <w:tcPr>
            <w:tcW w:w="907" w:type="dxa"/>
            <w:tcBorders>
              <w:top w:val="single" w:sz="6" w:space="0" w:color="auto"/>
              <w:left w:val="nil"/>
              <w:right w:val="nil"/>
            </w:tcBorders>
            <w:vAlign w:val="center"/>
          </w:tcPr>
          <w:p w:rsidR="00A53D7D" w:rsidRPr="00B2174E" w:rsidRDefault="00A53D7D" w:rsidP="005140B4">
            <w:pPr>
              <w:pStyle w:val="OGUoM"/>
              <w:rPr>
                <w:color w:val="000000"/>
                <w:lang w:eastAsia="en-AU"/>
              </w:rPr>
            </w:pPr>
            <w:r w:rsidRPr="00B2174E">
              <w:rPr>
                <w:color w:val="000000"/>
                <w:lang w:eastAsia="en-AU"/>
              </w:rPr>
              <w:t> </w:t>
            </w:r>
          </w:p>
        </w:tc>
        <w:tc>
          <w:tcPr>
            <w:tcW w:w="907" w:type="dxa"/>
            <w:tcBorders>
              <w:top w:val="single" w:sz="6" w:space="0" w:color="auto"/>
              <w:left w:val="nil"/>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 </w:t>
            </w:r>
          </w:p>
        </w:tc>
      </w:tr>
      <w:tr w:rsidR="00A53D7D" w:rsidRPr="00A475B8" w:rsidTr="005140B4">
        <w:trPr>
          <w:cantSplit/>
        </w:trPr>
        <w:tc>
          <w:tcPr>
            <w:tcW w:w="3155" w:type="dxa"/>
            <w:tcBorders>
              <w:top w:val="nil"/>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Proportion of benchmark measures in prison services agreement achieved</w:t>
            </w:r>
          </w:p>
        </w:tc>
        <w:tc>
          <w:tcPr>
            <w:tcW w:w="907" w:type="dxa"/>
            <w:tcBorders>
              <w:top w:val="nil"/>
              <w:left w:val="nil"/>
              <w:right w:val="nil"/>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nil"/>
              <w:left w:val="nil"/>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90</w:t>
            </w:r>
          </w:p>
        </w:tc>
        <w:tc>
          <w:tcPr>
            <w:tcW w:w="993" w:type="dxa"/>
            <w:tcBorders>
              <w:top w:val="nil"/>
              <w:left w:val="nil"/>
              <w:right w:val="nil"/>
            </w:tcBorders>
          </w:tcPr>
          <w:p w:rsidR="00A53D7D" w:rsidRPr="00B2174E" w:rsidRDefault="00A53D7D" w:rsidP="005140B4">
            <w:pPr>
              <w:pStyle w:val="OGTableofFigures"/>
              <w:rPr>
                <w:color w:val="000000"/>
                <w:lang w:eastAsia="en-AU"/>
              </w:rPr>
            </w:pPr>
            <w:r w:rsidRPr="003B380F">
              <w:rPr>
                <w:color w:val="000000"/>
                <w:lang w:eastAsia="en-AU"/>
              </w:rPr>
              <w:t>85</w:t>
            </w:r>
            <w:r w:rsidRPr="00B2174E">
              <w:rPr>
                <w:color w:val="000000"/>
                <w:lang w:eastAsia="en-AU"/>
              </w:rPr>
              <w:br/>
            </w:r>
          </w:p>
        </w:tc>
        <w:tc>
          <w:tcPr>
            <w:tcW w:w="907" w:type="dxa"/>
            <w:tcBorders>
              <w:top w:val="nil"/>
              <w:left w:val="nil"/>
              <w:right w:val="nil"/>
            </w:tcBorders>
          </w:tcPr>
          <w:p w:rsidR="00A53D7D" w:rsidRPr="00B2174E" w:rsidRDefault="00A53D7D" w:rsidP="005140B4">
            <w:pPr>
              <w:pStyle w:val="OGTableofFigures"/>
              <w:rPr>
                <w:color w:val="000000"/>
                <w:lang w:eastAsia="en-AU"/>
              </w:rPr>
            </w:pPr>
            <w:r w:rsidRPr="00B2174E">
              <w:rPr>
                <w:color w:val="000000"/>
                <w:lang w:eastAsia="en-AU"/>
              </w:rPr>
              <w:t>90</w:t>
            </w:r>
          </w:p>
        </w:tc>
        <w:tc>
          <w:tcPr>
            <w:tcW w:w="907" w:type="dxa"/>
            <w:tcBorders>
              <w:top w:val="nil"/>
              <w:left w:val="nil"/>
              <w:right w:val="nil"/>
            </w:tcBorders>
          </w:tcPr>
          <w:p w:rsidR="00A53D7D" w:rsidRPr="00B2174E" w:rsidRDefault="00A53D7D" w:rsidP="005140B4">
            <w:pPr>
              <w:pStyle w:val="OGTableofFigures"/>
              <w:rPr>
                <w:color w:val="000000"/>
                <w:lang w:eastAsia="en-AU"/>
              </w:rPr>
            </w:pPr>
            <w:r w:rsidRPr="00B2174E">
              <w:rPr>
                <w:color w:val="000000"/>
                <w:lang w:eastAsia="en-AU"/>
              </w:rPr>
              <w:t>85.6</w:t>
            </w:r>
          </w:p>
        </w:tc>
      </w:tr>
      <w:tr w:rsidR="00A53D7D" w:rsidRPr="00A475B8" w:rsidTr="005140B4">
        <w:trPr>
          <w:cantSplit/>
        </w:trPr>
        <w:tc>
          <w:tcPr>
            <w:tcW w:w="7776" w:type="dxa"/>
            <w:gridSpan w:val="6"/>
            <w:tcBorders>
              <w:top w:val="nil"/>
              <w:left w:val="nil"/>
              <w:bottom w:val="single" w:sz="6" w:space="0" w:color="auto"/>
              <w:right w:val="nil"/>
            </w:tcBorders>
            <w:vAlign w:val="center"/>
          </w:tcPr>
          <w:p w:rsidR="00A53D7D" w:rsidRPr="00B2174E" w:rsidRDefault="00A53D7D" w:rsidP="005140B4">
            <w:pPr>
              <w:pStyle w:val="OGNotes"/>
              <w:rPr>
                <w:szCs w:val="18"/>
              </w:rPr>
            </w:pPr>
            <w:r w:rsidRPr="003B380F">
              <w:t>The 2013</w:t>
            </w:r>
            <w:r>
              <w:noBreakHyphen/>
            </w:r>
            <w:r w:rsidRPr="003B380F">
              <w:t xml:space="preserve">14 expected outcome </w:t>
            </w:r>
            <w:r>
              <w:t xml:space="preserve">reflects </w:t>
            </w:r>
            <w:r w:rsidRPr="003B380F">
              <w:t>growth in prisoner numbers and utilisation rates.</w:t>
            </w:r>
          </w:p>
        </w:tc>
      </w:tr>
      <w:tr w:rsidR="00A53D7D" w:rsidRPr="00A475B8" w:rsidTr="005140B4">
        <w:trPr>
          <w:cantSplit/>
        </w:trPr>
        <w:tc>
          <w:tcPr>
            <w:tcW w:w="3155" w:type="dxa"/>
            <w:tcBorders>
              <w:top w:val="single" w:sz="6" w:space="0" w:color="auto"/>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Rate of return to prison within two years</w:t>
            </w:r>
          </w:p>
        </w:tc>
        <w:tc>
          <w:tcPr>
            <w:tcW w:w="907" w:type="dxa"/>
            <w:tcBorders>
              <w:top w:val="single" w:sz="6" w:space="0" w:color="auto"/>
              <w:left w:val="nil"/>
              <w:right w:val="nil"/>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single" w:sz="6" w:space="0" w:color="auto"/>
              <w:left w:val="nil"/>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&lt;</w:t>
            </w:r>
            <w:r>
              <w:rPr>
                <w:color w:val="000000"/>
                <w:lang w:eastAsia="en-AU"/>
              </w:rPr>
              <w:t xml:space="preserve"> </w:t>
            </w:r>
            <w:r w:rsidRPr="00B2174E">
              <w:rPr>
                <w:color w:val="000000"/>
                <w:lang w:eastAsia="en-AU"/>
              </w:rPr>
              <w:t>40.3</w:t>
            </w:r>
            <w:r w:rsidRPr="00B2174E">
              <w:rPr>
                <w:color w:val="000000"/>
                <w:lang w:eastAsia="en-AU"/>
              </w:rPr>
              <w:br/>
            </w:r>
          </w:p>
        </w:tc>
        <w:tc>
          <w:tcPr>
            <w:tcW w:w="993" w:type="dxa"/>
            <w:tcBorders>
              <w:top w:val="single" w:sz="6" w:space="0" w:color="auto"/>
              <w:left w:val="nil"/>
              <w:right w:val="nil"/>
            </w:tcBorders>
          </w:tcPr>
          <w:p w:rsidR="00A53D7D" w:rsidRPr="00B2174E" w:rsidRDefault="00A53D7D" w:rsidP="005140B4">
            <w:pPr>
              <w:pStyle w:val="OGTableofFigures"/>
              <w:rPr>
                <w:color w:val="000000"/>
                <w:lang w:eastAsia="en-AU"/>
              </w:rPr>
            </w:pPr>
            <w:r w:rsidRPr="003B380F">
              <w:rPr>
                <w:color w:val="000000"/>
                <w:lang w:eastAsia="en-AU"/>
              </w:rPr>
              <w:t>39.</w:t>
            </w:r>
            <w:r w:rsidRPr="00B2174E">
              <w:rPr>
                <w:color w:val="000000"/>
                <w:lang w:eastAsia="en-AU"/>
              </w:rPr>
              <w:t>5</w:t>
            </w:r>
            <w:r w:rsidRPr="00B2174E">
              <w:rPr>
                <w:color w:val="000000"/>
                <w:lang w:eastAsia="en-AU"/>
              </w:rPr>
              <w:br/>
            </w:r>
          </w:p>
        </w:tc>
        <w:tc>
          <w:tcPr>
            <w:tcW w:w="907" w:type="dxa"/>
            <w:tcBorders>
              <w:top w:val="single" w:sz="6" w:space="0" w:color="auto"/>
              <w:left w:val="nil"/>
              <w:right w:val="nil"/>
            </w:tcBorders>
          </w:tcPr>
          <w:p w:rsidR="00A53D7D" w:rsidRPr="00B2174E" w:rsidRDefault="00A53D7D" w:rsidP="005140B4">
            <w:pPr>
              <w:pStyle w:val="OGTableofFigures"/>
              <w:rPr>
                <w:strike/>
                <w:color w:val="000000"/>
                <w:lang w:eastAsia="en-AU"/>
              </w:rPr>
            </w:pPr>
            <w:r w:rsidRPr="00B2174E">
              <w:rPr>
                <w:rFonts w:cs="Calibri"/>
              </w:rPr>
              <w:t>&lt;</w:t>
            </w:r>
            <w:r>
              <w:rPr>
                <w:rFonts w:cs="Calibri"/>
              </w:rPr>
              <w:t xml:space="preserve"> </w:t>
            </w:r>
            <w:r w:rsidRPr="00B2174E">
              <w:rPr>
                <w:rFonts w:cs="Calibri"/>
              </w:rPr>
              <w:t>39.3</w:t>
            </w:r>
          </w:p>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36.8</w:t>
            </w:r>
          </w:p>
        </w:tc>
      </w:tr>
      <w:tr w:rsidR="00A53D7D" w:rsidRPr="00A475B8" w:rsidTr="005140B4">
        <w:trPr>
          <w:cantSplit/>
        </w:trPr>
        <w:tc>
          <w:tcPr>
            <w:tcW w:w="7776" w:type="dxa"/>
            <w:gridSpan w:val="6"/>
            <w:tcBorders>
              <w:top w:val="nil"/>
              <w:left w:val="nil"/>
              <w:bottom w:val="single" w:sz="6" w:space="0" w:color="auto"/>
              <w:right w:val="nil"/>
            </w:tcBorders>
            <w:vAlign w:val="center"/>
          </w:tcPr>
          <w:p w:rsidR="00A53D7D" w:rsidRPr="00B2174E" w:rsidRDefault="00A53D7D" w:rsidP="005140B4">
            <w:pPr>
              <w:pStyle w:val="OGNotes"/>
            </w:pPr>
            <w:r w:rsidRPr="00B2174E">
              <w:t>The 2014</w:t>
            </w:r>
            <w:r>
              <w:noBreakHyphen/>
            </w:r>
            <w:r w:rsidRPr="00B2174E">
              <w:t xml:space="preserve">15 target is the ‘national average’ for this performance measure as reported in the latest Productivity Commission’s </w:t>
            </w:r>
            <w:r w:rsidRPr="00B2174E">
              <w:rPr>
                <w:i w:val="0"/>
              </w:rPr>
              <w:t>Report on Government Services</w:t>
            </w:r>
            <w:r>
              <w:rPr>
                <w:i w:val="0"/>
              </w:rPr>
              <w:t>.</w:t>
            </w:r>
          </w:p>
        </w:tc>
      </w:tr>
      <w:tr w:rsidR="00A53D7D" w:rsidRPr="00A475B8" w:rsidTr="005140B4">
        <w:trPr>
          <w:cantSplit/>
        </w:trPr>
        <w:tc>
          <w:tcPr>
            <w:tcW w:w="3155" w:type="dxa"/>
            <w:tcBorders>
              <w:top w:val="single" w:sz="6" w:space="0" w:color="auto"/>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Rate of prisoner participation in education</w:t>
            </w:r>
          </w:p>
        </w:tc>
        <w:tc>
          <w:tcPr>
            <w:tcW w:w="907" w:type="dxa"/>
            <w:tcBorders>
              <w:top w:val="single" w:sz="6" w:space="0" w:color="auto"/>
              <w:left w:val="nil"/>
              <w:right w:val="nil"/>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single" w:sz="6" w:space="0" w:color="auto"/>
              <w:left w:val="nil"/>
              <w:right w:val="nil"/>
            </w:tcBorders>
            <w:shd w:val="clear" w:color="auto" w:fill="D9D9D9"/>
          </w:tcPr>
          <w:p w:rsidR="00A53D7D" w:rsidRPr="00B2174E" w:rsidRDefault="00A53D7D" w:rsidP="005140B4">
            <w:pPr>
              <w:pStyle w:val="OGTableofFigures"/>
              <w:rPr>
                <w:color w:val="000000"/>
                <w:lang w:eastAsia="en-AU"/>
              </w:rPr>
            </w:pPr>
            <w:r w:rsidRPr="00B2174E">
              <w:rPr>
                <w:rFonts w:cs="Calibri"/>
                <w:lang w:eastAsia="en-AU"/>
              </w:rPr>
              <w:t>&gt;</w:t>
            </w:r>
            <w:r>
              <w:rPr>
                <w:rFonts w:cs="Calibri"/>
                <w:lang w:eastAsia="en-AU"/>
              </w:rPr>
              <w:t xml:space="preserve"> </w:t>
            </w:r>
            <w:r w:rsidRPr="00B2174E">
              <w:rPr>
                <w:rFonts w:cs="Calibri"/>
                <w:lang w:eastAsia="en-AU"/>
              </w:rPr>
              <w:t>33.1</w:t>
            </w:r>
            <w:r w:rsidRPr="00B2174E">
              <w:rPr>
                <w:color w:val="000000"/>
                <w:lang w:eastAsia="en-AU"/>
              </w:rPr>
              <w:br/>
            </w:r>
          </w:p>
        </w:tc>
        <w:tc>
          <w:tcPr>
            <w:tcW w:w="993"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38.1</w:t>
            </w:r>
          </w:p>
        </w:tc>
        <w:tc>
          <w:tcPr>
            <w:tcW w:w="907"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rFonts w:cs="Calibri"/>
                <w:lang w:eastAsia="en-AU"/>
              </w:rPr>
              <w:t>&gt;</w:t>
            </w:r>
            <w:r>
              <w:rPr>
                <w:rFonts w:cs="Calibri"/>
                <w:lang w:eastAsia="en-AU"/>
              </w:rPr>
              <w:t xml:space="preserve"> </w:t>
            </w:r>
            <w:r w:rsidRPr="00B2174E">
              <w:rPr>
                <w:rFonts w:cs="Calibri"/>
                <w:lang w:eastAsia="en-AU"/>
              </w:rPr>
              <w:t>33.8</w:t>
            </w:r>
            <w:r w:rsidRPr="00B2174E">
              <w:rPr>
                <w:color w:val="000000"/>
                <w:lang w:eastAsia="en-AU"/>
              </w:rPr>
              <w:br/>
            </w:r>
          </w:p>
        </w:tc>
        <w:tc>
          <w:tcPr>
            <w:tcW w:w="907"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38.1</w:t>
            </w:r>
          </w:p>
        </w:tc>
      </w:tr>
      <w:tr w:rsidR="00A53D7D" w:rsidRPr="00A475B8" w:rsidTr="005140B4">
        <w:trPr>
          <w:cantSplit/>
        </w:trPr>
        <w:tc>
          <w:tcPr>
            <w:tcW w:w="7776" w:type="dxa"/>
            <w:gridSpan w:val="6"/>
            <w:tcBorders>
              <w:top w:val="nil"/>
              <w:left w:val="nil"/>
              <w:bottom w:val="single" w:sz="6" w:space="0" w:color="auto"/>
              <w:right w:val="nil"/>
            </w:tcBorders>
            <w:vAlign w:val="center"/>
          </w:tcPr>
          <w:p w:rsidR="00A53D7D" w:rsidRPr="00B2174E" w:rsidRDefault="00A53D7D" w:rsidP="005140B4">
            <w:pPr>
              <w:pStyle w:val="OGNotes"/>
              <w:rPr>
                <w:strike/>
              </w:rPr>
            </w:pPr>
            <w:r w:rsidRPr="00B2174E">
              <w:t>The 2014</w:t>
            </w:r>
            <w:r>
              <w:noBreakHyphen/>
            </w:r>
            <w:r w:rsidRPr="00B2174E">
              <w:t>15 target is the ‘national average’ for this performance measure as reported in the latest Productivity Commission’s Report on Government Services.</w:t>
            </w:r>
          </w:p>
        </w:tc>
      </w:tr>
      <w:tr w:rsidR="00A53D7D" w:rsidRPr="00A475B8" w:rsidTr="005140B4">
        <w:trPr>
          <w:cantSplit/>
        </w:trPr>
        <w:tc>
          <w:tcPr>
            <w:tcW w:w="3155" w:type="dxa"/>
            <w:tcBorders>
              <w:top w:val="single" w:sz="6" w:space="0" w:color="auto"/>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Proportion of eligible prisoners in employment</w:t>
            </w:r>
          </w:p>
        </w:tc>
        <w:tc>
          <w:tcPr>
            <w:tcW w:w="907" w:type="dxa"/>
            <w:tcBorders>
              <w:top w:val="single" w:sz="6" w:space="0" w:color="auto"/>
              <w:left w:val="nil"/>
              <w:right w:val="nil"/>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single" w:sz="6" w:space="0" w:color="auto"/>
              <w:left w:val="nil"/>
              <w:right w:val="nil"/>
            </w:tcBorders>
            <w:shd w:val="clear" w:color="auto" w:fill="D9D9D9"/>
          </w:tcPr>
          <w:p w:rsidR="00A53D7D" w:rsidRPr="00B2174E" w:rsidRDefault="00A53D7D" w:rsidP="005140B4">
            <w:pPr>
              <w:pStyle w:val="OGTableofFigures"/>
              <w:rPr>
                <w:color w:val="000000"/>
                <w:lang w:eastAsia="en-AU"/>
              </w:rPr>
            </w:pPr>
            <w:r w:rsidRPr="00B2174E">
              <w:rPr>
                <w:rFonts w:cs="Calibri"/>
                <w:lang w:eastAsia="en-AU"/>
              </w:rPr>
              <w:t>&gt;</w:t>
            </w:r>
            <w:r>
              <w:rPr>
                <w:rFonts w:cs="Calibri"/>
                <w:lang w:eastAsia="en-AU"/>
              </w:rPr>
              <w:t xml:space="preserve"> </w:t>
            </w:r>
            <w:r w:rsidRPr="00B2174E">
              <w:rPr>
                <w:rFonts w:cs="Calibri"/>
                <w:lang w:eastAsia="en-AU"/>
              </w:rPr>
              <w:t>74.4</w:t>
            </w:r>
            <w:r w:rsidRPr="00B2174E">
              <w:rPr>
                <w:color w:val="000000"/>
                <w:lang w:eastAsia="en-AU"/>
              </w:rPr>
              <w:br/>
            </w:r>
          </w:p>
        </w:tc>
        <w:tc>
          <w:tcPr>
            <w:tcW w:w="993"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88.4</w:t>
            </w:r>
            <w:r w:rsidRPr="00B2174E">
              <w:rPr>
                <w:color w:val="000000"/>
                <w:lang w:eastAsia="en-AU"/>
              </w:rPr>
              <w:br/>
            </w:r>
          </w:p>
        </w:tc>
        <w:tc>
          <w:tcPr>
            <w:tcW w:w="907"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&gt;</w:t>
            </w:r>
            <w:r>
              <w:rPr>
                <w:color w:val="000000"/>
                <w:lang w:eastAsia="en-AU"/>
              </w:rPr>
              <w:t xml:space="preserve"> </w:t>
            </w:r>
            <w:r w:rsidRPr="00B2174E">
              <w:rPr>
                <w:color w:val="000000"/>
                <w:lang w:eastAsia="en-AU"/>
              </w:rPr>
              <w:t>72.3</w:t>
            </w:r>
            <w:r w:rsidRPr="00B2174E">
              <w:rPr>
                <w:color w:val="000000"/>
                <w:lang w:eastAsia="en-AU"/>
              </w:rPr>
              <w:br/>
            </w:r>
          </w:p>
        </w:tc>
        <w:tc>
          <w:tcPr>
            <w:tcW w:w="907"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89.1</w:t>
            </w:r>
          </w:p>
        </w:tc>
      </w:tr>
      <w:tr w:rsidR="00A53D7D" w:rsidRPr="00A475B8" w:rsidTr="005140B4">
        <w:trPr>
          <w:cantSplit/>
        </w:trPr>
        <w:tc>
          <w:tcPr>
            <w:tcW w:w="7776" w:type="dxa"/>
            <w:gridSpan w:val="6"/>
            <w:tcBorders>
              <w:top w:val="nil"/>
              <w:left w:val="nil"/>
              <w:bottom w:val="single" w:sz="6" w:space="0" w:color="auto"/>
              <w:right w:val="nil"/>
            </w:tcBorders>
            <w:vAlign w:val="center"/>
          </w:tcPr>
          <w:p w:rsidR="00A53D7D" w:rsidRPr="00B2174E" w:rsidRDefault="00A53D7D" w:rsidP="005140B4">
            <w:pPr>
              <w:pStyle w:val="OGNotes"/>
              <w:rPr>
                <w:strike/>
              </w:rPr>
            </w:pPr>
            <w:r w:rsidRPr="00B2174E">
              <w:t>The 2014</w:t>
            </w:r>
            <w:r>
              <w:noBreakHyphen/>
            </w:r>
            <w:r w:rsidRPr="00B2174E">
              <w:t>15 target is the ‘national average’ for this performance measure as reported in the latest Productivity Commission’s Report on Government Services.</w:t>
            </w:r>
          </w:p>
        </w:tc>
      </w:tr>
      <w:tr w:rsidR="00A53D7D" w:rsidRPr="00A475B8" w:rsidTr="005140B4">
        <w:trPr>
          <w:cantSplit/>
        </w:trPr>
        <w:tc>
          <w:tcPr>
            <w:tcW w:w="3155" w:type="dxa"/>
            <w:tcBorders>
              <w:top w:val="single" w:sz="6" w:space="0" w:color="auto"/>
              <w:left w:val="nil"/>
              <w:right w:val="nil"/>
            </w:tcBorders>
            <w:vAlign w:val="center"/>
          </w:tcPr>
          <w:p w:rsidR="00A53D7D" w:rsidRPr="00B2174E" w:rsidRDefault="00A53D7D" w:rsidP="005140B4">
            <w:pPr>
              <w:pStyle w:val="OGTabHead"/>
              <w:rPr>
                <w:color w:val="000000"/>
                <w:lang w:eastAsia="en-AU"/>
              </w:rPr>
            </w:pPr>
            <w:r w:rsidRPr="00B2174E">
              <w:rPr>
                <w:iCs/>
                <w:color w:val="000000"/>
                <w:lang w:eastAsia="en-AU"/>
              </w:rPr>
              <w:t>Cost</w:t>
            </w:r>
          </w:p>
        </w:tc>
        <w:tc>
          <w:tcPr>
            <w:tcW w:w="907" w:type="dxa"/>
            <w:tcBorders>
              <w:top w:val="single" w:sz="6" w:space="0" w:color="auto"/>
              <w:left w:val="nil"/>
              <w:right w:val="nil"/>
            </w:tcBorders>
            <w:vAlign w:val="center"/>
          </w:tcPr>
          <w:p w:rsidR="00A53D7D" w:rsidRPr="00B2174E" w:rsidRDefault="00A53D7D" w:rsidP="005140B4">
            <w:pPr>
              <w:pStyle w:val="OGUoM"/>
              <w:rPr>
                <w:color w:val="000000"/>
                <w:lang w:eastAsia="en-AU"/>
              </w:rPr>
            </w:pPr>
          </w:p>
        </w:tc>
        <w:tc>
          <w:tcPr>
            <w:tcW w:w="907" w:type="dxa"/>
            <w:tcBorders>
              <w:top w:val="single" w:sz="6" w:space="0" w:color="auto"/>
              <w:left w:val="nil"/>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right w:val="nil"/>
            </w:tcBorders>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tcPr>
          <w:p w:rsidR="00A53D7D" w:rsidRPr="00B2174E" w:rsidRDefault="00A53D7D" w:rsidP="005140B4">
            <w:pPr>
              <w:pStyle w:val="OGTableofFigures"/>
              <w:rPr>
                <w:color w:val="000000"/>
                <w:lang w:eastAsia="en-AU"/>
              </w:rPr>
            </w:pPr>
          </w:p>
        </w:tc>
        <w:tc>
          <w:tcPr>
            <w:tcW w:w="907" w:type="dxa"/>
            <w:tcBorders>
              <w:top w:val="single" w:sz="6" w:space="0" w:color="auto"/>
              <w:left w:val="nil"/>
              <w:right w:val="nil"/>
            </w:tcBorders>
          </w:tcPr>
          <w:p w:rsidR="00A53D7D" w:rsidRPr="00B2174E" w:rsidRDefault="00A53D7D" w:rsidP="005140B4">
            <w:pPr>
              <w:pStyle w:val="OGTableofFigures"/>
              <w:rPr>
                <w:color w:val="000000"/>
                <w:lang w:eastAsia="en-AU"/>
              </w:rPr>
            </w:pPr>
          </w:p>
        </w:tc>
      </w:tr>
      <w:tr w:rsidR="00A53D7D" w:rsidRPr="006D30BA" w:rsidTr="005140B4">
        <w:trPr>
          <w:cantSplit/>
        </w:trPr>
        <w:tc>
          <w:tcPr>
            <w:tcW w:w="3155" w:type="dxa"/>
            <w:tcBorders>
              <w:top w:val="nil"/>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Total output cost</w:t>
            </w:r>
          </w:p>
        </w:tc>
        <w:tc>
          <w:tcPr>
            <w:tcW w:w="907" w:type="dxa"/>
            <w:tcBorders>
              <w:top w:val="nil"/>
              <w:left w:val="nil"/>
              <w:right w:val="nil"/>
            </w:tcBorders>
          </w:tcPr>
          <w:p w:rsidR="00A53D7D" w:rsidRPr="00B2174E" w:rsidRDefault="00A53D7D" w:rsidP="005140B4">
            <w:pPr>
              <w:pStyle w:val="OGUoM"/>
              <w:rPr>
                <w:color w:val="000000"/>
                <w:lang w:eastAsia="en-AU"/>
              </w:rPr>
            </w:pPr>
            <w:r w:rsidRPr="00B2174E">
              <w:rPr>
                <w:color w:val="000000"/>
                <w:lang w:eastAsia="en-AU"/>
              </w:rPr>
              <w:t>$ million</w:t>
            </w:r>
          </w:p>
        </w:tc>
        <w:tc>
          <w:tcPr>
            <w:tcW w:w="907" w:type="dxa"/>
            <w:tcBorders>
              <w:top w:val="nil"/>
              <w:left w:val="nil"/>
              <w:right w:val="nil"/>
            </w:tcBorders>
            <w:shd w:val="clear" w:color="auto" w:fill="D9D9D9"/>
          </w:tcPr>
          <w:p w:rsidR="00A53D7D" w:rsidRPr="00B2174E" w:rsidRDefault="00A53D7D" w:rsidP="005140B4">
            <w:pPr>
              <w:pStyle w:val="OGTableofFigures"/>
              <w:rPr>
                <w:color w:val="000000"/>
                <w:lang w:eastAsia="en-AU"/>
              </w:rPr>
            </w:pPr>
            <w:r>
              <w:rPr>
                <w:color w:val="000000"/>
                <w:lang w:eastAsia="en-AU"/>
              </w:rPr>
              <w:t>942.1</w:t>
            </w:r>
          </w:p>
        </w:tc>
        <w:tc>
          <w:tcPr>
            <w:tcW w:w="993" w:type="dxa"/>
            <w:tcBorders>
              <w:top w:val="nil"/>
              <w:left w:val="nil"/>
              <w:right w:val="nil"/>
            </w:tcBorders>
          </w:tcPr>
          <w:p w:rsidR="00A53D7D" w:rsidRPr="00B2174E" w:rsidRDefault="00A53D7D" w:rsidP="005140B4">
            <w:pPr>
              <w:pStyle w:val="OGTableofFigures"/>
              <w:rPr>
                <w:color w:val="000000"/>
                <w:lang w:eastAsia="en-AU"/>
              </w:rPr>
            </w:pPr>
            <w:r>
              <w:rPr>
                <w:color w:val="000000"/>
                <w:lang w:eastAsia="en-AU"/>
              </w:rPr>
              <w:t>746.1</w:t>
            </w:r>
          </w:p>
        </w:tc>
        <w:tc>
          <w:tcPr>
            <w:tcW w:w="907" w:type="dxa"/>
            <w:tcBorders>
              <w:top w:val="nil"/>
              <w:left w:val="nil"/>
              <w:right w:val="nil"/>
            </w:tcBorders>
          </w:tcPr>
          <w:p w:rsidR="00A53D7D" w:rsidRPr="00B2174E" w:rsidRDefault="00A53D7D" w:rsidP="005140B4">
            <w:pPr>
              <w:pStyle w:val="OGTableofFigures"/>
              <w:rPr>
                <w:color w:val="000000"/>
                <w:lang w:eastAsia="en-AU"/>
              </w:rPr>
            </w:pPr>
            <w:r>
              <w:rPr>
                <w:color w:val="000000"/>
                <w:lang w:eastAsia="en-AU"/>
              </w:rPr>
              <w:t>758.8</w:t>
            </w:r>
          </w:p>
        </w:tc>
        <w:tc>
          <w:tcPr>
            <w:tcW w:w="907" w:type="dxa"/>
            <w:tcBorders>
              <w:top w:val="nil"/>
              <w:left w:val="nil"/>
              <w:right w:val="nil"/>
            </w:tcBorders>
          </w:tcPr>
          <w:p w:rsidR="00A53D7D" w:rsidRPr="003B380F" w:rsidRDefault="00A53D7D" w:rsidP="005140B4">
            <w:pPr>
              <w:pStyle w:val="OGTableofFigures"/>
              <w:rPr>
                <w:lang w:eastAsia="en-AU"/>
              </w:rPr>
            </w:pPr>
            <w:r w:rsidRPr="00B2174E">
              <w:rPr>
                <w:lang w:eastAsia="en-AU"/>
              </w:rPr>
              <w:t>642.3</w:t>
            </w:r>
          </w:p>
        </w:tc>
      </w:tr>
      <w:tr w:rsidR="00A53D7D" w:rsidRPr="006D30BA" w:rsidTr="005140B4">
        <w:trPr>
          <w:cantSplit/>
        </w:trPr>
        <w:tc>
          <w:tcPr>
            <w:tcW w:w="7776" w:type="dxa"/>
            <w:gridSpan w:val="6"/>
            <w:tcBorders>
              <w:top w:val="nil"/>
              <w:left w:val="nil"/>
              <w:bottom w:val="single" w:sz="6" w:space="0" w:color="auto"/>
              <w:right w:val="nil"/>
            </w:tcBorders>
            <w:vAlign w:val="center"/>
          </w:tcPr>
          <w:p w:rsidR="00A53D7D" w:rsidRPr="00487953" w:rsidRDefault="00A53D7D" w:rsidP="005140B4">
            <w:pPr>
              <w:pStyle w:val="OGNotes"/>
              <w:rPr>
                <w:sz w:val="20"/>
                <w:szCs w:val="18"/>
              </w:rPr>
            </w:pPr>
            <w:r w:rsidRPr="003B380F">
              <w:t>The 2014</w:t>
            </w:r>
            <w:r>
              <w:noBreakHyphen/>
            </w:r>
            <w:r w:rsidRPr="003B380F">
              <w:t xml:space="preserve">15 target </w:t>
            </w:r>
            <w:r>
              <w:t>reflects new and existing prison expansion projects</w:t>
            </w:r>
            <w:r w:rsidRPr="003B380F">
              <w:t>.</w:t>
            </w:r>
          </w:p>
        </w:tc>
      </w:tr>
      <w:tr w:rsidR="00A53D7D" w:rsidRPr="00A475B8" w:rsidTr="005140B4">
        <w:trPr>
          <w:cantSplit/>
        </w:trPr>
        <w:tc>
          <w:tcPr>
            <w:tcW w:w="7776" w:type="dxa"/>
            <w:gridSpan w:val="6"/>
            <w:tcBorders>
              <w:top w:val="single" w:sz="6" w:space="0" w:color="auto"/>
              <w:left w:val="nil"/>
              <w:right w:val="nil"/>
            </w:tcBorders>
            <w:vAlign w:val="center"/>
          </w:tcPr>
          <w:p w:rsidR="00A53D7D" w:rsidRPr="00EC2CB7" w:rsidRDefault="00A53D7D" w:rsidP="005140B4">
            <w:pPr>
              <w:pStyle w:val="OGHeading2"/>
              <w:rPr>
                <w:bCs/>
                <w:color w:val="000000"/>
                <w:lang w:eastAsia="en-AU"/>
              </w:rPr>
            </w:pPr>
            <w:r w:rsidRPr="00EC2CB7">
              <w:rPr>
                <w:color w:val="000000"/>
                <w:lang w:eastAsia="en-AU"/>
              </w:rPr>
              <w:t>Community</w:t>
            </w:r>
            <w:r>
              <w:rPr>
                <w:color w:val="000000"/>
                <w:lang w:eastAsia="en-AU"/>
              </w:rPr>
              <w:noBreakHyphen/>
            </w:r>
            <w:r w:rsidRPr="00EC2CB7">
              <w:rPr>
                <w:color w:val="000000"/>
                <w:lang w:eastAsia="en-AU"/>
              </w:rPr>
              <w:t>Based Offender Supervision</w:t>
            </w:r>
          </w:p>
        </w:tc>
      </w:tr>
      <w:tr w:rsidR="00A53D7D" w:rsidRPr="00A475B8" w:rsidTr="005140B4">
        <w:trPr>
          <w:cantSplit/>
        </w:trPr>
        <w:tc>
          <w:tcPr>
            <w:tcW w:w="7776" w:type="dxa"/>
            <w:gridSpan w:val="6"/>
            <w:tcBorders>
              <w:top w:val="nil"/>
              <w:left w:val="nil"/>
              <w:bottom w:val="single" w:sz="6" w:space="0" w:color="auto"/>
              <w:right w:val="nil"/>
            </w:tcBorders>
            <w:vAlign w:val="center"/>
          </w:tcPr>
          <w:p w:rsidR="00A53D7D" w:rsidRPr="008845FB" w:rsidRDefault="00A53D7D" w:rsidP="005140B4">
            <w:pPr>
              <w:pStyle w:val="OGText"/>
              <w:rPr>
                <w:highlight w:val="yellow"/>
                <w:lang w:eastAsia="en-AU"/>
              </w:rPr>
            </w:pPr>
            <w:r w:rsidRPr="00A91B79">
              <w:rPr>
                <w:lang w:eastAsia="en-AU"/>
              </w:rPr>
              <w:t>This output relates to the effective supervision of offenders in the community, including ensuring compliance with orders of the court and Adult Parole Board, engagement in programs to reduce re</w:t>
            </w:r>
            <w:r>
              <w:rPr>
                <w:lang w:eastAsia="en-AU"/>
              </w:rPr>
              <w:noBreakHyphen/>
            </w:r>
            <w:r w:rsidRPr="00A91B79">
              <w:rPr>
                <w:lang w:eastAsia="en-AU"/>
              </w:rPr>
              <w:t>offending and reparation to the community.</w:t>
            </w:r>
          </w:p>
        </w:tc>
      </w:tr>
      <w:tr w:rsidR="00A53D7D" w:rsidRPr="00A475B8" w:rsidTr="005140B4">
        <w:trPr>
          <w:cantSplit/>
        </w:trPr>
        <w:tc>
          <w:tcPr>
            <w:tcW w:w="3155" w:type="dxa"/>
            <w:tcBorders>
              <w:top w:val="single" w:sz="6" w:space="0" w:color="auto"/>
              <w:left w:val="nil"/>
              <w:right w:val="nil"/>
            </w:tcBorders>
            <w:vAlign w:val="center"/>
          </w:tcPr>
          <w:p w:rsidR="00A53D7D" w:rsidRPr="00A475B8" w:rsidRDefault="00A53D7D" w:rsidP="005140B4">
            <w:pPr>
              <w:pStyle w:val="OGTabHead"/>
              <w:rPr>
                <w:color w:val="000000"/>
                <w:lang w:eastAsia="en-AU"/>
              </w:rPr>
            </w:pPr>
            <w:r w:rsidRPr="00A475B8">
              <w:rPr>
                <w:iCs/>
                <w:color w:val="000000"/>
                <w:lang w:eastAsia="en-AU"/>
              </w:rPr>
              <w:t>Quantity</w:t>
            </w:r>
          </w:p>
        </w:tc>
        <w:tc>
          <w:tcPr>
            <w:tcW w:w="907" w:type="dxa"/>
            <w:tcBorders>
              <w:top w:val="single" w:sz="6" w:space="0" w:color="auto"/>
              <w:left w:val="nil"/>
              <w:right w:val="nil"/>
            </w:tcBorders>
            <w:vAlign w:val="center"/>
          </w:tcPr>
          <w:p w:rsidR="00A53D7D" w:rsidRPr="003E0A6C" w:rsidRDefault="00A53D7D" w:rsidP="005140B4">
            <w:pPr>
              <w:pStyle w:val="OGUoM"/>
              <w:rPr>
                <w:color w:val="000000"/>
                <w:lang w:eastAsia="en-AU"/>
              </w:rPr>
            </w:pPr>
          </w:p>
        </w:tc>
        <w:tc>
          <w:tcPr>
            <w:tcW w:w="907" w:type="dxa"/>
            <w:tcBorders>
              <w:top w:val="single" w:sz="6" w:space="0" w:color="auto"/>
              <w:left w:val="nil"/>
              <w:right w:val="nil"/>
            </w:tcBorders>
            <w:shd w:val="clear" w:color="auto" w:fill="D9D9D9"/>
            <w:vAlign w:val="center"/>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left w:val="nil"/>
              <w:right w:val="nil"/>
            </w:tcBorders>
            <w:vAlign w:val="center"/>
          </w:tcPr>
          <w:p w:rsidR="00A53D7D" w:rsidRPr="00EC2CB7" w:rsidRDefault="00A53D7D" w:rsidP="005140B4">
            <w:pPr>
              <w:pStyle w:val="OGTableofFigures"/>
              <w:rPr>
                <w:color w:val="000000"/>
                <w:lang w:eastAsia="en-AU"/>
              </w:rPr>
            </w:pPr>
          </w:p>
        </w:tc>
        <w:tc>
          <w:tcPr>
            <w:tcW w:w="907" w:type="dxa"/>
            <w:tcBorders>
              <w:top w:val="single" w:sz="6" w:space="0" w:color="auto"/>
              <w:left w:val="nil"/>
              <w:right w:val="nil"/>
            </w:tcBorders>
            <w:vAlign w:val="center"/>
          </w:tcPr>
          <w:p w:rsidR="00A53D7D" w:rsidRPr="00EC2CB7" w:rsidRDefault="00A53D7D" w:rsidP="005140B4">
            <w:pPr>
              <w:pStyle w:val="OGTableofFigures"/>
              <w:rPr>
                <w:color w:val="000000"/>
                <w:lang w:eastAsia="en-AU"/>
              </w:rPr>
            </w:pPr>
          </w:p>
        </w:tc>
        <w:tc>
          <w:tcPr>
            <w:tcW w:w="907" w:type="dxa"/>
            <w:tcBorders>
              <w:top w:val="single" w:sz="6" w:space="0" w:color="auto"/>
              <w:left w:val="nil"/>
              <w:right w:val="nil"/>
            </w:tcBorders>
            <w:vAlign w:val="center"/>
          </w:tcPr>
          <w:p w:rsidR="00A53D7D" w:rsidRPr="00EC2CB7" w:rsidRDefault="00A53D7D" w:rsidP="005140B4">
            <w:pPr>
              <w:pStyle w:val="OGTableofFigures"/>
              <w:rPr>
                <w:color w:val="000000"/>
                <w:lang w:eastAsia="en-AU"/>
              </w:rPr>
            </w:pPr>
          </w:p>
        </w:tc>
      </w:tr>
      <w:tr w:rsidR="00A53D7D" w:rsidRPr="00A475B8" w:rsidTr="005140B4">
        <w:trPr>
          <w:cantSplit/>
        </w:trPr>
        <w:tc>
          <w:tcPr>
            <w:tcW w:w="3155" w:type="dxa"/>
            <w:tcBorders>
              <w:top w:val="nil"/>
              <w:left w:val="nil"/>
              <w:bottom w:val="single" w:sz="6" w:space="0" w:color="auto"/>
              <w:right w:val="nil"/>
            </w:tcBorders>
            <w:vAlign w:val="center"/>
          </w:tcPr>
          <w:p w:rsidR="00A53D7D" w:rsidRPr="00AC40DF" w:rsidRDefault="00A53D7D" w:rsidP="005140B4">
            <w:pPr>
              <w:pStyle w:val="OGTabText"/>
              <w:rPr>
                <w:color w:val="000000"/>
                <w:lang w:eastAsia="en-AU"/>
              </w:rPr>
            </w:pPr>
            <w:r w:rsidRPr="00AC40DF">
              <w:rPr>
                <w:color w:val="000000"/>
                <w:lang w:eastAsia="en-AU"/>
              </w:rPr>
              <w:t>Average daily offenders under community</w:t>
            </w:r>
            <w:r>
              <w:rPr>
                <w:color w:val="000000"/>
                <w:lang w:eastAsia="en-AU"/>
              </w:rPr>
              <w:noBreakHyphen/>
            </w:r>
            <w:r w:rsidRPr="00AC40DF">
              <w:rPr>
                <w:color w:val="000000"/>
                <w:lang w:eastAsia="en-AU"/>
              </w:rPr>
              <w:t>based supervision</w:t>
            </w:r>
          </w:p>
        </w:tc>
        <w:tc>
          <w:tcPr>
            <w:tcW w:w="907" w:type="dxa"/>
            <w:tcBorders>
              <w:top w:val="nil"/>
              <w:left w:val="nil"/>
              <w:bottom w:val="single" w:sz="6" w:space="0" w:color="auto"/>
              <w:right w:val="nil"/>
            </w:tcBorders>
          </w:tcPr>
          <w:p w:rsidR="00A53D7D" w:rsidRPr="00AC40DF" w:rsidRDefault="00A53D7D" w:rsidP="005140B4">
            <w:pPr>
              <w:pStyle w:val="OGUoM"/>
              <w:rPr>
                <w:color w:val="000000"/>
                <w:lang w:eastAsia="en-AU"/>
              </w:rPr>
            </w:pPr>
            <w:r w:rsidRPr="00AC40DF">
              <w:rPr>
                <w:color w:val="000000"/>
                <w:lang w:eastAsia="en-AU"/>
              </w:rPr>
              <w:t>number</w:t>
            </w:r>
          </w:p>
        </w:tc>
        <w:tc>
          <w:tcPr>
            <w:tcW w:w="907" w:type="dxa"/>
            <w:tcBorders>
              <w:top w:val="nil"/>
              <w:left w:val="nil"/>
              <w:bottom w:val="single" w:sz="6" w:space="0" w:color="auto"/>
              <w:right w:val="nil"/>
            </w:tcBorders>
            <w:shd w:val="clear" w:color="auto" w:fill="D9D9D9"/>
          </w:tcPr>
          <w:p w:rsidR="00A53D7D" w:rsidRPr="00AC40DF" w:rsidRDefault="00A53D7D" w:rsidP="005140B4">
            <w:pPr>
              <w:pStyle w:val="OGTableofFigures"/>
              <w:rPr>
                <w:color w:val="000000"/>
                <w:lang w:eastAsia="en-AU"/>
              </w:rPr>
            </w:pPr>
            <w:r w:rsidRPr="00AC40DF">
              <w:rPr>
                <w:color w:val="000000"/>
                <w:lang w:eastAsia="en-AU"/>
              </w:rPr>
              <w:t>7 798</w:t>
            </w:r>
          </w:p>
        </w:tc>
        <w:tc>
          <w:tcPr>
            <w:tcW w:w="993" w:type="dxa"/>
            <w:tcBorders>
              <w:top w:val="nil"/>
              <w:left w:val="nil"/>
              <w:bottom w:val="single" w:sz="6" w:space="0" w:color="auto"/>
              <w:right w:val="nil"/>
            </w:tcBorders>
          </w:tcPr>
          <w:p w:rsidR="00A53D7D" w:rsidRPr="00AC40DF" w:rsidRDefault="00A53D7D" w:rsidP="005140B4">
            <w:pPr>
              <w:pStyle w:val="OGTableofFigures"/>
              <w:rPr>
                <w:color w:val="000000"/>
                <w:lang w:eastAsia="en-AU"/>
              </w:rPr>
            </w:pPr>
            <w:r>
              <w:rPr>
                <w:color w:val="000000"/>
                <w:lang w:eastAsia="en-AU"/>
              </w:rPr>
              <w:t>7 </w:t>
            </w:r>
            <w:r w:rsidRPr="00AC40DF">
              <w:rPr>
                <w:color w:val="000000"/>
                <w:lang w:eastAsia="en-AU"/>
              </w:rPr>
              <w:t>413</w:t>
            </w:r>
            <w:r w:rsidRPr="00AC40DF">
              <w:rPr>
                <w:color w:val="000000"/>
                <w:lang w:eastAsia="en-AU"/>
              </w:rPr>
              <w:br/>
            </w:r>
          </w:p>
        </w:tc>
        <w:tc>
          <w:tcPr>
            <w:tcW w:w="907" w:type="dxa"/>
            <w:tcBorders>
              <w:top w:val="nil"/>
              <w:left w:val="nil"/>
              <w:bottom w:val="single" w:sz="6" w:space="0" w:color="auto"/>
              <w:right w:val="nil"/>
            </w:tcBorders>
          </w:tcPr>
          <w:p w:rsidR="00A53D7D" w:rsidRPr="00AC40DF" w:rsidRDefault="00A53D7D" w:rsidP="005140B4">
            <w:pPr>
              <w:pStyle w:val="OGTableofFigures"/>
              <w:rPr>
                <w:color w:val="000000"/>
                <w:lang w:eastAsia="en-AU"/>
              </w:rPr>
            </w:pPr>
            <w:r w:rsidRPr="00AC40DF">
              <w:rPr>
                <w:color w:val="000000"/>
                <w:lang w:eastAsia="en-AU"/>
              </w:rPr>
              <w:t>7 798</w:t>
            </w:r>
          </w:p>
        </w:tc>
        <w:tc>
          <w:tcPr>
            <w:tcW w:w="907" w:type="dxa"/>
            <w:tcBorders>
              <w:top w:val="nil"/>
              <w:left w:val="nil"/>
              <w:bottom w:val="single" w:sz="6" w:space="0" w:color="auto"/>
              <w:right w:val="nil"/>
            </w:tcBorders>
          </w:tcPr>
          <w:p w:rsidR="00A53D7D" w:rsidRPr="00AC40DF" w:rsidRDefault="00A53D7D" w:rsidP="005140B4">
            <w:pPr>
              <w:pStyle w:val="OGTableofFigures"/>
              <w:rPr>
                <w:color w:val="000000"/>
                <w:lang w:eastAsia="en-AU"/>
              </w:rPr>
            </w:pPr>
            <w:r>
              <w:rPr>
                <w:color w:val="000000"/>
                <w:lang w:eastAsia="en-AU"/>
              </w:rPr>
              <w:t>7 </w:t>
            </w:r>
            <w:r w:rsidRPr="00AC40DF">
              <w:rPr>
                <w:color w:val="000000"/>
                <w:lang w:eastAsia="en-AU"/>
              </w:rPr>
              <w:t>144</w:t>
            </w:r>
          </w:p>
        </w:tc>
      </w:tr>
      <w:tr w:rsidR="00A53D7D" w:rsidRPr="00A475B8" w:rsidTr="005140B4">
        <w:trPr>
          <w:cantSplit/>
        </w:trPr>
        <w:tc>
          <w:tcPr>
            <w:tcW w:w="3155" w:type="dxa"/>
            <w:tcBorders>
              <w:top w:val="single" w:sz="6" w:space="0" w:color="auto"/>
              <w:left w:val="nil"/>
              <w:bottom w:val="single" w:sz="6" w:space="0" w:color="auto"/>
              <w:right w:val="nil"/>
            </w:tcBorders>
          </w:tcPr>
          <w:p w:rsidR="00A53D7D" w:rsidRPr="00B2174E" w:rsidRDefault="00A53D7D" w:rsidP="005140B4">
            <w:pPr>
              <w:pStyle w:val="OGTabText"/>
              <w:rPr>
                <w:color w:val="000000"/>
                <w:lang w:eastAsia="en-AU"/>
              </w:rPr>
            </w:pPr>
            <w:r w:rsidRPr="00B2174E">
              <w:rPr>
                <w:color w:val="000000"/>
                <w:lang w:eastAsia="en-AU"/>
              </w:rPr>
              <w:t>Community</w:t>
            </w:r>
            <w:r>
              <w:rPr>
                <w:color w:val="000000"/>
                <w:lang w:eastAsia="en-AU"/>
              </w:rPr>
              <w:noBreakHyphen/>
            </w:r>
            <w:r w:rsidRPr="00B2174E">
              <w:rPr>
                <w:color w:val="000000"/>
                <w:lang w:eastAsia="en-AU"/>
              </w:rPr>
              <w:t>work hours performed</w:t>
            </w:r>
          </w:p>
        </w:tc>
        <w:tc>
          <w:tcPr>
            <w:tcW w:w="907" w:type="dxa"/>
            <w:tcBorders>
              <w:top w:val="single" w:sz="6" w:space="0" w:color="auto"/>
              <w:left w:val="nil"/>
              <w:bottom w:val="single" w:sz="6" w:space="0" w:color="auto"/>
              <w:right w:val="nil"/>
            </w:tcBorders>
          </w:tcPr>
          <w:p w:rsidR="00A53D7D" w:rsidRPr="00B2174E" w:rsidRDefault="00A53D7D" w:rsidP="005140B4">
            <w:pPr>
              <w:pStyle w:val="OGUoM"/>
              <w:rPr>
                <w:color w:val="000000"/>
                <w:lang w:eastAsia="en-AU"/>
              </w:rPr>
            </w:pPr>
            <w:r w:rsidRPr="00B2174E">
              <w:rPr>
                <w:color w:val="000000"/>
                <w:lang w:eastAsia="en-AU"/>
              </w:rPr>
              <w:t>number (‘000)</w:t>
            </w:r>
          </w:p>
        </w:tc>
        <w:tc>
          <w:tcPr>
            <w:tcW w:w="907" w:type="dxa"/>
            <w:tcBorders>
              <w:top w:val="single" w:sz="6" w:space="0" w:color="auto"/>
              <w:left w:val="nil"/>
              <w:bottom w:val="single" w:sz="6" w:space="0" w:color="auto"/>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650–750</w:t>
            </w:r>
          </w:p>
        </w:tc>
        <w:tc>
          <w:tcPr>
            <w:tcW w:w="993" w:type="dxa"/>
            <w:tcBorders>
              <w:top w:val="single" w:sz="6" w:space="0" w:color="auto"/>
              <w:left w:val="nil"/>
              <w:bottom w:val="single" w:sz="6"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659</w:t>
            </w:r>
          </w:p>
        </w:tc>
        <w:tc>
          <w:tcPr>
            <w:tcW w:w="907" w:type="dxa"/>
            <w:tcBorders>
              <w:top w:val="single" w:sz="6" w:space="0" w:color="auto"/>
              <w:left w:val="nil"/>
              <w:bottom w:val="single" w:sz="6"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650–750</w:t>
            </w:r>
            <w:r w:rsidRPr="00B2174E">
              <w:rPr>
                <w:color w:val="000000"/>
                <w:lang w:eastAsia="en-AU"/>
              </w:rPr>
              <w:br/>
            </w:r>
          </w:p>
        </w:tc>
        <w:tc>
          <w:tcPr>
            <w:tcW w:w="907" w:type="dxa"/>
            <w:tcBorders>
              <w:top w:val="single" w:sz="6" w:space="0" w:color="auto"/>
              <w:left w:val="nil"/>
              <w:bottom w:val="single" w:sz="6"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604.1</w:t>
            </w:r>
          </w:p>
        </w:tc>
      </w:tr>
      <w:tr w:rsidR="00A53D7D" w:rsidRPr="00A475B8" w:rsidTr="005140B4">
        <w:trPr>
          <w:cantSplit/>
        </w:trPr>
        <w:tc>
          <w:tcPr>
            <w:tcW w:w="3155" w:type="dxa"/>
            <w:tcBorders>
              <w:top w:val="single" w:sz="6" w:space="0" w:color="auto"/>
              <w:left w:val="nil"/>
              <w:bottom w:val="nil"/>
              <w:right w:val="nil"/>
            </w:tcBorders>
            <w:vAlign w:val="center"/>
          </w:tcPr>
          <w:p w:rsidR="00A53D7D" w:rsidRPr="00B2174E" w:rsidRDefault="00A53D7D" w:rsidP="005140B4">
            <w:pPr>
              <w:pStyle w:val="OGTabHead"/>
              <w:rPr>
                <w:color w:val="000000"/>
                <w:lang w:eastAsia="en-AU"/>
              </w:rPr>
            </w:pPr>
            <w:r w:rsidRPr="00B2174E">
              <w:rPr>
                <w:iCs/>
                <w:color w:val="000000"/>
                <w:lang w:eastAsia="en-AU"/>
              </w:rPr>
              <w:t>Quality</w:t>
            </w:r>
          </w:p>
        </w:tc>
        <w:tc>
          <w:tcPr>
            <w:tcW w:w="907" w:type="dxa"/>
            <w:tcBorders>
              <w:top w:val="single" w:sz="6" w:space="0" w:color="auto"/>
              <w:left w:val="nil"/>
              <w:bottom w:val="nil"/>
              <w:right w:val="nil"/>
            </w:tcBorders>
            <w:vAlign w:val="center"/>
          </w:tcPr>
          <w:p w:rsidR="00A53D7D" w:rsidRPr="00B2174E" w:rsidRDefault="00A53D7D" w:rsidP="005140B4">
            <w:pPr>
              <w:pStyle w:val="OGUoM"/>
              <w:rPr>
                <w:color w:val="000000"/>
                <w:lang w:eastAsia="en-AU"/>
              </w:rPr>
            </w:pPr>
          </w:p>
        </w:tc>
        <w:tc>
          <w:tcPr>
            <w:tcW w:w="907" w:type="dxa"/>
            <w:tcBorders>
              <w:top w:val="single" w:sz="6" w:space="0" w:color="auto"/>
              <w:left w:val="nil"/>
              <w:bottom w:val="nil"/>
              <w:right w:val="nil"/>
            </w:tcBorders>
            <w:shd w:val="clear" w:color="auto" w:fill="D9D9D9"/>
            <w:vAlign w:val="center"/>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bottom w:val="nil"/>
              <w:right w:val="nil"/>
            </w:tcBorders>
            <w:vAlign w:val="center"/>
          </w:tcPr>
          <w:p w:rsidR="00A53D7D" w:rsidRPr="00B2174E" w:rsidRDefault="00A53D7D" w:rsidP="005140B4">
            <w:pPr>
              <w:pStyle w:val="OGTableofFigures"/>
              <w:rPr>
                <w:color w:val="000000"/>
                <w:lang w:eastAsia="en-AU"/>
              </w:rPr>
            </w:pPr>
          </w:p>
        </w:tc>
        <w:tc>
          <w:tcPr>
            <w:tcW w:w="907" w:type="dxa"/>
            <w:tcBorders>
              <w:top w:val="single" w:sz="6" w:space="0" w:color="auto"/>
              <w:left w:val="nil"/>
              <w:bottom w:val="nil"/>
              <w:right w:val="nil"/>
            </w:tcBorders>
            <w:vAlign w:val="center"/>
          </w:tcPr>
          <w:p w:rsidR="00A53D7D" w:rsidRPr="00B2174E" w:rsidRDefault="00A53D7D" w:rsidP="005140B4">
            <w:pPr>
              <w:pStyle w:val="OGTableofFigures"/>
              <w:rPr>
                <w:color w:val="000000"/>
                <w:lang w:eastAsia="en-AU"/>
              </w:rPr>
            </w:pPr>
          </w:p>
        </w:tc>
        <w:tc>
          <w:tcPr>
            <w:tcW w:w="907" w:type="dxa"/>
            <w:tcBorders>
              <w:top w:val="single" w:sz="6" w:space="0" w:color="auto"/>
              <w:left w:val="nil"/>
              <w:bottom w:val="nil"/>
              <w:right w:val="nil"/>
            </w:tcBorders>
            <w:vAlign w:val="center"/>
          </w:tcPr>
          <w:p w:rsidR="00A53D7D" w:rsidRPr="00B2174E" w:rsidRDefault="00A53D7D" w:rsidP="005140B4">
            <w:pPr>
              <w:pStyle w:val="OGTableofFigures"/>
              <w:rPr>
                <w:color w:val="000000"/>
                <w:lang w:eastAsia="en-AU"/>
              </w:rPr>
            </w:pPr>
          </w:p>
        </w:tc>
      </w:tr>
      <w:tr w:rsidR="00A53D7D" w:rsidRPr="00A475B8" w:rsidTr="005140B4">
        <w:trPr>
          <w:cantSplit/>
        </w:trPr>
        <w:tc>
          <w:tcPr>
            <w:tcW w:w="3155" w:type="dxa"/>
            <w:tcBorders>
              <w:top w:val="nil"/>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Rate of return to corrective services within two years of discharge from a community corrections order</w:t>
            </w:r>
          </w:p>
        </w:tc>
        <w:tc>
          <w:tcPr>
            <w:tcW w:w="907" w:type="dxa"/>
            <w:tcBorders>
              <w:top w:val="nil"/>
              <w:left w:val="nil"/>
              <w:right w:val="nil"/>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nil"/>
              <w:left w:val="nil"/>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&lt;</w:t>
            </w:r>
            <w:r w:rsidR="004E7A50">
              <w:rPr>
                <w:color w:val="000000"/>
                <w:lang w:eastAsia="en-AU"/>
              </w:rPr>
              <w:t xml:space="preserve"> </w:t>
            </w:r>
            <w:r w:rsidRPr="00B2174E">
              <w:rPr>
                <w:color w:val="000000"/>
                <w:lang w:eastAsia="en-AU"/>
              </w:rPr>
              <w:t>24.8</w:t>
            </w:r>
            <w:r w:rsidRPr="00B2174E">
              <w:rPr>
                <w:color w:val="000000"/>
                <w:lang w:eastAsia="en-AU"/>
              </w:rPr>
              <w:br/>
            </w:r>
          </w:p>
        </w:tc>
        <w:tc>
          <w:tcPr>
            <w:tcW w:w="993" w:type="dxa"/>
            <w:tcBorders>
              <w:top w:val="nil"/>
              <w:left w:val="nil"/>
              <w:right w:val="nil"/>
            </w:tcBorders>
          </w:tcPr>
          <w:p w:rsidR="00A53D7D" w:rsidRPr="00B2174E" w:rsidRDefault="00A53D7D" w:rsidP="005140B4">
            <w:pPr>
              <w:pStyle w:val="OGTableofFigures"/>
              <w:rPr>
                <w:color w:val="000000"/>
                <w:lang w:eastAsia="en-AU"/>
              </w:rPr>
            </w:pPr>
            <w:r w:rsidRPr="00B2174E">
              <w:rPr>
                <w:color w:val="000000"/>
                <w:lang w:eastAsia="en-AU"/>
              </w:rPr>
              <w:t>22.5</w:t>
            </w:r>
          </w:p>
        </w:tc>
        <w:tc>
          <w:tcPr>
            <w:tcW w:w="907" w:type="dxa"/>
            <w:tcBorders>
              <w:top w:val="nil"/>
              <w:left w:val="nil"/>
              <w:right w:val="nil"/>
            </w:tcBorders>
          </w:tcPr>
          <w:p w:rsidR="00A53D7D" w:rsidRPr="00B2174E" w:rsidRDefault="00A53D7D" w:rsidP="005140B4">
            <w:pPr>
              <w:pStyle w:val="OGTableofFigures"/>
              <w:rPr>
                <w:strike/>
                <w:color w:val="000000"/>
                <w:sz w:val="16"/>
                <w:szCs w:val="16"/>
                <w:lang w:eastAsia="en-AU"/>
              </w:rPr>
            </w:pPr>
            <w:r w:rsidRPr="00B2174E">
              <w:rPr>
                <w:color w:val="000000"/>
                <w:lang w:eastAsia="en-AU"/>
              </w:rPr>
              <w:t>&lt;</w:t>
            </w:r>
            <w:r w:rsidR="004E7A50">
              <w:rPr>
                <w:color w:val="000000"/>
                <w:lang w:eastAsia="en-AU"/>
              </w:rPr>
              <w:t xml:space="preserve"> </w:t>
            </w:r>
            <w:r w:rsidRPr="00B2174E">
              <w:rPr>
                <w:color w:val="000000"/>
                <w:lang w:eastAsia="en-AU"/>
              </w:rPr>
              <w:t>24.1</w:t>
            </w:r>
          </w:p>
          <w:p w:rsidR="00A53D7D" w:rsidRPr="00B2174E" w:rsidRDefault="00A53D7D" w:rsidP="005140B4">
            <w:pPr>
              <w:pStyle w:val="OGTableofFigures"/>
              <w:rPr>
                <w:strike/>
                <w:color w:val="000000"/>
                <w:sz w:val="16"/>
                <w:szCs w:val="16"/>
                <w:lang w:eastAsia="en-AU"/>
              </w:rPr>
            </w:pPr>
          </w:p>
        </w:tc>
        <w:tc>
          <w:tcPr>
            <w:tcW w:w="907" w:type="dxa"/>
            <w:tcBorders>
              <w:top w:val="nil"/>
              <w:left w:val="nil"/>
              <w:right w:val="nil"/>
            </w:tcBorders>
          </w:tcPr>
          <w:p w:rsidR="00A53D7D" w:rsidRPr="00B2174E" w:rsidRDefault="00A53D7D" w:rsidP="005140B4">
            <w:pPr>
              <w:pStyle w:val="OGTableofFigures"/>
              <w:rPr>
                <w:color w:val="000000"/>
                <w:lang w:eastAsia="en-AU"/>
              </w:rPr>
            </w:pPr>
            <w:r w:rsidRPr="00B2174E">
              <w:rPr>
                <w:color w:val="000000"/>
                <w:lang w:eastAsia="en-AU"/>
              </w:rPr>
              <w:t>22</w:t>
            </w:r>
          </w:p>
        </w:tc>
      </w:tr>
      <w:tr w:rsidR="00A53D7D" w:rsidRPr="00A475B8" w:rsidTr="005140B4">
        <w:trPr>
          <w:cantSplit/>
        </w:trPr>
        <w:tc>
          <w:tcPr>
            <w:tcW w:w="7776" w:type="dxa"/>
            <w:gridSpan w:val="6"/>
            <w:tcBorders>
              <w:top w:val="nil"/>
              <w:left w:val="nil"/>
              <w:bottom w:val="single" w:sz="6" w:space="0" w:color="auto"/>
              <w:right w:val="nil"/>
            </w:tcBorders>
            <w:vAlign w:val="center"/>
          </w:tcPr>
          <w:p w:rsidR="00A53D7D" w:rsidRPr="00B2174E" w:rsidRDefault="00A53D7D" w:rsidP="005140B4">
            <w:pPr>
              <w:pStyle w:val="OGNotes"/>
            </w:pPr>
            <w:r w:rsidRPr="00B2174E">
              <w:t>The 2014</w:t>
            </w:r>
            <w:r>
              <w:noBreakHyphen/>
            </w:r>
            <w:r w:rsidRPr="00B2174E">
              <w:t>15 target is the ‘national average’ for this performance measure as reported in the latest Productivity Commission’s Report on Government Services.</w:t>
            </w:r>
          </w:p>
        </w:tc>
      </w:tr>
      <w:tr w:rsidR="00A53D7D" w:rsidRPr="00A475B8" w:rsidTr="005140B4">
        <w:trPr>
          <w:cantSplit/>
        </w:trPr>
        <w:tc>
          <w:tcPr>
            <w:tcW w:w="3155" w:type="dxa"/>
            <w:tcBorders>
              <w:top w:val="single" w:sz="6" w:space="0" w:color="auto"/>
              <w:left w:val="nil"/>
              <w:bottom w:val="single" w:sz="6" w:space="0" w:color="auto"/>
              <w:right w:val="nil"/>
            </w:tcBorders>
            <w:vAlign w:val="center"/>
          </w:tcPr>
          <w:p w:rsidR="00A53D7D" w:rsidRPr="00B2174E" w:rsidRDefault="00A53D7D" w:rsidP="005140B4">
            <w:pPr>
              <w:pStyle w:val="OGTabText"/>
              <w:rPr>
                <w:color w:val="000000"/>
                <w:lang w:eastAsia="en-AU"/>
              </w:rPr>
            </w:pPr>
            <w:r w:rsidRPr="00B2174E">
              <w:rPr>
                <w:color w:val="000000"/>
                <w:lang w:eastAsia="en-AU"/>
              </w:rPr>
              <w:t>Offenders with a supervised order that has been successfully completed</w:t>
            </w:r>
          </w:p>
        </w:tc>
        <w:tc>
          <w:tcPr>
            <w:tcW w:w="907" w:type="dxa"/>
            <w:tcBorders>
              <w:top w:val="single" w:sz="6" w:space="0" w:color="auto"/>
              <w:left w:val="nil"/>
              <w:bottom w:val="single" w:sz="6" w:space="0" w:color="auto"/>
              <w:right w:val="nil"/>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60–65</w:t>
            </w:r>
          </w:p>
        </w:tc>
        <w:tc>
          <w:tcPr>
            <w:tcW w:w="993" w:type="dxa"/>
            <w:tcBorders>
              <w:top w:val="single" w:sz="6" w:space="0" w:color="auto"/>
              <w:left w:val="nil"/>
              <w:bottom w:val="single" w:sz="6" w:space="0" w:color="auto"/>
              <w:right w:val="nil"/>
            </w:tcBorders>
          </w:tcPr>
          <w:p w:rsidR="00A53D7D" w:rsidRPr="00B2174E" w:rsidRDefault="00A53D7D" w:rsidP="005140B4">
            <w:pPr>
              <w:pStyle w:val="OGTableofFigures"/>
              <w:rPr>
                <w:color w:val="000000"/>
                <w:lang w:eastAsia="en-AU"/>
              </w:rPr>
            </w:pPr>
            <w:r w:rsidRPr="003B380F">
              <w:rPr>
                <w:color w:val="000000"/>
                <w:lang w:eastAsia="en-AU"/>
              </w:rPr>
              <w:t>59.5</w:t>
            </w:r>
            <w:r w:rsidRPr="00B2174E">
              <w:rPr>
                <w:color w:val="000000"/>
                <w:lang w:eastAsia="en-AU"/>
              </w:rPr>
              <w:br/>
            </w:r>
          </w:p>
        </w:tc>
        <w:tc>
          <w:tcPr>
            <w:tcW w:w="907" w:type="dxa"/>
            <w:tcBorders>
              <w:top w:val="single" w:sz="6" w:space="0" w:color="auto"/>
              <w:left w:val="nil"/>
              <w:bottom w:val="single" w:sz="6"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60</w:t>
            </w:r>
            <w:r>
              <w:rPr>
                <w:color w:val="000000"/>
                <w:lang w:eastAsia="en-AU"/>
              </w:rPr>
              <w:noBreakHyphen/>
            </w:r>
            <w:r w:rsidRPr="00B2174E">
              <w:rPr>
                <w:color w:val="000000"/>
                <w:lang w:eastAsia="en-AU"/>
              </w:rPr>
              <w:t>65</w:t>
            </w:r>
          </w:p>
        </w:tc>
        <w:tc>
          <w:tcPr>
            <w:tcW w:w="907" w:type="dxa"/>
            <w:tcBorders>
              <w:top w:val="single" w:sz="6" w:space="0" w:color="auto"/>
              <w:left w:val="nil"/>
              <w:bottom w:val="single" w:sz="6"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61.8</w:t>
            </w:r>
          </w:p>
        </w:tc>
      </w:tr>
      <w:tr w:rsidR="00A53D7D" w:rsidRPr="00A475B8" w:rsidTr="005140B4">
        <w:trPr>
          <w:cantSplit/>
        </w:trPr>
        <w:tc>
          <w:tcPr>
            <w:tcW w:w="3155" w:type="dxa"/>
            <w:tcBorders>
              <w:top w:val="single" w:sz="6" w:space="0" w:color="auto"/>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Offenders with an unsupervised order that has been successfully completed</w:t>
            </w:r>
          </w:p>
        </w:tc>
        <w:tc>
          <w:tcPr>
            <w:tcW w:w="907" w:type="dxa"/>
            <w:tcBorders>
              <w:top w:val="single" w:sz="6" w:space="0" w:color="auto"/>
              <w:left w:val="nil"/>
              <w:right w:val="nil"/>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single" w:sz="6" w:space="0" w:color="auto"/>
              <w:left w:val="nil"/>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61</w:t>
            </w:r>
            <w:r w:rsidRPr="00B2174E">
              <w:rPr>
                <w:color w:val="000000"/>
                <w:lang w:eastAsia="en-AU"/>
              </w:rPr>
              <w:br/>
            </w:r>
          </w:p>
        </w:tc>
        <w:tc>
          <w:tcPr>
            <w:tcW w:w="993"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73</w:t>
            </w:r>
          </w:p>
        </w:tc>
        <w:tc>
          <w:tcPr>
            <w:tcW w:w="907"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61</w:t>
            </w:r>
          </w:p>
        </w:tc>
        <w:tc>
          <w:tcPr>
            <w:tcW w:w="907" w:type="dxa"/>
            <w:tcBorders>
              <w:top w:val="single" w:sz="6" w:space="0" w:color="auto"/>
              <w:left w:val="nil"/>
              <w:right w:val="nil"/>
            </w:tcBorders>
          </w:tcPr>
          <w:p w:rsidR="00A53D7D" w:rsidRPr="003B380F" w:rsidRDefault="00A53D7D" w:rsidP="005140B4">
            <w:pPr>
              <w:pStyle w:val="OGTableofFigures"/>
              <w:rPr>
                <w:color w:val="000000"/>
                <w:lang w:eastAsia="en-AU"/>
              </w:rPr>
            </w:pPr>
            <w:r w:rsidRPr="00B2174E">
              <w:rPr>
                <w:color w:val="000000"/>
                <w:lang w:eastAsia="en-AU"/>
              </w:rPr>
              <w:t>64.5</w:t>
            </w:r>
          </w:p>
        </w:tc>
      </w:tr>
      <w:tr w:rsidR="00A53D7D" w:rsidRPr="00A475B8" w:rsidTr="005140B4">
        <w:trPr>
          <w:cantSplit/>
        </w:trPr>
        <w:tc>
          <w:tcPr>
            <w:tcW w:w="7776" w:type="dxa"/>
            <w:gridSpan w:val="6"/>
            <w:tcBorders>
              <w:top w:val="nil"/>
              <w:left w:val="nil"/>
              <w:bottom w:val="single" w:sz="6" w:space="0" w:color="auto"/>
              <w:right w:val="nil"/>
            </w:tcBorders>
            <w:vAlign w:val="center"/>
          </w:tcPr>
          <w:p w:rsidR="00A53D7D" w:rsidRPr="00B2174E" w:rsidRDefault="00A53D7D" w:rsidP="005140B4">
            <w:pPr>
              <w:pStyle w:val="OGNotes"/>
              <w:rPr>
                <w:color w:val="000000"/>
                <w:sz w:val="20"/>
                <w:szCs w:val="18"/>
              </w:rPr>
            </w:pPr>
            <w:r w:rsidRPr="00B2174E">
              <w:t>The 2013</w:t>
            </w:r>
            <w:r>
              <w:noBreakHyphen/>
            </w:r>
            <w:r w:rsidRPr="00B2174E">
              <w:t xml:space="preserve">14 expected outcome </w:t>
            </w:r>
            <w:r>
              <w:t>reflects</w:t>
            </w:r>
            <w:r w:rsidRPr="00B2174E">
              <w:t xml:space="preserve"> increased focus on the completion of community work orders and a change in breach practices for unsupervised orders over the past 12 months. </w:t>
            </w:r>
          </w:p>
        </w:tc>
      </w:tr>
      <w:tr w:rsidR="00A53D7D" w:rsidRPr="00A475B8" w:rsidTr="005140B4">
        <w:trPr>
          <w:cantSplit/>
        </w:trPr>
        <w:tc>
          <w:tcPr>
            <w:tcW w:w="3155" w:type="dxa"/>
            <w:tcBorders>
              <w:top w:val="single" w:sz="6" w:space="0" w:color="auto"/>
              <w:left w:val="nil"/>
              <w:right w:val="nil"/>
            </w:tcBorders>
            <w:vAlign w:val="center"/>
          </w:tcPr>
          <w:p w:rsidR="00A53D7D" w:rsidRPr="003B380F" w:rsidRDefault="00A53D7D" w:rsidP="005140B4">
            <w:pPr>
              <w:pStyle w:val="OGTabHead"/>
              <w:rPr>
                <w:lang w:eastAsia="en-AU"/>
              </w:rPr>
            </w:pPr>
            <w:r w:rsidRPr="00B2174E">
              <w:rPr>
                <w:iCs/>
                <w:color w:val="000000"/>
                <w:lang w:eastAsia="en-AU"/>
              </w:rPr>
              <w:t>Timeliness</w:t>
            </w:r>
          </w:p>
        </w:tc>
        <w:tc>
          <w:tcPr>
            <w:tcW w:w="907" w:type="dxa"/>
            <w:tcBorders>
              <w:top w:val="single" w:sz="6" w:space="0" w:color="auto"/>
              <w:left w:val="nil"/>
              <w:right w:val="nil"/>
            </w:tcBorders>
          </w:tcPr>
          <w:p w:rsidR="00A53D7D" w:rsidRPr="003B380F" w:rsidRDefault="00A53D7D" w:rsidP="005140B4">
            <w:pPr>
              <w:pStyle w:val="OGUoM"/>
              <w:rPr>
                <w:color w:val="000000"/>
                <w:lang w:eastAsia="en-AU"/>
              </w:rPr>
            </w:pPr>
          </w:p>
        </w:tc>
        <w:tc>
          <w:tcPr>
            <w:tcW w:w="907" w:type="dxa"/>
            <w:tcBorders>
              <w:top w:val="single" w:sz="6" w:space="0" w:color="auto"/>
              <w:left w:val="nil"/>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 </w:t>
            </w:r>
          </w:p>
        </w:tc>
      </w:tr>
      <w:tr w:rsidR="00A53D7D" w:rsidRPr="00A475B8" w:rsidTr="005140B4">
        <w:trPr>
          <w:cantSplit/>
        </w:trPr>
        <w:tc>
          <w:tcPr>
            <w:tcW w:w="3155" w:type="dxa"/>
            <w:tcBorders>
              <w:top w:val="nil"/>
              <w:left w:val="nil"/>
              <w:bottom w:val="single" w:sz="6" w:space="0" w:color="auto"/>
              <w:right w:val="nil"/>
            </w:tcBorders>
            <w:vAlign w:val="center"/>
          </w:tcPr>
          <w:p w:rsidR="00A53D7D" w:rsidRPr="00B2174E" w:rsidRDefault="00A53D7D" w:rsidP="005140B4">
            <w:pPr>
              <w:pStyle w:val="OGTabText"/>
              <w:rPr>
                <w:color w:val="000000"/>
                <w:lang w:eastAsia="en-AU"/>
              </w:rPr>
            </w:pPr>
            <w:r w:rsidRPr="00B2174E">
              <w:rPr>
                <w:color w:val="000000"/>
                <w:lang w:eastAsia="en-AU"/>
              </w:rPr>
              <w:t>Offenders with a treatment or personal development program condition who have been appropriately referred to a program within set timelines</w:t>
            </w:r>
          </w:p>
        </w:tc>
        <w:tc>
          <w:tcPr>
            <w:tcW w:w="907" w:type="dxa"/>
            <w:tcBorders>
              <w:top w:val="nil"/>
              <w:left w:val="nil"/>
              <w:bottom w:val="single" w:sz="6" w:space="0" w:color="auto"/>
              <w:right w:val="nil"/>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nil"/>
              <w:left w:val="nil"/>
              <w:bottom w:val="single" w:sz="6" w:space="0" w:color="auto"/>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95.0</w:t>
            </w:r>
          </w:p>
        </w:tc>
        <w:tc>
          <w:tcPr>
            <w:tcW w:w="993" w:type="dxa"/>
            <w:tcBorders>
              <w:top w:val="nil"/>
              <w:left w:val="nil"/>
              <w:bottom w:val="single" w:sz="6"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96.9</w:t>
            </w:r>
          </w:p>
        </w:tc>
        <w:tc>
          <w:tcPr>
            <w:tcW w:w="907" w:type="dxa"/>
            <w:tcBorders>
              <w:top w:val="nil"/>
              <w:left w:val="nil"/>
              <w:bottom w:val="single" w:sz="6"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95.0</w:t>
            </w:r>
          </w:p>
        </w:tc>
        <w:tc>
          <w:tcPr>
            <w:tcW w:w="907" w:type="dxa"/>
            <w:tcBorders>
              <w:top w:val="nil"/>
              <w:left w:val="nil"/>
              <w:bottom w:val="single" w:sz="6" w:space="0" w:color="auto"/>
              <w:right w:val="nil"/>
            </w:tcBorders>
          </w:tcPr>
          <w:p w:rsidR="00A53D7D" w:rsidRPr="003B380F" w:rsidRDefault="00A53D7D" w:rsidP="005140B4">
            <w:pPr>
              <w:pStyle w:val="OGTableofFigures"/>
              <w:rPr>
                <w:color w:val="000000"/>
                <w:lang w:eastAsia="en-AU"/>
              </w:rPr>
            </w:pPr>
            <w:r w:rsidRPr="00B2174E">
              <w:rPr>
                <w:color w:val="000000"/>
                <w:lang w:eastAsia="en-AU"/>
              </w:rPr>
              <w:t>93.4</w:t>
            </w:r>
          </w:p>
        </w:tc>
      </w:tr>
      <w:tr w:rsidR="00A53D7D" w:rsidRPr="00A475B8" w:rsidTr="005140B4">
        <w:trPr>
          <w:cantSplit/>
        </w:trPr>
        <w:tc>
          <w:tcPr>
            <w:tcW w:w="3155" w:type="dxa"/>
            <w:tcBorders>
              <w:top w:val="single" w:sz="6" w:space="0" w:color="auto"/>
              <w:left w:val="nil"/>
              <w:right w:val="nil"/>
            </w:tcBorders>
            <w:vAlign w:val="center"/>
          </w:tcPr>
          <w:p w:rsidR="00A53D7D" w:rsidRPr="00B2174E" w:rsidRDefault="00A53D7D" w:rsidP="005140B4">
            <w:pPr>
              <w:pStyle w:val="OGTabHead"/>
              <w:rPr>
                <w:color w:val="000000"/>
                <w:lang w:eastAsia="en-AU"/>
              </w:rPr>
            </w:pPr>
            <w:r w:rsidRPr="00B2174E">
              <w:rPr>
                <w:iCs/>
                <w:color w:val="000000"/>
                <w:lang w:eastAsia="en-AU"/>
              </w:rPr>
              <w:t>Cost</w:t>
            </w:r>
          </w:p>
        </w:tc>
        <w:tc>
          <w:tcPr>
            <w:tcW w:w="907" w:type="dxa"/>
            <w:tcBorders>
              <w:top w:val="single" w:sz="6" w:space="0" w:color="auto"/>
              <w:left w:val="nil"/>
              <w:right w:val="nil"/>
            </w:tcBorders>
          </w:tcPr>
          <w:p w:rsidR="00A53D7D" w:rsidRPr="00B2174E" w:rsidRDefault="00A53D7D" w:rsidP="005140B4">
            <w:pPr>
              <w:pStyle w:val="OGUoM"/>
              <w:rPr>
                <w:i/>
                <w:iCs/>
                <w:color w:val="000000"/>
                <w:lang w:eastAsia="en-AU"/>
              </w:rPr>
            </w:pPr>
          </w:p>
        </w:tc>
        <w:tc>
          <w:tcPr>
            <w:tcW w:w="907" w:type="dxa"/>
            <w:tcBorders>
              <w:top w:val="single" w:sz="6" w:space="0" w:color="auto"/>
              <w:left w:val="nil"/>
              <w:right w:val="nil"/>
            </w:tcBorders>
            <w:shd w:val="clear" w:color="auto" w:fill="D9D9D9"/>
          </w:tcPr>
          <w:p w:rsidR="00A53D7D" w:rsidRPr="00B2174E" w:rsidRDefault="00A53D7D" w:rsidP="005140B4">
            <w:pPr>
              <w:pStyle w:val="OGTableofFigures"/>
              <w:rPr>
                <w:i/>
                <w:iCs/>
                <w:color w:val="000000"/>
                <w:lang w:eastAsia="en-AU"/>
              </w:rPr>
            </w:pPr>
            <w:r w:rsidRPr="00B2174E">
              <w:rPr>
                <w:i/>
                <w:iCs/>
                <w:color w:val="000000"/>
                <w:lang w:eastAsia="en-AU"/>
              </w:rPr>
              <w:t> </w:t>
            </w:r>
          </w:p>
        </w:tc>
        <w:tc>
          <w:tcPr>
            <w:tcW w:w="993" w:type="dxa"/>
            <w:tcBorders>
              <w:top w:val="single" w:sz="6" w:space="0" w:color="auto"/>
              <w:left w:val="nil"/>
              <w:right w:val="nil"/>
            </w:tcBorders>
          </w:tcPr>
          <w:p w:rsidR="00A53D7D" w:rsidRPr="00B2174E" w:rsidRDefault="00A53D7D" w:rsidP="005140B4">
            <w:pPr>
              <w:pStyle w:val="OGTableofFigures"/>
              <w:rPr>
                <w:i/>
                <w:iCs/>
                <w:color w:val="000000"/>
                <w:lang w:eastAsia="en-AU"/>
              </w:rPr>
            </w:pPr>
          </w:p>
        </w:tc>
        <w:tc>
          <w:tcPr>
            <w:tcW w:w="907" w:type="dxa"/>
            <w:tcBorders>
              <w:top w:val="single" w:sz="6" w:space="0" w:color="auto"/>
              <w:left w:val="nil"/>
              <w:right w:val="nil"/>
            </w:tcBorders>
          </w:tcPr>
          <w:p w:rsidR="00A53D7D" w:rsidRPr="00B2174E" w:rsidRDefault="00A53D7D" w:rsidP="005140B4">
            <w:pPr>
              <w:pStyle w:val="OGTableofFigures"/>
              <w:rPr>
                <w:i/>
                <w:iCs/>
                <w:color w:val="000000"/>
                <w:lang w:eastAsia="en-AU"/>
              </w:rPr>
            </w:pPr>
          </w:p>
        </w:tc>
        <w:tc>
          <w:tcPr>
            <w:tcW w:w="907" w:type="dxa"/>
            <w:tcBorders>
              <w:top w:val="single" w:sz="6" w:space="0" w:color="auto"/>
              <w:left w:val="nil"/>
              <w:right w:val="nil"/>
            </w:tcBorders>
          </w:tcPr>
          <w:p w:rsidR="00A53D7D" w:rsidRPr="00B2174E" w:rsidRDefault="00A53D7D" w:rsidP="005140B4">
            <w:pPr>
              <w:pStyle w:val="OGTableofFigures"/>
              <w:rPr>
                <w:i/>
                <w:iCs/>
                <w:color w:val="000000"/>
                <w:lang w:eastAsia="en-AU"/>
              </w:rPr>
            </w:pPr>
          </w:p>
        </w:tc>
      </w:tr>
      <w:tr w:rsidR="00A53D7D" w:rsidRPr="00A475B8" w:rsidTr="005140B4">
        <w:trPr>
          <w:cantSplit/>
        </w:trPr>
        <w:tc>
          <w:tcPr>
            <w:tcW w:w="3155" w:type="dxa"/>
            <w:tcBorders>
              <w:top w:val="nil"/>
              <w:left w:val="nil"/>
              <w:bottom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Total output cost</w:t>
            </w:r>
          </w:p>
        </w:tc>
        <w:tc>
          <w:tcPr>
            <w:tcW w:w="907" w:type="dxa"/>
            <w:tcBorders>
              <w:top w:val="nil"/>
              <w:left w:val="nil"/>
              <w:bottom w:val="nil"/>
              <w:right w:val="nil"/>
            </w:tcBorders>
          </w:tcPr>
          <w:p w:rsidR="00A53D7D" w:rsidRPr="00B2174E" w:rsidRDefault="00A53D7D" w:rsidP="005140B4">
            <w:pPr>
              <w:pStyle w:val="OGUoM"/>
              <w:rPr>
                <w:color w:val="000000"/>
                <w:lang w:eastAsia="en-AU"/>
              </w:rPr>
            </w:pPr>
            <w:r w:rsidRPr="00B2174E">
              <w:rPr>
                <w:color w:val="000000"/>
                <w:lang w:eastAsia="en-AU"/>
              </w:rPr>
              <w:t>$ million</w:t>
            </w:r>
          </w:p>
        </w:tc>
        <w:tc>
          <w:tcPr>
            <w:tcW w:w="907" w:type="dxa"/>
            <w:tcBorders>
              <w:top w:val="nil"/>
              <w:left w:val="nil"/>
              <w:bottom w:val="nil"/>
              <w:right w:val="nil"/>
            </w:tcBorders>
            <w:shd w:val="clear" w:color="auto" w:fill="D9D9D9"/>
          </w:tcPr>
          <w:p w:rsidR="00A53D7D" w:rsidRPr="00B2174E" w:rsidRDefault="00A53D7D" w:rsidP="005140B4">
            <w:pPr>
              <w:pStyle w:val="OGTableofFigures"/>
              <w:rPr>
                <w:lang w:eastAsia="en-AU"/>
              </w:rPr>
            </w:pPr>
            <w:r>
              <w:rPr>
                <w:lang w:eastAsia="en-AU"/>
              </w:rPr>
              <w:t>153.3</w:t>
            </w:r>
          </w:p>
        </w:tc>
        <w:tc>
          <w:tcPr>
            <w:tcW w:w="993" w:type="dxa"/>
            <w:tcBorders>
              <w:top w:val="nil"/>
              <w:left w:val="nil"/>
              <w:bottom w:val="nil"/>
              <w:right w:val="nil"/>
            </w:tcBorders>
          </w:tcPr>
          <w:p w:rsidR="00A53D7D" w:rsidRPr="00B2174E" w:rsidRDefault="00A53D7D" w:rsidP="005140B4">
            <w:pPr>
              <w:pStyle w:val="OGTableofFigures"/>
              <w:rPr>
                <w:color w:val="000000"/>
                <w:lang w:eastAsia="en-AU"/>
              </w:rPr>
            </w:pPr>
            <w:r>
              <w:rPr>
                <w:color w:val="000000"/>
                <w:lang w:eastAsia="en-AU"/>
              </w:rPr>
              <w:t>121.4</w:t>
            </w:r>
          </w:p>
        </w:tc>
        <w:tc>
          <w:tcPr>
            <w:tcW w:w="907" w:type="dxa"/>
            <w:tcBorders>
              <w:top w:val="nil"/>
              <w:left w:val="nil"/>
              <w:bottom w:val="nil"/>
              <w:right w:val="nil"/>
            </w:tcBorders>
          </w:tcPr>
          <w:p w:rsidR="00A53D7D" w:rsidRPr="00B2174E" w:rsidRDefault="00A53D7D" w:rsidP="005140B4">
            <w:pPr>
              <w:pStyle w:val="OGTableofFigures"/>
              <w:rPr>
                <w:color w:val="000000"/>
                <w:lang w:eastAsia="en-AU"/>
              </w:rPr>
            </w:pPr>
            <w:r>
              <w:rPr>
                <w:color w:val="000000"/>
                <w:lang w:eastAsia="en-AU"/>
              </w:rPr>
              <w:t>128.3</w:t>
            </w:r>
          </w:p>
        </w:tc>
        <w:tc>
          <w:tcPr>
            <w:tcW w:w="907" w:type="dxa"/>
            <w:tcBorders>
              <w:top w:val="nil"/>
              <w:left w:val="nil"/>
              <w:bottom w:val="nil"/>
              <w:right w:val="nil"/>
            </w:tcBorders>
          </w:tcPr>
          <w:p w:rsidR="00A53D7D" w:rsidRPr="00B2174E" w:rsidRDefault="00A53D7D" w:rsidP="005140B4">
            <w:pPr>
              <w:pStyle w:val="OGTableofFigures"/>
              <w:rPr>
                <w:color w:val="000000"/>
                <w:lang w:eastAsia="en-AU"/>
              </w:rPr>
            </w:pPr>
            <w:r w:rsidRPr="00B2174E">
              <w:rPr>
                <w:color w:val="000000"/>
                <w:lang w:eastAsia="en-AU"/>
              </w:rPr>
              <w:t>114.3</w:t>
            </w:r>
          </w:p>
        </w:tc>
      </w:tr>
      <w:tr w:rsidR="00A53D7D" w:rsidRPr="00A475B8" w:rsidTr="005140B4">
        <w:trPr>
          <w:cantSplit/>
        </w:trPr>
        <w:tc>
          <w:tcPr>
            <w:tcW w:w="7776" w:type="dxa"/>
            <w:gridSpan w:val="6"/>
            <w:tcBorders>
              <w:top w:val="nil"/>
              <w:left w:val="nil"/>
              <w:bottom w:val="single" w:sz="12" w:space="0" w:color="auto"/>
              <w:right w:val="nil"/>
            </w:tcBorders>
            <w:vAlign w:val="center"/>
          </w:tcPr>
          <w:p w:rsidR="00A53D7D" w:rsidRPr="002C3B15" w:rsidRDefault="00A53D7D" w:rsidP="005140B4">
            <w:pPr>
              <w:pStyle w:val="OGNotes"/>
              <w:rPr>
                <w:color w:val="000000"/>
                <w:sz w:val="20"/>
                <w:szCs w:val="18"/>
              </w:rPr>
            </w:pPr>
            <w:r w:rsidRPr="003B380F">
              <w:t>The 2014</w:t>
            </w:r>
            <w:r>
              <w:noBreakHyphen/>
            </w:r>
            <w:r w:rsidRPr="003B380F">
              <w:t xml:space="preserve">15 target </w:t>
            </w:r>
            <w:r>
              <w:t>reflects additional funding for adult parole system reforms and previous budget initiatives</w:t>
            </w:r>
            <w:r w:rsidRPr="003B380F">
              <w:t>.</w:t>
            </w:r>
          </w:p>
        </w:tc>
      </w:tr>
    </w:tbl>
    <w:bookmarkEnd w:id="116"/>
    <w:p w:rsidR="00A53D7D" w:rsidRDefault="00A53D7D" w:rsidP="005140B4">
      <w:pPr>
        <w:pStyle w:val="Source"/>
      </w:pPr>
      <w:r>
        <w:t>Source: Department of Justice</w:t>
      </w:r>
      <w:r>
        <w:fldChar w:fldCharType="begin"/>
      </w:r>
      <w:r>
        <w:instrText xml:space="preserve"> XE "</w:instrText>
      </w:r>
      <w:r w:rsidRPr="00D07798">
        <w:rPr>
          <w:lang w:eastAsia="en-AU"/>
        </w:rPr>
        <w:instrText>Department of Justice</w:instrText>
      </w:r>
      <w:r w:rsidRPr="00D07798">
        <w:instrText>:Enforcing and Managing Correctional Orders</w:instrText>
      </w:r>
      <w:r>
        <w:instrText xml:space="preserve">" \r "BP3DOJEnforcCorrectOrders" </w:instrText>
      </w:r>
      <w:r>
        <w:fldChar w:fldCharType="end"/>
      </w:r>
      <w:r>
        <w:fldChar w:fldCharType="begin"/>
      </w:r>
      <w:r>
        <w:instrText xml:space="preserve"> XE "</w:instrText>
      </w:r>
      <w:r w:rsidRPr="00DE7ED7">
        <w:rPr>
          <w:lang w:eastAsia="en-AU"/>
        </w:rPr>
        <w:instrText>Law</w:instrText>
      </w:r>
      <w:r w:rsidRPr="00DE7ED7">
        <w:instrText>:Enforcing and Managing Correctional Orders</w:instrText>
      </w:r>
      <w:r>
        <w:instrText xml:space="preserve">" \r "BP3DOJEnforcCorrectOrders" </w:instrText>
      </w:r>
      <w:r>
        <w:fldChar w:fldCharType="end"/>
      </w:r>
    </w:p>
    <w:p w:rsidR="00A53D7D" w:rsidRPr="00A475B8" w:rsidRDefault="00A53D7D" w:rsidP="005140B4">
      <w:pPr>
        <w:pStyle w:val="OGHeading1"/>
        <w:rPr>
          <w:lang w:val="x-none" w:eastAsia="en-AU"/>
        </w:rPr>
      </w:pPr>
      <w:r w:rsidRPr="00A475B8">
        <w:rPr>
          <w:color w:val="000000"/>
        </w:rPr>
        <w:br w:type="page"/>
      </w:r>
      <w:bookmarkStart w:id="117" w:name="BP3DOJSuppStateFireEmergency"/>
      <w:r w:rsidRPr="00A475B8">
        <w:rPr>
          <w:lang w:val="x-none" w:eastAsia="en-AU"/>
        </w:rPr>
        <w:t>Supporting the State’s Fire and Emergency Services</w:t>
      </w:r>
    </w:p>
    <w:p w:rsidR="00A53D7D" w:rsidRPr="00070BDE" w:rsidRDefault="00A53D7D" w:rsidP="005140B4">
      <w:pPr>
        <w:pStyle w:val="OGText"/>
        <w:rPr>
          <w:lang w:eastAsia="en-AU"/>
        </w:rPr>
      </w:pPr>
      <w:r w:rsidRPr="00070BDE">
        <w:rPr>
          <w:lang w:eastAsia="en-AU"/>
        </w:rPr>
        <w:t>This output group supports the delivery of a coordinated, all</w:t>
      </w:r>
      <w:r>
        <w:rPr>
          <w:lang w:eastAsia="en-AU"/>
        </w:rPr>
        <w:noBreakHyphen/>
      </w:r>
      <w:r w:rsidRPr="00070BDE">
        <w:rPr>
          <w:lang w:eastAsia="en-AU"/>
        </w:rPr>
        <w:t>hazards approach to emergency management, focusing on risk mitigation and active partnership with the Victorian community.</w:t>
      </w:r>
    </w:p>
    <w:p w:rsidR="00A53D7D" w:rsidRPr="00070BDE" w:rsidRDefault="00A53D7D" w:rsidP="005140B4">
      <w:pPr>
        <w:pStyle w:val="OGText"/>
        <w:rPr>
          <w:lang w:eastAsia="en-AU"/>
        </w:rPr>
      </w:pPr>
      <w:r w:rsidRPr="00070BDE">
        <w:rPr>
          <w:lang w:eastAsia="en-AU"/>
        </w:rPr>
        <w:t>This output group contributes to the Department’s objective of minimising injury and property loss through a coordinated and integrated emergency response.</w:t>
      </w:r>
    </w:p>
    <w:tbl>
      <w:tblPr>
        <w:tblW w:w="7776" w:type="dxa"/>
        <w:tblInd w:w="29" w:type="dxa"/>
        <w:tblLayout w:type="fixed"/>
        <w:tblCellMar>
          <w:left w:w="43" w:type="dxa"/>
          <w:right w:w="43" w:type="dxa"/>
        </w:tblCellMar>
        <w:tblLook w:val="00A0" w:firstRow="1" w:lastRow="0" w:firstColumn="1" w:lastColumn="0" w:noHBand="0" w:noVBand="0"/>
      </w:tblPr>
      <w:tblGrid>
        <w:gridCol w:w="3155"/>
        <w:gridCol w:w="907"/>
        <w:gridCol w:w="907"/>
        <w:gridCol w:w="993"/>
        <w:gridCol w:w="907"/>
        <w:gridCol w:w="907"/>
      </w:tblGrid>
      <w:tr w:rsidR="00A53D7D" w:rsidRPr="00A475B8" w:rsidTr="005140B4">
        <w:trPr>
          <w:cantSplit/>
          <w:tblHeader/>
        </w:trPr>
        <w:tc>
          <w:tcPr>
            <w:tcW w:w="3155" w:type="dxa"/>
            <w:tcBorders>
              <w:top w:val="single" w:sz="4" w:space="0" w:color="auto"/>
              <w:left w:val="single" w:sz="4" w:space="0" w:color="auto"/>
              <w:right w:val="nil"/>
            </w:tcBorders>
            <w:shd w:val="clear" w:color="auto" w:fill="000000"/>
            <w:vAlign w:val="bottom"/>
          </w:tcPr>
          <w:p w:rsidR="00A53D7D" w:rsidRPr="00EC2CB7" w:rsidRDefault="00A53D7D" w:rsidP="005140B4">
            <w:pPr>
              <w:pStyle w:val="OGTabColLeft"/>
              <w:rPr>
                <w:i/>
                <w:color w:val="FFFFFF"/>
              </w:rPr>
            </w:pPr>
            <w:r w:rsidRPr="00EC2CB7">
              <w:rPr>
                <w:color w:val="FFFFFF"/>
              </w:rPr>
              <w:t>Major Outputs/Deliverables</w:t>
            </w:r>
            <w:r w:rsidRPr="00EC2CB7">
              <w:rPr>
                <w:color w:val="FFFFFF"/>
              </w:rPr>
              <w:br/>
            </w:r>
            <w:r w:rsidRPr="00EC2CB7">
              <w:rPr>
                <w:b w:val="0"/>
                <w:i/>
                <w:color w:val="FFFFFF"/>
              </w:rPr>
              <w:t>Performance measures</w:t>
            </w:r>
          </w:p>
        </w:tc>
        <w:tc>
          <w:tcPr>
            <w:tcW w:w="907" w:type="dxa"/>
            <w:tcBorders>
              <w:top w:val="single" w:sz="4" w:space="0" w:color="auto"/>
              <w:left w:val="nil"/>
              <w:right w:val="nil"/>
            </w:tcBorders>
            <w:shd w:val="clear" w:color="auto" w:fill="000000"/>
            <w:noWrap/>
            <w:vAlign w:val="bottom"/>
          </w:tcPr>
          <w:p w:rsidR="00A53D7D" w:rsidRPr="003E0A6C" w:rsidRDefault="00A53D7D" w:rsidP="005140B4">
            <w:pPr>
              <w:pStyle w:val="Tabletextheadingcentred"/>
            </w:pPr>
            <w:r w:rsidRPr="003E0A6C">
              <w:t xml:space="preserve">Unit of </w:t>
            </w:r>
            <w:r w:rsidRPr="003E0A6C">
              <w:br/>
            </w:r>
            <w:r>
              <w:t>m</w:t>
            </w:r>
            <w:r w:rsidRPr="003E0A6C">
              <w:t>easure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2014</w:t>
            </w:r>
            <w:r>
              <w:noBreakHyphen/>
              <w:t>15</w:t>
            </w:r>
            <w:r w:rsidRPr="00EC2CB7">
              <w:t xml:space="preserve"> Target</w:t>
            </w:r>
          </w:p>
        </w:tc>
        <w:tc>
          <w:tcPr>
            <w:tcW w:w="993"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Expected Outcome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Target</w:t>
            </w:r>
          </w:p>
        </w:tc>
        <w:tc>
          <w:tcPr>
            <w:tcW w:w="907" w:type="dxa"/>
            <w:tcBorders>
              <w:top w:val="single" w:sz="4" w:space="0" w:color="auto"/>
              <w:left w:val="nil"/>
              <w:right w:val="single" w:sz="4" w:space="0" w:color="auto"/>
            </w:tcBorders>
            <w:shd w:val="clear" w:color="auto" w:fill="000000"/>
            <w:noWrap/>
            <w:vAlign w:val="bottom"/>
          </w:tcPr>
          <w:p w:rsidR="00A53D7D" w:rsidRPr="00EC2CB7" w:rsidRDefault="00A53D7D" w:rsidP="005140B4">
            <w:pPr>
              <w:pStyle w:val="Tabletextheading"/>
            </w:pPr>
            <w:r w:rsidRPr="00EC2CB7">
              <w:t>2012</w:t>
            </w:r>
            <w:r>
              <w:noBreakHyphen/>
            </w:r>
            <w:r w:rsidRPr="00EC2CB7">
              <w:t>13 Actual</w:t>
            </w:r>
          </w:p>
        </w:tc>
      </w:tr>
      <w:tr w:rsidR="00A53D7D" w:rsidRPr="00A475B8" w:rsidTr="005140B4">
        <w:trPr>
          <w:cantSplit/>
          <w:trHeight w:val="444"/>
        </w:trPr>
        <w:tc>
          <w:tcPr>
            <w:tcW w:w="7776" w:type="dxa"/>
            <w:gridSpan w:val="6"/>
            <w:tcBorders>
              <w:top w:val="nil"/>
              <w:left w:val="nil"/>
              <w:right w:val="nil"/>
            </w:tcBorders>
            <w:vAlign w:val="center"/>
          </w:tcPr>
          <w:p w:rsidR="00A53D7D" w:rsidRPr="00EC2CB7" w:rsidRDefault="00A53D7D" w:rsidP="005140B4">
            <w:pPr>
              <w:pStyle w:val="OGHeading2"/>
              <w:rPr>
                <w:bCs/>
                <w:color w:val="000000"/>
                <w:lang w:eastAsia="en-AU"/>
              </w:rPr>
            </w:pPr>
            <w:r w:rsidRPr="00EC2CB7">
              <w:rPr>
                <w:color w:val="000000"/>
                <w:lang w:eastAsia="en-AU"/>
              </w:rPr>
              <w:t>Emergency Management Capability</w:t>
            </w:r>
          </w:p>
        </w:tc>
      </w:tr>
      <w:tr w:rsidR="00A53D7D" w:rsidRPr="00A475B8" w:rsidTr="005140B4">
        <w:trPr>
          <w:cantSplit/>
          <w:trHeight w:val="1785"/>
        </w:trPr>
        <w:tc>
          <w:tcPr>
            <w:tcW w:w="7776" w:type="dxa"/>
            <w:gridSpan w:val="6"/>
            <w:tcBorders>
              <w:top w:val="nil"/>
              <w:left w:val="nil"/>
              <w:bottom w:val="single" w:sz="6" w:space="0" w:color="auto"/>
              <w:right w:val="nil"/>
            </w:tcBorders>
            <w:vAlign w:val="center"/>
          </w:tcPr>
          <w:p w:rsidR="00A53D7D" w:rsidRPr="007B0527" w:rsidRDefault="00A53D7D" w:rsidP="005140B4">
            <w:pPr>
              <w:pStyle w:val="OGText"/>
              <w:rPr>
                <w:lang w:eastAsia="en-AU"/>
              </w:rPr>
            </w:pPr>
            <w:r w:rsidRPr="007B0527">
              <w:rPr>
                <w:lang w:eastAsia="en-AU"/>
              </w:rPr>
              <w:t>This output provides for the management of emergencies by developing and adopting emergency prevention and mitigation strategies, providing fire suppression and road</w:t>
            </w:r>
            <w:r>
              <w:rPr>
                <w:lang w:eastAsia="en-AU"/>
              </w:rPr>
              <w:t xml:space="preserve"> </w:t>
            </w:r>
            <w:r w:rsidRPr="007B0527">
              <w:rPr>
                <w:lang w:eastAsia="en-AU"/>
              </w:rPr>
              <w:t xml:space="preserve">crash rescue services and supporting local government and communities in disaster mitigation and recovery. </w:t>
            </w:r>
          </w:p>
          <w:p w:rsidR="00A53D7D" w:rsidRPr="007B0527" w:rsidRDefault="00A53D7D" w:rsidP="005140B4">
            <w:pPr>
              <w:pStyle w:val="OGText"/>
              <w:rPr>
                <w:lang w:eastAsia="en-AU"/>
              </w:rPr>
            </w:pPr>
            <w:r w:rsidRPr="007B0527">
              <w:rPr>
                <w:lang w:eastAsia="en-AU"/>
              </w:rPr>
              <w:t>Key components of this output reduce the level of risk to the community of emergencies occurring and the adverse effects of emergency events, such as death and injury rates.</w:t>
            </w:r>
          </w:p>
        </w:tc>
      </w:tr>
      <w:tr w:rsidR="00A53D7D" w:rsidRPr="00A475B8" w:rsidTr="005140B4">
        <w:trPr>
          <w:cantSplit/>
        </w:trPr>
        <w:tc>
          <w:tcPr>
            <w:tcW w:w="3155" w:type="dxa"/>
            <w:tcBorders>
              <w:top w:val="single" w:sz="6" w:space="0" w:color="auto"/>
              <w:left w:val="nil"/>
              <w:right w:val="nil"/>
            </w:tcBorders>
            <w:vAlign w:val="center"/>
          </w:tcPr>
          <w:p w:rsidR="00A53D7D" w:rsidRPr="00A475B8" w:rsidRDefault="00A53D7D" w:rsidP="005140B4">
            <w:pPr>
              <w:pStyle w:val="OGTabHead"/>
              <w:rPr>
                <w:color w:val="000000"/>
                <w:lang w:eastAsia="en-AU"/>
              </w:rPr>
            </w:pPr>
            <w:r w:rsidRPr="00A475B8">
              <w:rPr>
                <w:iCs/>
                <w:color w:val="000000"/>
                <w:lang w:eastAsia="en-AU"/>
              </w:rPr>
              <w:t>Quantity</w:t>
            </w:r>
          </w:p>
        </w:tc>
        <w:tc>
          <w:tcPr>
            <w:tcW w:w="907" w:type="dxa"/>
            <w:tcBorders>
              <w:top w:val="single" w:sz="6" w:space="0" w:color="auto"/>
              <w:left w:val="nil"/>
              <w:right w:val="nil"/>
            </w:tcBorders>
            <w:vAlign w:val="center"/>
          </w:tcPr>
          <w:p w:rsidR="00A53D7D" w:rsidRPr="003E0A6C" w:rsidRDefault="00A53D7D" w:rsidP="005140B4">
            <w:pPr>
              <w:pStyle w:val="OGUoM"/>
              <w:rPr>
                <w:color w:val="000000"/>
                <w:lang w:eastAsia="en-AU"/>
              </w:rPr>
            </w:pPr>
          </w:p>
        </w:tc>
        <w:tc>
          <w:tcPr>
            <w:tcW w:w="907" w:type="dxa"/>
            <w:tcBorders>
              <w:top w:val="single" w:sz="6" w:space="0" w:color="auto"/>
              <w:left w:val="nil"/>
              <w:right w:val="nil"/>
            </w:tcBorders>
            <w:shd w:val="clear" w:color="auto" w:fill="D9D9D9"/>
            <w:vAlign w:val="center"/>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left w:val="nil"/>
              <w:right w:val="nil"/>
            </w:tcBorders>
            <w:vAlign w:val="center"/>
          </w:tcPr>
          <w:p w:rsidR="00A53D7D" w:rsidRPr="00EC2CB7" w:rsidRDefault="00A53D7D" w:rsidP="005140B4">
            <w:pPr>
              <w:pStyle w:val="OGTableofFigures"/>
              <w:rPr>
                <w:color w:val="000000"/>
                <w:lang w:eastAsia="en-AU"/>
              </w:rPr>
            </w:pPr>
          </w:p>
        </w:tc>
        <w:tc>
          <w:tcPr>
            <w:tcW w:w="907" w:type="dxa"/>
            <w:tcBorders>
              <w:top w:val="single" w:sz="6" w:space="0" w:color="auto"/>
              <w:left w:val="nil"/>
              <w:right w:val="nil"/>
            </w:tcBorders>
            <w:vAlign w:val="center"/>
          </w:tcPr>
          <w:p w:rsidR="00A53D7D" w:rsidRPr="00EC2CB7" w:rsidRDefault="00A53D7D" w:rsidP="005140B4">
            <w:pPr>
              <w:pStyle w:val="OGTableofFigures"/>
              <w:rPr>
                <w:color w:val="000000"/>
                <w:lang w:eastAsia="en-AU"/>
              </w:rPr>
            </w:pPr>
          </w:p>
        </w:tc>
        <w:tc>
          <w:tcPr>
            <w:tcW w:w="907" w:type="dxa"/>
            <w:tcBorders>
              <w:top w:val="single" w:sz="6" w:space="0" w:color="auto"/>
              <w:left w:val="nil"/>
              <w:right w:val="nil"/>
            </w:tcBorders>
            <w:vAlign w:val="center"/>
          </w:tcPr>
          <w:p w:rsidR="00A53D7D" w:rsidRPr="00EC2CB7" w:rsidRDefault="00A53D7D" w:rsidP="005140B4">
            <w:pPr>
              <w:pStyle w:val="OGTableofFigures"/>
              <w:rPr>
                <w:color w:val="000000"/>
                <w:lang w:eastAsia="en-AU"/>
              </w:rPr>
            </w:pPr>
          </w:p>
        </w:tc>
      </w:tr>
      <w:tr w:rsidR="00A53D7D" w:rsidRPr="00070BDE" w:rsidTr="005140B4">
        <w:trPr>
          <w:cantSplit/>
        </w:trPr>
        <w:tc>
          <w:tcPr>
            <w:tcW w:w="3155" w:type="dxa"/>
            <w:tcBorders>
              <w:left w:val="nil"/>
              <w:right w:val="nil"/>
            </w:tcBorders>
          </w:tcPr>
          <w:p w:rsidR="00A53D7D" w:rsidRPr="007B0527" w:rsidRDefault="00A53D7D" w:rsidP="005140B4">
            <w:pPr>
              <w:pStyle w:val="OGTabText"/>
              <w:rPr>
                <w:color w:val="000000"/>
                <w:lang w:eastAsia="en-AU"/>
              </w:rPr>
            </w:pPr>
            <w:r w:rsidRPr="007B0527">
              <w:rPr>
                <w:color w:val="000000"/>
                <w:lang w:eastAsia="en-AU"/>
              </w:rPr>
              <w:t>Permanent operational staff</w:t>
            </w:r>
          </w:p>
        </w:tc>
        <w:tc>
          <w:tcPr>
            <w:tcW w:w="907" w:type="dxa"/>
            <w:tcBorders>
              <w:left w:val="nil"/>
              <w:right w:val="nil"/>
            </w:tcBorders>
          </w:tcPr>
          <w:p w:rsidR="00A53D7D" w:rsidRPr="007B0527" w:rsidRDefault="00A53D7D" w:rsidP="005140B4">
            <w:pPr>
              <w:pStyle w:val="OGUoM"/>
              <w:rPr>
                <w:color w:val="000000"/>
                <w:lang w:eastAsia="en-AU"/>
              </w:rPr>
            </w:pPr>
            <w:r w:rsidRPr="007B0527">
              <w:rPr>
                <w:color w:val="000000"/>
                <w:lang w:eastAsia="en-AU"/>
              </w:rPr>
              <w:t>number</w:t>
            </w:r>
          </w:p>
        </w:tc>
        <w:tc>
          <w:tcPr>
            <w:tcW w:w="907" w:type="dxa"/>
            <w:tcBorders>
              <w:left w:val="nil"/>
              <w:right w:val="nil"/>
            </w:tcBorders>
            <w:shd w:val="clear" w:color="auto" w:fill="D9D9D9"/>
          </w:tcPr>
          <w:p w:rsidR="00A53D7D" w:rsidRPr="007B0527" w:rsidRDefault="00A53D7D" w:rsidP="005140B4">
            <w:pPr>
              <w:pStyle w:val="OGTableofFigures"/>
              <w:rPr>
                <w:color w:val="000000"/>
                <w:lang w:eastAsia="en-AU"/>
              </w:rPr>
            </w:pPr>
            <w:r>
              <w:rPr>
                <w:color w:val="000000"/>
                <w:lang w:eastAsia="en-AU"/>
              </w:rPr>
              <w:t>2 </w:t>
            </w:r>
            <w:r w:rsidRPr="007B0527">
              <w:rPr>
                <w:color w:val="000000"/>
                <w:lang w:eastAsia="en-AU"/>
              </w:rPr>
              <w:t>833</w:t>
            </w:r>
          </w:p>
        </w:tc>
        <w:tc>
          <w:tcPr>
            <w:tcW w:w="993" w:type="dxa"/>
            <w:tcBorders>
              <w:left w:val="nil"/>
              <w:right w:val="nil"/>
            </w:tcBorders>
          </w:tcPr>
          <w:p w:rsidR="00A53D7D" w:rsidRPr="008C4A78" w:rsidRDefault="00A53D7D" w:rsidP="005140B4">
            <w:pPr>
              <w:pStyle w:val="OGTableofFigures"/>
              <w:rPr>
                <w:color w:val="000000"/>
                <w:lang w:eastAsia="en-AU"/>
              </w:rPr>
            </w:pPr>
            <w:r w:rsidRPr="008C4A78">
              <w:rPr>
                <w:color w:val="000000"/>
                <w:lang w:eastAsia="en-AU"/>
              </w:rPr>
              <w:t>2</w:t>
            </w:r>
            <w:r>
              <w:rPr>
                <w:color w:val="000000"/>
                <w:lang w:eastAsia="en-AU"/>
              </w:rPr>
              <w:t> </w:t>
            </w:r>
            <w:r w:rsidRPr="008C4A78">
              <w:rPr>
                <w:color w:val="000000"/>
                <w:lang w:eastAsia="en-AU"/>
              </w:rPr>
              <w:t>769</w:t>
            </w:r>
          </w:p>
        </w:tc>
        <w:tc>
          <w:tcPr>
            <w:tcW w:w="907" w:type="dxa"/>
            <w:tcBorders>
              <w:left w:val="nil"/>
              <w:right w:val="nil"/>
            </w:tcBorders>
          </w:tcPr>
          <w:p w:rsidR="00A53D7D" w:rsidRPr="008C4A78" w:rsidRDefault="00A53D7D" w:rsidP="005140B4">
            <w:pPr>
              <w:pStyle w:val="OGTableofFigures"/>
              <w:rPr>
                <w:color w:val="000000"/>
                <w:lang w:eastAsia="en-AU"/>
              </w:rPr>
            </w:pPr>
            <w:r w:rsidRPr="008C4A78">
              <w:rPr>
                <w:color w:val="000000"/>
                <w:lang w:eastAsia="en-AU"/>
              </w:rPr>
              <w:t>2</w:t>
            </w:r>
            <w:r>
              <w:rPr>
                <w:color w:val="000000"/>
                <w:lang w:eastAsia="en-AU"/>
              </w:rPr>
              <w:t> </w:t>
            </w:r>
            <w:r w:rsidRPr="008C4A78">
              <w:rPr>
                <w:color w:val="000000"/>
                <w:lang w:eastAsia="en-AU"/>
              </w:rPr>
              <w:t>732</w:t>
            </w:r>
          </w:p>
        </w:tc>
        <w:tc>
          <w:tcPr>
            <w:tcW w:w="907" w:type="dxa"/>
            <w:tcBorders>
              <w:left w:val="nil"/>
              <w:right w:val="nil"/>
            </w:tcBorders>
          </w:tcPr>
          <w:p w:rsidR="00A53D7D" w:rsidRPr="00070BDE" w:rsidRDefault="00A53D7D" w:rsidP="005140B4">
            <w:pPr>
              <w:pStyle w:val="OGTableofFigures"/>
              <w:rPr>
                <w:color w:val="000000"/>
                <w:lang w:eastAsia="en-AU"/>
              </w:rPr>
            </w:pPr>
            <w:r>
              <w:rPr>
                <w:color w:val="000000"/>
                <w:lang w:eastAsia="en-AU"/>
              </w:rPr>
              <w:t>2 </w:t>
            </w:r>
            <w:r w:rsidRPr="00070BDE">
              <w:rPr>
                <w:color w:val="000000"/>
                <w:lang w:eastAsia="en-AU"/>
              </w:rPr>
              <w:t>733</w:t>
            </w:r>
          </w:p>
        </w:tc>
      </w:tr>
      <w:tr w:rsidR="00A53D7D" w:rsidRPr="00A475B8" w:rsidTr="005140B4">
        <w:trPr>
          <w:cantSplit/>
        </w:trPr>
        <w:tc>
          <w:tcPr>
            <w:tcW w:w="7776" w:type="dxa"/>
            <w:gridSpan w:val="6"/>
            <w:tcBorders>
              <w:top w:val="nil"/>
              <w:left w:val="nil"/>
              <w:bottom w:val="single" w:sz="6" w:space="0" w:color="auto"/>
              <w:right w:val="nil"/>
            </w:tcBorders>
            <w:vAlign w:val="center"/>
          </w:tcPr>
          <w:p w:rsidR="00A53D7D" w:rsidRPr="007B0527" w:rsidRDefault="00A53D7D" w:rsidP="005140B4">
            <w:pPr>
              <w:pStyle w:val="OGNotes"/>
              <w:rPr>
                <w:strike/>
                <w:szCs w:val="15"/>
                <w:highlight w:val="magenta"/>
              </w:rPr>
            </w:pPr>
            <w:r w:rsidRPr="003B3B21">
              <w:t>The higher 2014</w:t>
            </w:r>
            <w:r>
              <w:noBreakHyphen/>
            </w:r>
            <w:r w:rsidRPr="003B3B21">
              <w:t>15</w:t>
            </w:r>
            <w:r>
              <w:t xml:space="preserve"> target</w:t>
            </w:r>
            <w:r w:rsidRPr="003B3B21">
              <w:t xml:space="preserve"> </w:t>
            </w:r>
            <w:r>
              <w:t>reflects</w:t>
            </w:r>
            <w:r w:rsidRPr="003B3B21">
              <w:t xml:space="preserve"> additional fire fighter recruitment at the Country Fire Authority through </w:t>
            </w:r>
            <w:r>
              <w:t xml:space="preserve">the implementation of </w:t>
            </w:r>
            <w:r w:rsidRPr="00A60A24">
              <w:t xml:space="preserve">a new service delivery and support model </w:t>
            </w:r>
            <w:r>
              <w:t xml:space="preserve">including </w:t>
            </w:r>
            <w:r w:rsidRPr="003B3B21">
              <w:t>the phased introduction of 342 new operational positions over the life of the project.</w:t>
            </w:r>
          </w:p>
        </w:tc>
      </w:tr>
      <w:tr w:rsidR="00A53D7D" w:rsidRPr="00A475B8" w:rsidTr="005140B4">
        <w:trPr>
          <w:cantSplit/>
        </w:trPr>
        <w:tc>
          <w:tcPr>
            <w:tcW w:w="3155" w:type="dxa"/>
            <w:tcBorders>
              <w:top w:val="single" w:sz="6" w:space="0" w:color="auto"/>
              <w:left w:val="nil"/>
              <w:right w:val="nil"/>
            </w:tcBorders>
          </w:tcPr>
          <w:p w:rsidR="00A53D7D" w:rsidRPr="00F17ABC" w:rsidRDefault="00A53D7D" w:rsidP="005140B4">
            <w:pPr>
              <w:pStyle w:val="OGTabText"/>
              <w:rPr>
                <w:color w:val="000000"/>
                <w:lang w:eastAsia="en-AU"/>
              </w:rPr>
            </w:pPr>
            <w:r w:rsidRPr="00F17ABC">
              <w:rPr>
                <w:color w:val="000000"/>
                <w:lang w:eastAsia="en-AU"/>
              </w:rPr>
              <w:t>Permanent support staff</w:t>
            </w:r>
          </w:p>
        </w:tc>
        <w:tc>
          <w:tcPr>
            <w:tcW w:w="907" w:type="dxa"/>
            <w:tcBorders>
              <w:top w:val="single" w:sz="6" w:space="0" w:color="auto"/>
              <w:left w:val="nil"/>
              <w:right w:val="nil"/>
            </w:tcBorders>
          </w:tcPr>
          <w:p w:rsidR="00A53D7D" w:rsidRPr="00F17ABC" w:rsidRDefault="00A53D7D" w:rsidP="005140B4">
            <w:pPr>
              <w:pStyle w:val="OGUoM"/>
              <w:rPr>
                <w:color w:val="000000"/>
                <w:lang w:eastAsia="en-AU"/>
              </w:rPr>
            </w:pPr>
            <w:r w:rsidRPr="00F17ABC">
              <w:rPr>
                <w:color w:val="000000"/>
                <w:lang w:eastAsia="en-AU"/>
              </w:rPr>
              <w:t>number</w:t>
            </w:r>
          </w:p>
        </w:tc>
        <w:tc>
          <w:tcPr>
            <w:tcW w:w="907" w:type="dxa"/>
            <w:tcBorders>
              <w:top w:val="single" w:sz="6" w:space="0" w:color="auto"/>
              <w:left w:val="nil"/>
              <w:right w:val="nil"/>
            </w:tcBorders>
            <w:shd w:val="clear" w:color="auto" w:fill="D9D9D9"/>
          </w:tcPr>
          <w:p w:rsidR="00A53D7D" w:rsidRPr="00EA1F02" w:rsidRDefault="00A53D7D" w:rsidP="005140B4">
            <w:pPr>
              <w:pStyle w:val="OGTableofFigures"/>
              <w:rPr>
                <w:color w:val="000000"/>
                <w:lang w:eastAsia="en-AU"/>
              </w:rPr>
            </w:pPr>
            <w:r>
              <w:rPr>
                <w:color w:val="000000"/>
                <w:lang w:eastAsia="en-AU"/>
              </w:rPr>
              <w:t>1 </w:t>
            </w:r>
            <w:r w:rsidRPr="00507A52">
              <w:rPr>
                <w:color w:val="000000"/>
                <w:lang w:eastAsia="en-AU"/>
              </w:rPr>
              <w:t>385</w:t>
            </w:r>
          </w:p>
        </w:tc>
        <w:tc>
          <w:tcPr>
            <w:tcW w:w="993" w:type="dxa"/>
            <w:tcBorders>
              <w:top w:val="single" w:sz="6" w:space="0" w:color="auto"/>
              <w:left w:val="nil"/>
              <w:right w:val="nil"/>
            </w:tcBorders>
          </w:tcPr>
          <w:p w:rsidR="00A53D7D" w:rsidRPr="00382E76" w:rsidRDefault="00A53D7D" w:rsidP="005140B4">
            <w:pPr>
              <w:pStyle w:val="OGTableofFigures"/>
              <w:rPr>
                <w:color w:val="000000"/>
                <w:lang w:eastAsia="en-AU"/>
              </w:rPr>
            </w:pPr>
            <w:r>
              <w:rPr>
                <w:color w:val="000000"/>
                <w:lang w:eastAsia="en-AU"/>
              </w:rPr>
              <w:t>1 </w:t>
            </w:r>
            <w:r w:rsidRPr="00EA1F02">
              <w:rPr>
                <w:color w:val="000000"/>
                <w:lang w:eastAsia="en-AU"/>
              </w:rPr>
              <w:t>477</w:t>
            </w:r>
          </w:p>
        </w:tc>
        <w:tc>
          <w:tcPr>
            <w:tcW w:w="907" w:type="dxa"/>
            <w:tcBorders>
              <w:top w:val="single" w:sz="6" w:space="0" w:color="auto"/>
              <w:left w:val="nil"/>
              <w:right w:val="nil"/>
            </w:tcBorders>
          </w:tcPr>
          <w:p w:rsidR="00A53D7D" w:rsidRPr="00F17ABC" w:rsidRDefault="00A53D7D" w:rsidP="005140B4">
            <w:pPr>
              <w:pStyle w:val="OGTableofFigures"/>
              <w:rPr>
                <w:color w:val="000000"/>
                <w:lang w:eastAsia="en-AU"/>
              </w:rPr>
            </w:pPr>
            <w:r>
              <w:rPr>
                <w:color w:val="000000"/>
                <w:lang w:eastAsia="en-AU"/>
              </w:rPr>
              <w:t>1 </w:t>
            </w:r>
            <w:r w:rsidRPr="00382E76">
              <w:rPr>
                <w:color w:val="000000"/>
                <w:lang w:eastAsia="en-AU"/>
              </w:rPr>
              <w:t>430</w:t>
            </w:r>
          </w:p>
        </w:tc>
        <w:tc>
          <w:tcPr>
            <w:tcW w:w="907" w:type="dxa"/>
            <w:tcBorders>
              <w:top w:val="single" w:sz="6" w:space="0" w:color="auto"/>
              <w:left w:val="nil"/>
              <w:right w:val="nil"/>
            </w:tcBorders>
          </w:tcPr>
          <w:p w:rsidR="00A53D7D" w:rsidRPr="00F17ABC" w:rsidRDefault="00A53D7D" w:rsidP="005140B4">
            <w:pPr>
              <w:pStyle w:val="OGTableofFigures"/>
              <w:rPr>
                <w:color w:val="000000"/>
                <w:lang w:eastAsia="en-AU"/>
              </w:rPr>
            </w:pPr>
            <w:r>
              <w:rPr>
                <w:color w:val="000000"/>
                <w:lang w:eastAsia="en-AU"/>
              </w:rPr>
              <w:t>1 </w:t>
            </w:r>
            <w:r w:rsidRPr="00F17ABC">
              <w:rPr>
                <w:color w:val="000000"/>
                <w:lang w:eastAsia="en-AU"/>
              </w:rPr>
              <w:t>524</w:t>
            </w:r>
          </w:p>
        </w:tc>
      </w:tr>
      <w:tr w:rsidR="00A53D7D" w:rsidRPr="00A475B8" w:rsidTr="005140B4">
        <w:trPr>
          <w:cantSplit/>
        </w:trPr>
        <w:tc>
          <w:tcPr>
            <w:tcW w:w="7776" w:type="dxa"/>
            <w:gridSpan w:val="6"/>
            <w:tcBorders>
              <w:top w:val="nil"/>
              <w:left w:val="nil"/>
              <w:bottom w:val="single" w:sz="6" w:space="0" w:color="auto"/>
              <w:right w:val="nil"/>
            </w:tcBorders>
            <w:vAlign w:val="center"/>
          </w:tcPr>
          <w:p w:rsidR="00A53D7D" w:rsidRPr="00F17ABC" w:rsidRDefault="00A53D7D" w:rsidP="005140B4">
            <w:pPr>
              <w:pStyle w:val="OGNotes"/>
              <w:rPr>
                <w:strike/>
              </w:rPr>
            </w:pPr>
            <w:r w:rsidRPr="00F17ABC">
              <w:t xml:space="preserve">The </w:t>
            </w:r>
            <w:r>
              <w:t xml:space="preserve">lower </w:t>
            </w:r>
            <w:r w:rsidRPr="00F17ABC">
              <w:t>2014</w:t>
            </w:r>
            <w:r>
              <w:noBreakHyphen/>
            </w:r>
            <w:r w:rsidRPr="00F17ABC">
              <w:t xml:space="preserve">15 </w:t>
            </w:r>
            <w:r>
              <w:t>t</w:t>
            </w:r>
            <w:r w:rsidRPr="00F17ABC">
              <w:t xml:space="preserve">arget </w:t>
            </w:r>
            <w:r>
              <w:t xml:space="preserve">reflects the </w:t>
            </w:r>
            <w:r w:rsidRPr="00F17ABC">
              <w:t xml:space="preserve">Country Fire Authority </w:t>
            </w:r>
            <w:r>
              <w:t>implementation of</w:t>
            </w:r>
            <w:r w:rsidRPr="00F17ABC">
              <w:t xml:space="preserve"> </w:t>
            </w:r>
            <w:r>
              <w:t xml:space="preserve">a new </w:t>
            </w:r>
            <w:r w:rsidRPr="00F17ABC">
              <w:t xml:space="preserve">service delivery and support model. </w:t>
            </w:r>
          </w:p>
        </w:tc>
      </w:tr>
      <w:tr w:rsidR="00A53D7D" w:rsidRPr="00A475B8" w:rsidTr="005140B4">
        <w:trPr>
          <w:cantSplit/>
        </w:trPr>
        <w:tc>
          <w:tcPr>
            <w:tcW w:w="3155" w:type="dxa"/>
            <w:tcBorders>
              <w:top w:val="single" w:sz="6" w:space="0" w:color="auto"/>
              <w:left w:val="nil"/>
              <w:bottom w:val="single" w:sz="6" w:space="0" w:color="auto"/>
              <w:right w:val="nil"/>
            </w:tcBorders>
          </w:tcPr>
          <w:p w:rsidR="00A53D7D" w:rsidRPr="00F17ABC" w:rsidRDefault="00A53D7D" w:rsidP="005140B4">
            <w:pPr>
              <w:pStyle w:val="OGTabText"/>
              <w:rPr>
                <w:color w:val="000000"/>
                <w:lang w:eastAsia="en-AU"/>
              </w:rPr>
            </w:pPr>
            <w:r w:rsidRPr="00F17ABC">
              <w:rPr>
                <w:color w:val="000000"/>
                <w:lang w:eastAsia="en-AU"/>
              </w:rPr>
              <w:t>Volunteers – Operational</w:t>
            </w:r>
          </w:p>
        </w:tc>
        <w:tc>
          <w:tcPr>
            <w:tcW w:w="907" w:type="dxa"/>
            <w:tcBorders>
              <w:top w:val="single" w:sz="6" w:space="0" w:color="auto"/>
              <w:left w:val="nil"/>
              <w:bottom w:val="single" w:sz="6" w:space="0" w:color="auto"/>
              <w:right w:val="nil"/>
            </w:tcBorders>
          </w:tcPr>
          <w:p w:rsidR="00A53D7D" w:rsidRPr="00F17ABC" w:rsidRDefault="00A53D7D" w:rsidP="005140B4">
            <w:pPr>
              <w:pStyle w:val="OGUoM"/>
              <w:rPr>
                <w:color w:val="000000"/>
                <w:lang w:eastAsia="en-AU"/>
              </w:rPr>
            </w:pPr>
            <w:r w:rsidRPr="00F17ABC">
              <w:rPr>
                <w:color w:val="000000"/>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EA1F02" w:rsidRDefault="00A53D7D" w:rsidP="005140B4">
            <w:pPr>
              <w:pStyle w:val="OGTableofFigures"/>
              <w:rPr>
                <w:color w:val="000000"/>
                <w:lang w:eastAsia="en-AU"/>
              </w:rPr>
            </w:pPr>
            <w:r w:rsidRPr="00507A52">
              <w:rPr>
                <w:color w:val="000000"/>
                <w:lang w:eastAsia="en-AU"/>
              </w:rPr>
              <w:t>4</w:t>
            </w:r>
            <w:r>
              <w:rPr>
                <w:color w:val="000000"/>
                <w:lang w:eastAsia="en-AU"/>
              </w:rPr>
              <w:t>3 </w:t>
            </w:r>
            <w:r w:rsidRPr="00507A52">
              <w:rPr>
                <w:color w:val="000000"/>
                <w:lang w:eastAsia="en-AU"/>
              </w:rPr>
              <w:t>000</w:t>
            </w:r>
            <w:r>
              <w:rPr>
                <w:color w:val="000000"/>
                <w:lang w:eastAsia="en-AU"/>
              </w:rPr>
              <w:t>– 44 </w:t>
            </w:r>
            <w:r w:rsidRPr="00EA1F02">
              <w:rPr>
                <w:color w:val="000000"/>
                <w:lang w:eastAsia="en-AU"/>
              </w:rPr>
              <w:t>000</w:t>
            </w:r>
          </w:p>
        </w:tc>
        <w:tc>
          <w:tcPr>
            <w:tcW w:w="993" w:type="dxa"/>
            <w:tcBorders>
              <w:top w:val="single" w:sz="6" w:space="0" w:color="auto"/>
              <w:left w:val="nil"/>
              <w:bottom w:val="single" w:sz="6" w:space="0" w:color="auto"/>
              <w:right w:val="nil"/>
            </w:tcBorders>
          </w:tcPr>
          <w:p w:rsidR="00A53D7D" w:rsidRPr="00F17ABC" w:rsidRDefault="00A53D7D" w:rsidP="005140B4">
            <w:pPr>
              <w:pStyle w:val="OGTableofFigures"/>
              <w:rPr>
                <w:color w:val="000000"/>
                <w:lang w:eastAsia="en-AU"/>
              </w:rPr>
            </w:pPr>
            <w:r>
              <w:rPr>
                <w:color w:val="000000"/>
                <w:lang w:eastAsia="en-AU"/>
              </w:rPr>
              <w:t>41 </w:t>
            </w:r>
            <w:r w:rsidRPr="00382E76">
              <w:rPr>
                <w:color w:val="000000"/>
                <w:lang w:eastAsia="en-AU"/>
              </w:rPr>
              <w:t>535</w:t>
            </w:r>
            <w:r w:rsidRPr="00382E76">
              <w:rPr>
                <w:color w:val="000000"/>
                <w:lang w:eastAsia="en-AU"/>
              </w:rPr>
              <w:br/>
            </w:r>
          </w:p>
        </w:tc>
        <w:tc>
          <w:tcPr>
            <w:tcW w:w="907" w:type="dxa"/>
            <w:tcBorders>
              <w:top w:val="single" w:sz="6" w:space="0" w:color="auto"/>
              <w:left w:val="nil"/>
              <w:bottom w:val="single" w:sz="6" w:space="0" w:color="auto"/>
              <w:right w:val="nil"/>
            </w:tcBorders>
          </w:tcPr>
          <w:p w:rsidR="00A53D7D" w:rsidRPr="00F17ABC" w:rsidRDefault="00A53D7D" w:rsidP="005140B4">
            <w:pPr>
              <w:pStyle w:val="OGTableofFigures"/>
              <w:rPr>
                <w:color w:val="000000"/>
                <w:lang w:eastAsia="en-AU"/>
              </w:rPr>
            </w:pPr>
            <w:r>
              <w:rPr>
                <w:color w:val="000000"/>
                <w:lang w:eastAsia="en-AU"/>
              </w:rPr>
              <w:t>43 000– 44 </w:t>
            </w:r>
            <w:r w:rsidRPr="00F17ABC">
              <w:rPr>
                <w:color w:val="000000"/>
                <w:lang w:eastAsia="en-AU"/>
              </w:rPr>
              <w:t>000</w:t>
            </w:r>
          </w:p>
        </w:tc>
        <w:tc>
          <w:tcPr>
            <w:tcW w:w="907" w:type="dxa"/>
            <w:tcBorders>
              <w:top w:val="single" w:sz="6" w:space="0" w:color="auto"/>
              <w:left w:val="nil"/>
              <w:bottom w:val="single" w:sz="6" w:space="0" w:color="auto"/>
              <w:right w:val="nil"/>
            </w:tcBorders>
          </w:tcPr>
          <w:p w:rsidR="00A53D7D" w:rsidRPr="00F17ABC" w:rsidRDefault="00A53D7D" w:rsidP="005140B4">
            <w:pPr>
              <w:pStyle w:val="OGTableofFigures"/>
              <w:rPr>
                <w:color w:val="000000"/>
                <w:lang w:eastAsia="en-AU"/>
              </w:rPr>
            </w:pPr>
            <w:r>
              <w:rPr>
                <w:color w:val="000000"/>
                <w:lang w:eastAsia="en-AU"/>
              </w:rPr>
              <w:t>41 </w:t>
            </w:r>
            <w:r w:rsidRPr="00F17ABC">
              <w:rPr>
                <w:color w:val="000000"/>
                <w:lang w:eastAsia="en-AU"/>
              </w:rPr>
              <w:t>416</w:t>
            </w:r>
          </w:p>
        </w:tc>
      </w:tr>
      <w:tr w:rsidR="00A53D7D" w:rsidRPr="003665C7" w:rsidTr="005140B4">
        <w:trPr>
          <w:cantSplit/>
          <w:trHeight w:val="443"/>
        </w:trPr>
        <w:tc>
          <w:tcPr>
            <w:tcW w:w="3155" w:type="dxa"/>
            <w:tcBorders>
              <w:top w:val="single" w:sz="6" w:space="0" w:color="auto"/>
              <w:left w:val="nil"/>
              <w:right w:val="nil"/>
            </w:tcBorders>
          </w:tcPr>
          <w:p w:rsidR="00A53D7D" w:rsidRPr="00F17ABC" w:rsidRDefault="00A53D7D" w:rsidP="005140B4">
            <w:pPr>
              <w:pStyle w:val="OGTabText"/>
              <w:rPr>
                <w:color w:val="000000"/>
                <w:lang w:eastAsia="en-AU"/>
              </w:rPr>
            </w:pPr>
            <w:r w:rsidRPr="00F17ABC">
              <w:rPr>
                <w:color w:val="000000"/>
                <w:lang w:eastAsia="en-AU"/>
              </w:rPr>
              <w:t>Volunteers – Support</w:t>
            </w:r>
          </w:p>
        </w:tc>
        <w:tc>
          <w:tcPr>
            <w:tcW w:w="907" w:type="dxa"/>
            <w:tcBorders>
              <w:top w:val="single" w:sz="6" w:space="0" w:color="auto"/>
              <w:left w:val="nil"/>
              <w:right w:val="nil"/>
            </w:tcBorders>
          </w:tcPr>
          <w:p w:rsidR="00A53D7D" w:rsidRPr="00F17ABC" w:rsidRDefault="00A53D7D" w:rsidP="005140B4">
            <w:pPr>
              <w:pStyle w:val="OGUoM"/>
              <w:rPr>
                <w:color w:val="000000"/>
                <w:lang w:eastAsia="en-AU"/>
              </w:rPr>
            </w:pPr>
            <w:r w:rsidRPr="00F17ABC">
              <w:rPr>
                <w:color w:val="000000"/>
                <w:lang w:eastAsia="en-AU"/>
              </w:rPr>
              <w:t>number</w:t>
            </w:r>
          </w:p>
        </w:tc>
        <w:tc>
          <w:tcPr>
            <w:tcW w:w="907" w:type="dxa"/>
            <w:tcBorders>
              <w:top w:val="single" w:sz="6" w:space="0" w:color="auto"/>
              <w:left w:val="nil"/>
              <w:right w:val="nil"/>
            </w:tcBorders>
            <w:shd w:val="clear" w:color="auto" w:fill="D9D9D9"/>
          </w:tcPr>
          <w:p w:rsidR="00A53D7D" w:rsidRPr="00EA1F02" w:rsidRDefault="00A53D7D" w:rsidP="005140B4">
            <w:pPr>
              <w:pStyle w:val="OGTableofFigures"/>
              <w:rPr>
                <w:color w:val="000000"/>
                <w:lang w:eastAsia="en-AU"/>
              </w:rPr>
            </w:pPr>
            <w:r>
              <w:rPr>
                <w:color w:val="000000"/>
                <w:lang w:eastAsia="en-AU"/>
              </w:rPr>
              <w:t>18 </w:t>
            </w:r>
            <w:r w:rsidRPr="00507A52">
              <w:rPr>
                <w:color w:val="000000"/>
                <w:lang w:eastAsia="en-AU"/>
              </w:rPr>
              <w:t>000– 19</w:t>
            </w:r>
            <w:r>
              <w:rPr>
                <w:color w:val="000000"/>
                <w:lang w:eastAsia="en-AU"/>
              </w:rPr>
              <w:t> </w:t>
            </w:r>
            <w:r w:rsidRPr="00507A52">
              <w:rPr>
                <w:color w:val="000000"/>
                <w:lang w:eastAsia="en-AU"/>
              </w:rPr>
              <w:t>000</w:t>
            </w:r>
          </w:p>
        </w:tc>
        <w:tc>
          <w:tcPr>
            <w:tcW w:w="993" w:type="dxa"/>
            <w:tcBorders>
              <w:top w:val="single" w:sz="6" w:space="0" w:color="auto"/>
              <w:left w:val="nil"/>
              <w:right w:val="nil"/>
            </w:tcBorders>
          </w:tcPr>
          <w:p w:rsidR="00A53D7D" w:rsidRPr="00382E76" w:rsidRDefault="00A53D7D" w:rsidP="005140B4">
            <w:pPr>
              <w:pStyle w:val="OGTableofFigures"/>
              <w:rPr>
                <w:color w:val="000000"/>
                <w:lang w:eastAsia="en-AU"/>
              </w:rPr>
            </w:pPr>
            <w:r w:rsidRPr="00EA1F02">
              <w:rPr>
                <w:color w:val="000000"/>
                <w:lang w:eastAsia="en-AU"/>
              </w:rPr>
              <w:t>19</w:t>
            </w:r>
            <w:r>
              <w:rPr>
                <w:color w:val="000000"/>
                <w:lang w:eastAsia="en-AU"/>
              </w:rPr>
              <w:t> </w:t>
            </w:r>
            <w:r w:rsidRPr="00EA1F02">
              <w:rPr>
                <w:color w:val="000000"/>
                <w:lang w:eastAsia="en-AU"/>
              </w:rPr>
              <w:t>528</w:t>
            </w:r>
          </w:p>
        </w:tc>
        <w:tc>
          <w:tcPr>
            <w:tcW w:w="907" w:type="dxa"/>
            <w:tcBorders>
              <w:top w:val="single" w:sz="6" w:space="0" w:color="auto"/>
              <w:left w:val="nil"/>
              <w:right w:val="nil"/>
            </w:tcBorders>
          </w:tcPr>
          <w:p w:rsidR="00A53D7D" w:rsidRPr="00F17ABC" w:rsidRDefault="00A53D7D" w:rsidP="005140B4">
            <w:pPr>
              <w:pStyle w:val="OGTableofFigures"/>
              <w:rPr>
                <w:color w:val="000000"/>
                <w:lang w:eastAsia="en-AU"/>
              </w:rPr>
            </w:pPr>
            <w:r w:rsidRPr="00F17ABC">
              <w:rPr>
                <w:color w:val="000000"/>
                <w:lang w:eastAsia="en-AU"/>
              </w:rPr>
              <w:t>18 000</w:t>
            </w:r>
          </w:p>
        </w:tc>
        <w:tc>
          <w:tcPr>
            <w:tcW w:w="907" w:type="dxa"/>
            <w:tcBorders>
              <w:top w:val="single" w:sz="6" w:space="0" w:color="auto"/>
              <w:left w:val="nil"/>
              <w:right w:val="nil"/>
            </w:tcBorders>
          </w:tcPr>
          <w:p w:rsidR="00A53D7D" w:rsidRPr="00F17ABC" w:rsidRDefault="00A53D7D" w:rsidP="005140B4">
            <w:pPr>
              <w:pStyle w:val="OGTableofFigures"/>
              <w:rPr>
                <w:color w:val="000000"/>
                <w:lang w:eastAsia="en-AU"/>
              </w:rPr>
            </w:pPr>
            <w:r>
              <w:rPr>
                <w:color w:val="000000"/>
                <w:lang w:eastAsia="en-AU"/>
              </w:rPr>
              <w:t>17 </w:t>
            </w:r>
            <w:r w:rsidRPr="00F17ABC">
              <w:rPr>
                <w:color w:val="000000"/>
                <w:lang w:eastAsia="en-AU"/>
              </w:rPr>
              <w:t>312</w:t>
            </w:r>
          </w:p>
        </w:tc>
      </w:tr>
      <w:tr w:rsidR="00A53D7D" w:rsidRPr="003665C7" w:rsidTr="005140B4">
        <w:trPr>
          <w:cantSplit/>
        </w:trPr>
        <w:tc>
          <w:tcPr>
            <w:tcW w:w="7776" w:type="dxa"/>
            <w:gridSpan w:val="6"/>
            <w:tcBorders>
              <w:top w:val="nil"/>
              <w:left w:val="nil"/>
              <w:bottom w:val="single" w:sz="6" w:space="0" w:color="auto"/>
              <w:right w:val="nil"/>
            </w:tcBorders>
            <w:vAlign w:val="center"/>
          </w:tcPr>
          <w:p w:rsidR="00A53D7D" w:rsidRPr="00382E76" w:rsidRDefault="00A53D7D" w:rsidP="005140B4">
            <w:pPr>
              <w:pStyle w:val="OGNotes"/>
            </w:pPr>
            <w:r w:rsidRPr="00F17ABC">
              <w:t>The 2013</w:t>
            </w:r>
            <w:r>
              <w:noBreakHyphen/>
            </w:r>
            <w:r w:rsidRPr="00F17ABC">
              <w:t>14 expected outcome is higher than the 2013</w:t>
            </w:r>
            <w:r>
              <w:noBreakHyphen/>
            </w:r>
            <w:r w:rsidRPr="00F17ABC">
              <w:t>14 target due to the fluctuations inherent in</w:t>
            </w:r>
            <w:r w:rsidRPr="00507A52">
              <w:t xml:space="preserve"> volunteer</w:t>
            </w:r>
            <w:r w:rsidRPr="00EA1F02">
              <w:t xml:space="preserve"> numbers. </w:t>
            </w:r>
            <w:r w:rsidRPr="00F17ABC">
              <w:t>The 2014</w:t>
            </w:r>
            <w:r>
              <w:noBreakHyphen/>
            </w:r>
            <w:r w:rsidRPr="00F17ABC">
              <w:t>15 target range has been widened to account for the historical fluctuation in numbers of volunteers.</w:t>
            </w:r>
          </w:p>
        </w:tc>
      </w:tr>
      <w:tr w:rsidR="00A53D7D" w:rsidRPr="006C4613" w:rsidTr="005140B4">
        <w:trPr>
          <w:cantSplit/>
        </w:trPr>
        <w:tc>
          <w:tcPr>
            <w:tcW w:w="3155" w:type="dxa"/>
            <w:tcBorders>
              <w:top w:val="single" w:sz="6" w:space="0" w:color="auto"/>
              <w:left w:val="nil"/>
              <w:right w:val="nil"/>
            </w:tcBorders>
            <w:vAlign w:val="center"/>
          </w:tcPr>
          <w:p w:rsidR="00A53D7D" w:rsidRPr="006C4613" w:rsidRDefault="00A53D7D" w:rsidP="005140B4">
            <w:pPr>
              <w:pStyle w:val="OGTabHead"/>
              <w:rPr>
                <w:color w:val="000000"/>
                <w:lang w:eastAsia="en-AU"/>
              </w:rPr>
            </w:pPr>
            <w:r w:rsidRPr="006C4613">
              <w:rPr>
                <w:iCs/>
                <w:color w:val="000000"/>
                <w:lang w:eastAsia="en-AU"/>
              </w:rPr>
              <w:t>Quality</w:t>
            </w:r>
          </w:p>
        </w:tc>
        <w:tc>
          <w:tcPr>
            <w:tcW w:w="907" w:type="dxa"/>
            <w:tcBorders>
              <w:top w:val="single" w:sz="6" w:space="0" w:color="auto"/>
              <w:left w:val="nil"/>
              <w:right w:val="nil"/>
            </w:tcBorders>
          </w:tcPr>
          <w:p w:rsidR="00A53D7D" w:rsidRPr="006C4613" w:rsidRDefault="00A53D7D" w:rsidP="005140B4">
            <w:pPr>
              <w:pStyle w:val="OGUoM"/>
              <w:rPr>
                <w:color w:val="000000"/>
                <w:lang w:eastAsia="en-AU"/>
              </w:rPr>
            </w:pPr>
          </w:p>
        </w:tc>
        <w:tc>
          <w:tcPr>
            <w:tcW w:w="907" w:type="dxa"/>
            <w:tcBorders>
              <w:top w:val="single" w:sz="6" w:space="0" w:color="auto"/>
              <w:left w:val="nil"/>
              <w:right w:val="nil"/>
            </w:tcBorders>
            <w:shd w:val="clear" w:color="auto" w:fill="D9D9D9"/>
          </w:tcPr>
          <w:p w:rsidR="00A53D7D" w:rsidRPr="006C4613" w:rsidRDefault="00A53D7D" w:rsidP="005140B4">
            <w:pPr>
              <w:pStyle w:val="OGTableofFigures"/>
              <w:rPr>
                <w:color w:val="000000"/>
                <w:lang w:eastAsia="en-AU"/>
              </w:rPr>
            </w:pPr>
            <w:r w:rsidRPr="006C4613">
              <w:rPr>
                <w:color w:val="000000"/>
                <w:lang w:eastAsia="en-AU"/>
              </w:rPr>
              <w:t> </w:t>
            </w:r>
          </w:p>
        </w:tc>
        <w:tc>
          <w:tcPr>
            <w:tcW w:w="993" w:type="dxa"/>
            <w:tcBorders>
              <w:top w:val="single" w:sz="6" w:space="0" w:color="auto"/>
              <w:left w:val="nil"/>
              <w:right w:val="nil"/>
            </w:tcBorders>
          </w:tcPr>
          <w:p w:rsidR="00A53D7D" w:rsidRPr="006C4613" w:rsidRDefault="00A53D7D" w:rsidP="005140B4">
            <w:pPr>
              <w:pStyle w:val="OGTableofFigures"/>
              <w:rPr>
                <w:color w:val="000000"/>
                <w:lang w:eastAsia="en-AU"/>
              </w:rPr>
            </w:pPr>
            <w:r w:rsidRPr="006C4613">
              <w:rPr>
                <w:color w:val="000000"/>
                <w:lang w:eastAsia="en-AU"/>
              </w:rPr>
              <w:t> </w:t>
            </w:r>
          </w:p>
        </w:tc>
        <w:tc>
          <w:tcPr>
            <w:tcW w:w="907" w:type="dxa"/>
            <w:tcBorders>
              <w:top w:val="single" w:sz="6" w:space="0" w:color="auto"/>
              <w:left w:val="nil"/>
              <w:right w:val="nil"/>
            </w:tcBorders>
          </w:tcPr>
          <w:p w:rsidR="00A53D7D" w:rsidRPr="006C4613" w:rsidRDefault="00A53D7D" w:rsidP="005140B4">
            <w:pPr>
              <w:pStyle w:val="OGTableofFigures"/>
              <w:rPr>
                <w:color w:val="000000"/>
                <w:lang w:eastAsia="en-AU"/>
              </w:rPr>
            </w:pPr>
            <w:r w:rsidRPr="006C4613">
              <w:rPr>
                <w:color w:val="000000"/>
                <w:lang w:eastAsia="en-AU"/>
              </w:rPr>
              <w:t> </w:t>
            </w:r>
          </w:p>
        </w:tc>
        <w:tc>
          <w:tcPr>
            <w:tcW w:w="907" w:type="dxa"/>
            <w:tcBorders>
              <w:top w:val="single" w:sz="6" w:space="0" w:color="auto"/>
              <w:left w:val="nil"/>
              <w:right w:val="nil"/>
            </w:tcBorders>
          </w:tcPr>
          <w:p w:rsidR="00A53D7D" w:rsidRPr="006C4613" w:rsidRDefault="00A53D7D" w:rsidP="005140B4">
            <w:pPr>
              <w:pStyle w:val="OGTableofFigures"/>
              <w:rPr>
                <w:color w:val="000000"/>
                <w:lang w:eastAsia="en-AU"/>
              </w:rPr>
            </w:pPr>
            <w:r w:rsidRPr="006C4613">
              <w:rPr>
                <w:color w:val="000000"/>
                <w:lang w:eastAsia="en-AU"/>
              </w:rPr>
              <w:t> </w:t>
            </w:r>
          </w:p>
        </w:tc>
      </w:tr>
      <w:tr w:rsidR="00A53D7D" w:rsidRPr="00A475B8" w:rsidTr="005140B4">
        <w:trPr>
          <w:cantSplit/>
        </w:trPr>
        <w:tc>
          <w:tcPr>
            <w:tcW w:w="3155" w:type="dxa"/>
            <w:tcBorders>
              <w:top w:val="nil"/>
              <w:left w:val="nil"/>
              <w:bottom w:val="single" w:sz="6" w:space="0" w:color="auto"/>
              <w:right w:val="nil"/>
            </w:tcBorders>
          </w:tcPr>
          <w:p w:rsidR="00A53D7D" w:rsidRPr="006C4613" w:rsidRDefault="00A53D7D" w:rsidP="005140B4">
            <w:pPr>
              <w:pStyle w:val="OGTabText"/>
              <w:rPr>
                <w:color w:val="000000"/>
                <w:lang w:eastAsia="en-AU"/>
              </w:rPr>
            </w:pPr>
            <w:r w:rsidRPr="006C4613">
              <w:rPr>
                <w:color w:val="000000"/>
                <w:lang w:eastAsia="en-AU"/>
              </w:rPr>
              <w:t>Road–crash rescue accredited brigades/units</w:t>
            </w:r>
          </w:p>
        </w:tc>
        <w:tc>
          <w:tcPr>
            <w:tcW w:w="907" w:type="dxa"/>
            <w:tcBorders>
              <w:top w:val="nil"/>
              <w:left w:val="nil"/>
              <w:bottom w:val="single" w:sz="6" w:space="0" w:color="auto"/>
              <w:right w:val="nil"/>
            </w:tcBorders>
          </w:tcPr>
          <w:p w:rsidR="00A53D7D" w:rsidRPr="006C4613" w:rsidRDefault="00A53D7D" w:rsidP="005140B4">
            <w:pPr>
              <w:pStyle w:val="OGUoM"/>
              <w:rPr>
                <w:color w:val="000000"/>
                <w:lang w:eastAsia="en-AU"/>
              </w:rPr>
            </w:pPr>
            <w:r w:rsidRPr="006C4613">
              <w:rPr>
                <w:color w:val="000000"/>
                <w:lang w:eastAsia="en-AU"/>
              </w:rPr>
              <w:t>number</w:t>
            </w:r>
          </w:p>
        </w:tc>
        <w:tc>
          <w:tcPr>
            <w:tcW w:w="907" w:type="dxa"/>
            <w:tcBorders>
              <w:top w:val="nil"/>
              <w:left w:val="nil"/>
              <w:bottom w:val="single" w:sz="6" w:space="0" w:color="auto"/>
              <w:right w:val="nil"/>
            </w:tcBorders>
            <w:shd w:val="clear" w:color="auto" w:fill="D9D9D9"/>
          </w:tcPr>
          <w:p w:rsidR="00A53D7D" w:rsidRPr="006C4613" w:rsidRDefault="00A53D7D" w:rsidP="005140B4">
            <w:pPr>
              <w:pStyle w:val="OGTableofFigures"/>
              <w:rPr>
                <w:color w:val="000000"/>
                <w:lang w:eastAsia="en-AU"/>
              </w:rPr>
            </w:pPr>
            <w:r w:rsidRPr="006C4613">
              <w:rPr>
                <w:color w:val="000000"/>
                <w:lang w:eastAsia="en-AU"/>
              </w:rPr>
              <w:t>130</w:t>
            </w:r>
          </w:p>
        </w:tc>
        <w:tc>
          <w:tcPr>
            <w:tcW w:w="993" w:type="dxa"/>
            <w:tcBorders>
              <w:top w:val="nil"/>
              <w:left w:val="nil"/>
              <w:bottom w:val="single" w:sz="6" w:space="0" w:color="auto"/>
              <w:right w:val="nil"/>
            </w:tcBorders>
          </w:tcPr>
          <w:p w:rsidR="00A53D7D" w:rsidRPr="006C4613" w:rsidRDefault="00A53D7D" w:rsidP="005140B4">
            <w:pPr>
              <w:pStyle w:val="OGTableofFigures"/>
              <w:rPr>
                <w:color w:val="000000"/>
                <w:lang w:eastAsia="en-AU"/>
              </w:rPr>
            </w:pPr>
            <w:r w:rsidRPr="006C4613">
              <w:rPr>
                <w:color w:val="000000"/>
                <w:lang w:eastAsia="en-AU"/>
              </w:rPr>
              <w:t>130</w:t>
            </w:r>
          </w:p>
        </w:tc>
        <w:tc>
          <w:tcPr>
            <w:tcW w:w="907" w:type="dxa"/>
            <w:tcBorders>
              <w:top w:val="nil"/>
              <w:left w:val="nil"/>
              <w:bottom w:val="single" w:sz="6" w:space="0" w:color="auto"/>
              <w:right w:val="nil"/>
            </w:tcBorders>
          </w:tcPr>
          <w:p w:rsidR="00A53D7D" w:rsidRPr="006C4613" w:rsidRDefault="00A53D7D" w:rsidP="005140B4">
            <w:pPr>
              <w:pStyle w:val="OGTableofFigures"/>
              <w:rPr>
                <w:color w:val="000000"/>
                <w:lang w:eastAsia="en-AU"/>
              </w:rPr>
            </w:pPr>
            <w:r>
              <w:rPr>
                <w:color w:val="000000"/>
                <w:lang w:eastAsia="en-AU"/>
              </w:rPr>
              <w:t>130</w:t>
            </w:r>
          </w:p>
        </w:tc>
        <w:tc>
          <w:tcPr>
            <w:tcW w:w="907" w:type="dxa"/>
            <w:tcBorders>
              <w:top w:val="nil"/>
              <w:left w:val="nil"/>
              <w:bottom w:val="single" w:sz="6" w:space="0" w:color="auto"/>
              <w:right w:val="nil"/>
            </w:tcBorders>
          </w:tcPr>
          <w:p w:rsidR="00A53D7D" w:rsidRPr="006C4613" w:rsidRDefault="00A53D7D" w:rsidP="005140B4">
            <w:pPr>
              <w:pStyle w:val="OGTableofFigures"/>
              <w:rPr>
                <w:color w:val="000000"/>
                <w:lang w:eastAsia="en-AU"/>
              </w:rPr>
            </w:pPr>
            <w:r w:rsidRPr="006C4613">
              <w:rPr>
                <w:color w:val="000000"/>
                <w:lang w:eastAsia="en-AU"/>
              </w:rPr>
              <w:t>130</w:t>
            </w:r>
          </w:p>
        </w:tc>
      </w:tr>
      <w:tr w:rsidR="00A53D7D" w:rsidRPr="00A475B8" w:rsidTr="005140B4">
        <w:trPr>
          <w:cantSplit/>
        </w:trPr>
        <w:tc>
          <w:tcPr>
            <w:tcW w:w="3155" w:type="dxa"/>
            <w:tcBorders>
              <w:top w:val="single" w:sz="6" w:space="0" w:color="auto"/>
              <w:left w:val="nil"/>
              <w:right w:val="nil"/>
            </w:tcBorders>
          </w:tcPr>
          <w:p w:rsidR="00A53D7D" w:rsidRPr="006C4613" w:rsidRDefault="00A53D7D" w:rsidP="005140B4">
            <w:pPr>
              <w:pStyle w:val="OGTabText"/>
              <w:rPr>
                <w:color w:val="000000"/>
                <w:lang w:eastAsia="en-AU"/>
              </w:rPr>
            </w:pPr>
            <w:r w:rsidRPr="006C4613">
              <w:rPr>
                <w:color w:val="000000"/>
                <w:lang w:eastAsia="en-AU"/>
              </w:rPr>
              <w:t>Level 3 Incident Controller trained staff and volunteers</w:t>
            </w:r>
          </w:p>
        </w:tc>
        <w:tc>
          <w:tcPr>
            <w:tcW w:w="907" w:type="dxa"/>
            <w:tcBorders>
              <w:top w:val="single" w:sz="6" w:space="0" w:color="auto"/>
              <w:left w:val="nil"/>
              <w:right w:val="nil"/>
            </w:tcBorders>
          </w:tcPr>
          <w:p w:rsidR="00A53D7D" w:rsidRPr="006C4613" w:rsidRDefault="00A53D7D" w:rsidP="005140B4">
            <w:pPr>
              <w:pStyle w:val="OGUoM"/>
              <w:rPr>
                <w:color w:val="000000"/>
                <w:lang w:eastAsia="en-AU"/>
              </w:rPr>
            </w:pPr>
            <w:r w:rsidRPr="006C4613">
              <w:rPr>
                <w:color w:val="000000"/>
                <w:lang w:eastAsia="en-AU"/>
              </w:rPr>
              <w:t>number</w:t>
            </w:r>
          </w:p>
        </w:tc>
        <w:tc>
          <w:tcPr>
            <w:tcW w:w="907" w:type="dxa"/>
            <w:tcBorders>
              <w:top w:val="single" w:sz="6" w:space="0" w:color="auto"/>
              <w:left w:val="nil"/>
              <w:right w:val="nil"/>
            </w:tcBorders>
            <w:shd w:val="clear" w:color="auto" w:fill="D9D9D9"/>
          </w:tcPr>
          <w:p w:rsidR="00A53D7D" w:rsidRPr="006C4613" w:rsidRDefault="00A53D7D" w:rsidP="005140B4">
            <w:pPr>
              <w:pStyle w:val="OGTableofFigures"/>
              <w:rPr>
                <w:color w:val="000000"/>
                <w:lang w:eastAsia="en-AU"/>
              </w:rPr>
            </w:pPr>
            <w:r>
              <w:rPr>
                <w:color w:val="000000"/>
                <w:lang w:eastAsia="en-AU"/>
              </w:rPr>
              <w:t>129</w:t>
            </w:r>
          </w:p>
        </w:tc>
        <w:tc>
          <w:tcPr>
            <w:tcW w:w="993" w:type="dxa"/>
            <w:tcBorders>
              <w:top w:val="single" w:sz="6" w:space="0" w:color="auto"/>
              <w:left w:val="nil"/>
              <w:right w:val="nil"/>
            </w:tcBorders>
          </w:tcPr>
          <w:p w:rsidR="00A53D7D" w:rsidRPr="006C4613" w:rsidRDefault="00A53D7D" w:rsidP="005140B4">
            <w:pPr>
              <w:pStyle w:val="OGTableofFigures"/>
              <w:rPr>
                <w:color w:val="000000"/>
                <w:lang w:eastAsia="en-AU"/>
              </w:rPr>
            </w:pPr>
            <w:r>
              <w:rPr>
                <w:color w:val="000000"/>
                <w:lang w:eastAsia="en-AU"/>
              </w:rPr>
              <w:t>149</w:t>
            </w:r>
          </w:p>
        </w:tc>
        <w:tc>
          <w:tcPr>
            <w:tcW w:w="907" w:type="dxa"/>
            <w:tcBorders>
              <w:top w:val="single" w:sz="6" w:space="0" w:color="auto"/>
              <w:left w:val="nil"/>
              <w:right w:val="nil"/>
            </w:tcBorders>
          </w:tcPr>
          <w:p w:rsidR="00A53D7D" w:rsidRPr="006C4613" w:rsidRDefault="00A53D7D" w:rsidP="005140B4">
            <w:pPr>
              <w:pStyle w:val="OGTableofFigures"/>
              <w:rPr>
                <w:color w:val="000000"/>
                <w:lang w:eastAsia="en-AU"/>
              </w:rPr>
            </w:pPr>
            <w:r w:rsidRPr="006C4613">
              <w:rPr>
                <w:color w:val="000000"/>
                <w:lang w:eastAsia="en-AU"/>
              </w:rPr>
              <w:t>129</w:t>
            </w:r>
          </w:p>
        </w:tc>
        <w:tc>
          <w:tcPr>
            <w:tcW w:w="907" w:type="dxa"/>
            <w:tcBorders>
              <w:top w:val="single" w:sz="6" w:space="0" w:color="auto"/>
              <w:left w:val="nil"/>
              <w:right w:val="nil"/>
            </w:tcBorders>
          </w:tcPr>
          <w:p w:rsidR="00A53D7D" w:rsidRPr="006C4613" w:rsidRDefault="00A53D7D" w:rsidP="005140B4">
            <w:pPr>
              <w:pStyle w:val="OGTableofFigures"/>
              <w:rPr>
                <w:color w:val="000000"/>
                <w:lang w:eastAsia="en-AU"/>
              </w:rPr>
            </w:pPr>
            <w:r w:rsidRPr="006C4613">
              <w:rPr>
                <w:color w:val="000000"/>
                <w:lang w:eastAsia="en-AU"/>
              </w:rPr>
              <w:t>138</w:t>
            </w:r>
          </w:p>
        </w:tc>
      </w:tr>
      <w:tr w:rsidR="00A53D7D" w:rsidRPr="00A475B8" w:rsidTr="005140B4">
        <w:trPr>
          <w:cantSplit/>
        </w:trPr>
        <w:tc>
          <w:tcPr>
            <w:tcW w:w="7776" w:type="dxa"/>
            <w:gridSpan w:val="6"/>
            <w:tcBorders>
              <w:top w:val="nil"/>
              <w:left w:val="nil"/>
              <w:bottom w:val="single" w:sz="6" w:space="0" w:color="auto"/>
              <w:right w:val="nil"/>
            </w:tcBorders>
            <w:vAlign w:val="center"/>
          </w:tcPr>
          <w:p w:rsidR="00A53D7D" w:rsidRPr="006C4613" w:rsidRDefault="00A53D7D" w:rsidP="005140B4">
            <w:pPr>
              <w:pStyle w:val="OGNotes"/>
              <w:rPr>
                <w:strike/>
              </w:rPr>
            </w:pPr>
            <w:r w:rsidRPr="00B51B94">
              <w:rPr>
                <w:rFonts w:cs="Calibri"/>
              </w:rPr>
              <w:t>The</w:t>
            </w:r>
            <w:r>
              <w:rPr>
                <w:rFonts w:cs="Calibri"/>
              </w:rPr>
              <w:t xml:space="preserve"> 2013</w:t>
            </w:r>
            <w:r>
              <w:rPr>
                <w:rFonts w:cs="Calibri"/>
              </w:rPr>
              <w:noBreakHyphen/>
              <w:t xml:space="preserve">14 expected outcome </w:t>
            </w:r>
            <w:r w:rsidRPr="00B51B94">
              <w:rPr>
                <w:rFonts w:cs="Calibri"/>
              </w:rPr>
              <w:t xml:space="preserve">is </w:t>
            </w:r>
            <w:r>
              <w:rPr>
                <w:rFonts w:cs="Calibri"/>
              </w:rPr>
              <w:t xml:space="preserve">higher than </w:t>
            </w:r>
            <w:r w:rsidRPr="00B51B94">
              <w:rPr>
                <w:rFonts w:cs="Calibri"/>
              </w:rPr>
              <w:t xml:space="preserve">the </w:t>
            </w:r>
            <w:r>
              <w:rPr>
                <w:rFonts w:cs="Calibri"/>
              </w:rPr>
              <w:t>2013</w:t>
            </w:r>
            <w:r>
              <w:rPr>
                <w:rFonts w:cs="Calibri"/>
              </w:rPr>
              <w:noBreakHyphen/>
              <w:t>14 t</w:t>
            </w:r>
            <w:r w:rsidRPr="00B51B94">
              <w:rPr>
                <w:rFonts w:cs="Calibri"/>
              </w:rPr>
              <w:t>arget due to level 3 training and accreditation sessions being ahead of schedule.</w:t>
            </w:r>
          </w:p>
        </w:tc>
      </w:tr>
      <w:tr w:rsidR="00A53D7D" w:rsidRPr="0072134C" w:rsidTr="005140B4">
        <w:trPr>
          <w:cantSplit/>
        </w:trPr>
        <w:tc>
          <w:tcPr>
            <w:tcW w:w="3155" w:type="dxa"/>
            <w:tcBorders>
              <w:top w:val="single" w:sz="6" w:space="0" w:color="auto"/>
              <w:left w:val="nil"/>
              <w:bottom w:val="single" w:sz="6" w:space="0" w:color="auto"/>
              <w:right w:val="nil"/>
            </w:tcBorders>
          </w:tcPr>
          <w:p w:rsidR="00A53D7D" w:rsidRPr="006C4613" w:rsidRDefault="00A53D7D" w:rsidP="005140B4">
            <w:pPr>
              <w:pStyle w:val="OGTabText"/>
              <w:rPr>
                <w:color w:val="000000"/>
                <w:lang w:eastAsia="en-AU"/>
              </w:rPr>
            </w:pPr>
            <w:r w:rsidRPr="006C4613">
              <w:rPr>
                <w:color w:val="000000"/>
                <w:lang w:eastAsia="en-AU"/>
              </w:rPr>
              <w:t>Structural fire confined to room of origin</w:t>
            </w:r>
          </w:p>
        </w:tc>
        <w:tc>
          <w:tcPr>
            <w:tcW w:w="907" w:type="dxa"/>
            <w:tcBorders>
              <w:top w:val="single" w:sz="6" w:space="0" w:color="auto"/>
              <w:left w:val="nil"/>
              <w:bottom w:val="single" w:sz="6" w:space="0" w:color="auto"/>
              <w:right w:val="nil"/>
            </w:tcBorders>
          </w:tcPr>
          <w:p w:rsidR="00A53D7D" w:rsidRPr="006C4613" w:rsidRDefault="00A53D7D" w:rsidP="005140B4">
            <w:pPr>
              <w:pStyle w:val="OGUoM"/>
              <w:rPr>
                <w:color w:val="000000"/>
                <w:lang w:eastAsia="en-AU"/>
              </w:rPr>
            </w:pPr>
            <w:r w:rsidRPr="006C4613">
              <w:rPr>
                <w:color w:val="000000"/>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6C4613" w:rsidRDefault="00A53D7D" w:rsidP="005140B4">
            <w:pPr>
              <w:pStyle w:val="OGTableofFigures"/>
              <w:rPr>
                <w:color w:val="000000"/>
                <w:lang w:eastAsia="en-AU"/>
              </w:rPr>
            </w:pPr>
            <w:r w:rsidRPr="006C4613">
              <w:rPr>
                <w:color w:val="000000"/>
                <w:lang w:eastAsia="en-AU"/>
              </w:rPr>
              <w:t>80</w:t>
            </w:r>
          </w:p>
        </w:tc>
        <w:tc>
          <w:tcPr>
            <w:tcW w:w="993" w:type="dxa"/>
            <w:tcBorders>
              <w:top w:val="single" w:sz="6" w:space="0" w:color="auto"/>
              <w:left w:val="nil"/>
              <w:bottom w:val="single" w:sz="6" w:space="0" w:color="auto"/>
              <w:right w:val="nil"/>
            </w:tcBorders>
          </w:tcPr>
          <w:p w:rsidR="00A53D7D" w:rsidRPr="006C4613" w:rsidRDefault="00A53D7D" w:rsidP="005140B4">
            <w:pPr>
              <w:pStyle w:val="OGTableofFigures"/>
              <w:rPr>
                <w:color w:val="000000"/>
                <w:lang w:eastAsia="en-AU"/>
              </w:rPr>
            </w:pPr>
            <w:r w:rsidRPr="006C4613">
              <w:rPr>
                <w:color w:val="000000"/>
                <w:lang w:eastAsia="en-AU"/>
              </w:rPr>
              <w:t>88.8</w:t>
            </w:r>
          </w:p>
        </w:tc>
        <w:tc>
          <w:tcPr>
            <w:tcW w:w="907" w:type="dxa"/>
            <w:tcBorders>
              <w:top w:val="single" w:sz="6" w:space="0" w:color="auto"/>
              <w:left w:val="nil"/>
              <w:bottom w:val="single" w:sz="6" w:space="0" w:color="auto"/>
              <w:right w:val="nil"/>
            </w:tcBorders>
          </w:tcPr>
          <w:p w:rsidR="00A53D7D" w:rsidRPr="006C4613" w:rsidRDefault="00A53D7D" w:rsidP="005140B4">
            <w:pPr>
              <w:pStyle w:val="OGTableofFigures"/>
              <w:rPr>
                <w:color w:val="000000"/>
                <w:lang w:eastAsia="en-AU"/>
              </w:rPr>
            </w:pPr>
            <w:r w:rsidRPr="006C4613">
              <w:rPr>
                <w:color w:val="000000"/>
                <w:lang w:eastAsia="en-AU"/>
              </w:rPr>
              <w:t>80</w:t>
            </w:r>
          </w:p>
        </w:tc>
        <w:tc>
          <w:tcPr>
            <w:tcW w:w="907" w:type="dxa"/>
            <w:tcBorders>
              <w:top w:val="single" w:sz="6" w:space="0" w:color="auto"/>
              <w:left w:val="nil"/>
              <w:bottom w:val="single" w:sz="6" w:space="0" w:color="auto"/>
              <w:right w:val="nil"/>
            </w:tcBorders>
          </w:tcPr>
          <w:p w:rsidR="00A53D7D" w:rsidRPr="0072134C" w:rsidRDefault="00A53D7D" w:rsidP="005140B4">
            <w:pPr>
              <w:pStyle w:val="OGTableofFigures"/>
              <w:rPr>
                <w:color w:val="000000"/>
                <w:lang w:eastAsia="en-AU"/>
              </w:rPr>
            </w:pPr>
            <w:r w:rsidRPr="0072134C">
              <w:rPr>
                <w:color w:val="000000"/>
                <w:lang w:eastAsia="en-AU"/>
              </w:rPr>
              <w:t>81</w:t>
            </w:r>
          </w:p>
        </w:tc>
      </w:tr>
      <w:tr w:rsidR="00A53D7D" w:rsidRPr="00A475B8" w:rsidTr="005140B4">
        <w:trPr>
          <w:cantSplit/>
        </w:trPr>
        <w:tc>
          <w:tcPr>
            <w:tcW w:w="3155" w:type="dxa"/>
            <w:tcBorders>
              <w:top w:val="single" w:sz="6" w:space="0" w:color="auto"/>
              <w:left w:val="nil"/>
              <w:right w:val="nil"/>
            </w:tcBorders>
            <w:vAlign w:val="center"/>
          </w:tcPr>
          <w:p w:rsidR="00A53D7D" w:rsidRPr="00A475B8" w:rsidRDefault="00A53D7D" w:rsidP="005140B4">
            <w:pPr>
              <w:pStyle w:val="OGTabHead"/>
              <w:pageBreakBefore/>
              <w:rPr>
                <w:lang w:eastAsia="en-AU"/>
              </w:rPr>
            </w:pPr>
            <w:r w:rsidRPr="0016616A">
              <w:rPr>
                <w:iCs/>
                <w:color w:val="000000"/>
                <w:lang w:eastAsia="en-AU"/>
              </w:rPr>
              <w:t>Timeliness</w:t>
            </w:r>
          </w:p>
        </w:tc>
        <w:tc>
          <w:tcPr>
            <w:tcW w:w="907" w:type="dxa"/>
            <w:tcBorders>
              <w:top w:val="single" w:sz="6" w:space="0" w:color="auto"/>
              <w:left w:val="nil"/>
              <w:right w:val="nil"/>
            </w:tcBorders>
            <w:vAlign w:val="center"/>
          </w:tcPr>
          <w:p w:rsidR="00A53D7D" w:rsidRPr="003E0A6C" w:rsidRDefault="00A53D7D" w:rsidP="005140B4">
            <w:pPr>
              <w:pStyle w:val="OGUoM"/>
              <w:rPr>
                <w:color w:val="000000"/>
                <w:lang w:eastAsia="en-AU"/>
              </w:rPr>
            </w:pPr>
            <w:r w:rsidRPr="003E0A6C">
              <w:rPr>
                <w:color w:val="000000"/>
                <w:lang w:eastAsia="en-AU"/>
              </w:rPr>
              <w:t> </w:t>
            </w:r>
          </w:p>
        </w:tc>
        <w:tc>
          <w:tcPr>
            <w:tcW w:w="907" w:type="dxa"/>
            <w:tcBorders>
              <w:top w:val="single" w:sz="6" w:space="0" w:color="auto"/>
              <w:left w:val="nil"/>
              <w:right w:val="nil"/>
            </w:tcBorders>
            <w:shd w:val="clear" w:color="auto" w:fill="D9D9D9"/>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left w:val="nil"/>
              <w:right w:val="nil"/>
            </w:tcBorders>
          </w:tcPr>
          <w:p w:rsidR="00A53D7D" w:rsidRPr="00EC2CB7" w:rsidRDefault="00A53D7D" w:rsidP="005140B4">
            <w:pPr>
              <w:pStyle w:val="OGTableofFigures"/>
              <w:rPr>
                <w:color w:val="000000"/>
                <w:lang w:eastAsia="en-AU"/>
              </w:rPr>
            </w:pPr>
            <w:r w:rsidRPr="00EC2CB7">
              <w:rPr>
                <w:color w:val="000000"/>
                <w:lang w:eastAsia="en-AU"/>
              </w:rPr>
              <w:t> </w:t>
            </w:r>
          </w:p>
        </w:tc>
        <w:tc>
          <w:tcPr>
            <w:tcW w:w="907" w:type="dxa"/>
            <w:tcBorders>
              <w:top w:val="single" w:sz="6" w:space="0" w:color="auto"/>
              <w:left w:val="nil"/>
              <w:right w:val="nil"/>
            </w:tcBorders>
          </w:tcPr>
          <w:p w:rsidR="00A53D7D" w:rsidRPr="00EC2CB7" w:rsidRDefault="00A53D7D" w:rsidP="005140B4">
            <w:pPr>
              <w:pStyle w:val="OGTableofFigures"/>
              <w:rPr>
                <w:color w:val="000000"/>
                <w:lang w:eastAsia="en-AU"/>
              </w:rPr>
            </w:pPr>
            <w:r w:rsidRPr="00EC2CB7">
              <w:rPr>
                <w:color w:val="000000"/>
                <w:lang w:eastAsia="en-AU"/>
              </w:rPr>
              <w:t> </w:t>
            </w:r>
          </w:p>
        </w:tc>
        <w:tc>
          <w:tcPr>
            <w:tcW w:w="907" w:type="dxa"/>
            <w:tcBorders>
              <w:top w:val="single" w:sz="6" w:space="0" w:color="auto"/>
              <w:left w:val="nil"/>
              <w:right w:val="nil"/>
            </w:tcBorders>
          </w:tcPr>
          <w:p w:rsidR="00A53D7D" w:rsidRPr="00EC2CB7" w:rsidRDefault="00A53D7D" w:rsidP="005140B4">
            <w:pPr>
              <w:pStyle w:val="OGTableofFigures"/>
              <w:rPr>
                <w:color w:val="000000"/>
                <w:lang w:eastAsia="en-AU"/>
              </w:rPr>
            </w:pPr>
            <w:r w:rsidRPr="00EC2CB7">
              <w:rPr>
                <w:color w:val="000000"/>
                <w:lang w:eastAsia="en-AU"/>
              </w:rPr>
              <w:t> </w:t>
            </w:r>
          </w:p>
        </w:tc>
      </w:tr>
      <w:tr w:rsidR="00A53D7D" w:rsidRPr="00A475B8" w:rsidTr="005140B4">
        <w:trPr>
          <w:cantSplit/>
        </w:trPr>
        <w:tc>
          <w:tcPr>
            <w:tcW w:w="3155" w:type="dxa"/>
            <w:tcBorders>
              <w:top w:val="nil"/>
              <w:left w:val="nil"/>
              <w:bottom w:val="single" w:sz="6" w:space="0" w:color="auto"/>
              <w:right w:val="nil"/>
            </w:tcBorders>
            <w:vAlign w:val="center"/>
          </w:tcPr>
          <w:p w:rsidR="00A53D7D" w:rsidRPr="006C4613" w:rsidRDefault="00A53D7D" w:rsidP="005140B4">
            <w:pPr>
              <w:pStyle w:val="OGTabText"/>
              <w:rPr>
                <w:color w:val="000000"/>
                <w:lang w:eastAsia="en-AU"/>
              </w:rPr>
            </w:pPr>
            <w:r w:rsidRPr="006C4613">
              <w:rPr>
                <w:color w:val="000000"/>
                <w:lang w:eastAsia="en-AU"/>
              </w:rPr>
              <w:t xml:space="preserve">Emergency response times meeting benchmarks – structural fires </w:t>
            </w:r>
          </w:p>
        </w:tc>
        <w:tc>
          <w:tcPr>
            <w:tcW w:w="907" w:type="dxa"/>
            <w:tcBorders>
              <w:top w:val="nil"/>
              <w:left w:val="nil"/>
              <w:bottom w:val="single" w:sz="6" w:space="0" w:color="auto"/>
              <w:right w:val="nil"/>
            </w:tcBorders>
          </w:tcPr>
          <w:p w:rsidR="00A53D7D" w:rsidRPr="006C4613" w:rsidRDefault="00A53D7D" w:rsidP="005140B4">
            <w:pPr>
              <w:pStyle w:val="OGUoM"/>
              <w:rPr>
                <w:color w:val="000000"/>
                <w:lang w:eastAsia="en-AU"/>
              </w:rPr>
            </w:pPr>
            <w:r w:rsidRPr="006C4613">
              <w:rPr>
                <w:color w:val="000000"/>
                <w:lang w:eastAsia="en-AU"/>
              </w:rPr>
              <w:t>per cent</w:t>
            </w:r>
          </w:p>
        </w:tc>
        <w:tc>
          <w:tcPr>
            <w:tcW w:w="907" w:type="dxa"/>
            <w:tcBorders>
              <w:top w:val="nil"/>
              <w:left w:val="nil"/>
              <w:bottom w:val="single" w:sz="6" w:space="0" w:color="auto"/>
              <w:right w:val="nil"/>
            </w:tcBorders>
            <w:shd w:val="clear" w:color="auto" w:fill="D9D9D9"/>
          </w:tcPr>
          <w:p w:rsidR="00A53D7D" w:rsidRPr="008C4A78" w:rsidRDefault="00A53D7D" w:rsidP="005140B4">
            <w:pPr>
              <w:pStyle w:val="OGTableofFigures"/>
              <w:rPr>
                <w:color w:val="000000"/>
                <w:lang w:eastAsia="en-AU"/>
              </w:rPr>
            </w:pPr>
            <w:r w:rsidRPr="008C4A78">
              <w:rPr>
                <w:color w:val="000000"/>
                <w:lang w:eastAsia="en-AU"/>
              </w:rPr>
              <w:t>90</w:t>
            </w:r>
          </w:p>
        </w:tc>
        <w:tc>
          <w:tcPr>
            <w:tcW w:w="993" w:type="dxa"/>
            <w:tcBorders>
              <w:top w:val="nil"/>
              <w:left w:val="nil"/>
              <w:bottom w:val="single" w:sz="6" w:space="0" w:color="auto"/>
              <w:right w:val="nil"/>
            </w:tcBorders>
          </w:tcPr>
          <w:p w:rsidR="00A53D7D" w:rsidRPr="008C4A78" w:rsidRDefault="00A53D7D" w:rsidP="005140B4">
            <w:pPr>
              <w:pStyle w:val="OGTableofFigures"/>
              <w:rPr>
                <w:color w:val="000000"/>
                <w:lang w:eastAsia="en-AU"/>
              </w:rPr>
            </w:pPr>
            <w:r w:rsidRPr="008C4A78">
              <w:rPr>
                <w:color w:val="000000"/>
                <w:lang w:eastAsia="en-AU"/>
              </w:rPr>
              <w:t>89.2</w:t>
            </w:r>
            <w:r w:rsidRPr="008C4A78">
              <w:rPr>
                <w:color w:val="000000"/>
                <w:lang w:eastAsia="en-AU"/>
              </w:rPr>
              <w:br/>
            </w:r>
          </w:p>
        </w:tc>
        <w:tc>
          <w:tcPr>
            <w:tcW w:w="907" w:type="dxa"/>
            <w:tcBorders>
              <w:top w:val="nil"/>
              <w:left w:val="nil"/>
              <w:bottom w:val="single" w:sz="6" w:space="0" w:color="auto"/>
              <w:right w:val="nil"/>
            </w:tcBorders>
          </w:tcPr>
          <w:p w:rsidR="00A53D7D" w:rsidRPr="008C4A78" w:rsidRDefault="00A53D7D" w:rsidP="005140B4">
            <w:pPr>
              <w:pStyle w:val="OGTableofFigures"/>
              <w:rPr>
                <w:color w:val="000000"/>
                <w:lang w:eastAsia="en-AU"/>
              </w:rPr>
            </w:pPr>
            <w:r w:rsidRPr="008C4A78">
              <w:rPr>
                <w:color w:val="000000"/>
                <w:lang w:eastAsia="en-AU"/>
              </w:rPr>
              <w:t>90</w:t>
            </w:r>
          </w:p>
        </w:tc>
        <w:tc>
          <w:tcPr>
            <w:tcW w:w="907" w:type="dxa"/>
            <w:tcBorders>
              <w:top w:val="nil"/>
              <w:left w:val="nil"/>
              <w:bottom w:val="single" w:sz="6" w:space="0" w:color="auto"/>
              <w:right w:val="nil"/>
            </w:tcBorders>
          </w:tcPr>
          <w:p w:rsidR="00A53D7D" w:rsidRPr="008C4A78" w:rsidRDefault="00A53D7D" w:rsidP="005140B4">
            <w:pPr>
              <w:pStyle w:val="OGTableofFigures"/>
              <w:rPr>
                <w:color w:val="000000"/>
                <w:lang w:eastAsia="en-AU"/>
              </w:rPr>
            </w:pPr>
            <w:r w:rsidRPr="008C4A78">
              <w:rPr>
                <w:color w:val="000000"/>
                <w:lang w:eastAsia="en-AU"/>
              </w:rPr>
              <w:t>90</w:t>
            </w:r>
          </w:p>
        </w:tc>
      </w:tr>
      <w:tr w:rsidR="00A53D7D" w:rsidRPr="00A475B8" w:rsidTr="005140B4">
        <w:trPr>
          <w:cantSplit/>
        </w:trPr>
        <w:tc>
          <w:tcPr>
            <w:tcW w:w="3155" w:type="dxa"/>
            <w:tcBorders>
              <w:top w:val="single" w:sz="6" w:space="0" w:color="auto"/>
              <w:left w:val="nil"/>
              <w:bottom w:val="single" w:sz="6" w:space="0" w:color="auto"/>
              <w:right w:val="nil"/>
            </w:tcBorders>
            <w:vAlign w:val="center"/>
          </w:tcPr>
          <w:p w:rsidR="00A53D7D" w:rsidRPr="006C4613" w:rsidRDefault="00A53D7D" w:rsidP="005140B4">
            <w:pPr>
              <w:pStyle w:val="OGTabText"/>
              <w:rPr>
                <w:color w:val="000000"/>
                <w:lang w:eastAsia="en-AU"/>
              </w:rPr>
            </w:pPr>
            <w:r w:rsidRPr="006C4613">
              <w:rPr>
                <w:color w:val="000000"/>
                <w:lang w:eastAsia="en-AU"/>
              </w:rPr>
              <w:t>Emergency response times meeting benchmarks – road accident rescue response</w:t>
            </w:r>
          </w:p>
        </w:tc>
        <w:tc>
          <w:tcPr>
            <w:tcW w:w="907" w:type="dxa"/>
            <w:tcBorders>
              <w:top w:val="single" w:sz="6" w:space="0" w:color="auto"/>
              <w:left w:val="nil"/>
              <w:bottom w:val="single" w:sz="6" w:space="0" w:color="auto"/>
              <w:right w:val="nil"/>
            </w:tcBorders>
          </w:tcPr>
          <w:p w:rsidR="00A53D7D" w:rsidRPr="006C4613" w:rsidRDefault="00A53D7D" w:rsidP="005140B4">
            <w:pPr>
              <w:pStyle w:val="OGUoM"/>
              <w:rPr>
                <w:color w:val="000000"/>
                <w:lang w:eastAsia="en-AU"/>
              </w:rPr>
            </w:pPr>
            <w:r w:rsidRPr="006C4613">
              <w:rPr>
                <w:color w:val="000000"/>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8C4A78" w:rsidRDefault="00A53D7D" w:rsidP="005140B4">
            <w:pPr>
              <w:pStyle w:val="OGTableofFigures"/>
              <w:rPr>
                <w:color w:val="000000"/>
                <w:lang w:eastAsia="en-AU"/>
              </w:rPr>
            </w:pPr>
            <w:r w:rsidRPr="008C4A78">
              <w:rPr>
                <w:color w:val="000000"/>
                <w:lang w:eastAsia="en-AU"/>
              </w:rPr>
              <w:t>90</w:t>
            </w:r>
          </w:p>
        </w:tc>
        <w:tc>
          <w:tcPr>
            <w:tcW w:w="993" w:type="dxa"/>
            <w:tcBorders>
              <w:top w:val="single" w:sz="6" w:space="0" w:color="auto"/>
              <w:left w:val="nil"/>
              <w:bottom w:val="single" w:sz="6" w:space="0" w:color="auto"/>
              <w:right w:val="nil"/>
            </w:tcBorders>
          </w:tcPr>
          <w:p w:rsidR="00A53D7D" w:rsidRPr="008C4A78" w:rsidRDefault="00A53D7D" w:rsidP="005140B4">
            <w:pPr>
              <w:pStyle w:val="OGTableofFigures"/>
              <w:rPr>
                <w:color w:val="000000"/>
                <w:lang w:eastAsia="en-AU"/>
              </w:rPr>
            </w:pPr>
            <w:r w:rsidRPr="008C4A78">
              <w:rPr>
                <w:color w:val="000000"/>
                <w:lang w:eastAsia="en-AU"/>
              </w:rPr>
              <w:t>89.8</w:t>
            </w:r>
            <w:r w:rsidRPr="008C4A78">
              <w:rPr>
                <w:color w:val="000000"/>
                <w:lang w:eastAsia="en-AU"/>
              </w:rPr>
              <w:br/>
            </w:r>
          </w:p>
        </w:tc>
        <w:tc>
          <w:tcPr>
            <w:tcW w:w="907" w:type="dxa"/>
            <w:tcBorders>
              <w:top w:val="single" w:sz="6" w:space="0" w:color="auto"/>
              <w:left w:val="nil"/>
              <w:bottom w:val="single" w:sz="6" w:space="0" w:color="auto"/>
              <w:right w:val="nil"/>
            </w:tcBorders>
          </w:tcPr>
          <w:p w:rsidR="00A53D7D" w:rsidRPr="008C4A78" w:rsidRDefault="00A53D7D" w:rsidP="005140B4">
            <w:pPr>
              <w:pStyle w:val="OGTableofFigures"/>
              <w:rPr>
                <w:color w:val="000000"/>
                <w:lang w:eastAsia="en-AU"/>
              </w:rPr>
            </w:pPr>
            <w:r w:rsidRPr="008C4A78">
              <w:rPr>
                <w:color w:val="000000"/>
                <w:lang w:eastAsia="en-AU"/>
              </w:rPr>
              <w:t>90</w:t>
            </w:r>
          </w:p>
        </w:tc>
        <w:tc>
          <w:tcPr>
            <w:tcW w:w="907" w:type="dxa"/>
            <w:tcBorders>
              <w:top w:val="single" w:sz="6" w:space="0" w:color="auto"/>
              <w:left w:val="nil"/>
              <w:bottom w:val="single" w:sz="6" w:space="0" w:color="auto"/>
              <w:right w:val="nil"/>
            </w:tcBorders>
          </w:tcPr>
          <w:p w:rsidR="00A53D7D" w:rsidRPr="008C4A78" w:rsidRDefault="00A53D7D" w:rsidP="005140B4">
            <w:pPr>
              <w:pStyle w:val="OGTableofFigures"/>
              <w:rPr>
                <w:color w:val="000000"/>
                <w:lang w:eastAsia="en-AU"/>
              </w:rPr>
            </w:pPr>
            <w:r w:rsidRPr="008C4A78">
              <w:rPr>
                <w:color w:val="000000"/>
                <w:lang w:eastAsia="en-AU"/>
              </w:rPr>
              <w:t>90</w:t>
            </w:r>
          </w:p>
        </w:tc>
      </w:tr>
      <w:tr w:rsidR="00A53D7D" w:rsidRPr="006C4613" w:rsidTr="005140B4">
        <w:trPr>
          <w:cantSplit/>
        </w:trPr>
        <w:tc>
          <w:tcPr>
            <w:tcW w:w="3155" w:type="dxa"/>
            <w:tcBorders>
              <w:top w:val="single" w:sz="6" w:space="0" w:color="auto"/>
              <w:left w:val="nil"/>
              <w:right w:val="nil"/>
            </w:tcBorders>
            <w:vAlign w:val="center"/>
          </w:tcPr>
          <w:p w:rsidR="00A53D7D" w:rsidRPr="006C4613" w:rsidRDefault="00A53D7D" w:rsidP="005140B4">
            <w:pPr>
              <w:pStyle w:val="OGTabText"/>
              <w:rPr>
                <w:color w:val="000000"/>
                <w:lang w:eastAsia="en-AU"/>
              </w:rPr>
            </w:pPr>
            <w:r w:rsidRPr="006C4613">
              <w:rPr>
                <w:color w:val="000000"/>
                <w:lang w:eastAsia="en-AU"/>
              </w:rPr>
              <w:t>Emergency response times meeting benchmarks – emergency medical response</w:t>
            </w:r>
          </w:p>
        </w:tc>
        <w:tc>
          <w:tcPr>
            <w:tcW w:w="907" w:type="dxa"/>
            <w:tcBorders>
              <w:top w:val="single" w:sz="6" w:space="0" w:color="auto"/>
              <w:left w:val="nil"/>
              <w:right w:val="nil"/>
            </w:tcBorders>
          </w:tcPr>
          <w:p w:rsidR="00A53D7D" w:rsidRPr="006C4613" w:rsidRDefault="00A53D7D" w:rsidP="005140B4">
            <w:pPr>
              <w:pStyle w:val="OGUoM"/>
              <w:rPr>
                <w:color w:val="000000"/>
                <w:lang w:eastAsia="en-AU"/>
              </w:rPr>
            </w:pPr>
            <w:r w:rsidRPr="006C4613">
              <w:rPr>
                <w:color w:val="000000"/>
                <w:lang w:eastAsia="en-AU"/>
              </w:rPr>
              <w:t>per cent</w:t>
            </w:r>
          </w:p>
        </w:tc>
        <w:tc>
          <w:tcPr>
            <w:tcW w:w="907" w:type="dxa"/>
            <w:tcBorders>
              <w:top w:val="single" w:sz="6" w:space="0" w:color="auto"/>
              <w:left w:val="nil"/>
              <w:right w:val="nil"/>
            </w:tcBorders>
            <w:shd w:val="clear" w:color="auto" w:fill="D9D9D9"/>
          </w:tcPr>
          <w:p w:rsidR="00A53D7D" w:rsidRPr="008C4A78" w:rsidRDefault="00A53D7D" w:rsidP="005140B4">
            <w:pPr>
              <w:pStyle w:val="OGTableofFigures"/>
              <w:rPr>
                <w:color w:val="000000"/>
                <w:lang w:eastAsia="en-AU"/>
              </w:rPr>
            </w:pPr>
            <w:r w:rsidRPr="008C4A78">
              <w:rPr>
                <w:color w:val="000000"/>
                <w:lang w:eastAsia="en-AU"/>
              </w:rPr>
              <w:t>90</w:t>
            </w:r>
          </w:p>
        </w:tc>
        <w:tc>
          <w:tcPr>
            <w:tcW w:w="993" w:type="dxa"/>
            <w:tcBorders>
              <w:top w:val="single" w:sz="6" w:space="0" w:color="auto"/>
              <w:left w:val="nil"/>
              <w:right w:val="nil"/>
            </w:tcBorders>
          </w:tcPr>
          <w:p w:rsidR="00A53D7D" w:rsidRPr="008C4A78" w:rsidRDefault="00A53D7D" w:rsidP="005140B4">
            <w:pPr>
              <w:pStyle w:val="OGTableofFigures"/>
              <w:rPr>
                <w:color w:val="000000"/>
                <w:lang w:eastAsia="en-AU"/>
              </w:rPr>
            </w:pPr>
            <w:r w:rsidRPr="008C4A78">
              <w:rPr>
                <w:color w:val="000000"/>
                <w:lang w:eastAsia="en-AU"/>
              </w:rPr>
              <w:t>95.4</w:t>
            </w:r>
            <w:r w:rsidRPr="008C4A78">
              <w:rPr>
                <w:color w:val="000000"/>
                <w:lang w:eastAsia="en-AU"/>
              </w:rPr>
              <w:br/>
            </w:r>
          </w:p>
        </w:tc>
        <w:tc>
          <w:tcPr>
            <w:tcW w:w="907" w:type="dxa"/>
            <w:tcBorders>
              <w:top w:val="single" w:sz="6" w:space="0" w:color="auto"/>
              <w:left w:val="nil"/>
              <w:right w:val="nil"/>
            </w:tcBorders>
          </w:tcPr>
          <w:p w:rsidR="00A53D7D" w:rsidRPr="008C4A78" w:rsidRDefault="00A53D7D" w:rsidP="005140B4">
            <w:pPr>
              <w:pStyle w:val="OGTableofFigures"/>
              <w:rPr>
                <w:color w:val="000000"/>
                <w:lang w:eastAsia="en-AU"/>
              </w:rPr>
            </w:pPr>
            <w:r w:rsidRPr="008C4A78">
              <w:rPr>
                <w:color w:val="000000"/>
                <w:lang w:eastAsia="en-AU"/>
              </w:rPr>
              <w:t>90</w:t>
            </w:r>
          </w:p>
        </w:tc>
        <w:tc>
          <w:tcPr>
            <w:tcW w:w="907" w:type="dxa"/>
            <w:tcBorders>
              <w:top w:val="single" w:sz="6" w:space="0" w:color="auto"/>
              <w:left w:val="nil"/>
              <w:right w:val="nil"/>
            </w:tcBorders>
          </w:tcPr>
          <w:p w:rsidR="00A53D7D" w:rsidRPr="008C4A78" w:rsidRDefault="00A53D7D" w:rsidP="005140B4">
            <w:pPr>
              <w:pStyle w:val="OGTableofFigures"/>
              <w:rPr>
                <w:color w:val="000000"/>
                <w:lang w:eastAsia="en-AU"/>
              </w:rPr>
            </w:pPr>
            <w:r w:rsidRPr="008C4A78">
              <w:rPr>
                <w:color w:val="000000"/>
                <w:lang w:eastAsia="en-AU"/>
              </w:rPr>
              <w:t>95</w:t>
            </w:r>
          </w:p>
        </w:tc>
      </w:tr>
      <w:tr w:rsidR="00A53D7D" w:rsidRPr="00A475B8" w:rsidTr="005140B4">
        <w:trPr>
          <w:cantSplit/>
        </w:trPr>
        <w:tc>
          <w:tcPr>
            <w:tcW w:w="7776" w:type="dxa"/>
            <w:gridSpan w:val="6"/>
            <w:tcBorders>
              <w:left w:val="nil"/>
              <w:bottom w:val="single" w:sz="6" w:space="0" w:color="auto"/>
              <w:right w:val="nil"/>
            </w:tcBorders>
            <w:vAlign w:val="center"/>
          </w:tcPr>
          <w:p w:rsidR="00A53D7D" w:rsidRPr="00B561EA" w:rsidRDefault="00A53D7D" w:rsidP="005140B4">
            <w:pPr>
              <w:pStyle w:val="OGNotes"/>
            </w:pPr>
            <w:r w:rsidRPr="00B561EA">
              <w:t>The 2013</w:t>
            </w:r>
            <w:r>
              <w:noBreakHyphen/>
            </w:r>
            <w:r w:rsidRPr="00B561EA">
              <w:t>14 expected outcome is higher than the 2013</w:t>
            </w:r>
            <w:r>
              <w:noBreakHyphen/>
            </w:r>
            <w:r w:rsidRPr="00B561EA">
              <w:t>14 target due to the Metropolitan Fire Brigade exceeding its required benchmark targets for emergency medical responses.</w:t>
            </w:r>
          </w:p>
        </w:tc>
      </w:tr>
      <w:tr w:rsidR="00A53D7D" w:rsidRPr="00A475B8" w:rsidTr="005140B4">
        <w:trPr>
          <w:cantSplit/>
        </w:trPr>
        <w:tc>
          <w:tcPr>
            <w:tcW w:w="3155" w:type="dxa"/>
            <w:tcBorders>
              <w:top w:val="single" w:sz="6" w:space="0" w:color="auto"/>
              <w:left w:val="nil"/>
              <w:right w:val="nil"/>
            </w:tcBorders>
            <w:vAlign w:val="center"/>
          </w:tcPr>
          <w:p w:rsidR="00A53D7D" w:rsidRPr="0072134C" w:rsidRDefault="00A53D7D" w:rsidP="005140B4">
            <w:pPr>
              <w:pStyle w:val="OGTabHead"/>
              <w:rPr>
                <w:color w:val="000000"/>
                <w:lang w:eastAsia="en-AU"/>
              </w:rPr>
            </w:pPr>
            <w:r w:rsidRPr="0072134C">
              <w:rPr>
                <w:iCs/>
                <w:color w:val="000000"/>
                <w:lang w:eastAsia="en-AU"/>
              </w:rPr>
              <w:t>Cost</w:t>
            </w:r>
          </w:p>
        </w:tc>
        <w:tc>
          <w:tcPr>
            <w:tcW w:w="907" w:type="dxa"/>
            <w:tcBorders>
              <w:top w:val="single" w:sz="6" w:space="0" w:color="auto"/>
              <w:left w:val="nil"/>
              <w:right w:val="nil"/>
            </w:tcBorders>
          </w:tcPr>
          <w:p w:rsidR="00A53D7D" w:rsidRPr="0072134C" w:rsidRDefault="00A53D7D" w:rsidP="005140B4">
            <w:pPr>
              <w:pStyle w:val="OGUoM"/>
              <w:rPr>
                <w:color w:val="000000"/>
                <w:lang w:eastAsia="en-AU"/>
              </w:rPr>
            </w:pPr>
          </w:p>
        </w:tc>
        <w:tc>
          <w:tcPr>
            <w:tcW w:w="907" w:type="dxa"/>
            <w:tcBorders>
              <w:top w:val="single" w:sz="6" w:space="0" w:color="auto"/>
              <w:left w:val="nil"/>
              <w:right w:val="nil"/>
            </w:tcBorders>
            <w:shd w:val="clear" w:color="auto" w:fill="D9D9D9"/>
          </w:tcPr>
          <w:p w:rsidR="00A53D7D" w:rsidRPr="008C4A78" w:rsidRDefault="00A53D7D" w:rsidP="005140B4">
            <w:pPr>
              <w:pStyle w:val="OGTableofFigures"/>
              <w:rPr>
                <w:color w:val="000000"/>
                <w:lang w:eastAsia="en-AU"/>
              </w:rPr>
            </w:pPr>
            <w:r w:rsidRPr="008C4A78">
              <w:rPr>
                <w:color w:val="000000"/>
                <w:lang w:eastAsia="en-AU"/>
              </w:rPr>
              <w:t> </w:t>
            </w:r>
          </w:p>
        </w:tc>
        <w:tc>
          <w:tcPr>
            <w:tcW w:w="993" w:type="dxa"/>
            <w:tcBorders>
              <w:top w:val="single" w:sz="6" w:space="0" w:color="auto"/>
              <w:left w:val="nil"/>
              <w:right w:val="nil"/>
            </w:tcBorders>
          </w:tcPr>
          <w:p w:rsidR="00A53D7D" w:rsidRPr="008C4A78" w:rsidRDefault="00A53D7D" w:rsidP="005140B4">
            <w:pPr>
              <w:pStyle w:val="OGTableofFigures"/>
              <w:rPr>
                <w:color w:val="000000"/>
                <w:lang w:eastAsia="en-AU"/>
              </w:rPr>
            </w:pPr>
            <w:r w:rsidRPr="008C4A78">
              <w:rPr>
                <w:color w:val="000000"/>
                <w:lang w:eastAsia="en-AU"/>
              </w:rPr>
              <w:t> </w:t>
            </w:r>
          </w:p>
        </w:tc>
        <w:tc>
          <w:tcPr>
            <w:tcW w:w="907" w:type="dxa"/>
            <w:tcBorders>
              <w:top w:val="single" w:sz="6" w:space="0" w:color="auto"/>
              <w:left w:val="nil"/>
              <w:right w:val="nil"/>
            </w:tcBorders>
          </w:tcPr>
          <w:p w:rsidR="00A53D7D" w:rsidRPr="008C4A78" w:rsidRDefault="00A53D7D" w:rsidP="005140B4">
            <w:pPr>
              <w:pStyle w:val="OGTableofFigures"/>
              <w:rPr>
                <w:color w:val="000000"/>
                <w:lang w:eastAsia="en-AU"/>
              </w:rPr>
            </w:pPr>
            <w:r w:rsidRPr="008C4A78">
              <w:rPr>
                <w:color w:val="000000"/>
                <w:lang w:eastAsia="en-AU"/>
              </w:rPr>
              <w:t> </w:t>
            </w:r>
          </w:p>
        </w:tc>
        <w:tc>
          <w:tcPr>
            <w:tcW w:w="907" w:type="dxa"/>
            <w:tcBorders>
              <w:top w:val="single" w:sz="6" w:space="0" w:color="auto"/>
              <w:left w:val="nil"/>
              <w:right w:val="nil"/>
            </w:tcBorders>
          </w:tcPr>
          <w:p w:rsidR="00A53D7D" w:rsidRPr="008C4A78" w:rsidRDefault="00A53D7D" w:rsidP="005140B4">
            <w:pPr>
              <w:pStyle w:val="OGTableofFigures"/>
              <w:rPr>
                <w:color w:val="000000"/>
                <w:lang w:eastAsia="en-AU"/>
              </w:rPr>
            </w:pPr>
            <w:r w:rsidRPr="008C4A78">
              <w:rPr>
                <w:color w:val="000000"/>
                <w:lang w:eastAsia="en-AU"/>
              </w:rPr>
              <w:t> </w:t>
            </w:r>
          </w:p>
        </w:tc>
      </w:tr>
      <w:tr w:rsidR="00A53D7D" w:rsidRPr="00B30477" w:rsidTr="005140B4">
        <w:trPr>
          <w:cantSplit/>
        </w:trPr>
        <w:tc>
          <w:tcPr>
            <w:tcW w:w="3155" w:type="dxa"/>
            <w:tcBorders>
              <w:top w:val="nil"/>
              <w:left w:val="nil"/>
              <w:bottom w:val="nil"/>
              <w:right w:val="nil"/>
            </w:tcBorders>
            <w:vAlign w:val="center"/>
          </w:tcPr>
          <w:p w:rsidR="00A53D7D" w:rsidRPr="0072134C" w:rsidRDefault="00A53D7D" w:rsidP="005140B4">
            <w:pPr>
              <w:pStyle w:val="OGTabText"/>
              <w:rPr>
                <w:color w:val="000000"/>
                <w:lang w:eastAsia="en-AU"/>
              </w:rPr>
            </w:pPr>
            <w:r w:rsidRPr="0072134C">
              <w:rPr>
                <w:color w:val="000000"/>
                <w:lang w:eastAsia="en-AU"/>
              </w:rPr>
              <w:t>Total output cost</w:t>
            </w:r>
          </w:p>
        </w:tc>
        <w:tc>
          <w:tcPr>
            <w:tcW w:w="907" w:type="dxa"/>
            <w:tcBorders>
              <w:top w:val="nil"/>
              <w:left w:val="nil"/>
              <w:bottom w:val="nil"/>
              <w:right w:val="nil"/>
            </w:tcBorders>
          </w:tcPr>
          <w:p w:rsidR="00A53D7D" w:rsidRPr="0072134C" w:rsidRDefault="00A53D7D" w:rsidP="005140B4">
            <w:pPr>
              <w:pStyle w:val="OGUoM"/>
              <w:rPr>
                <w:color w:val="000000"/>
                <w:lang w:eastAsia="en-AU"/>
              </w:rPr>
            </w:pPr>
            <w:r w:rsidRPr="0072134C">
              <w:rPr>
                <w:color w:val="000000"/>
                <w:lang w:eastAsia="en-AU"/>
              </w:rPr>
              <w:t>$ million</w:t>
            </w:r>
          </w:p>
        </w:tc>
        <w:tc>
          <w:tcPr>
            <w:tcW w:w="907" w:type="dxa"/>
            <w:tcBorders>
              <w:top w:val="nil"/>
              <w:left w:val="nil"/>
              <w:bottom w:val="nil"/>
              <w:right w:val="nil"/>
            </w:tcBorders>
            <w:shd w:val="clear" w:color="auto" w:fill="D9D9D9"/>
          </w:tcPr>
          <w:p w:rsidR="00A53D7D" w:rsidRPr="008C4A78" w:rsidRDefault="00A53D7D" w:rsidP="005140B4">
            <w:pPr>
              <w:pStyle w:val="OGTableofFigures"/>
              <w:rPr>
                <w:color w:val="000000"/>
                <w:lang w:eastAsia="en-AU"/>
              </w:rPr>
            </w:pPr>
            <w:r w:rsidRPr="00321818">
              <w:rPr>
                <w:rFonts w:eastAsiaTheme="minorEastAsia"/>
                <w:lang w:eastAsia="en-AU"/>
              </w:rPr>
              <w:t>933.1</w:t>
            </w:r>
          </w:p>
        </w:tc>
        <w:tc>
          <w:tcPr>
            <w:tcW w:w="993" w:type="dxa"/>
            <w:tcBorders>
              <w:top w:val="nil"/>
              <w:left w:val="nil"/>
              <w:bottom w:val="nil"/>
              <w:right w:val="nil"/>
            </w:tcBorders>
          </w:tcPr>
          <w:p w:rsidR="00A53D7D" w:rsidRPr="008C4A78" w:rsidRDefault="00A53D7D" w:rsidP="005140B4">
            <w:pPr>
              <w:pStyle w:val="OGTableofFigures"/>
              <w:rPr>
                <w:color w:val="000000"/>
                <w:lang w:eastAsia="en-AU"/>
              </w:rPr>
            </w:pPr>
            <w:r>
              <w:rPr>
                <w:color w:val="000000"/>
                <w:lang w:eastAsia="en-AU"/>
              </w:rPr>
              <w:t>924.7</w:t>
            </w:r>
          </w:p>
        </w:tc>
        <w:tc>
          <w:tcPr>
            <w:tcW w:w="907" w:type="dxa"/>
            <w:tcBorders>
              <w:top w:val="nil"/>
              <w:left w:val="nil"/>
              <w:bottom w:val="nil"/>
              <w:right w:val="nil"/>
            </w:tcBorders>
          </w:tcPr>
          <w:p w:rsidR="00A53D7D" w:rsidRPr="008C4A78" w:rsidRDefault="00A53D7D" w:rsidP="005140B4">
            <w:pPr>
              <w:pStyle w:val="OGTableofFigures"/>
              <w:rPr>
                <w:color w:val="000000"/>
                <w:lang w:eastAsia="en-AU"/>
              </w:rPr>
            </w:pPr>
            <w:r>
              <w:rPr>
                <w:color w:val="000000"/>
                <w:lang w:eastAsia="en-AU"/>
              </w:rPr>
              <w:t>871.3</w:t>
            </w:r>
          </w:p>
        </w:tc>
        <w:tc>
          <w:tcPr>
            <w:tcW w:w="907" w:type="dxa"/>
            <w:tcBorders>
              <w:top w:val="nil"/>
              <w:left w:val="nil"/>
              <w:bottom w:val="nil"/>
              <w:right w:val="nil"/>
            </w:tcBorders>
          </w:tcPr>
          <w:p w:rsidR="00A53D7D" w:rsidRPr="008C4A78" w:rsidRDefault="00A53D7D" w:rsidP="005140B4">
            <w:pPr>
              <w:pStyle w:val="OGTableofFigures"/>
              <w:rPr>
                <w:color w:val="000000"/>
                <w:lang w:eastAsia="en-AU"/>
              </w:rPr>
            </w:pPr>
            <w:r w:rsidRPr="008C4A78">
              <w:rPr>
                <w:color w:val="000000"/>
                <w:lang w:eastAsia="en-AU"/>
              </w:rPr>
              <w:t>259.7</w:t>
            </w:r>
          </w:p>
        </w:tc>
      </w:tr>
      <w:tr w:rsidR="00A53D7D" w:rsidRPr="00B30477" w:rsidTr="005140B4">
        <w:trPr>
          <w:cantSplit/>
        </w:trPr>
        <w:tc>
          <w:tcPr>
            <w:tcW w:w="7776" w:type="dxa"/>
            <w:gridSpan w:val="6"/>
            <w:tcBorders>
              <w:top w:val="nil"/>
              <w:left w:val="nil"/>
              <w:bottom w:val="single" w:sz="12" w:space="0" w:color="auto"/>
              <w:right w:val="nil"/>
            </w:tcBorders>
            <w:vAlign w:val="center"/>
          </w:tcPr>
          <w:p w:rsidR="00A53D7D" w:rsidRPr="000049C9" w:rsidRDefault="00A53D7D" w:rsidP="005140B4">
            <w:pPr>
              <w:pStyle w:val="OGNotes"/>
              <w:rPr>
                <w:color w:val="000000"/>
                <w:sz w:val="20"/>
                <w:szCs w:val="18"/>
              </w:rPr>
            </w:pPr>
            <w:r w:rsidRPr="003B380F">
              <w:t>The 2014</w:t>
            </w:r>
            <w:r>
              <w:noBreakHyphen/>
            </w:r>
            <w:r w:rsidRPr="003B380F">
              <w:t>15 target and increase in the 2013</w:t>
            </w:r>
            <w:r>
              <w:noBreakHyphen/>
            </w:r>
            <w:r w:rsidRPr="003B380F">
              <w:t>14 expected outcome reflect a change in funding from additions to the net asset base to support operating activities.</w:t>
            </w:r>
          </w:p>
        </w:tc>
      </w:tr>
    </w:tbl>
    <w:p w:rsidR="00A53D7D" w:rsidRDefault="00A53D7D" w:rsidP="005140B4">
      <w:pPr>
        <w:pStyle w:val="Source"/>
      </w:pPr>
      <w:r>
        <w:t>Source: Department of Justice</w:t>
      </w:r>
      <w:r>
        <w:fldChar w:fldCharType="begin"/>
      </w:r>
      <w:r>
        <w:instrText xml:space="preserve"> XE "</w:instrText>
      </w:r>
      <w:r w:rsidRPr="00932FBC">
        <w:rPr>
          <w:lang w:eastAsia="en-AU"/>
        </w:rPr>
        <w:instrText>Department of Justice</w:instrText>
      </w:r>
      <w:r w:rsidRPr="00932FBC">
        <w:instrText>:Supporting the State’s Fire and Emergency Services</w:instrText>
      </w:r>
      <w:r>
        <w:instrText xml:space="preserve">" \r "BP3DOJSuppStateFireEmergency" </w:instrText>
      </w:r>
      <w:r>
        <w:fldChar w:fldCharType="end"/>
      </w:r>
      <w:r>
        <w:fldChar w:fldCharType="begin"/>
      </w:r>
      <w:r>
        <w:instrText xml:space="preserve"> XE "</w:instrText>
      </w:r>
      <w:r w:rsidRPr="0038707F">
        <w:rPr>
          <w:lang w:eastAsia="en-AU"/>
        </w:rPr>
        <w:instrText>Emergency Services</w:instrText>
      </w:r>
      <w:r>
        <w:instrText xml:space="preserve">" \r "BP3DOJSuppStateFireEmergency" </w:instrText>
      </w:r>
      <w:r>
        <w:fldChar w:fldCharType="end"/>
      </w:r>
    </w:p>
    <w:bookmarkEnd w:id="117"/>
    <w:p w:rsidR="00A53D7D" w:rsidRPr="00A475B8" w:rsidRDefault="00A53D7D" w:rsidP="005140B4">
      <w:pPr>
        <w:pStyle w:val="OGHeading1"/>
        <w:rPr>
          <w:lang w:val="x-none" w:eastAsia="en-AU"/>
        </w:rPr>
      </w:pPr>
      <w:r w:rsidRPr="00A475B8">
        <w:br w:type="page"/>
      </w:r>
      <w:bookmarkStart w:id="118" w:name="BP3DOJIndustRegandSupport"/>
      <w:r w:rsidRPr="00A475B8">
        <w:t>Industry Regulation and Support</w:t>
      </w:r>
    </w:p>
    <w:p w:rsidR="00A53D7D" w:rsidRPr="0016063E" w:rsidRDefault="00A53D7D" w:rsidP="005140B4">
      <w:pPr>
        <w:pStyle w:val="OGText"/>
        <w:rPr>
          <w:lang w:eastAsia="en-AU"/>
        </w:rPr>
      </w:pPr>
      <w:r w:rsidRPr="0016063E">
        <w:rPr>
          <w:lang w:eastAsia="en-AU"/>
        </w:rPr>
        <w:t>This output group delivers activities relating to regulating the gambling and liquor industries, harm minimisation, and support and development of the racing industry. This output group also promotes the empowerment of consumers and businesses to know their rights and responsibilities to promote a well</w:t>
      </w:r>
      <w:r>
        <w:rPr>
          <w:lang w:eastAsia="en-AU"/>
        </w:rPr>
        <w:noBreakHyphen/>
      </w:r>
      <w:r w:rsidRPr="0016063E">
        <w:rPr>
          <w:lang w:eastAsia="en-AU"/>
        </w:rPr>
        <w:t xml:space="preserve">functioning market economy </w:t>
      </w:r>
      <w:r w:rsidRPr="006E2906">
        <w:rPr>
          <w:lang w:eastAsia="en-AU"/>
        </w:rPr>
        <w:t>through regulation and support to consumers and businesses</w:t>
      </w:r>
      <w:r w:rsidRPr="0016063E">
        <w:rPr>
          <w:lang w:eastAsia="en-AU"/>
        </w:rPr>
        <w:t>. There is a specific focus on the needs of vulnerable and disadvantaged consumers.</w:t>
      </w:r>
    </w:p>
    <w:p w:rsidR="00A53D7D" w:rsidRPr="00A475B8" w:rsidRDefault="00A53D7D" w:rsidP="005140B4">
      <w:pPr>
        <w:pStyle w:val="OGText"/>
        <w:rPr>
          <w:lang w:eastAsia="en-AU"/>
        </w:rPr>
      </w:pPr>
      <w:r w:rsidRPr="0016063E">
        <w:rPr>
          <w:lang w:eastAsia="en-AU"/>
        </w:rPr>
        <w:t xml:space="preserve">This output group contributes to the Department’s objective to promote responsible industry behaviour and an informed community through effective regulation, education, </w:t>
      </w:r>
      <w:proofErr w:type="gramStart"/>
      <w:r w:rsidRPr="0016063E">
        <w:rPr>
          <w:lang w:eastAsia="en-AU"/>
        </w:rPr>
        <w:t>monitoring</w:t>
      </w:r>
      <w:proofErr w:type="gramEnd"/>
      <w:r w:rsidRPr="0016063E">
        <w:rPr>
          <w:lang w:eastAsia="en-AU"/>
        </w:rPr>
        <w:t xml:space="preserve"> and enforcement.</w:t>
      </w:r>
    </w:p>
    <w:tbl>
      <w:tblPr>
        <w:tblW w:w="7776" w:type="dxa"/>
        <w:tblInd w:w="29" w:type="dxa"/>
        <w:tblLayout w:type="fixed"/>
        <w:tblCellMar>
          <w:left w:w="43" w:type="dxa"/>
          <w:right w:w="43" w:type="dxa"/>
        </w:tblCellMar>
        <w:tblLook w:val="00A0" w:firstRow="1" w:lastRow="0" w:firstColumn="1" w:lastColumn="0" w:noHBand="0" w:noVBand="0"/>
      </w:tblPr>
      <w:tblGrid>
        <w:gridCol w:w="3155"/>
        <w:gridCol w:w="907"/>
        <w:gridCol w:w="907"/>
        <w:gridCol w:w="993"/>
        <w:gridCol w:w="907"/>
        <w:gridCol w:w="907"/>
      </w:tblGrid>
      <w:tr w:rsidR="00A53D7D" w:rsidRPr="00A475B8" w:rsidTr="005140B4">
        <w:trPr>
          <w:cantSplit/>
          <w:tblHeader/>
        </w:trPr>
        <w:tc>
          <w:tcPr>
            <w:tcW w:w="3155" w:type="dxa"/>
            <w:tcBorders>
              <w:top w:val="single" w:sz="4" w:space="0" w:color="auto"/>
              <w:left w:val="single" w:sz="4" w:space="0" w:color="auto"/>
              <w:right w:val="nil"/>
            </w:tcBorders>
            <w:shd w:val="clear" w:color="auto" w:fill="000000"/>
            <w:vAlign w:val="bottom"/>
          </w:tcPr>
          <w:p w:rsidR="00A53D7D" w:rsidRPr="00EC2CB7" w:rsidRDefault="00A53D7D" w:rsidP="005140B4">
            <w:pPr>
              <w:pStyle w:val="OGTabColLeft"/>
              <w:rPr>
                <w:i/>
                <w:color w:val="FFFFFF"/>
              </w:rPr>
            </w:pPr>
            <w:r w:rsidRPr="00EC2CB7">
              <w:rPr>
                <w:color w:val="FFFFFF"/>
              </w:rPr>
              <w:t>Major Outputs/Deliverables</w:t>
            </w:r>
            <w:r w:rsidRPr="00EC2CB7">
              <w:rPr>
                <w:color w:val="FFFFFF"/>
              </w:rPr>
              <w:br/>
            </w:r>
            <w:r w:rsidRPr="00EC2CB7">
              <w:rPr>
                <w:b w:val="0"/>
                <w:i/>
                <w:color w:val="FFFFFF"/>
              </w:rPr>
              <w:t>Performance measures</w:t>
            </w:r>
          </w:p>
        </w:tc>
        <w:tc>
          <w:tcPr>
            <w:tcW w:w="907" w:type="dxa"/>
            <w:tcBorders>
              <w:top w:val="single" w:sz="4" w:space="0" w:color="auto"/>
              <w:left w:val="nil"/>
              <w:right w:val="nil"/>
            </w:tcBorders>
            <w:shd w:val="clear" w:color="auto" w:fill="000000"/>
            <w:noWrap/>
            <w:vAlign w:val="bottom"/>
          </w:tcPr>
          <w:p w:rsidR="00A53D7D" w:rsidRPr="003E0A6C" w:rsidRDefault="00A53D7D" w:rsidP="005140B4">
            <w:pPr>
              <w:pStyle w:val="Tabletextheadingcentred"/>
            </w:pPr>
            <w:r w:rsidRPr="003E0A6C">
              <w:t xml:space="preserve">Unit of </w:t>
            </w:r>
            <w:r w:rsidRPr="003E0A6C">
              <w:br/>
            </w:r>
            <w:r>
              <w:t>m</w:t>
            </w:r>
            <w:r w:rsidRPr="003E0A6C">
              <w:t>easure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2014</w:t>
            </w:r>
            <w:r>
              <w:noBreakHyphen/>
              <w:t>15</w:t>
            </w:r>
            <w:r w:rsidRPr="00EC2CB7">
              <w:t xml:space="preserve"> Target</w:t>
            </w:r>
          </w:p>
        </w:tc>
        <w:tc>
          <w:tcPr>
            <w:tcW w:w="993"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Expected Outcome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Target</w:t>
            </w:r>
          </w:p>
        </w:tc>
        <w:tc>
          <w:tcPr>
            <w:tcW w:w="907" w:type="dxa"/>
            <w:tcBorders>
              <w:top w:val="single" w:sz="4" w:space="0" w:color="auto"/>
              <w:left w:val="nil"/>
              <w:right w:val="single" w:sz="4" w:space="0" w:color="auto"/>
            </w:tcBorders>
            <w:shd w:val="clear" w:color="auto" w:fill="000000"/>
            <w:noWrap/>
            <w:vAlign w:val="bottom"/>
          </w:tcPr>
          <w:p w:rsidR="00A53D7D" w:rsidRPr="00EC2CB7" w:rsidRDefault="00A53D7D" w:rsidP="005140B4">
            <w:pPr>
              <w:pStyle w:val="Tabletextheading"/>
            </w:pPr>
            <w:r w:rsidRPr="00EC2CB7">
              <w:t>2012</w:t>
            </w:r>
            <w:r>
              <w:noBreakHyphen/>
            </w:r>
            <w:r w:rsidRPr="00EC2CB7">
              <w:t>13 Actual</w:t>
            </w:r>
          </w:p>
        </w:tc>
      </w:tr>
      <w:tr w:rsidR="00A53D7D" w:rsidRPr="00A475B8" w:rsidTr="005140B4">
        <w:tblPrEx>
          <w:tblBorders>
            <w:bottom w:val="single" w:sz="12" w:space="0" w:color="auto"/>
          </w:tblBorders>
        </w:tblPrEx>
        <w:trPr>
          <w:cantSplit/>
        </w:trPr>
        <w:tc>
          <w:tcPr>
            <w:tcW w:w="7776" w:type="dxa"/>
            <w:gridSpan w:val="6"/>
            <w:tcBorders>
              <w:bottom w:val="nil"/>
            </w:tcBorders>
            <w:vAlign w:val="center"/>
          </w:tcPr>
          <w:p w:rsidR="00A53D7D" w:rsidRPr="00EC2CB7" w:rsidRDefault="00A53D7D" w:rsidP="005140B4">
            <w:pPr>
              <w:pStyle w:val="OGHeading2"/>
              <w:rPr>
                <w:bCs/>
                <w:color w:val="000000"/>
                <w:lang w:eastAsia="en-AU"/>
              </w:rPr>
            </w:pPr>
            <w:r w:rsidRPr="00EC2CB7">
              <w:rPr>
                <w:color w:val="000000"/>
                <w:lang w:eastAsia="en-AU"/>
              </w:rPr>
              <w:t>Gambling and Liquor Regulation and Racing Industry Development</w:t>
            </w:r>
          </w:p>
        </w:tc>
      </w:tr>
      <w:tr w:rsidR="00A53D7D" w:rsidRPr="00A475B8" w:rsidTr="005140B4">
        <w:tblPrEx>
          <w:tblBorders>
            <w:bottom w:val="single" w:sz="12" w:space="0" w:color="auto"/>
          </w:tblBorders>
        </w:tblPrEx>
        <w:trPr>
          <w:cantSplit/>
        </w:trPr>
        <w:tc>
          <w:tcPr>
            <w:tcW w:w="7776" w:type="dxa"/>
            <w:gridSpan w:val="6"/>
            <w:tcBorders>
              <w:bottom w:val="single" w:sz="6" w:space="0" w:color="auto"/>
            </w:tcBorders>
            <w:vAlign w:val="center"/>
          </w:tcPr>
          <w:p w:rsidR="00A53D7D" w:rsidRPr="006E2906" w:rsidRDefault="00A53D7D" w:rsidP="005140B4">
            <w:pPr>
              <w:pStyle w:val="OGTabText"/>
              <w:rPr>
                <w:highlight w:val="yellow"/>
                <w:lang w:eastAsia="en-AU"/>
              </w:rPr>
            </w:pPr>
            <w:r w:rsidRPr="006E2906">
              <w:rPr>
                <w:lang w:eastAsia="en-AU"/>
              </w:rPr>
              <w:t xml:space="preserve">This output provides for monitoring and regulation of gambling and liquor activities in </w:t>
            </w:r>
            <w:smartTag w:uri="urn:schemas-microsoft-com:office:smarttags" w:element="place">
              <w:smartTag w:uri="urn:schemas-microsoft-com:office:smarttags" w:element="State">
                <w:r w:rsidRPr="006E2906">
                  <w:rPr>
                    <w:lang w:eastAsia="en-AU"/>
                  </w:rPr>
                  <w:t>Victoria</w:t>
                </w:r>
              </w:smartTag>
            </w:smartTag>
            <w:r w:rsidRPr="006E2906">
              <w:rPr>
                <w:lang w:eastAsia="en-AU"/>
              </w:rPr>
              <w:t>. It also provides leadership and strategic policy advice to the Minister for Liquor and Gaming Regulation and the Minister for Racing on t</w:t>
            </w:r>
            <w:r>
              <w:rPr>
                <w:lang w:eastAsia="en-AU"/>
              </w:rPr>
              <w:t>he regulation of the gambling,</w:t>
            </w:r>
            <w:r w:rsidRPr="006E2906">
              <w:rPr>
                <w:lang w:eastAsia="en-AU"/>
              </w:rPr>
              <w:t xml:space="preserve"> liquor</w:t>
            </w:r>
            <w:r>
              <w:rPr>
                <w:lang w:eastAsia="en-AU"/>
              </w:rPr>
              <w:t xml:space="preserve"> and racing</w:t>
            </w:r>
            <w:r w:rsidRPr="006E2906">
              <w:rPr>
                <w:lang w:eastAsia="en-AU"/>
              </w:rPr>
              <w:t xml:space="preserve"> industries, problem gambling and harm minimisation in relation to liquor and gambling, as well as development support for the racing industry.</w:t>
            </w:r>
          </w:p>
        </w:tc>
      </w:tr>
      <w:tr w:rsidR="00A53D7D" w:rsidRPr="00A475B8" w:rsidTr="005140B4">
        <w:tblPrEx>
          <w:tblBorders>
            <w:bottom w:val="single" w:sz="12" w:space="0" w:color="auto"/>
          </w:tblBorders>
        </w:tblPrEx>
        <w:trPr>
          <w:cantSplit/>
        </w:trPr>
        <w:tc>
          <w:tcPr>
            <w:tcW w:w="3155" w:type="dxa"/>
            <w:tcBorders>
              <w:top w:val="single" w:sz="6" w:space="0" w:color="auto"/>
              <w:bottom w:val="nil"/>
            </w:tcBorders>
            <w:vAlign w:val="center"/>
          </w:tcPr>
          <w:p w:rsidR="00A53D7D" w:rsidRPr="00B2174E" w:rsidRDefault="00A53D7D" w:rsidP="005140B4">
            <w:pPr>
              <w:pStyle w:val="OGTabHead"/>
              <w:rPr>
                <w:color w:val="000000"/>
                <w:lang w:eastAsia="en-AU"/>
              </w:rPr>
            </w:pPr>
            <w:r w:rsidRPr="00B2174E">
              <w:rPr>
                <w:iCs/>
                <w:color w:val="000000"/>
                <w:lang w:eastAsia="en-AU"/>
              </w:rPr>
              <w:t>Quantity</w:t>
            </w:r>
          </w:p>
        </w:tc>
        <w:tc>
          <w:tcPr>
            <w:tcW w:w="907" w:type="dxa"/>
            <w:tcBorders>
              <w:top w:val="single" w:sz="6" w:space="0" w:color="auto"/>
              <w:bottom w:val="nil"/>
            </w:tcBorders>
          </w:tcPr>
          <w:p w:rsidR="00A53D7D" w:rsidRPr="00B2174E" w:rsidRDefault="00A53D7D" w:rsidP="005140B4">
            <w:pPr>
              <w:pStyle w:val="OGUoM"/>
              <w:rPr>
                <w:color w:val="000000"/>
                <w:lang w:eastAsia="en-AU"/>
              </w:rPr>
            </w:pPr>
          </w:p>
        </w:tc>
        <w:tc>
          <w:tcPr>
            <w:tcW w:w="907" w:type="dxa"/>
            <w:tcBorders>
              <w:top w:val="single" w:sz="6" w:space="0" w:color="auto"/>
              <w:bottom w:val="nil"/>
            </w:tcBorders>
            <w:shd w:val="clear" w:color="auto" w:fill="D9D9D9"/>
            <w:vAlign w:val="center"/>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bottom w:val="nil"/>
            </w:tcBorders>
            <w:vAlign w:val="center"/>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bottom w:val="nil"/>
            </w:tcBorders>
            <w:vAlign w:val="center"/>
          </w:tcPr>
          <w:p w:rsidR="00A53D7D" w:rsidRPr="00B2174E" w:rsidRDefault="00A53D7D" w:rsidP="005140B4">
            <w:pPr>
              <w:pStyle w:val="OGTableofFigures"/>
              <w:rPr>
                <w:color w:val="000000"/>
                <w:lang w:eastAsia="en-AU"/>
              </w:rPr>
            </w:pPr>
            <w:r w:rsidRPr="00B2174E">
              <w:rPr>
                <w:color w:val="000000"/>
                <w:lang w:eastAsia="en-AU"/>
              </w:rPr>
              <w:t> </w:t>
            </w:r>
          </w:p>
        </w:tc>
        <w:tc>
          <w:tcPr>
            <w:tcW w:w="907" w:type="dxa"/>
            <w:tcBorders>
              <w:top w:val="single" w:sz="6" w:space="0" w:color="auto"/>
              <w:bottom w:val="nil"/>
            </w:tcBorders>
            <w:vAlign w:val="center"/>
          </w:tcPr>
          <w:p w:rsidR="00A53D7D" w:rsidRPr="00B2174E" w:rsidRDefault="00A53D7D" w:rsidP="005140B4">
            <w:pPr>
              <w:pStyle w:val="OGTableofFigures"/>
              <w:rPr>
                <w:color w:val="000000"/>
                <w:lang w:eastAsia="en-AU"/>
              </w:rPr>
            </w:pPr>
            <w:r w:rsidRPr="00B2174E">
              <w:rPr>
                <w:color w:val="000000"/>
                <w:lang w:eastAsia="en-AU"/>
              </w:rPr>
              <w:t> </w:t>
            </w:r>
          </w:p>
        </w:tc>
      </w:tr>
      <w:tr w:rsidR="00A53D7D" w:rsidRPr="00A475B8" w:rsidTr="005140B4">
        <w:tblPrEx>
          <w:tblBorders>
            <w:bottom w:val="single" w:sz="12" w:space="0" w:color="auto"/>
          </w:tblBorders>
        </w:tblPrEx>
        <w:trPr>
          <w:cantSplit/>
        </w:trPr>
        <w:tc>
          <w:tcPr>
            <w:tcW w:w="3155" w:type="dxa"/>
            <w:tcBorders>
              <w:bottom w:val="single" w:sz="6" w:space="0" w:color="auto"/>
            </w:tcBorders>
            <w:vAlign w:val="center"/>
          </w:tcPr>
          <w:p w:rsidR="00A53D7D" w:rsidRPr="00B2174E" w:rsidRDefault="00A53D7D" w:rsidP="005140B4">
            <w:pPr>
              <w:pStyle w:val="OGTabText"/>
              <w:rPr>
                <w:color w:val="000000"/>
                <w:lang w:eastAsia="en-AU"/>
              </w:rPr>
            </w:pPr>
            <w:r w:rsidRPr="00B2174E">
              <w:rPr>
                <w:color w:val="000000"/>
                <w:lang w:eastAsia="en-AU"/>
              </w:rPr>
              <w:t>Liquor and gambling compliance activities (VCGLR)</w:t>
            </w:r>
          </w:p>
        </w:tc>
        <w:tc>
          <w:tcPr>
            <w:tcW w:w="907" w:type="dxa"/>
            <w:tcBorders>
              <w:bottom w:val="single" w:sz="6" w:space="0" w:color="auto"/>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bottom w:val="single" w:sz="6" w:space="0" w:color="auto"/>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25 000</w:t>
            </w:r>
          </w:p>
        </w:tc>
        <w:tc>
          <w:tcPr>
            <w:tcW w:w="993" w:type="dxa"/>
            <w:tcBorders>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25</w:t>
            </w:r>
            <w:r>
              <w:rPr>
                <w:color w:val="000000"/>
                <w:lang w:eastAsia="en-AU"/>
              </w:rPr>
              <w:t> </w:t>
            </w:r>
            <w:r w:rsidRPr="00B2174E">
              <w:rPr>
                <w:color w:val="000000"/>
                <w:lang w:eastAsia="en-AU"/>
              </w:rPr>
              <w:t>000</w:t>
            </w:r>
          </w:p>
        </w:tc>
        <w:tc>
          <w:tcPr>
            <w:tcW w:w="907" w:type="dxa"/>
            <w:tcBorders>
              <w:bottom w:val="single" w:sz="6" w:space="0" w:color="auto"/>
            </w:tcBorders>
          </w:tcPr>
          <w:p w:rsidR="00A53D7D" w:rsidRPr="003B380F" w:rsidRDefault="00A53D7D" w:rsidP="005140B4">
            <w:pPr>
              <w:pStyle w:val="OGTableofFigures"/>
              <w:rPr>
                <w:color w:val="000000"/>
                <w:lang w:eastAsia="en-AU"/>
              </w:rPr>
            </w:pPr>
            <w:r w:rsidRPr="00B2174E">
              <w:rPr>
                <w:color w:val="000000"/>
                <w:lang w:eastAsia="en-AU"/>
              </w:rPr>
              <w:t>25</w:t>
            </w:r>
            <w:r>
              <w:rPr>
                <w:color w:val="000000"/>
                <w:lang w:eastAsia="en-AU"/>
              </w:rPr>
              <w:t> </w:t>
            </w:r>
            <w:r w:rsidRPr="00B2174E">
              <w:rPr>
                <w:color w:val="000000"/>
                <w:lang w:eastAsia="en-AU"/>
              </w:rPr>
              <w:t>000</w:t>
            </w:r>
            <w:r w:rsidRPr="003B380F">
              <w:rPr>
                <w:color w:val="000000"/>
                <w:lang w:eastAsia="en-AU"/>
              </w:rPr>
              <w:br/>
            </w:r>
          </w:p>
        </w:tc>
        <w:tc>
          <w:tcPr>
            <w:tcW w:w="907" w:type="dxa"/>
            <w:tcBorders>
              <w:bottom w:val="single" w:sz="6" w:space="0" w:color="auto"/>
            </w:tcBorders>
          </w:tcPr>
          <w:p w:rsidR="00A53D7D" w:rsidRPr="003B380F" w:rsidRDefault="00A53D7D" w:rsidP="005140B4">
            <w:pPr>
              <w:pStyle w:val="OGTableofFigures"/>
              <w:rPr>
                <w:color w:val="000000"/>
                <w:lang w:eastAsia="en-AU"/>
              </w:rPr>
            </w:pPr>
            <w:r w:rsidRPr="00B2174E">
              <w:rPr>
                <w:color w:val="000000"/>
                <w:lang w:eastAsia="en-AU"/>
              </w:rPr>
              <w:t>nm</w:t>
            </w:r>
          </w:p>
        </w:tc>
      </w:tr>
      <w:tr w:rsidR="00A53D7D" w:rsidRPr="00A475B8" w:rsidTr="005140B4">
        <w:tblPrEx>
          <w:tblBorders>
            <w:bottom w:val="single" w:sz="12" w:space="0" w:color="auto"/>
          </w:tblBorders>
        </w:tblPrEx>
        <w:trPr>
          <w:cantSplit/>
        </w:trPr>
        <w:tc>
          <w:tcPr>
            <w:tcW w:w="3155" w:type="dxa"/>
            <w:tcBorders>
              <w:top w:val="single" w:sz="6" w:space="0" w:color="auto"/>
              <w:bottom w:val="single" w:sz="6" w:space="0" w:color="auto"/>
            </w:tcBorders>
            <w:vAlign w:val="center"/>
          </w:tcPr>
          <w:p w:rsidR="00A53D7D" w:rsidRPr="00B2174E" w:rsidRDefault="00A53D7D" w:rsidP="005140B4">
            <w:pPr>
              <w:pStyle w:val="OGTabText"/>
              <w:rPr>
                <w:color w:val="000000"/>
                <w:lang w:eastAsia="en-AU"/>
              </w:rPr>
            </w:pPr>
            <w:r w:rsidRPr="00B2174E">
              <w:rPr>
                <w:color w:val="000000"/>
                <w:lang w:eastAsia="en-AU"/>
              </w:rPr>
              <w:t>Liquor and gambling licensing activities (VCGLR)</w:t>
            </w:r>
          </w:p>
        </w:tc>
        <w:tc>
          <w:tcPr>
            <w:tcW w:w="907" w:type="dxa"/>
            <w:tcBorders>
              <w:top w:val="single" w:sz="6" w:space="0" w:color="auto"/>
              <w:bottom w:val="single" w:sz="6" w:space="0" w:color="auto"/>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bottom w:val="single" w:sz="6" w:space="0" w:color="auto"/>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43 000</w:t>
            </w:r>
          </w:p>
        </w:tc>
        <w:tc>
          <w:tcPr>
            <w:tcW w:w="993" w:type="dxa"/>
            <w:tcBorders>
              <w:top w:val="single" w:sz="6" w:space="0" w:color="auto"/>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43 000</w:t>
            </w:r>
          </w:p>
        </w:tc>
        <w:tc>
          <w:tcPr>
            <w:tcW w:w="907" w:type="dxa"/>
            <w:tcBorders>
              <w:top w:val="single" w:sz="6" w:space="0" w:color="auto"/>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43 000</w:t>
            </w:r>
          </w:p>
        </w:tc>
        <w:tc>
          <w:tcPr>
            <w:tcW w:w="907" w:type="dxa"/>
            <w:tcBorders>
              <w:top w:val="single" w:sz="6" w:space="0" w:color="auto"/>
              <w:bottom w:val="single" w:sz="6" w:space="0" w:color="auto"/>
            </w:tcBorders>
          </w:tcPr>
          <w:p w:rsidR="00A53D7D" w:rsidRPr="003B380F" w:rsidRDefault="00A53D7D" w:rsidP="005140B4">
            <w:pPr>
              <w:pStyle w:val="OGTableofFigures"/>
              <w:rPr>
                <w:color w:val="000000"/>
                <w:lang w:eastAsia="en-AU"/>
              </w:rPr>
            </w:pPr>
            <w:r w:rsidRPr="00B2174E">
              <w:rPr>
                <w:color w:val="000000"/>
                <w:lang w:eastAsia="en-AU"/>
              </w:rPr>
              <w:t>nm</w:t>
            </w:r>
          </w:p>
        </w:tc>
      </w:tr>
      <w:tr w:rsidR="00A53D7D" w:rsidRPr="00A475B8" w:rsidTr="005140B4">
        <w:tblPrEx>
          <w:tblBorders>
            <w:bottom w:val="single" w:sz="12" w:space="0" w:color="auto"/>
          </w:tblBorders>
        </w:tblPrEx>
        <w:trPr>
          <w:cantSplit/>
        </w:trPr>
        <w:tc>
          <w:tcPr>
            <w:tcW w:w="3155" w:type="dxa"/>
            <w:tcBorders>
              <w:top w:val="single" w:sz="6" w:space="0" w:color="auto"/>
              <w:bottom w:val="single" w:sz="6" w:space="0" w:color="auto"/>
            </w:tcBorders>
            <w:vAlign w:val="center"/>
          </w:tcPr>
          <w:p w:rsidR="00A53D7D" w:rsidRPr="00B2174E" w:rsidRDefault="00A53D7D" w:rsidP="005140B4">
            <w:pPr>
              <w:pStyle w:val="OGTabText"/>
              <w:rPr>
                <w:color w:val="000000"/>
                <w:lang w:eastAsia="en-AU"/>
              </w:rPr>
            </w:pPr>
            <w:r w:rsidRPr="00B2174E">
              <w:rPr>
                <w:color w:val="000000"/>
                <w:lang w:eastAsia="en-AU"/>
              </w:rPr>
              <w:t>Liquor and gambling information and advice (VCGLR)</w:t>
            </w:r>
          </w:p>
        </w:tc>
        <w:tc>
          <w:tcPr>
            <w:tcW w:w="907" w:type="dxa"/>
            <w:tcBorders>
              <w:top w:val="single" w:sz="6" w:space="0" w:color="auto"/>
              <w:bottom w:val="single" w:sz="6" w:space="0" w:color="auto"/>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bottom w:val="single" w:sz="6" w:space="0" w:color="auto"/>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128 000</w:t>
            </w:r>
          </w:p>
        </w:tc>
        <w:tc>
          <w:tcPr>
            <w:tcW w:w="993" w:type="dxa"/>
            <w:tcBorders>
              <w:top w:val="single" w:sz="6" w:space="0" w:color="auto"/>
              <w:bottom w:val="single" w:sz="6" w:space="0" w:color="auto"/>
            </w:tcBorders>
          </w:tcPr>
          <w:p w:rsidR="00A53D7D" w:rsidRPr="00B2174E" w:rsidRDefault="00A53D7D" w:rsidP="005140B4">
            <w:pPr>
              <w:pStyle w:val="OGTableofFigures"/>
              <w:rPr>
                <w:color w:val="000000"/>
                <w:lang w:eastAsia="en-AU"/>
              </w:rPr>
            </w:pPr>
            <w:r w:rsidRPr="003B380F">
              <w:rPr>
                <w:color w:val="000000"/>
                <w:lang w:eastAsia="en-AU"/>
              </w:rPr>
              <w:t>131</w:t>
            </w:r>
            <w:r>
              <w:rPr>
                <w:color w:val="000000"/>
                <w:lang w:eastAsia="en-AU"/>
              </w:rPr>
              <w:t> </w:t>
            </w:r>
            <w:r w:rsidRPr="003B380F">
              <w:rPr>
                <w:color w:val="000000"/>
                <w:lang w:eastAsia="en-AU"/>
              </w:rPr>
              <w:t>000</w:t>
            </w:r>
          </w:p>
        </w:tc>
        <w:tc>
          <w:tcPr>
            <w:tcW w:w="907" w:type="dxa"/>
            <w:tcBorders>
              <w:top w:val="single" w:sz="6" w:space="0" w:color="auto"/>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128 000</w:t>
            </w:r>
          </w:p>
        </w:tc>
        <w:tc>
          <w:tcPr>
            <w:tcW w:w="907" w:type="dxa"/>
            <w:tcBorders>
              <w:top w:val="single" w:sz="6" w:space="0" w:color="auto"/>
              <w:bottom w:val="single" w:sz="6" w:space="0" w:color="auto"/>
            </w:tcBorders>
          </w:tcPr>
          <w:p w:rsidR="00A53D7D" w:rsidRPr="003B380F" w:rsidRDefault="00A53D7D" w:rsidP="005140B4">
            <w:pPr>
              <w:pStyle w:val="OGTableofFigures"/>
              <w:rPr>
                <w:color w:val="000000"/>
                <w:lang w:eastAsia="en-AU"/>
              </w:rPr>
            </w:pPr>
            <w:r w:rsidRPr="00B2174E">
              <w:rPr>
                <w:color w:val="000000"/>
                <w:lang w:eastAsia="en-AU"/>
              </w:rPr>
              <w:t>nm</w:t>
            </w:r>
          </w:p>
        </w:tc>
      </w:tr>
      <w:tr w:rsidR="00A53D7D" w:rsidRPr="00A475B8" w:rsidTr="005140B4">
        <w:tblPrEx>
          <w:tblBorders>
            <w:bottom w:val="single" w:sz="12" w:space="0" w:color="auto"/>
          </w:tblBorders>
        </w:tblPrEx>
        <w:trPr>
          <w:cantSplit/>
        </w:trPr>
        <w:tc>
          <w:tcPr>
            <w:tcW w:w="3155" w:type="dxa"/>
            <w:tcBorders>
              <w:top w:val="single" w:sz="6" w:space="0" w:color="auto"/>
              <w:bottom w:val="single" w:sz="6" w:space="0" w:color="auto"/>
            </w:tcBorders>
            <w:vAlign w:val="center"/>
          </w:tcPr>
          <w:p w:rsidR="00A53D7D" w:rsidRPr="00B2174E" w:rsidRDefault="00A53D7D" w:rsidP="005140B4">
            <w:pPr>
              <w:pStyle w:val="OGTabText"/>
              <w:rPr>
                <w:color w:val="000000"/>
                <w:lang w:eastAsia="en-AU"/>
              </w:rPr>
            </w:pPr>
            <w:r w:rsidRPr="00B2174E">
              <w:rPr>
                <w:color w:val="000000"/>
                <w:lang w:eastAsia="en-AU"/>
              </w:rPr>
              <w:t>Office of Liquor, Gaming and Racing briefings processed</w:t>
            </w:r>
          </w:p>
        </w:tc>
        <w:tc>
          <w:tcPr>
            <w:tcW w:w="907" w:type="dxa"/>
            <w:tcBorders>
              <w:top w:val="single" w:sz="6" w:space="0" w:color="auto"/>
              <w:bottom w:val="single" w:sz="6" w:space="0" w:color="auto"/>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bottom w:val="single" w:sz="6" w:space="0" w:color="auto"/>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700</w:t>
            </w:r>
          </w:p>
        </w:tc>
        <w:tc>
          <w:tcPr>
            <w:tcW w:w="993" w:type="dxa"/>
            <w:tcBorders>
              <w:top w:val="single" w:sz="6" w:space="0" w:color="auto"/>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700</w:t>
            </w:r>
          </w:p>
        </w:tc>
        <w:tc>
          <w:tcPr>
            <w:tcW w:w="907" w:type="dxa"/>
            <w:tcBorders>
              <w:top w:val="single" w:sz="6" w:space="0" w:color="auto"/>
              <w:bottom w:val="single" w:sz="6" w:space="0" w:color="auto"/>
            </w:tcBorders>
          </w:tcPr>
          <w:p w:rsidR="00A53D7D" w:rsidRPr="003B380F" w:rsidRDefault="00A53D7D" w:rsidP="005140B4">
            <w:pPr>
              <w:pStyle w:val="OGTableofFigures"/>
              <w:rPr>
                <w:color w:val="000000"/>
                <w:lang w:eastAsia="en-AU"/>
              </w:rPr>
            </w:pPr>
            <w:r w:rsidRPr="00B2174E">
              <w:rPr>
                <w:color w:val="000000"/>
                <w:lang w:eastAsia="en-AU"/>
              </w:rPr>
              <w:t>700</w:t>
            </w:r>
            <w:r w:rsidRPr="003B380F">
              <w:rPr>
                <w:color w:val="000000"/>
                <w:lang w:eastAsia="en-AU"/>
              </w:rPr>
              <w:br/>
            </w:r>
          </w:p>
        </w:tc>
        <w:tc>
          <w:tcPr>
            <w:tcW w:w="907" w:type="dxa"/>
            <w:tcBorders>
              <w:top w:val="single" w:sz="6" w:space="0" w:color="auto"/>
              <w:bottom w:val="single" w:sz="6" w:space="0" w:color="auto"/>
            </w:tcBorders>
          </w:tcPr>
          <w:p w:rsidR="00A53D7D" w:rsidRPr="003B380F" w:rsidRDefault="00A53D7D" w:rsidP="005140B4">
            <w:pPr>
              <w:pStyle w:val="OGTableofFigures"/>
              <w:rPr>
                <w:color w:val="000000"/>
                <w:lang w:eastAsia="en-AU"/>
              </w:rPr>
            </w:pPr>
            <w:r w:rsidRPr="003B380F">
              <w:rPr>
                <w:color w:val="000000"/>
                <w:lang w:eastAsia="en-AU"/>
              </w:rPr>
              <w:t>759</w:t>
            </w:r>
          </w:p>
        </w:tc>
      </w:tr>
      <w:tr w:rsidR="00A53D7D" w:rsidRPr="00B30477" w:rsidTr="005140B4">
        <w:tblPrEx>
          <w:tblBorders>
            <w:bottom w:val="single" w:sz="12" w:space="0" w:color="auto"/>
          </w:tblBorders>
        </w:tblPrEx>
        <w:trPr>
          <w:cantSplit/>
        </w:trPr>
        <w:tc>
          <w:tcPr>
            <w:tcW w:w="3155" w:type="dxa"/>
            <w:tcBorders>
              <w:top w:val="single" w:sz="6" w:space="0" w:color="auto"/>
              <w:bottom w:val="single" w:sz="6" w:space="0" w:color="auto"/>
            </w:tcBorders>
            <w:vAlign w:val="center"/>
          </w:tcPr>
          <w:p w:rsidR="00A53D7D" w:rsidRPr="00B2174E" w:rsidRDefault="00A53D7D" w:rsidP="005140B4">
            <w:pPr>
              <w:pStyle w:val="OGTabText"/>
              <w:rPr>
                <w:color w:val="000000"/>
                <w:lang w:eastAsia="en-AU"/>
              </w:rPr>
            </w:pPr>
            <w:r w:rsidRPr="00B2174E">
              <w:rPr>
                <w:color w:val="000000"/>
                <w:lang w:eastAsia="en-AU"/>
              </w:rPr>
              <w:t>Racing industry development initiatives delivered</w:t>
            </w:r>
          </w:p>
        </w:tc>
        <w:tc>
          <w:tcPr>
            <w:tcW w:w="907" w:type="dxa"/>
            <w:tcBorders>
              <w:top w:val="single" w:sz="6" w:space="0" w:color="auto"/>
              <w:bottom w:val="single" w:sz="6" w:space="0" w:color="auto"/>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bottom w:val="single" w:sz="6" w:space="0" w:color="auto"/>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7</w:t>
            </w:r>
          </w:p>
        </w:tc>
        <w:tc>
          <w:tcPr>
            <w:tcW w:w="993" w:type="dxa"/>
            <w:tcBorders>
              <w:top w:val="single" w:sz="6" w:space="0" w:color="auto"/>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7</w:t>
            </w:r>
          </w:p>
        </w:tc>
        <w:tc>
          <w:tcPr>
            <w:tcW w:w="907" w:type="dxa"/>
            <w:tcBorders>
              <w:top w:val="single" w:sz="6" w:space="0" w:color="auto"/>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7</w:t>
            </w:r>
          </w:p>
        </w:tc>
        <w:tc>
          <w:tcPr>
            <w:tcW w:w="907" w:type="dxa"/>
            <w:tcBorders>
              <w:top w:val="single" w:sz="6" w:space="0" w:color="auto"/>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7</w:t>
            </w:r>
          </w:p>
        </w:tc>
      </w:tr>
      <w:tr w:rsidR="00A53D7D" w:rsidRPr="00A475B8" w:rsidTr="005140B4">
        <w:tblPrEx>
          <w:tblBorders>
            <w:bottom w:val="single" w:sz="12" w:space="0" w:color="auto"/>
          </w:tblBorders>
        </w:tblPrEx>
        <w:trPr>
          <w:cantSplit/>
        </w:trPr>
        <w:tc>
          <w:tcPr>
            <w:tcW w:w="3155" w:type="dxa"/>
            <w:tcBorders>
              <w:top w:val="single" w:sz="6" w:space="0" w:color="auto"/>
              <w:bottom w:val="single" w:sz="6" w:space="0" w:color="auto"/>
            </w:tcBorders>
            <w:vAlign w:val="center"/>
          </w:tcPr>
          <w:p w:rsidR="00A53D7D" w:rsidRPr="00B2174E" w:rsidRDefault="00A53D7D" w:rsidP="005140B4">
            <w:pPr>
              <w:pStyle w:val="OGTabText"/>
              <w:keepNext/>
              <w:rPr>
                <w:color w:val="000000"/>
                <w:lang w:eastAsia="en-AU"/>
              </w:rPr>
            </w:pPr>
            <w:r w:rsidRPr="00B2174E">
              <w:rPr>
                <w:color w:val="000000"/>
                <w:lang w:eastAsia="en-AU"/>
              </w:rPr>
              <w:t>Racing matters processed (including licences, permits, appeals, registrations and grant applications)</w:t>
            </w:r>
          </w:p>
        </w:tc>
        <w:tc>
          <w:tcPr>
            <w:tcW w:w="907" w:type="dxa"/>
            <w:tcBorders>
              <w:top w:val="single" w:sz="6" w:space="0" w:color="auto"/>
              <w:bottom w:val="single" w:sz="6" w:space="0" w:color="auto"/>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bottom w:val="single" w:sz="6" w:space="0" w:color="auto"/>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274</w:t>
            </w:r>
          </w:p>
        </w:tc>
        <w:tc>
          <w:tcPr>
            <w:tcW w:w="993" w:type="dxa"/>
            <w:tcBorders>
              <w:top w:val="single" w:sz="6" w:space="0" w:color="auto"/>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274</w:t>
            </w:r>
          </w:p>
        </w:tc>
        <w:tc>
          <w:tcPr>
            <w:tcW w:w="907" w:type="dxa"/>
            <w:tcBorders>
              <w:top w:val="single" w:sz="6" w:space="0" w:color="auto"/>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274</w:t>
            </w:r>
            <w:r w:rsidRPr="00B2174E">
              <w:rPr>
                <w:color w:val="000000"/>
                <w:lang w:eastAsia="en-AU"/>
              </w:rPr>
              <w:br/>
            </w:r>
          </w:p>
        </w:tc>
        <w:tc>
          <w:tcPr>
            <w:tcW w:w="907" w:type="dxa"/>
            <w:tcBorders>
              <w:top w:val="single" w:sz="6" w:space="0" w:color="auto"/>
              <w:bottom w:val="single" w:sz="6" w:space="0" w:color="auto"/>
            </w:tcBorders>
          </w:tcPr>
          <w:p w:rsidR="00A53D7D" w:rsidRPr="003B380F" w:rsidRDefault="00A53D7D" w:rsidP="005140B4">
            <w:pPr>
              <w:pStyle w:val="OGTableofFigures"/>
              <w:rPr>
                <w:color w:val="000000"/>
                <w:lang w:eastAsia="en-AU"/>
              </w:rPr>
            </w:pPr>
            <w:r w:rsidRPr="00B2174E">
              <w:rPr>
                <w:color w:val="000000"/>
                <w:lang w:eastAsia="en-AU"/>
              </w:rPr>
              <w:t>284</w:t>
            </w:r>
          </w:p>
        </w:tc>
      </w:tr>
      <w:tr w:rsidR="00A53D7D" w:rsidRPr="00A475B8" w:rsidTr="005140B4">
        <w:tblPrEx>
          <w:tblBorders>
            <w:bottom w:val="single" w:sz="12" w:space="0" w:color="auto"/>
          </w:tblBorders>
        </w:tblPrEx>
        <w:trPr>
          <w:cantSplit/>
        </w:trPr>
        <w:tc>
          <w:tcPr>
            <w:tcW w:w="3155" w:type="dxa"/>
            <w:tcBorders>
              <w:top w:val="single" w:sz="6" w:space="0" w:color="auto"/>
              <w:bottom w:val="nil"/>
            </w:tcBorders>
            <w:vAlign w:val="center"/>
          </w:tcPr>
          <w:p w:rsidR="00A53D7D" w:rsidRPr="00B2174E" w:rsidRDefault="00A53D7D" w:rsidP="005140B4">
            <w:pPr>
              <w:pStyle w:val="OGTabHead"/>
              <w:rPr>
                <w:color w:val="000000"/>
                <w:lang w:eastAsia="en-AU"/>
              </w:rPr>
            </w:pPr>
            <w:r w:rsidRPr="00B2174E">
              <w:rPr>
                <w:iCs/>
                <w:color w:val="000000"/>
                <w:lang w:eastAsia="en-AU"/>
              </w:rPr>
              <w:t>Quality</w:t>
            </w:r>
          </w:p>
        </w:tc>
        <w:tc>
          <w:tcPr>
            <w:tcW w:w="907" w:type="dxa"/>
            <w:tcBorders>
              <w:top w:val="single" w:sz="6" w:space="0" w:color="auto"/>
              <w:bottom w:val="nil"/>
            </w:tcBorders>
          </w:tcPr>
          <w:p w:rsidR="00A53D7D" w:rsidRPr="00B2174E" w:rsidRDefault="00A53D7D" w:rsidP="005140B4">
            <w:pPr>
              <w:pStyle w:val="OGUoM"/>
              <w:rPr>
                <w:color w:val="000000"/>
                <w:lang w:eastAsia="en-AU"/>
              </w:rPr>
            </w:pPr>
          </w:p>
        </w:tc>
        <w:tc>
          <w:tcPr>
            <w:tcW w:w="907" w:type="dxa"/>
            <w:tcBorders>
              <w:top w:val="single" w:sz="6" w:space="0" w:color="auto"/>
              <w:bottom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bottom w:val="nil"/>
            </w:tcBorders>
          </w:tcPr>
          <w:p w:rsidR="00A53D7D" w:rsidRPr="00B2174E" w:rsidRDefault="00A53D7D" w:rsidP="005140B4">
            <w:pPr>
              <w:pStyle w:val="OGTableofFigures"/>
              <w:rPr>
                <w:color w:val="000000"/>
                <w:lang w:eastAsia="en-AU"/>
              </w:rPr>
            </w:pPr>
          </w:p>
        </w:tc>
        <w:tc>
          <w:tcPr>
            <w:tcW w:w="907" w:type="dxa"/>
            <w:tcBorders>
              <w:top w:val="single" w:sz="6" w:space="0" w:color="auto"/>
              <w:bottom w:val="nil"/>
            </w:tcBorders>
          </w:tcPr>
          <w:p w:rsidR="00A53D7D" w:rsidRPr="00B2174E" w:rsidRDefault="00A53D7D" w:rsidP="005140B4">
            <w:pPr>
              <w:pStyle w:val="OGTableofFigures"/>
              <w:rPr>
                <w:color w:val="000000"/>
                <w:lang w:eastAsia="en-AU"/>
              </w:rPr>
            </w:pPr>
          </w:p>
        </w:tc>
        <w:tc>
          <w:tcPr>
            <w:tcW w:w="907" w:type="dxa"/>
            <w:tcBorders>
              <w:top w:val="single" w:sz="6" w:space="0" w:color="auto"/>
              <w:bottom w:val="nil"/>
            </w:tcBorders>
          </w:tcPr>
          <w:p w:rsidR="00A53D7D" w:rsidRPr="00B2174E" w:rsidRDefault="00A53D7D" w:rsidP="005140B4">
            <w:pPr>
              <w:pStyle w:val="OGTableofFigures"/>
              <w:rPr>
                <w:color w:val="000000"/>
                <w:lang w:eastAsia="en-AU"/>
              </w:rPr>
            </w:pPr>
          </w:p>
        </w:tc>
      </w:tr>
      <w:tr w:rsidR="00A53D7D" w:rsidRPr="00B30477" w:rsidTr="005140B4">
        <w:tblPrEx>
          <w:tblBorders>
            <w:bottom w:val="single" w:sz="12" w:space="0" w:color="auto"/>
          </w:tblBorders>
        </w:tblPrEx>
        <w:trPr>
          <w:cantSplit/>
        </w:trPr>
        <w:tc>
          <w:tcPr>
            <w:tcW w:w="3155" w:type="dxa"/>
            <w:tcBorders>
              <w:bottom w:val="single" w:sz="6" w:space="0" w:color="auto"/>
            </w:tcBorders>
            <w:vAlign w:val="center"/>
          </w:tcPr>
          <w:p w:rsidR="00A53D7D" w:rsidRPr="00B2174E" w:rsidRDefault="00A53D7D" w:rsidP="005140B4">
            <w:pPr>
              <w:pStyle w:val="OGTabText"/>
              <w:rPr>
                <w:color w:val="000000"/>
                <w:lang w:eastAsia="en-AU"/>
              </w:rPr>
            </w:pPr>
            <w:r w:rsidRPr="00B2174E">
              <w:rPr>
                <w:iCs/>
                <w:color w:val="000000"/>
                <w:lang w:eastAsia="en-AU"/>
              </w:rPr>
              <w:t>Liquor and gambling licensing client satisfaction (VCGLR)</w:t>
            </w:r>
          </w:p>
        </w:tc>
        <w:tc>
          <w:tcPr>
            <w:tcW w:w="907" w:type="dxa"/>
            <w:tcBorders>
              <w:bottom w:val="single" w:sz="6" w:space="0" w:color="auto"/>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bottom w:val="single" w:sz="6" w:space="0" w:color="auto"/>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80</w:t>
            </w:r>
          </w:p>
        </w:tc>
        <w:tc>
          <w:tcPr>
            <w:tcW w:w="993" w:type="dxa"/>
            <w:tcBorders>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80</w:t>
            </w:r>
          </w:p>
        </w:tc>
        <w:tc>
          <w:tcPr>
            <w:tcW w:w="907" w:type="dxa"/>
            <w:tcBorders>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80</w:t>
            </w:r>
          </w:p>
        </w:tc>
        <w:tc>
          <w:tcPr>
            <w:tcW w:w="907" w:type="dxa"/>
            <w:tcBorders>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nm</w:t>
            </w:r>
          </w:p>
        </w:tc>
      </w:tr>
      <w:tr w:rsidR="00A53D7D" w:rsidRPr="00A475B8" w:rsidTr="005140B4">
        <w:tblPrEx>
          <w:tblBorders>
            <w:bottom w:val="single" w:sz="12" w:space="0" w:color="auto"/>
          </w:tblBorders>
        </w:tblPrEx>
        <w:trPr>
          <w:cantSplit/>
        </w:trPr>
        <w:tc>
          <w:tcPr>
            <w:tcW w:w="3155" w:type="dxa"/>
            <w:tcBorders>
              <w:top w:val="single" w:sz="6" w:space="0" w:color="auto"/>
              <w:bottom w:val="nil"/>
            </w:tcBorders>
            <w:vAlign w:val="center"/>
          </w:tcPr>
          <w:p w:rsidR="00A53D7D" w:rsidRPr="00B2174E" w:rsidRDefault="00A53D7D" w:rsidP="005140B4">
            <w:pPr>
              <w:pStyle w:val="OGTabHead"/>
              <w:pageBreakBefore/>
              <w:rPr>
                <w:lang w:eastAsia="en-AU"/>
              </w:rPr>
            </w:pPr>
            <w:r w:rsidRPr="00B2174E">
              <w:rPr>
                <w:iCs/>
                <w:color w:val="000000"/>
                <w:lang w:eastAsia="en-AU"/>
              </w:rPr>
              <w:t>Timeliness</w:t>
            </w:r>
          </w:p>
        </w:tc>
        <w:tc>
          <w:tcPr>
            <w:tcW w:w="907" w:type="dxa"/>
            <w:tcBorders>
              <w:top w:val="single" w:sz="6" w:space="0" w:color="auto"/>
              <w:bottom w:val="nil"/>
            </w:tcBorders>
          </w:tcPr>
          <w:p w:rsidR="00A53D7D" w:rsidRPr="00B2174E" w:rsidRDefault="00A53D7D" w:rsidP="005140B4">
            <w:pPr>
              <w:pStyle w:val="OGUoM"/>
              <w:rPr>
                <w:color w:val="000000"/>
                <w:lang w:eastAsia="en-AU"/>
              </w:rPr>
            </w:pPr>
          </w:p>
        </w:tc>
        <w:tc>
          <w:tcPr>
            <w:tcW w:w="907" w:type="dxa"/>
            <w:tcBorders>
              <w:top w:val="single" w:sz="6" w:space="0" w:color="auto"/>
              <w:bottom w:val="nil"/>
            </w:tcBorders>
            <w:shd w:val="clear" w:color="auto" w:fill="D9D9D9"/>
            <w:vAlign w:val="center"/>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bottom w:val="nil"/>
            </w:tcBorders>
            <w:vAlign w:val="center"/>
          </w:tcPr>
          <w:p w:rsidR="00A53D7D" w:rsidRPr="00B2174E" w:rsidRDefault="00A53D7D" w:rsidP="005140B4">
            <w:pPr>
              <w:pStyle w:val="OGTableofFigures"/>
              <w:rPr>
                <w:color w:val="000000"/>
                <w:lang w:eastAsia="en-AU"/>
              </w:rPr>
            </w:pPr>
          </w:p>
        </w:tc>
        <w:tc>
          <w:tcPr>
            <w:tcW w:w="907" w:type="dxa"/>
            <w:tcBorders>
              <w:top w:val="single" w:sz="6" w:space="0" w:color="auto"/>
              <w:bottom w:val="nil"/>
            </w:tcBorders>
            <w:vAlign w:val="center"/>
          </w:tcPr>
          <w:p w:rsidR="00A53D7D" w:rsidRPr="00B2174E" w:rsidRDefault="00A53D7D" w:rsidP="005140B4">
            <w:pPr>
              <w:pStyle w:val="OGTableofFigures"/>
              <w:rPr>
                <w:color w:val="000000"/>
                <w:lang w:eastAsia="en-AU"/>
              </w:rPr>
            </w:pPr>
          </w:p>
        </w:tc>
        <w:tc>
          <w:tcPr>
            <w:tcW w:w="907" w:type="dxa"/>
            <w:tcBorders>
              <w:top w:val="single" w:sz="6" w:space="0" w:color="auto"/>
              <w:bottom w:val="nil"/>
            </w:tcBorders>
            <w:vAlign w:val="center"/>
          </w:tcPr>
          <w:p w:rsidR="00A53D7D" w:rsidRPr="00B2174E" w:rsidRDefault="00A53D7D" w:rsidP="005140B4">
            <w:pPr>
              <w:pStyle w:val="OGTableofFigures"/>
              <w:rPr>
                <w:color w:val="000000"/>
                <w:lang w:eastAsia="en-AU"/>
              </w:rPr>
            </w:pPr>
          </w:p>
        </w:tc>
      </w:tr>
      <w:tr w:rsidR="00A53D7D" w:rsidRPr="00A475B8" w:rsidTr="005140B4">
        <w:tblPrEx>
          <w:tblBorders>
            <w:bottom w:val="single" w:sz="12" w:space="0" w:color="auto"/>
          </w:tblBorders>
        </w:tblPrEx>
        <w:trPr>
          <w:cantSplit/>
        </w:trPr>
        <w:tc>
          <w:tcPr>
            <w:tcW w:w="3155" w:type="dxa"/>
            <w:tcBorders>
              <w:bottom w:val="single" w:sz="6" w:space="0" w:color="auto"/>
            </w:tcBorders>
            <w:vAlign w:val="center"/>
          </w:tcPr>
          <w:p w:rsidR="00A53D7D" w:rsidRPr="00B2174E" w:rsidRDefault="00A53D7D" w:rsidP="005140B4">
            <w:pPr>
              <w:pStyle w:val="OGTabText"/>
              <w:rPr>
                <w:color w:val="000000"/>
                <w:lang w:eastAsia="en-AU"/>
              </w:rPr>
            </w:pPr>
            <w:r w:rsidRPr="00B2174E">
              <w:rPr>
                <w:color w:val="000000"/>
                <w:lang w:eastAsia="en-AU"/>
              </w:rPr>
              <w:t>Liquor and gambling information and advice responsiveness (VCGLR)</w:t>
            </w:r>
          </w:p>
        </w:tc>
        <w:tc>
          <w:tcPr>
            <w:tcW w:w="907" w:type="dxa"/>
            <w:tcBorders>
              <w:bottom w:val="single" w:sz="6" w:space="0" w:color="auto"/>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bottom w:val="single" w:sz="6" w:space="0" w:color="auto"/>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96</w:t>
            </w:r>
          </w:p>
        </w:tc>
        <w:tc>
          <w:tcPr>
            <w:tcW w:w="993" w:type="dxa"/>
            <w:tcBorders>
              <w:bottom w:val="single" w:sz="6" w:space="0" w:color="auto"/>
            </w:tcBorders>
          </w:tcPr>
          <w:p w:rsidR="00A53D7D" w:rsidRPr="00B2174E" w:rsidRDefault="00A53D7D" w:rsidP="005140B4">
            <w:pPr>
              <w:pStyle w:val="OGTableofFigures"/>
              <w:rPr>
                <w:color w:val="000000"/>
                <w:lang w:eastAsia="en-AU"/>
              </w:rPr>
            </w:pPr>
            <w:r w:rsidRPr="003B380F">
              <w:rPr>
                <w:color w:val="000000"/>
                <w:lang w:eastAsia="en-AU"/>
              </w:rPr>
              <w:t>98</w:t>
            </w:r>
          </w:p>
        </w:tc>
        <w:tc>
          <w:tcPr>
            <w:tcW w:w="907" w:type="dxa"/>
            <w:tcBorders>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96</w:t>
            </w:r>
          </w:p>
        </w:tc>
        <w:tc>
          <w:tcPr>
            <w:tcW w:w="907" w:type="dxa"/>
            <w:tcBorders>
              <w:bottom w:val="single" w:sz="6" w:space="0" w:color="auto"/>
            </w:tcBorders>
          </w:tcPr>
          <w:p w:rsidR="00A53D7D" w:rsidRPr="003B380F" w:rsidRDefault="00A53D7D" w:rsidP="005140B4">
            <w:pPr>
              <w:pStyle w:val="OGTableofFigures"/>
              <w:rPr>
                <w:color w:val="000000"/>
                <w:lang w:eastAsia="en-AU"/>
              </w:rPr>
            </w:pPr>
            <w:r w:rsidRPr="00B2174E">
              <w:rPr>
                <w:color w:val="000000"/>
                <w:lang w:eastAsia="en-AU"/>
              </w:rPr>
              <w:t>nm</w:t>
            </w:r>
          </w:p>
        </w:tc>
      </w:tr>
      <w:tr w:rsidR="00A53D7D" w:rsidRPr="00A475B8" w:rsidTr="005140B4">
        <w:tblPrEx>
          <w:tblBorders>
            <w:bottom w:val="single" w:sz="12" w:space="0" w:color="auto"/>
          </w:tblBorders>
        </w:tblPrEx>
        <w:trPr>
          <w:cantSplit/>
        </w:trPr>
        <w:tc>
          <w:tcPr>
            <w:tcW w:w="3155" w:type="dxa"/>
            <w:tcBorders>
              <w:top w:val="single" w:sz="6" w:space="0" w:color="auto"/>
              <w:bottom w:val="single" w:sz="6" w:space="0" w:color="auto"/>
            </w:tcBorders>
            <w:vAlign w:val="center"/>
          </w:tcPr>
          <w:p w:rsidR="00A53D7D" w:rsidRPr="00B2174E" w:rsidRDefault="00A53D7D" w:rsidP="005140B4">
            <w:pPr>
              <w:pStyle w:val="OGTabText"/>
              <w:rPr>
                <w:color w:val="000000"/>
                <w:lang w:eastAsia="en-AU"/>
              </w:rPr>
            </w:pPr>
            <w:r w:rsidRPr="00B2174E">
              <w:rPr>
                <w:color w:val="000000"/>
                <w:lang w:eastAsia="en-AU"/>
              </w:rPr>
              <w:t>Liquor and gambling compliance inspection outcomes provided within set timeframes (VCGLR)</w:t>
            </w:r>
          </w:p>
        </w:tc>
        <w:tc>
          <w:tcPr>
            <w:tcW w:w="907" w:type="dxa"/>
            <w:tcBorders>
              <w:top w:val="single" w:sz="6" w:space="0" w:color="auto"/>
              <w:bottom w:val="single" w:sz="6" w:space="0" w:color="auto"/>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single" w:sz="6" w:space="0" w:color="auto"/>
              <w:bottom w:val="single" w:sz="6" w:space="0" w:color="auto"/>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98</w:t>
            </w:r>
          </w:p>
        </w:tc>
        <w:tc>
          <w:tcPr>
            <w:tcW w:w="993" w:type="dxa"/>
            <w:tcBorders>
              <w:top w:val="single" w:sz="6" w:space="0" w:color="auto"/>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98</w:t>
            </w:r>
          </w:p>
        </w:tc>
        <w:tc>
          <w:tcPr>
            <w:tcW w:w="907" w:type="dxa"/>
            <w:tcBorders>
              <w:top w:val="single" w:sz="6" w:space="0" w:color="auto"/>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98</w:t>
            </w:r>
          </w:p>
        </w:tc>
        <w:tc>
          <w:tcPr>
            <w:tcW w:w="907" w:type="dxa"/>
            <w:tcBorders>
              <w:top w:val="single" w:sz="6" w:space="0" w:color="auto"/>
              <w:bottom w:val="single" w:sz="6" w:space="0" w:color="auto"/>
            </w:tcBorders>
          </w:tcPr>
          <w:p w:rsidR="00A53D7D" w:rsidRPr="003B380F" w:rsidRDefault="00A53D7D" w:rsidP="005140B4">
            <w:pPr>
              <w:pStyle w:val="OGTableofFigures"/>
              <w:rPr>
                <w:color w:val="000000"/>
                <w:lang w:eastAsia="en-AU"/>
              </w:rPr>
            </w:pPr>
            <w:r w:rsidRPr="00B2174E">
              <w:rPr>
                <w:color w:val="000000"/>
                <w:lang w:eastAsia="en-AU"/>
              </w:rPr>
              <w:t>nm</w:t>
            </w:r>
          </w:p>
        </w:tc>
      </w:tr>
      <w:tr w:rsidR="00A53D7D" w:rsidRPr="00A475B8" w:rsidTr="005140B4">
        <w:tblPrEx>
          <w:tblBorders>
            <w:bottom w:val="single" w:sz="12" w:space="0" w:color="auto"/>
          </w:tblBorders>
        </w:tblPrEx>
        <w:trPr>
          <w:cantSplit/>
        </w:trPr>
        <w:tc>
          <w:tcPr>
            <w:tcW w:w="3155" w:type="dxa"/>
            <w:tcBorders>
              <w:top w:val="single" w:sz="6" w:space="0" w:color="auto"/>
              <w:bottom w:val="nil"/>
            </w:tcBorders>
            <w:vAlign w:val="center"/>
          </w:tcPr>
          <w:p w:rsidR="00A53D7D" w:rsidRPr="00B2174E" w:rsidRDefault="00A53D7D" w:rsidP="005140B4">
            <w:pPr>
              <w:pStyle w:val="OGTabText"/>
              <w:rPr>
                <w:color w:val="000000"/>
                <w:lang w:eastAsia="en-AU"/>
              </w:rPr>
            </w:pPr>
            <w:r w:rsidRPr="00B2174E">
              <w:rPr>
                <w:color w:val="000000"/>
                <w:lang w:eastAsia="en-AU"/>
              </w:rPr>
              <w:t>Gamblers Help Service clients who receive a service within five days of referral</w:t>
            </w:r>
          </w:p>
        </w:tc>
        <w:tc>
          <w:tcPr>
            <w:tcW w:w="907" w:type="dxa"/>
            <w:tcBorders>
              <w:top w:val="single" w:sz="6" w:space="0" w:color="auto"/>
              <w:bottom w:val="nil"/>
            </w:tcBorders>
          </w:tcPr>
          <w:p w:rsidR="00A53D7D" w:rsidRPr="00B2174E" w:rsidRDefault="00A53D7D" w:rsidP="005140B4">
            <w:pPr>
              <w:pStyle w:val="OGUoM"/>
              <w:rPr>
                <w:color w:val="000000"/>
                <w:lang w:eastAsia="en-AU"/>
              </w:rPr>
            </w:pPr>
            <w:r w:rsidRPr="003B380F">
              <w:rPr>
                <w:rFonts w:cs="Calibri"/>
                <w:lang w:eastAsia="en-AU"/>
              </w:rPr>
              <w:t>per cent</w:t>
            </w:r>
          </w:p>
        </w:tc>
        <w:tc>
          <w:tcPr>
            <w:tcW w:w="907" w:type="dxa"/>
            <w:tcBorders>
              <w:top w:val="single" w:sz="6" w:space="0" w:color="auto"/>
              <w:bottom w:val="nil"/>
            </w:tcBorders>
            <w:shd w:val="clear" w:color="auto" w:fill="D9D9D9"/>
          </w:tcPr>
          <w:p w:rsidR="00A53D7D" w:rsidRPr="00B2174E" w:rsidRDefault="00A53D7D" w:rsidP="005140B4">
            <w:pPr>
              <w:pStyle w:val="OGTableofFigures"/>
              <w:rPr>
                <w:color w:val="000000"/>
                <w:lang w:eastAsia="en-AU"/>
              </w:rPr>
            </w:pPr>
            <w:r w:rsidRPr="003B380F">
              <w:rPr>
                <w:rFonts w:cs="Calibri"/>
                <w:lang w:eastAsia="en-AU"/>
              </w:rPr>
              <w:t>98</w:t>
            </w:r>
          </w:p>
        </w:tc>
        <w:tc>
          <w:tcPr>
            <w:tcW w:w="993" w:type="dxa"/>
            <w:tcBorders>
              <w:top w:val="single" w:sz="6" w:space="0" w:color="auto"/>
              <w:bottom w:val="nil"/>
            </w:tcBorders>
          </w:tcPr>
          <w:p w:rsidR="00A53D7D" w:rsidRPr="00B2174E" w:rsidRDefault="00A53D7D" w:rsidP="005140B4">
            <w:pPr>
              <w:pStyle w:val="OGTableofFigures"/>
              <w:rPr>
                <w:color w:val="000000"/>
                <w:lang w:eastAsia="en-AU"/>
              </w:rPr>
            </w:pPr>
            <w:r w:rsidRPr="00B2174E">
              <w:rPr>
                <w:color w:val="000000"/>
                <w:lang w:eastAsia="en-AU"/>
              </w:rPr>
              <w:t>98</w:t>
            </w:r>
          </w:p>
        </w:tc>
        <w:tc>
          <w:tcPr>
            <w:tcW w:w="907" w:type="dxa"/>
            <w:tcBorders>
              <w:top w:val="single" w:sz="6" w:space="0" w:color="auto"/>
              <w:bottom w:val="nil"/>
            </w:tcBorders>
          </w:tcPr>
          <w:p w:rsidR="00A53D7D" w:rsidRPr="00B2174E" w:rsidRDefault="00A53D7D" w:rsidP="005140B4">
            <w:pPr>
              <w:pStyle w:val="OGTableofFigures"/>
              <w:rPr>
                <w:color w:val="000000"/>
                <w:lang w:eastAsia="en-AU"/>
              </w:rPr>
            </w:pPr>
            <w:r w:rsidRPr="00B2174E">
              <w:rPr>
                <w:color w:val="000000"/>
                <w:lang w:eastAsia="en-AU"/>
              </w:rPr>
              <w:t>95</w:t>
            </w:r>
          </w:p>
        </w:tc>
        <w:tc>
          <w:tcPr>
            <w:tcW w:w="907" w:type="dxa"/>
            <w:tcBorders>
              <w:top w:val="single" w:sz="6" w:space="0" w:color="auto"/>
              <w:bottom w:val="nil"/>
            </w:tcBorders>
          </w:tcPr>
          <w:p w:rsidR="00A53D7D" w:rsidRPr="00B2174E" w:rsidRDefault="00A53D7D" w:rsidP="005140B4">
            <w:pPr>
              <w:pStyle w:val="OGTableofFigures"/>
              <w:rPr>
                <w:color w:val="000000"/>
                <w:lang w:eastAsia="en-AU"/>
              </w:rPr>
            </w:pPr>
            <w:r w:rsidRPr="00B2174E">
              <w:rPr>
                <w:color w:val="000000"/>
                <w:lang w:eastAsia="en-AU"/>
              </w:rPr>
              <w:t>99</w:t>
            </w:r>
          </w:p>
        </w:tc>
      </w:tr>
      <w:tr w:rsidR="00A53D7D" w:rsidRPr="00A475B8" w:rsidTr="005140B4">
        <w:tblPrEx>
          <w:tblBorders>
            <w:bottom w:val="single" w:sz="12" w:space="0" w:color="auto"/>
          </w:tblBorders>
        </w:tblPrEx>
        <w:trPr>
          <w:cantSplit/>
        </w:trPr>
        <w:tc>
          <w:tcPr>
            <w:tcW w:w="7776" w:type="dxa"/>
            <w:gridSpan w:val="6"/>
            <w:tcBorders>
              <w:top w:val="nil"/>
              <w:bottom w:val="single" w:sz="6" w:space="0" w:color="auto"/>
            </w:tcBorders>
            <w:vAlign w:val="center"/>
          </w:tcPr>
          <w:p w:rsidR="00A53D7D" w:rsidRPr="00B2174E" w:rsidRDefault="00A53D7D" w:rsidP="005140B4">
            <w:pPr>
              <w:pStyle w:val="OGNotes"/>
              <w:rPr>
                <w:szCs w:val="18"/>
              </w:rPr>
            </w:pPr>
            <w:r w:rsidRPr="00B2174E">
              <w:t>The 2013</w:t>
            </w:r>
            <w:r>
              <w:noBreakHyphen/>
            </w:r>
            <w:r w:rsidRPr="00B2174E">
              <w:t xml:space="preserve">14 expected outcome </w:t>
            </w:r>
            <w:r>
              <w:t>reflects the continuing above target performance of</w:t>
            </w:r>
            <w:r w:rsidRPr="00B2174E">
              <w:t xml:space="preserve"> the </w:t>
            </w:r>
            <w:r w:rsidRPr="003B380F">
              <w:t>Gambler's Help Services</w:t>
            </w:r>
            <w:r w:rsidRPr="00B2174E">
              <w:t>. The 2014</w:t>
            </w:r>
            <w:r>
              <w:noBreakHyphen/>
            </w:r>
            <w:r w:rsidRPr="00B2174E">
              <w:t>15 target has been adjusted accordingly.</w:t>
            </w:r>
          </w:p>
        </w:tc>
      </w:tr>
      <w:tr w:rsidR="00A53D7D" w:rsidRPr="00A475B8" w:rsidTr="005140B4">
        <w:tblPrEx>
          <w:tblBorders>
            <w:bottom w:val="single" w:sz="12" w:space="0" w:color="auto"/>
          </w:tblBorders>
        </w:tblPrEx>
        <w:trPr>
          <w:cantSplit/>
        </w:trPr>
        <w:tc>
          <w:tcPr>
            <w:tcW w:w="3155" w:type="dxa"/>
            <w:tcBorders>
              <w:top w:val="single" w:sz="6" w:space="0" w:color="auto"/>
              <w:bottom w:val="nil"/>
            </w:tcBorders>
            <w:vAlign w:val="center"/>
          </w:tcPr>
          <w:p w:rsidR="00A53D7D" w:rsidRPr="00B2174E" w:rsidRDefault="00A53D7D" w:rsidP="005140B4">
            <w:pPr>
              <w:pStyle w:val="OGTabHead"/>
              <w:rPr>
                <w:color w:val="000000"/>
                <w:lang w:eastAsia="en-AU"/>
              </w:rPr>
            </w:pPr>
            <w:r w:rsidRPr="00B2174E">
              <w:rPr>
                <w:iCs/>
                <w:color w:val="000000"/>
                <w:lang w:eastAsia="en-AU"/>
              </w:rPr>
              <w:t>Cost</w:t>
            </w:r>
          </w:p>
        </w:tc>
        <w:tc>
          <w:tcPr>
            <w:tcW w:w="907" w:type="dxa"/>
            <w:tcBorders>
              <w:top w:val="single" w:sz="6" w:space="0" w:color="auto"/>
              <w:bottom w:val="nil"/>
            </w:tcBorders>
            <w:vAlign w:val="center"/>
          </w:tcPr>
          <w:p w:rsidR="00A53D7D" w:rsidRPr="00B2174E" w:rsidRDefault="00A53D7D" w:rsidP="005140B4">
            <w:pPr>
              <w:pStyle w:val="OGUoM"/>
              <w:rPr>
                <w:color w:val="000000"/>
                <w:lang w:eastAsia="en-AU"/>
              </w:rPr>
            </w:pPr>
          </w:p>
        </w:tc>
        <w:tc>
          <w:tcPr>
            <w:tcW w:w="907" w:type="dxa"/>
            <w:tcBorders>
              <w:top w:val="single" w:sz="6" w:space="0" w:color="auto"/>
              <w:bottom w:val="nil"/>
            </w:tcBorders>
            <w:shd w:val="clear" w:color="auto" w:fill="D9D9D9"/>
            <w:vAlign w:val="center"/>
          </w:tcPr>
          <w:p w:rsidR="00A53D7D" w:rsidRPr="00B2174E" w:rsidRDefault="00A53D7D" w:rsidP="005140B4">
            <w:pPr>
              <w:pStyle w:val="OGTableofFigures"/>
              <w:rPr>
                <w:color w:val="000000"/>
                <w:lang w:eastAsia="en-AU"/>
              </w:rPr>
            </w:pPr>
            <w:r w:rsidRPr="00B2174E">
              <w:rPr>
                <w:color w:val="000000"/>
                <w:lang w:eastAsia="en-AU"/>
              </w:rPr>
              <w:t> </w:t>
            </w:r>
          </w:p>
        </w:tc>
        <w:tc>
          <w:tcPr>
            <w:tcW w:w="993" w:type="dxa"/>
            <w:tcBorders>
              <w:top w:val="single" w:sz="6" w:space="0" w:color="auto"/>
              <w:bottom w:val="nil"/>
            </w:tcBorders>
            <w:vAlign w:val="center"/>
          </w:tcPr>
          <w:p w:rsidR="00A53D7D" w:rsidRPr="00B2174E" w:rsidRDefault="00A53D7D" w:rsidP="005140B4">
            <w:pPr>
              <w:pStyle w:val="OGTableofFigures"/>
              <w:rPr>
                <w:color w:val="000000"/>
                <w:lang w:eastAsia="en-AU"/>
              </w:rPr>
            </w:pPr>
          </w:p>
        </w:tc>
        <w:tc>
          <w:tcPr>
            <w:tcW w:w="907" w:type="dxa"/>
            <w:tcBorders>
              <w:top w:val="single" w:sz="6" w:space="0" w:color="auto"/>
              <w:bottom w:val="nil"/>
            </w:tcBorders>
            <w:vAlign w:val="center"/>
          </w:tcPr>
          <w:p w:rsidR="00A53D7D" w:rsidRPr="00B2174E" w:rsidRDefault="00A53D7D" w:rsidP="005140B4">
            <w:pPr>
              <w:pStyle w:val="OGTableofFigures"/>
              <w:rPr>
                <w:color w:val="000000"/>
                <w:lang w:eastAsia="en-AU"/>
              </w:rPr>
            </w:pPr>
          </w:p>
        </w:tc>
        <w:tc>
          <w:tcPr>
            <w:tcW w:w="907" w:type="dxa"/>
            <w:tcBorders>
              <w:top w:val="single" w:sz="6" w:space="0" w:color="auto"/>
              <w:bottom w:val="nil"/>
            </w:tcBorders>
            <w:vAlign w:val="center"/>
          </w:tcPr>
          <w:p w:rsidR="00A53D7D" w:rsidRPr="00B2174E" w:rsidRDefault="00A53D7D" w:rsidP="005140B4">
            <w:pPr>
              <w:pStyle w:val="OGTableofFigures"/>
              <w:rPr>
                <w:color w:val="000000"/>
                <w:lang w:eastAsia="en-AU"/>
              </w:rPr>
            </w:pPr>
          </w:p>
        </w:tc>
      </w:tr>
      <w:tr w:rsidR="00A53D7D" w:rsidRPr="00A475B8" w:rsidTr="005140B4">
        <w:tblPrEx>
          <w:tblBorders>
            <w:bottom w:val="single" w:sz="12" w:space="0" w:color="auto"/>
          </w:tblBorders>
        </w:tblPrEx>
        <w:trPr>
          <w:cantSplit/>
        </w:trPr>
        <w:tc>
          <w:tcPr>
            <w:tcW w:w="3155" w:type="dxa"/>
            <w:tcBorders>
              <w:bottom w:val="nil"/>
            </w:tcBorders>
            <w:vAlign w:val="center"/>
          </w:tcPr>
          <w:p w:rsidR="00A53D7D" w:rsidRPr="00FE4FF4" w:rsidRDefault="00A53D7D" w:rsidP="005140B4">
            <w:pPr>
              <w:pStyle w:val="OGTabText"/>
              <w:rPr>
                <w:color w:val="000000"/>
                <w:lang w:eastAsia="en-AU"/>
              </w:rPr>
            </w:pPr>
            <w:r w:rsidRPr="00FE4FF4">
              <w:rPr>
                <w:color w:val="000000"/>
                <w:lang w:eastAsia="en-AU"/>
              </w:rPr>
              <w:t>Total output cost</w:t>
            </w:r>
          </w:p>
        </w:tc>
        <w:tc>
          <w:tcPr>
            <w:tcW w:w="907" w:type="dxa"/>
            <w:tcBorders>
              <w:bottom w:val="nil"/>
            </w:tcBorders>
          </w:tcPr>
          <w:p w:rsidR="00A53D7D" w:rsidRPr="00FE4FF4" w:rsidRDefault="00A53D7D" w:rsidP="005140B4">
            <w:pPr>
              <w:pStyle w:val="OGUoM"/>
              <w:rPr>
                <w:color w:val="000000"/>
                <w:lang w:eastAsia="en-AU"/>
              </w:rPr>
            </w:pPr>
            <w:r w:rsidRPr="00FE4FF4">
              <w:rPr>
                <w:color w:val="000000"/>
                <w:lang w:eastAsia="en-AU"/>
              </w:rPr>
              <w:t>$ million</w:t>
            </w:r>
          </w:p>
        </w:tc>
        <w:tc>
          <w:tcPr>
            <w:tcW w:w="907" w:type="dxa"/>
            <w:tcBorders>
              <w:bottom w:val="nil"/>
            </w:tcBorders>
            <w:shd w:val="clear" w:color="auto" w:fill="D9D9D9"/>
          </w:tcPr>
          <w:p w:rsidR="00A53D7D" w:rsidRPr="008C4A78" w:rsidRDefault="00A53D7D" w:rsidP="005140B4">
            <w:pPr>
              <w:pStyle w:val="OGTableofFigures"/>
              <w:rPr>
                <w:color w:val="000000"/>
                <w:lang w:eastAsia="en-AU"/>
              </w:rPr>
            </w:pPr>
            <w:r>
              <w:rPr>
                <w:color w:val="000000"/>
                <w:lang w:eastAsia="en-AU"/>
              </w:rPr>
              <w:t>115.9</w:t>
            </w:r>
            <w:r w:rsidRPr="008C4A78">
              <w:rPr>
                <w:color w:val="000000"/>
                <w:lang w:eastAsia="en-AU"/>
              </w:rPr>
              <w:t xml:space="preserve"> </w:t>
            </w:r>
          </w:p>
        </w:tc>
        <w:tc>
          <w:tcPr>
            <w:tcW w:w="993" w:type="dxa"/>
            <w:tcBorders>
              <w:bottom w:val="nil"/>
            </w:tcBorders>
          </w:tcPr>
          <w:p w:rsidR="00A53D7D" w:rsidRPr="008C4A78" w:rsidRDefault="00A53D7D" w:rsidP="005140B4">
            <w:pPr>
              <w:pStyle w:val="OGTableofFigures"/>
              <w:rPr>
                <w:color w:val="000000"/>
                <w:lang w:eastAsia="en-AU"/>
              </w:rPr>
            </w:pPr>
            <w:r>
              <w:rPr>
                <w:color w:val="000000"/>
                <w:lang w:eastAsia="en-AU"/>
              </w:rPr>
              <w:t>108.1</w:t>
            </w:r>
            <w:r w:rsidRPr="008C4A78">
              <w:rPr>
                <w:color w:val="000000"/>
                <w:lang w:eastAsia="en-AU"/>
              </w:rPr>
              <w:t xml:space="preserve"> </w:t>
            </w:r>
          </w:p>
        </w:tc>
        <w:tc>
          <w:tcPr>
            <w:tcW w:w="907" w:type="dxa"/>
            <w:tcBorders>
              <w:bottom w:val="nil"/>
            </w:tcBorders>
          </w:tcPr>
          <w:p w:rsidR="00A53D7D" w:rsidRPr="00FE4FF4" w:rsidRDefault="00A53D7D" w:rsidP="005140B4">
            <w:pPr>
              <w:pStyle w:val="OGTableofFigures"/>
              <w:rPr>
                <w:color w:val="000000"/>
                <w:lang w:eastAsia="en-AU"/>
              </w:rPr>
            </w:pPr>
            <w:r>
              <w:rPr>
                <w:color w:val="000000"/>
                <w:lang w:eastAsia="en-AU"/>
              </w:rPr>
              <w:t xml:space="preserve">109.1 </w:t>
            </w:r>
          </w:p>
        </w:tc>
        <w:tc>
          <w:tcPr>
            <w:tcW w:w="907" w:type="dxa"/>
            <w:tcBorders>
              <w:bottom w:val="nil"/>
            </w:tcBorders>
          </w:tcPr>
          <w:p w:rsidR="00A53D7D" w:rsidRPr="00FE4FF4" w:rsidRDefault="00A53D7D" w:rsidP="005140B4">
            <w:pPr>
              <w:pStyle w:val="OGTableofFigures"/>
              <w:rPr>
                <w:lang w:eastAsia="en-AU"/>
              </w:rPr>
            </w:pPr>
            <w:r>
              <w:rPr>
                <w:lang w:eastAsia="en-AU"/>
              </w:rPr>
              <w:t xml:space="preserve">105.0 </w:t>
            </w:r>
          </w:p>
        </w:tc>
      </w:tr>
      <w:tr w:rsidR="00A53D7D" w:rsidRPr="00A475B8" w:rsidTr="005140B4">
        <w:tblPrEx>
          <w:tblBorders>
            <w:bottom w:val="single" w:sz="12" w:space="0" w:color="auto"/>
          </w:tblBorders>
        </w:tblPrEx>
        <w:trPr>
          <w:cantSplit/>
        </w:trPr>
        <w:tc>
          <w:tcPr>
            <w:tcW w:w="7776" w:type="dxa"/>
            <w:gridSpan w:val="6"/>
            <w:tcBorders>
              <w:bottom w:val="single" w:sz="4" w:space="0" w:color="auto"/>
            </w:tcBorders>
            <w:vAlign w:val="center"/>
          </w:tcPr>
          <w:p w:rsidR="00A53D7D" w:rsidRPr="002C3B15" w:rsidDel="008A5122" w:rsidRDefault="00A53D7D" w:rsidP="005140B4">
            <w:pPr>
              <w:pStyle w:val="OGNotes"/>
              <w:rPr>
                <w:sz w:val="20"/>
                <w:szCs w:val="18"/>
              </w:rPr>
            </w:pPr>
            <w:r w:rsidRPr="003B380F">
              <w:t>The 2014</w:t>
            </w:r>
            <w:r>
              <w:noBreakHyphen/>
            </w:r>
            <w:r w:rsidRPr="003B380F">
              <w:t>15 target is higher than the 2013</w:t>
            </w:r>
            <w:r>
              <w:noBreakHyphen/>
            </w:r>
            <w:r w:rsidRPr="003B380F">
              <w:t xml:space="preserve">14 target as funds have been </w:t>
            </w:r>
            <w:proofErr w:type="spellStart"/>
            <w:r w:rsidRPr="003B380F">
              <w:t>rephased</w:t>
            </w:r>
            <w:proofErr w:type="spellEnd"/>
            <w:r w:rsidRPr="003B380F">
              <w:t xml:space="preserve"> to align with the timing of racing grants and an additional gambling prevention program.</w:t>
            </w:r>
          </w:p>
        </w:tc>
      </w:tr>
      <w:tr w:rsidR="00A53D7D" w:rsidRPr="00A475B8" w:rsidTr="005140B4">
        <w:tblPrEx>
          <w:tblBorders>
            <w:bottom w:val="single" w:sz="12" w:space="0" w:color="auto"/>
          </w:tblBorders>
        </w:tblPrEx>
        <w:trPr>
          <w:cantSplit/>
        </w:trPr>
        <w:tc>
          <w:tcPr>
            <w:tcW w:w="7776" w:type="dxa"/>
            <w:gridSpan w:val="6"/>
            <w:tcBorders>
              <w:top w:val="single" w:sz="4" w:space="0" w:color="auto"/>
              <w:bottom w:val="nil"/>
            </w:tcBorders>
            <w:vAlign w:val="center"/>
          </w:tcPr>
          <w:p w:rsidR="00A53D7D" w:rsidRPr="00EC2CB7" w:rsidRDefault="00A53D7D" w:rsidP="005140B4">
            <w:pPr>
              <w:pStyle w:val="OGHeading2"/>
              <w:rPr>
                <w:bCs/>
                <w:color w:val="000000"/>
                <w:lang w:eastAsia="en-AU"/>
              </w:rPr>
            </w:pPr>
            <w:r w:rsidRPr="00EC2CB7">
              <w:rPr>
                <w:color w:val="000000"/>
                <w:lang w:eastAsia="en-AU"/>
              </w:rPr>
              <w:t>Promoting and Protecting Consumer Interests</w:t>
            </w:r>
          </w:p>
        </w:tc>
      </w:tr>
      <w:tr w:rsidR="00A53D7D" w:rsidRPr="00A475B8" w:rsidTr="005140B4">
        <w:tblPrEx>
          <w:tblBorders>
            <w:bottom w:val="single" w:sz="12" w:space="0" w:color="auto"/>
          </w:tblBorders>
        </w:tblPrEx>
        <w:trPr>
          <w:cantSplit/>
        </w:trPr>
        <w:tc>
          <w:tcPr>
            <w:tcW w:w="7776" w:type="dxa"/>
            <w:gridSpan w:val="6"/>
            <w:tcBorders>
              <w:bottom w:val="single" w:sz="6" w:space="0" w:color="auto"/>
            </w:tcBorders>
            <w:vAlign w:val="center"/>
          </w:tcPr>
          <w:p w:rsidR="00A53D7D" w:rsidRPr="00BD3AF9" w:rsidRDefault="00A53D7D" w:rsidP="005140B4">
            <w:pPr>
              <w:pStyle w:val="OGTabText"/>
              <w:keepNext/>
              <w:rPr>
                <w:color w:val="000000"/>
                <w:highlight w:val="yellow"/>
                <w:lang w:eastAsia="en-AU"/>
              </w:rPr>
            </w:pPr>
            <w:r w:rsidRPr="00BD3AF9">
              <w:rPr>
                <w:color w:val="000000"/>
                <w:lang w:eastAsia="en-AU"/>
              </w:rPr>
              <w:t xml:space="preserve">This output upholds a fair and competitive Victorian marketplace. As </w:t>
            </w:r>
            <w:smartTag w:uri="urn:schemas-microsoft-com:office:smarttags" w:element="place">
              <w:smartTag w:uri="urn:schemas-microsoft-com:office:smarttags" w:element="State">
                <w:r w:rsidRPr="00BD3AF9">
                  <w:rPr>
                    <w:color w:val="000000"/>
                    <w:lang w:eastAsia="en-AU"/>
                  </w:rPr>
                  <w:t>Victoria</w:t>
                </w:r>
              </w:smartTag>
            </w:smartTag>
            <w:r w:rsidRPr="00BD3AF9">
              <w:rPr>
                <w:color w:val="000000"/>
                <w:lang w:eastAsia="en-AU"/>
              </w:rPr>
              <w:t>’s consumer regulator, Consumer Affairs Victoria (CAV) works to ensure that the market works effectively by detecting and addressing non</w:t>
            </w:r>
            <w:r>
              <w:rPr>
                <w:color w:val="000000"/>
                <w:lang w:eastAsia="en-AU"/>
              </w:rPr>
              <w:noBreakHyphen/>
            </w:r>
            <w:r w:rsidRPr="00BD3AF9">
              <w:rPr>
                <w:color w:val="000000"/>
                <w:lang w:eastAsia="en-AU"/>
              </w:rPr>
              <w:t xml:space="preserve">compliance with the law. The output provides for informing consumers and businesses about their rights and responsibilities under the law, engaging with business to ensure compliance, </w:t>
            </w:r>
            <w:proofErr w:type="gramStart"/>
            <w:r w:rsidRPr="00BD3AF9">
              <w:rPr>
                <w:color w:val="000000"/>
                <w:lang w:eastAsia="en-AU"/>
              </w:rPr>
              <w:t>registration</w:t>
            </w:r>
            <w:proofErr w:type="gramEnd"/>
            <w:r w:rsidRPr="00BD3AF9">
              <w:rPr>
                <w:color w:val="000000"/>
                <w:lang w:eastAsia="en-AU"/>
              </w:rPr>
              <w:t xml:space="preserve"> and occupational licensing for individuals and organisations and regulation of the residential tenancies market.</w:t>
            </w:r>
          </w:p>
        </w:tc>
      </w:tr>
      <w:tr w:rsidR="00A53D7D" w:rsidRPr="00A475B8" w:rsidTr="005140B4">
        <w:tblPrEx>
          <w:tblBorders>
            <w:bottom w:val="single" w:sz="12" w:space="0" w:color="auto"/>
          </w:tblBorders>
        </w:tblPrEx>
        <w:trPr>
          <w:cantSplit/>
        </w:trPr>
        <w:tc>
          <w:tcPr>
            <w:tcW w:w="3155" w:type="dxa"/>
            <w:tcBorders>
              <w:top w:val="single" w:sz="6" w:space="0" w:color="auto"/>
            </w:tcBorders>
            <w:vAlign w:val="center"/>
          </w:tcPr>
          <w:p w:rsidR="00A53D7D" w:rsidRPr="00A475B8" w:rsidRDefault="00A53D7D" w:rsidP="005140B4">
            <w:pPr>
              <w:pStyle w:val="OGTabHead"/>
              <w:rPr>
                <w:color w:val="000000"/>
                <w:lang w:eastAsia="en-AU"/>
              </w:rPr>
            </w:pPr>
            <w:r w:rsidRPr="00A475B8">
              <w:rPr>
                <w:iCs/>
                <w:color w:val="000000"/>
                <w:lang w:eastAsia="en-AU"/>
              </w:rPr>
              <w:t>Quantity</w:t>
            </w:r>
          </w:p>
        </w:tc>
        <w:tc>
          <w:tcPr>
            <w:tcW w:w="907" w:type="dxa"/>
            <w:tcBorders>
              <w:top w:val="single" w:sz="6" w:space="0" w:color="auto"/>
            </w:tcBorders>
            <w:vAlign w:val="center"/>
          </w:tcPr>
          <w:p w:rsidR="00A53D7D" w:rsidRPr="003E0A6C" w:rsidRDefault="00A53D7D" w:rsidP="005140B4">
            <w:pPr>
              <w:pStyle w:val="OGUoM"/>
              <w:rPr>
                <w:color w:val="000000"/>
                <w:lang w:eastAsia="en-AU"/>
              </w:rPr>
            </w:pPr>
          </w:p>
        </w:tc>
        <w:tc>
          <w:tcPr>
            <w:tcW w:w="907" w:type="dxa"/>
            <w:tcBorders>
              <w:top w:val="single" w:sz="6" w:space="0" w:color="auto"/>
            </w:tcBorders>
            <w:shd w:val="clear" w:color="auto" w:fill="D9D9D9"/>
            <w:vAlign w:val="center"/>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tcBorders>
            <w:vAlign w:val="center"/>
          </w:tcPr>
          <w:p w:rsidR="00A53D7D" w:rsidRPr="00EC2CB7" w:rsidRDefault="00A53D7D" w:rsidP="005140B4">
            <w:pPr>
              <w:pStyle w:val="OGTableofFigures"/>
              <w:rPr>
                <w:color w:val="000000"/>
                <w:lang w:eastAsia="en-AU"/>
              </w:rPr>
            </w:pPr>
          </w:p>
        </w:tc>
        <w:tc>
          <w:tcPr>
            <w:tcW w:w="907" w:type="dxa"/>
            <w:tcBorders>
              <w:top w:val="single" w:sz="6" w:space="0" w:color="auto"/>
            </w:tcBorders>
            <w:vAlign w:val="center"/>
          </w:tcPr>
          <w:p w:rsidR="00A53D7D" w:rsidRPr="00EC2CB7" w:rsidRDefault="00A53D7D" w:rsidP="005140B4">
            <w:pPr>
              <w:pStyle w:val="OGTableofFigures"/>
              <w:rPr>
                <w:color w:val="000000"/>
                <w:lang w:eastAsia="en-AU"/>
              </w:rPr>
            </w:pPr>
          </w:p>
        </w:tc>
        <w:tc>
          <w:tcPr>
            <w:tcW w:w="907" w:type="dxa"/>
            <w:tcBorders>
              <w:top w:val="single" w:sz="6" w:space="0" w:color="auto"/>
            </w:tcBorders>
            <w:vAlign w:val="center"/>
          </w:tcPr>
          <w:p w:rsidR="00A53D7D" w:rsidRPr="00EC2CB7" w:rsidRDefault="00A53D7D" w:rsidP="005140B4">
            <w:pPr>
              <w:pStyle w:val="OGTableofFigures"/>
              <w:rPr>
                <w:color w:val="000000"/>
                <w:lang w:eastAsia="en-AU"/>
              </w:rPr>
            </w:pPr>
          </w:p>
        </w:tc>
      </w:tr>
      <w:tr w:rsidR="00A53D7D" w:rsidRPr="0016063E" w:rsidTr="005140B4">
        <w:tblPrEx>
          <w:tblBorders>
            <w:bottom w:val="single" w:sz="12" w:space="0" w:color="auto"/>
          </w:tblBorders>
        </w:tblPrEx>
        <w:trPr>
          <w:cantSplit/>
        </w:trPr>
        <w:tc>
          <w:tcPr>
            <w:tcW w:w="3155" w:type="dxa"/>
            <w:tcBorders>
              <w:bottom w:val="nil"/>
            </w:tcBorders>
          </w:tcPr>
          <w:p w:rsidR="00A53D7D" w:rsidRPr="00B2174E" w:rsidRDefault="00A53D7D" w:rsidP="005140B4">
            <w:pPr>
              <w:pStyle w:val="OGTabText"/>
              <w:rPr>
                <w:color w:val="000000"/>
                <w:lang w:eastAsia="en-AU"/>
              </w:rPr>
            </w:pPr>
            <w:r w:rsidRPr="00B2174E">
              <w:rPr>
                <w:color w:val="000000"/>
                <w:lang w:eastAsia="en-AU"/>
              </w:rPr>
              <w:t>Information and advice provided:</w:t>
            </w:r>
          </w:p>
        </w:tc>
        <w:tc>
          <w:tcPr>
            <w:tcW w:w="907" w:type="dxa"/>
            <w:tcBorders>
              <w:bottom w:val="nil"/>
            </w:tcBorders>
          </w:tcPr>
          <w:p w:rsidR="00A53D7D" w:rsidRPr="00B2174E" w:rsidRDefault="00A53D7D" w:rsidP="005140B4">
            <w:pPr>
              <w:pStyle w:val="OGUoM"/>
              <w:rPr>
                <w:rFonts w:cs="Calibri"/>
                <w:lang w:eastAsia="en-AU"/>
              </w:rPr>
            </w:pPr>
          </w:p>
        </w:tc>
        <w:tc>
          <w:tcPr>
            <w:tcW w:w="907" w:type="dxa"/>
            <w:tcBorders>
              <w:bottom w:val="nil"/>
            </w:tcBorders>
            <w:shd w:val="clear" w:color="auto" w:fill="D9D9D9"/>
          </w:tcPr>
          <w:p w:rsidR="00A53D7D" w:rsidRPr="00B2174E" w:rsidRDefault="00A53D7D" w:rsidP="005140B4">
            <w:pPr>
              <w:pStyle w:val="OGTableofFigures"/>
              <w:rPr>
                <w:rFonts w:cs="Calibri"/>
                <w:lang w:eastAsia="en-AU"/>
              </w:rPr>
            </w:pPr>
          </w:p>
        </w:tc>
        <w:tc>
          <w:tcPr>
            <w:tcW w:w="993" w:type="dxa"/>
            <w:tcBorders>
              <w:bottom w:val="nil"/>
            </w:tcBorders>
          </w:tcPr>
          <w:p w:rsidR="00A53D7D" w:rsidRPr="00B2174E" w:rsidRDefault="00A53D7D" w:rsidP="005140B4">
            <w:pPr>
              <w:pStyle w:val="OGTableofFigures"/>
              <w:rPr>
                <w:rFonts w:cs="Calibri"/>
                <w:lang w:eastAsia="en-AU"/>
              </w:rPr>
            </w:pPr>
          </w:p>
        </w:tc>
        <w:tc>
          <w:tcPr>
            <w:tcW w:w="907" w:type="dxa"/>
            <w:tcBorders>
              <w:bottom w:val="nil"/>
            </w:tcBorders>
          </w:tcPr>
          <w:p w:rsidR="00A53D7D" w:rsidRPr="00B2174E" w:rsidRDefault="00A53D7D" w:rsidP="005140B4">
            <w:pPr>
              <w:pStyle w:val="OGTableofFigures"/>
              <w:ind w:left="75"/>
              <w:rPr>
                <w:color w:val="000000"/>
                <w:lang w:eastAsia="en-AU"/>
              </w:rPr>
            </w:pPr>
          </w:p>
        </w:tc>
        <w:tc>
          <w:tcPr>
            <w:tcW w:w="907" w:type="dxa"/>
            <w:tcBorders>
              <w:bottom w:val="nil"/>
            </w:tcBorders>
          </w:tcPr>
          <w:p w:rsidR="00A53D7D" w:rsidRPr="00B2174E" w:rsidRDefault="00A53D7D" w:rsidP="005140B4">
            <w:pPr>
              <w:pStyle w:val="OGTableofFigures"/>
              <w:ind w:left="75"/>
              <w:rPr>
                <w:color w:val="000000"/>
                <w:lang w:eastAsia="en-AU"/>
              </w:rPr>
            </w:pPr>
          </w:p>
        </w:tc>
      </w:tr>
      <w:tr w:rsidR="00A53D7D" w:rsidRPr="00417A9A" w:rsidTr="005140B4">
        <w:tblPrEx>
          <w:tblBorders>
            <w:bottom w:val="single" w:sz="12" w:space="0" w:color="auto"/>
          </w:tblBorders>
        </w:tblPrEx>
        <w:trPr>
          <w:cantSplit/>
        </w:trPr>
        <w:tc>
          <w:tcPr>
            <w:tcW w:w="3155" w:type="dxa"/>
            <w:tcBorders>
              <w:top w:val="nil"/>
              <w:bottom w:val="nil"/>
            </w:tcBorders>
          </w:tcPr>
          <w:p w:rsidR="00A53D7D" w:rsidRPr="00B2174E" w:rsidRDefault="00A53D7D" w:rsidP="005140B4">
            <w:pPr>
              <w:pStyle w:val="OGTabText"/>
              <w:numPr>
                <w:ilvl w:val="0"/>
                <w:numId w:val="9"/>
              </w:numPr>
              <w:tabs>
                <w:tab w:val="clear" w:pos="864"/>
                <w:tab w:val="num" w:pos="686"/>
              </w:tabs>
              <w:spacing w:before="0" w:after="60"/>
              <w:ind w:left="686"/>
              <w:rPr>
                <w:color w:val="000000"/>
                <w:lang w:eastAsia="en-AU"/>
              </w:rPr>
            </w:pPr>
            <w:r w:rsidRPr="00B2174E">
              <w:rPr>
                <w:color w:val="000000"/>
                <w:lang w:eastAsia="en-AU"/>
              </w:rPr>
              <w:t>through telephone service</w:t>
            </w:r>
          </w:p>
        </w:tc>
        <w:tc>
          <w:tcPr>
            <w:tcW w:w="907" w:type="dxa"/>
            <w:tcBorders>
              <w:top w:val="nil"/>
              <w:bottom w:val="nil"/>
            </w:tcBorders>
          </w:tcPr>
          <w:p w:rsidR="00A53D7D" w:rsidRPr="00B2174E" w:rsidRDefault="00A53D7D" w:rsidP="005140B4">
            <w:pPr>
              <w:pStyle w:val="OGUoM"/>
              <w:rPr>
                <w:rFonts w:cs="Calibri"/>
                <w:lang w:eastAsia="en-AU"/>
              </w:rPr>
            </w:pPr>
            <w:r w:rsidRPr="00B2174E">
              <w:rPr>
                <w:rFonts w:cs="Calibri"/>
                <w:lang w:eastAsia="en-AU"/>
              </w:rPr>
              <w:t>number</w:t>
            </w:r>
          </w:p>
        </w:tc>
        <w:tc>
          <w:tcPr>
            <w:tcW w:w="907" w:type="dxa"/>
            <w:tcBorders>
              <w:top w:val="nil"/>
              <w:bottom w:val="nil"/>
            </w:tcBorders>
            <w:shd w:val="clear" w:color="auto" w:fill="D9D9D9"/>
          </w:tcPr>
          <w:p w:rsidR="00A53D7D" w:rsidRPr="00B2174E" w:rsidRDefault="00A53D7D" w:rsidP="005140B4">
            <w:pPr>
              <w:pStyle w:val="OGTableofFigures"/>
              <w:rPr>
                <w:rFonts w:cs="Calibri"/>
                <w:lang w:eastAsia="en-AU"/>
              </w:rPr>
            </w:pPr>
            <w:r>
              <w:rPr>
                <w:rFonts w:cs="Calibri"/>
                <w:lang w:eastAsia="en-AU"/>
              </w:rPr>
              <w:t>375 0</w:t>
            </w:r>
            <w:r w:rsidRPr="00B2174E">
              <w:rPr>
                <w:rFonts w:cs="Calibri"/>
                <w:lang w:eastAsia="en-AU"/>
              </w:rPr>
              <w:t>00</w:t>
            </w:r>
          </w:p>
        </w:tc>
        <w:tc>
          <w:tcPr>
            <w:tcW w:w="993" w:type="dxa"/>
            <w:tcBorders>
              <w:top w:val="nil"/>
              <w:bottom w:val="nil"/>
            </w:tcBorders>
          </w:tcPr>
          <w:p w:rsidR="00A53D7D" w:rsidRPr="00B2174E" w:rsidRDefault="00A53D7D" w:rsidP="005140B4">
            <w:pPr>
              <w:pStyle w:val="OGTableofFigures"/>
              <w:rPr>
                <w:rFonts w:cs="Calibri"/>
                <w:lang w:eastAsia="en-AU"/>
              </w:rPr>
            </w:pPr>
            <w:r w:rsidRPr="00B2174E">
              <w:rPr>
                <w:rFonts w:cs="Calibri"/>
                <w:lang w:eastAsia="en-AU"/>
              </w:rPr>
              <w:t>408</w:t>
            </w:r>
            <w:r>
              <w:rPr>
                <w:rFonts w:cs="Calibri"/>
                <w:lang w:eastAsia="en-AU"/>
              </w:rPr>
              <w:t> </w:t>
            </w:r>
            <w:r w:rsidRPr="00B2174E">
              <w:rPr>
                <w:rFonts w:cs="Calibri"/>
                <w:lang w:eastAsia="en-AU"/>
              </w:rPr>
              <w:t>000</w:t>
            </w:r>
          </w:p>
        </w:tc>
        <w:tc>
          <w:tcPr>
            <w:tcW w:w="907" w:type="dxa"/>
            <w:tcBorders>
              <w:top w:val="nil"/>
              <w:bottom w:val="nil"/>
            </w:tcBorders>
          </w:tcPr>
          <w:p w:rsidR="00A53D7D" w:rsidRPr="00B2174E" w:rsidRDefault="00A53D7D" w:rsidP="005140B4">
            <w:pPr>
              <w:pStyle w:val="OGTableofFigures"/>
              <w:ind w:left="75"/>
              <w:rPr>
                <w:color w:val="000000"/>
                <w:lang w:eastAsia="en-AU"/>
              </w:rPr>
            </w:pPr>
            <w:r w:rsidRPr="00B2174E">
              <w:rPr>
                <w:color w:val="000000"/>
                <w:lang w:eastAsia="en-AU"/>
              </w:rPr>
              <w:t>390</w:t>
            </w:r>
            <w:r>
              <w:rPr>
                <w:color w:val="000000"/>
                <w:lang w:eastAsia="en-AU"/>
              </w:rPr>
              <w:t> </w:t>
            </w:r>
            <w:r w:rsidRPr="00B2174E">
              <w:rPr>
                <w:color w:val="000000"/>
                <w:lang w:eastAsia="en-AU"/>
              </w:rPr>
              <w:t>000</w:t>
            </w:r>
          </w:p>
        </w:tc>
        <w:tc>
          <w:tcPr>
            <w:tcW w:w="907" w:type="dxa"/>
            <w:tcBorders>
              <w:top w:val="nil"/>
              <w:bottom w:val="nil"/>
            </w:tcBorders>
          </w:tcPr>
          <w:p w:rsidR="00A53D7D" w:rsidRPr="00B2174E" w:rsidRDefault="00A53D7D" w:rsidP="005140B4">
            <w:pPr>
              <w:pStyle w:val="OGTableofFigures"/>
              <w:ind w:left="75"/>
              <w:rPr>
                <w:color w:val="000000"/>
                <w:lang w:eastAsia="en-AU"/>
              </w:rPr>
            </w:pPr>
            <w:r w:rsidRPr="00B2174E">
              <w:rPr>
                <w:color w:val="000000"/>
                <w:lang w:eastAsia="en-AU"/>
              </w:rPr>
              <w:t>409</w:t>
            </w:r>
            <w:r>
              <w:rPr>
                <w:color w:val="000000"/>
                <w:lang w:eastAsia="en-AU"/>
              </w:rPr>
              <w:t> </w:t>
            </w:r>
            <w:r w:rsidRPr="00B2174E">
              <w:rPr>
                <w:color w:val="000000"/>
                <w:lang w:eastAsia="en-AU"/>
              </w:rPr>
              <w:t>936</w:t>
            </w:r>
          </w:p>
        </w:tc>
      </w:tr>
      <w:tr w:rsidR="00A53D7D" w:rsidRPr="00417A9A" w:rsidTr="005140B4">
        <w:tblPrEx>
          <w:tblBorders>
            <w:bottom w:val="single" w:sz="12" w:space="0" w:color="auto"/>
          </w:tblBorders>
        </w:tblPrEx>
        <w:trPr>
          <w:cantSplit/>
        </w:trPr>
        <w:tc>
          <w:tcPr>
            <w:tcW w:w="3155" w:type="dxa"/>
            <w:tcBorders>
              <w:top w:val="nil"/>
              <w:bottom w:val="nil"/>
            </w:tcBorders>
          </w:tcPr>
          <w:p w:rsidR="00A53D7D" w:rsidRPr="00B2174E" w:rsidRDefault="00A53D7D" w:rsidP="005140B4">
            <w:pPr>
              <w:pStyle w:val="OGTabText"/>
              <w:numPr>
                <w:ilvl w:val="0"/>
                <w:numId w:val="9"/>
              </w:numPr>
              <w:tabs>
                <w:tab w:val="clear" w:pos="864"/>
                <w:tab w:val="num" w:pos="686"/>
              </w:tabs>
              <w:spacing w:before="0" w:after="60"/>
              <w:ind w:left="686"/>
              <w:rPr>
                <w:color w:val="000000"/>
                <w:lang w:eastAsia="en-AU"/>
              </w:rPr>
            </w:pPr>
            <w:r w:rsidRPr="00B2174E">
              <w:rPr>
                <w:color w:val="000000"/>
                <w:lang w:eastAsia="en-AU"/>
              </w:rPr>
              <w:t>through other services including written correspondence, face to face and dispute assistance</w:t>
            </w:r>
          </w:p>
        </w:tc>
        <w:tc>
          <w:tcPr>
            <w:tcW w:w="907" w:type="dxa"/>
            <w:tcBorders>
              <w:top w:val="nil"/>
              <w:bottom w:val="nil"/>
            </w:tcBorders>
          </w:tcPr>
          <w:p w:rsidR="00A53D7D" w:rsidRPr="00B2174E" w:rsidRDefault="00A53D7D" w:rsidP="005140B4">
            <w:pPr>
              <w:pStyle w:val="OGUoM"/>
              <w:rPr>
                <w:rFonts w:cs="Calibri"/>
                <w:lang w:eastAsia="en-AU"/>
              </w:rPr>
            </w:pPr>
            <w:r w:rsidRPr="00B2174E">
              <w:rPr>
                <w:rFonts w:cs="Calibri"/>
                <w:lang w:eastAsia="en-AU"/>
              </w:rPr>
              <w:t>number</w:t>
            </w:r>
          </w:p>
        </w:tc>
        <w:tc>
          <w:tcPr>
            <w:tcW w:w="907" w:type="dxa"/>
            <w:tcBorders>
              <w:top w:val="nil"/>
              <w:bottom w:val="nil"/>
            </w:tcBorders>
            <w:shd w:val="clear" w:color="auto" w:fill="D9D9D9"/>
          </w:tcPr>
          <w:p w:rsidR="00A53D7D" w:rsidRPr="00B2174E" w:rsidRDefault="00A53D7D" w:rsidP="005140B4">
            <w:pPr>
              <w:pStyle w:val="OGTableofFigures"/>
              <w:rPr>
                <w:rFonts w:cs="Calibri"/>
                <w:lang w:eastAsia="en-AU"/>
              </w:rPr>
            </w:pPr>
            <w:r>
              <w:rPr>
                <w:rFonts w:cs="Calibri"/>
                <w:lang w:eastAsia="en-AU"/>
              </w:rPr>
              <w:t>140 </w:t>
            </w:r>
            <w:r w:rsidRPr="00B2174E">
              <w:rPr>
                <w:rFonts w:cs="Calibri"/>
                <w:lang w:eastAsia="en-AU"/>
              </w:rPr>
              <w:t>000</w:t>
            </w:r>
          </w:p>
        </w:tc>
        <w:tc>
          <w:tcPr>
            <w:tcW w:w="993" w:type="dxa"/>
            <w:tcBorders>
              <w:top w:val="nil"/>
              <w:bottom w:val="nil"/>
            </w:tcBorders>
          </w:tcPr>
          <w:p w:rsidR="00A53D7D" w:rsidRPr="00B2174E" w:rsidRDefault="00A53D7D" w:rsidP="005140B4">
            <w:pPr>
              <w:pStyle w:val="OGTableofFigures"/>
              <w:rPr>
                <w:rFonts w:cs="Calibri"/>
                <w:lang w:eastAsia="en-AU"/>
              </w:rPr>
            </w:pPr>
            <w:r>
              <w:rPr>
                <w:rFonts w:cs="Calibri"/>
                <w:lang w:eastAsia="en-AU"/>
              </w:rPr>
              <w:t>133 </w:t>
            </w:r>
            <w:r w:rsidRPr="00B2174E">
              <w:rPr>
                <w:rFonts w:cs="Calibri"/>
                <w:lang w:eastAsia="en-AU"/>
              </w:rPr>
              <w:t>200</w:t>
            </w:r>
          </w:p>
        </w:tc>
        <w:tc>
          <w:tcPr>
            <w:tcW w:w="907" w:type="dxa"/>
            <w:tcBorders>
              <w:top w:val="nil"/>
              <w:bottom w:val="nil"/>
            </w:tcBorders>
          </w:tcPr>
          <w:p w:rsidR="00A53D7D" w:rsidRPr="00B2174E" w:rsidRDefault="00A53D7D" w:rsidP="005140B4">
            <w:pPr>
              <w:pStyle w:val="OGTableofFigures"/>
              <w:ind w:left="75"/>
              <w:rPr>
                <w:color w:val="000000"/>
                <w:lang w:eastAsia="en-AU"/>
              </w:rPr>
            </w:pPr>
            <w:r w:rsidRPr="00B2174E">
              <w:rPr>
                <w:color w:val="000000"/>
                <w:lang w:eastAsia="en-AU"/>
              </w:rPr>
              <w:t>130</w:t>
            </w:r>
            <w:r>
              <w:rPr>
                <w:color w:val="000000"/>
                <w:lang w:eastAsia="en-AU"/>
              </w:rPr>
              <w:t> </w:t>
            </w:r>
            <w:r w:rsidRPr="00B2174E">
              <w:rPr>
                <w:color w:val="000000"/>
                <w:lang w:eastAsia="en-AU"/>
              </w:rPr>
              <w:t>000</w:t>
            </w:r>
          </w:p>
        </w:tc>
        <w:tc>
          <w:tcPr>
            <w:tcW w:w="907" w:type="dxa"/>
            <w:tcBorders>
              <w:top w:val="nil"/>
              <w:bottom w:val="nil"/>
            </w:tcBorders>
          </w:tcPr>
          <w:p w:rsidR="00A53D7D" w:rsidRPr="00B2174E" w:rsidRDefault="00A53D7D" w:rsidP="005140B4">
            <w:pPr>
              <w:pStyle w:val="OGTableofFigures"/>
              <w:ind w:left="75"/>
              <w:rPr>
                <w:color w:val="000000"/>
                <w:lang w:eastAsia="en-AU"/>
              </w:rPr>
            </w:pPr>
            <w:r>
              <w:rPr>
                <w:color w:val="000000"/>
                <w:lang w:eastAsia="en-AU"/>
              </w:rPr>
              <w:t>84 </w:t>
            </w:r>
            <w:r w:rsidRPr="00B2174E">
              <w:rPr>
                <w:color w:val="000000"/>
                <w:lang w:eastAsia="en-AU"/>
              </w:rPr>
              <w:t>659</w:t>
            </w:r>
          </w:p>
        </w:tc>
      </w:tr>
      <w:tr w:rsidR="00A53D7D" w:rsidRPr="00A475B8" w:rsidTr="005140B4">
        <w:tblPrEx>
          <w:tblBorders>
            <w:bottom w:val="single" w:sz="12" w:space="0" w:color="auto"/>
          </w:tblBorders>
        </w:tblPrEx>
        <w:trPr>
          <w:cantSplit/>
        </w:trPr>
        <w:tc>
          <w:tcPr>
            <w:tcW w:w="7776" w:type="dxa"/>
            <w:gridSpan w:val="6"/>
            <w:tcBorders>
              <w:bottom w:val="single" w:sz="6" w:space="0" w:color="auto"/>
            </w:tcBorders>
          </w:tcPr>
          <w:p w:rsidR="00A53D7D" w:rsidRPr="00B2174E" w:rsidRDefault="00A53D7D" w:rsidP="005140B4">
            <w:pPr>
              <w:pStyle w:val="OGNotes"/>
            </w:pPr>
            <w:r w:rsidRPr="00B2174E">
              <w:t>This performance measure is a disaggregation of the 2013</w:t>
            </w:r>
            <w:r>
              <w:noBreakHyphen/>
            </w:r>
            <w:r w:rsidRPr="00B2174E">
              <w:t xml:space="preserve">14 performance measure ‘Information and advice provided to consumers and traders delivered by Consumer Affairs Victoria (CAV)’. The disaggregation provides more clarity regarding the range of services provided by CAV. </w:t>
            </w:r>
          </w:p>
          <w:p w:rsidR="00A53D7D" w:rsidRPr="00B2174E" w:rsidRDefault="00A53D7D" w:rsidP="005140B4">
            <w:pPr>
              <w:pStyle w:val="OGNotes"/>
            </w:pPr>
            <w:r w:rsidRPr="00B2174E">
              <w:t>The 2014</w:t>
            </w:r>
            <w:r>
              <w:noBreakHyphen/>
            </w:r>
            <w:r w:rsidRPr="00B2174E">
              <w:t>15 target for ‘Information and advice provided: through telephone service’ is lower than the 2013</w:t>
            </w:r>
            <w:r>
              <w:noBreakHyphen/>
            </w:r>
            <w:r w:rsidRPr="00B2174E">
              <w:t xml:space="preserve">14 target due to an increased focus on directing contacts to the Consumer Affairs website rather than the call centre. </w:t>
            </w:r>
          </w:p>
          <w:p w:rsidR="00A53D7D" w:rsidRPr="00B2174E" w:rsidRDefault="00A53D7D" w:rsidP="005140B4">
            <w:pPr>
              <w:pStyle w:val="OGNotes"/>
              <w:rPr>
                <w:rFonts w:ascii="Arial" w:hAnsi="Arial" w:cs="Arial"/>
                <w:i w:val="0"/>
              </w:rPr>
            </w:pPr>
            <w:r w:rsidRPr="00B2174E">
              <w:t>The 2014</w:t>
            </w:r>
            <w:r>
              <w:noBreakHyphen/>
            </w:r>
            <w:r w:rsidRPr="00B2174E">
              <w:t>15 target for ‘Information and advice provided: through other services including written correspondence, face to face and dispute assistance’ is higher than the 2013</w:t>
            </w:r>
            <w:r>
              <w:noBreakHyphen/>
            </w:r>
            <w:r w:rsidRPr="00B2174E">
              <w:t>14 Target due to an anticipated increase in the number</w:t>
            </w:r>
            <w:r>
              <w:br/>
            </w:r>
            <w:r w:rsidRPr="00B2174E">
              <w:t xml:space="preserve"> of financial counselling services provided following the commencement of the new Financial Counselling Model on </w:t>
            </w:r>
            <w:r>
              <w:br/>
            </w:r>
            <w:r w:rsidRPr="00B2174E">
              <w:t>1 July 2014.</w:t>
            </w:r>
          </w:p>
        </w:tc>
      </w:tr>
      <w:tr w:rsidR="00A53D7D" w:rsidRPr="00A475B8" w:rsidTr="005140B4">
        <w:tblPrEx>
          <w:tblBorders>
            <w:bottom w:val="single" w:sz="12" w:space="0" w:color="auto"/>
          </w:tblBorders>
        </w:tblPrEx>
        <w:trPr>
          <w:cantSplit/>
        </w:trPr>
        <w:tc>
          <w:tcPr>
            <w:tcW w:w="3155" w:type="dxa"/>
            <w:tcBorders>
              <w:top w:val="single" w:sz="6" w:space="0" w:color="auto"/>
              <w:bottom w:val="nil"/>
            </w:tcBorders>
          </w:tcPr>
          <w:p w:rsidR="00A53D7D" w:rsidRPr="00B2174E" w:rsidRDefault="00A53D7D" w:rsidP="005140B4">
            <w:pPr>
              <w:pStyle w:val="OGTabText"/>
              <w:pageBreakBefore/>
              <w:ind w:left="142"/>
              <w:rPr>
                <w:color w:val="000000"/>
                <w:lang w:eastAsia="en-AU"/>
              </w:rPr>
            </w:pPr>
            <w:r w:rsidRPr="00B2174E">
              <w:rPr>
                <w:color w:val="000000"/>
                <w:lang w:eastAsia="en-AU"/>
              </w:rPr>
              <w:t>Compliance activities, from compliance assistance through to court actions</w:t>
            </w:r>
          </w:p>
        </w:tc>
        <w:tc>
          <w:tcPr>
            <w:tcW w:w="907" w:type="dxa"/>
            <w:tcBorders>
              <w:top w:val="single" w:sz="6" w:space="0" w:color="auto"/>
              <w:bottom w:val="nil"/>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6" w:space="0" w:color="auto"/>
              <w:bottom w:val="nil"/>
            </w:tcBorders>
            <w:shd w:val="clear" w:color="auto" w:fill="D9D9D9"/>
          </w:tcPr>
          <w:p w:rsidR="00A53D7D" w:rsidRPr="00B2174E" w:rsidRDefault="00A53D7D" w:rsidP="005140B4">
            <w:pPr>
              <w:pStyle w:val="OGTableofFigures"/>
              <w:rPr>
                <w:color w:val="000000"/>
                <w:lang w:eastAsia="en-AU"/>
              </w:rPr>
            </w:pPr>
            <w:r w:rsidRPr="003B380F">
              <w:rPr>
                <w:color w:val="000000"/>
                <w:lang w:eastAsia="en-AU"/>
              </w:rPr>
              <w:t>12</w:t>
            </w:r>
            <w:r>
              <w:rPr>
                <w:color w:val="000000"/>
                <w:lang w:eastAsia="en-AU"/>
              </w:rPr>
              <w:t> </w:t>
            </w:r>
            <w:r w:rsidRPr="003B380F">
              <w:rPr>
                <w:color w:val="000000"/>
                <w:lang w:eastAsia="en-AU"/>
              </w:rPr>
              <w:t>000</w:t>
            </w:r>
          </w:p>
        </w:tc>
        <w:tc>
          <w:tcPr>
            <w:tcW w:w="993" w:type="dxa"/>
            <w:tcBorders>
              <w:top w:val="single" w:sz="6" w:space="0" w:color="auto"/>
              <w:bottom w:val="nil"/>
            </w:tcBorders>
          </w:tcPr>
          <w:p w:rsidR="00A53D7D" w:rsidRPr="00B2174E" w:rsidRDefault="00A53D7D" w:rsidP="005140B4">
            <w:pPr>
              <w:pStyle w:val="OGTableofFigures"/>
              <w:rPr>
                <w:color w:val="000000"/>
                <w:lang w:eastAsia="en-AU"/>
              </w:rPr>
            </w:pPr>
            <w:r>
              <w:rPr>
                <w:color w:val="000000"/>
                <w:lang w:eastAsia="en-AU"/>
              </w:rPr>
              <w:t>10 </w:t>
            </w:r>
            <w:r w:rsidRPr="00B2174E">
              <w:rPr>
                <w:color w:val="000000"/>
                <w:lang w:eastAsia="en-AU"/>
              </w:rPr>
              <w:t>760</w:t>
            </w:r>
          </w:p>
        </w:tc>
        <w:tc>
          <w:tcPr>
            <w:tcW w:w="907" w:type="dxa"/>
            <w:tcBorders>
              <w:top w:val="single" w:sz="6" w:space="0" w:color="auto"/>
              <w:bottom w:val="nil"/>
            </w:tcBorders>
          </w:tcPr>
          <w:p w:rsidR="00A53D7D" w:rsidRPr="00B2174E" w:rsidRDefault="00A53D7D" w:rsidP="005140B4">
            <w:pPr>
              <w:pStyle w:val="OGTableofFigures"/>
              <w:ind w:left="75"/>
              <w:rPr>
                <w:color w:val="000000"/>
                <w:lang w:eastAsia="en-AU"/>
              </w:rPr>
            </w:pPr>
            <w:r>
              <w:rPr>
                <w:color w:val="000000"/>
                <w:lang w:eastAsia="en-AU"/>
              </w:rPr>
              <w:t>10 </w:t>
            </w:r>
            <w:r w:rsidRPr="00B2174E">
              <w:rPr>
                <w:color w:val="000000"/>
                <w:lang w:eastAsia="en-AU"/>
              </w:rPr>
              <w:t>000</w:t>
            </w:r>
          </w:p>
        </w:tc>
        <w:tc>
          <w:tcPr>
            <w:tcW w:w="907" w:type="dxa"/>
            <w:tcBorders>
              <w:top w:val="single" w:sz="6" w:space="0" w:color="auto"/>
              <w:bottom w:val="nil"/>
            </w:tcBorders>
          </w:tcPr>
          <w:p w:rsidR="00A53D7D" w:rsidRPr="00B2174E" w:rsidRDefault="00A53D7D" w:rsidP="005140B4">
            <w:pPr>
              <w:pStyle w:val="OGTableofFigures"/>
              <w:ind w:left="75"/>
              <w:rPr>
                <w:color w:val="000000"/>
                <w:lang w:eastAsia="en-AU"/>
              </w:rPr>
            </w:pPr>
            <w:r>
              <w:rPr>
                <w:color w:val="000000"/>
                <w:lang w:eastAsia="en-AU"/>
              </w:rPr>
              <w:t>9 </w:t>
            </w:r>
            <w:r w:rsidRPr="00B2174E">
              <w:rPr>
                <w:color w:val="000000"/>
                <w:lang w:eastAsia="en-AU"/>
              </w:rPr>
              <w:t>749</w:t>
            </w:r>
          </w:p>
        </w:tc>
      </w:tr>
      <w:tr w:rsidR="00A53D7D" w:rsidRPr="00A475B8" w:rsidTr="005140B4">
        <w:tblPrEx>
          <w:tblBorders>
            <w:bottom w:val="single" w:sz="12" w:space="0" w:color="auto"/>
          </w:tblBorders>
        </w:tblPrEx>
        <w:trPr>
          <w:cantSplit/>
        </w:trPr>
        <w:tc>
          <w:tcPr>
            <w:tcW w:w="7776" w:type="dxa"/>
            <w:gridSpan w:val="6"/>
            <w:tcBorders>
              <w:bottom w:val="single" w:sz="6" w:space="0" w:color="auto"/>
            </w:tcBorders>
            <w:vAlign w:val="center"/>
          </w:tcPr>
          <w:p w:rsidR="00A53D7D" w:rsidRPr="00B2174E" w:rsidRDefault="00A53D7D" w:rsidP="005140B4">
            <w:pPr>
              <w:pStyle w:val="OGNotes"/>
            </w:pPr>
            <w:r w:rsidRPr="00B2174E">
              <w:t>This performance measure renames the 2013</w:t>
            </w:r>
            <w:r>
              <w:noBreakHyphen/>
            </w:r>
            <w:r w:rsidRPr="00B2174E">
              <w:t>14 performance measure ‘Inspections, compliance monitoring and enforcement</w:t>
            </w:r>
            <w:r>
              <w:t xml:space="preserve"> activities delivered by CAV’.</w:t>
            </w:r>
          </w:p>
          <w:p w:rsidR="00A53D7D" w:rsidRPr="00B2174E" w:rsidRDefault="00A53D7D" w:rsidP="005140B4">
            <w:pPr>
              <w:pStyle w:val="OGNotes"/>
            </w:pPr>
            <w:r w:rsidRPr="00B2174E">
              <w:t>The 2013</w:t>
            </w:r>
            <w:r>
              <w:noBreakHyphen/>
            </w:r>
            <w:r w:rsidRPr="00B2174E">
              <w:t>14 expected outcome is higher than the 2013</w:t>
            </w:r>
            <w:r>
              <w:noBreakHyphen/>
            </w:r>
            <w:r w:rsidRPr="00B2174E">
              <w:t>14 target due to increased activity relating to the enforcement of rooming house minimum standards.</w:t>
            </w:r>
          </w:p>
          <w:p w:rsidR="00A53D7D" w:rsidRPr="00B2174E" w:rsidRDefault="00A53D7D" w:rsidP="005140B4">
            <w:pPr>
              <w:pStyle w:val="OGNotes"/>
            </w:pPr>
            <w:r w:rsidRPr="003B380F">
              <w:t>The 2014</w:t>
            </w:r>
            <w:r>
              <w:noBreakHyphen/>
            </w:r>
            <w:r w:rsidRPr="003B380F">
              <w:t>15 target is higher than the 2013</w:t>
            </w:r>
            <w:r>
              <w:noBreakHyphen/>
            </w:r>
            <w:r w:rsidRPr="003B380F">
              <w:t>14 target due to an increased focus on market monitoring activity.</w:t>
            </w:r>
          </w:p>
        </w:tc>
      </w:tr>
      <w:tr w:rsidR="00A53D7D" w:rsidRPr="00A475B8" w:rsidTr="005140B4">
        <w:tblPrEx>
          <w:tblBorders>
            <w:bottom w:val="single" w:sz="12" w:space="0" w:color="auto"/>
          </w:tblBorders>
        </w:tblPrEx>
        <w:trPr>
          <w:cantSplit/>
        </w:trPr>
        <w:tc>
          <w:tcPr>
            <w:tcW w:w="3155" w:type="dxa"/>
            <w:tcBorders>
              <w:top w:val="single" w:sz="6" w:space="0" w:color="auto"/>
              <w:bottom w:val="nil"/>
            </w:tcBorders>
          </w:tcPr>
          <w:p w:rsidR="00A53D7D" w:rsidRPr="00B2174E" w:rsidRDefault="00A53D7D" w:rsidP="005140B4">
            <w:pPr>
              <w:pStyle w:val="OGTabText"/>
              <w:rPr>
                <w:color w:val="000000"/>
                <w:lang w:eastAsia="en-AU"/>
              </w:rPr>
            </w:pPr>
            <w:r w:rsidRPr="00B2174E">
              <w:rPr>
                <w:color w:val="000000"/>
                <w:lang w:eastAsia="en-AU"/>
              </w:rPr>
              <w:t>Transactions undertaken:</w:t>
            </w:r>
          </w:p>
        </w:tc>
        <w:tc>
          <w:tcPr>
            <w:tcW w:w="907" w:type="dxa"/>
            <w:tcBorders>
              <w:top w:val="single" w:sz="6" w:space="0" w:color="auto"/>
              <w:bottom w:val="nil"/>
            </w:tcBorders>
          </w:tcPr>
          <w:p w:rsidR="00A53D7D" w:rsidRPr="00B2174E" w:rsidRDefault="00A53D7D" w:rsidP="005140B4">
            <w:pPr>
              <w:pStyle w:val="OGUoM"/>
              <w:rPr>
                <w:color w:val="000000"/>
                <w:lang w:eastAsia="en-AU"/>
              </w:rPr>
            </w:pPr>
          </w:p>
        </w:tc>
        <w:tc>
          <w:tcPr>
            <w:tcW w:w="907" w:type="dxa"/>
            <w:tcBorders>
              <w:top w:val="single" w:sz="6" w:space="0" w:color="auto"/>
              <w:bottom w:val="nil"/>
            </w:tcBorders>
            <w:shd w:val="clear" w:color="auto" w:fill="D9D9D9"/>
          </w:tcPr>
          <w:p w:rsidR="00A53D7D" w:rsidRPr="00B2174E" w:rsidRDefault="00A53D7D" w:rsidP="005140B4">
            <w:pPr>
              <w:pStyle w:val="OGTableofFigures"/>
              <w:rPr>
                <w:color w:val="000000"/>
                <w:lang w:eastAsia="en-AU"/>
              </w:rPr>
            </w:pPr>
          </w:p>
        </w:tc>
        <w:tc>
          <w:tcPr>
            <w:tcW w:w="993" w:type="dxa"/>
            <w:tcBorders>
              <w:top w:val="single" w:sz="6" w:space="0" w:color="auto"/>
              <w:bottom w:val="nil"/>
            </w:tcBorders>
          </w:tcPr>
          <w:p w:rsidR="00A53D7D" w:rsidRPr="00B2174E" w:rsidRDefault="00A53D7D" w:rsidP="005140B4">
            <w:pPr>
              <w:jc w:val="right"/>
            </w:pPr>
          </w:p>
        </w:tc>
        <w:tc>
          <w:tcPr>
            <w:tcW w:w="907" w:type="dxa"/>
            <w:tcBorders>
              <w:top w:val="single" w:sz="6" w:space="0" w:color="auto"/>
              <w:bottom w:val="nil"/>
            </w:tcBorders>
          </w:tcPr>
          <w:p w:rsidR="00A53D7D" w:rsidRPr="00B2174E" w:rsidRDefault="00A53D7D" w:rsidP="005140B4">
            <w:pPr>
              <w:jc w:val="right"/>
            </w:pPr>
          </w:p>
        </w:tc>
        <w:tc>
          <w:tcPr>
            <w:tcW w:w="907" w:type="dxa"/>
            <w:tcBorders>
              <w:top w:val="single" w:sz="6" w:space="0" w:color="auto"/>
              <w:bottom w:val="nil"/>
            </w:tcBorders>
          </w:tcPr>
          <w:p w:rsidR="00A53D7D" w:rsidRPr="00B2174E" w:rsidRDefault="00A53D7D" w:rsidP="005140B4">
            <w:pPr>
              <w:jc w:val="right"/>
            </w:pPr>
          </w:p>
        </w:tc>
      </w:tr>
      <w:tr w:rsidR="00A53D7D" w:rsidRPr="00A475B8" w:rsidTr="005140B4">
        <w:tblPrEx>
          <w:tblBorders>
            <w:bottom w:val="single" w:sz="12" w:space="0" w:color="auto"/>
          </w:tblBorders>
        </w:tblPrEx>
        <w:trPr>
          <w:cantSplit/>
        </w:trPr>
        <w:tc>
          <w:tcPr>
            <w:tcW w:w="3155" w:type="dxa"/>
            <w:tcBorders>
              <w:top w:val="nil"/>
              <w:bottom w:val="nil"/>
            </w:tcBorders>
          </w:tcPr>
          <w:p w:rsidR="00A53D7D" w:rsidRPr="00B2174E" w:rsidRDefault="00A53D7D" w:rsidP="005140B4">
            <w:pPr>
              <w:pStyle w:val="OGTabText"/>
              <w:numPr>
                <w:ilvl w:val="0"/>
                <w:numId w:val="9"/>
              </w:numPr>
              <w:tabs>
                <w:tab w:val="clear" w:pos="864"/>
                <w:tab w:val="num" w:pos="686"/>
              </w:tabs>
              <w:spacing w:before="0" w:after="60"/>
              <w:ind w:left="686"/>
              <w:rPr>
                <w:color w:val="000000"/>
                <w:lang w:eastAsia="en-AU"/>
              </w:rPr>
            </w:pPr>
            <w:r w:rsidRPr="00B2174E">
              <w:rPr>
                <w:color w:val="000000"/>
                <w:lang w:eastAsia="en-AU"/>
              </w:rPr>
              <w:t>registration and licensing transactions</w:t>
            </w:r>
          </w:p>
        </w:tc>
        <w:tc>
          <w:tcPr>
            <w:tcW w:w="907" w:type="dxa"/>
            <w:tcBorders>
              <w:top w:val="nil"/>
              <w:bottom w:val="nil"/>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nil"/>
              <w:bottom w:val="nil"/>
            </w:tcBorders>
            <w:shd w:val="clear" w:color="auto" w:fill="D9D9D9"/>
          </w:tcPr>
          <w:p w:rsidR="00A53D7D" w:rsidRPr="00B2174E" w:rsidRDefault="00A53D7D" w:rsidP="005140B4">
            <w:pPr>
              <w:pStyle w:val="OGTableofFigures"/>
              <w:rPr>
                <w:color w:val="000000"/>
                <w:lang w:eastAsia="en-AU"/>
              </w:rPr>
            </w:pPr>
            <w:r>
              <w:rPr>
                <w:color w:val="000000"/>
                <w:lang w:eastAsia="en-AU"/>
              </w:rPr>
              <w:t>69 </w:t>
            </w:r>
            <w:r w:rsidRPr="00B2174E">
              <w:rPr>
                <w:color w:val="000000"/>
                <w:lang w:eastAsia="en-AU"/>
              </w:rPr>
              <w:t>500</w:t>
            </w:r>
          </w:p>
        </w:tc>
        <w:tc>
          <w:tcPr>
            <w:tcW w:w="993" w:type="dxa"/>
            <w:tcBorders>
              <w:top w:val="nil"/>
              <w:bottom w:val="nil"/>
            </w:tcBorders>
          </w:tcPr>
          <w:p w:rsidR="00A53D7D" w:rsidRPr="00B2174E" w:rsidRDefault="00A53D7D" w:rsidP="005140B4">
            <w:pPr>
              <w:jc w:val="right"/>
            </w:pPr>
            <w:r>
              <w:rPr>
                <w:rFonts w:ascii="Calibri" w:hAnsi="Calibri"/>
                <w:color w:val="000000"/>
                <w:sz w:val="20"/>
              </w:rPr>
              <w:t>56 </w:t>
            </w:r>
            <w:r w:rsidRPr="00B2174E">
              <w:rPr>
                <w:rFonts w:ascii="Calibri" w:hAnsi="Calibri"/>
                <w:color w:val="000000"/>
                <w:sz w:val="20"/>
              </w:rPr>
              <w:t>850</w:t>
            </w:r>
          </w:p>
        </w:tc>
        <w:tc>
          <w:tcPr>
            <w:tcW w:w="907" w:type="dxa"/>
            <w:tcBorders>
              <w:top w:val="nil"/>
              <w:bottom w:val="nil"/>
            </w:tcBorders>
          </w:tcPr>
          <w:p w:rsidR="00A53D7D" w:rsidRPr="00B2174E" w:rsidRDefault="00A53D7D" w:rsidP="005140B4">
            <w:pPr>
              <w:jc w:val="right"/>
            </w:pPr>
            <w:r>
              <w:rPr>
                <w:rFonts w:ascii="Calibri" w:hAnsi="Calibri"/>
                <w:color w:val="000000"/>
                <w:sz w:val="20"/>
              </w:rPr>
              <w:t>55 </w:t>
            </w:r>
            <w:r w:rsidRPr="00B2174E">
              <w:rPr>
                <w:rFonts w:ascii="Calibri" w:hAnsi="Calibri"/>
                <w:color w:val="000000"/>
                <w:sz w:val="20"/>
              </w:rPr>
              <w:t>000</w:t>
            </w:r>
          </w:p>
        </w:tc>
        <w:tc>
          <w:tcPr>
            <w:tcW w:w="907" w:type="dxa"/>
            <w:tcBorders>
              <w:top w:val="nil"/>
              <w:bottom w:val="nil"/>
            </w:tcBorders>
          </w:tcPr>
          <w:p w:rsidR="00A53D7D" w:rsidRPr="00B2174E" w:rsidRDefault="00A53D7D" w:rsidP="005140B4">
            <w:pPr>
              <w:jc w:val="right"/>
            </w:pPr>
            <w:r w:rsidRPr="00B2174E">
              <w:rPr>
                <w:rFonts w:ascii="Calibri" w:hAnsi="Calibri"/>
                <w:color w:val="000000"/>
                <w:sz w:val="20"/>
              </w:rPr>
              <w:t>61</w:t>
            </w:r>
            <w:r>
              <w:rPr>
                <w:rFonts w:ascii="Calibri" w:hAnsi="Calibri"/>
                <w:color w:val="000000"/>
                <w:sz w:val="20"/>
              </w:rPr>
              <w:t> </w:t>
            </w:r>
            <w:r w:rsidRPr="00B2174E">
              <w:rPr>
                <w:rFonts w:ascii="Calibri" w:hAnsi="Calibri"/>
                <w:color w:val="000000"/>
                <w:sz w:val="20"/>
              </w:rPr>
              <w:t>378</w:t>
            </w:r>
          </w:p>
        </w:tc>
      </w:tr>
      <w:tr w:rsidR="00A53D7D" w:rsidRPr="00A475B8" w:rsidTr="005140B4">
        <w:tblPrEx>
          <w:tblBorders>
            <w:bottom w:val="single" w:sz="12" w:space="0" w:color="auto"/>
          </w:tblBorders>
        </w:tblPrEx>
        <w:trPr>
          <w:cantSplit/>
        </w:trPr>
        <w:tc>
          <w:tcPr>
            <w:tcW w:w="3155" w:type="dxa"/>
            <w:tcBorders>
              <w:top w:val="nil"/>
              <w:bottom w:val="nil"/>
            </w:tcBorders>
          </w:tcPr>
          <w:p w:rsidR="00A53D7D" w:rsidRPr="00B2174E" w:rsidRDefault="00A53D7D" w:rsidP="005140B4">
            <w:pPr>
              <w:pStyle w:val="OGTabText"/>
              <w:numPr>
                <w:ilvl w:val="0"/>
                <w:numId w:val="9"/>
              </w:numPr>
              <w:tabs>
                <w:tab w:val="clear" w:pos="864"/>
                <w:tab w:val="num" w:pos="686"/>
              </w:tabs>
              <w:spacing w:before="0" w:after="60"/>
              <w:ind w:left="686"/>
              <w:rPr>
                <w:color w:val="000000"/>
                <w:lang w:eastAsia="en-AU"/>
              </w:rPr>
            </w:pPr>
            <w:r w:rsidRPr="00B2174E">
              <w:rPr>
                <w:color w:val="000000"/>
                <w:lang w:eastAsia="en-AU"/>
              </w:rPr>
              <w:t>Residential Tenancies Bonds Authority (RTBA) transactions</w:t>
            </w:r>
          </w:p>
        </w:tc>
        <w:tc>
          <w:tcPr>
            <w:tcW w:w="907" w:type="dxa"/>
            <w:tcBorders>
              <w:top w:val="nil"/>
              <w:bottom w:val="nil"/>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nil"/>
              <w:bottom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448</w:t>
            </w:r>
            <w:r>
              <w:rPr>
                <w:color w:val="000000"/>
                <w:lang w:eastAsia="en-AU"/>
              </w:rPr>
              <w:t> </w:t>
            </w:r>
            <w:r w:rsidRPr="00B2174E">
              <w:rPr>
                <w:color w:val="000000"/>
                <w:lang w:eastAsia="en-AU"/>
              </w:rPr>
              <w:t>000</w:t>
            </w:r>
          </w:p>
        </w:tc>
        <w:tc>
          <w:tcPr>
            <w:tcW w:w="993" w:type="dxa"/>
            <w:tcBorders>
              <w:top w:val="nil"/>
              <w:bottom w:val="nil"/>
            </w:tcBorders>
          </w:tcPr>
          <w:p w:rsidR="00A53D7D" w:rsidRPr="00B2174E" w:rsidRDefault="00A53D7D" w:rsidP="005140B4">
            <w:pPr>
              <w:jc w:val="right"/>
            </w:pPr>
            <w:r>
              <w:rPr>
                <w:rFonts w:ascii="Calibri" w:hAnsi="Calibri"/>
                <w:color w:val="000000"/>
                <w:sz w:val="20"/>
              </w:rPr>
              <w:t>430 </w:t>
            </w:r>
            <w:r w:rsidRPr="00B2174E">
              <w:rPr>
                <w:rFonts w:ascii="Calibri" w:hAnsi="Calibri"/>
                <w:color w:val="000000"/>
                <w:sz w:val="20"/>
              </w:rPr>
              <w:t>400</w:t>
            </w:r>
          </w:p>
        </w:tc>
        <w:tc>
          <w:tcPr>
            <w:tcW w:w="907" w:type="dxa"/>
            <w:tcBorders>
              <w:top w:val="nil"/>
              <w:bottom w:val="nil"/>
            </w:tcBorders>
          </w:tcPr>
          <w:p w:rsidR="00A53D7D" w:rsidRPr="00B2174E" w:rsidRDefault="00A53D7D" w:rsidP="005140B4">
            <w:pPr>
              <w:jc w:val="right"/>
            </w:pPr>
            <w:r w:rsidRPr="00B2174E">
              <w:rPr>
                <w:rFonts w:ascii="Calibri" w:hAnsi="Calibri"/>
                <w:color w:val="000000"/>
                <w:sz w:val="20"/>
              </w:rPr>
              <w:t>395</w:t>
            </w:r>
            <w:r>
              <w:rPr>
                <w:rFonts w:ascii="Calibri" w:hAnsi="Calibri"/>
                <w:color w:val="000000"/>
                <w:sz w:val="20"/>
              </w:rPr>
              <w:t> </w:t>
            </w:r>
            <w:r w:rsidRPr="00B2174E">
              <w:rPr>
                <w:rFonts w:ascii="Calibri" w:hAnsi="Calibri"/>
                <w:color w:val="000000"/>
                <w:sz w:val="20"/>
              </w:rPr>
              <w:t>000</w:t>
            </w:r>
          </w:p>
        </w:tc>
        <w:tc>
          <w:tcPr>
            <w:tcW w:w="907" w:type="dxa"/>
            <w:tcBorders>
              <w:top w:val="nil"/>
              <w:bottom w:val="nil"/>
            </w:tcBorders>
          </w:tcPr>
          <w:p w:rsidR="00A53D7D" w:rsidRPr="00B2174E" w:rsidRDefault="00A53D7D" w:rsidP="005140B4">
            <w:pPr>
              <w:jc w:val="right"/>
            </w:pPr>
            <w:r>
              <w:rPr>
                <w:rFonts w:ascii="Calibri" w:hAnsi="Calibri"/>
                <w:color w:val="000000"/>
                <w:sz w:val="20"/>
              </w:rPr>
              <w:t>406 </w:t>
            </w:r>
            <w:r w:rsidRPr="00B2174E">
              <w:rPr>
                <w:rFonts w:ascii="Calibri" w:hAnsi="Calibri"/>
                <w:color w:val="000000"/>
                <w:sz w:val="20"/>
              </w:rPr>
              <w:t>535</w:t>
            </w:r>
          </w:p>
        </w:tc>
      </w:tr>
      <w:tr w:rsidR="00A53D7D" w:rsidRPr="00A475B8" w:rsidTr="005140B4">
        <w:tblPrEx>
          <w:tblBorders>
            <w:bottom w:val="single" w:sz="12" w:space="0" w:color="auto"/>
          </w:tblBorders>
        </w:tblPrEx>
        <w:trPr>
          <w:cantSplit/>
        </w:trPr>
        <w:tc>
          <w:tcPr>
            <w:tcW w:w="7776" w:type="dxa"/>
            <w:gridSpan w:val="6"/>
            <w:tcBorders>
              <w:bottom w:val="single" w:sz="6" w:space="0" w:color="auto"/>
            </w:tcBorders>
          </w:tcPr>
          <w:p w:rsidR="00A53D7D" w:rsidRPr="00B2174E" w:rsidRDefault="00A53D7D" w:rsidP="005140B4">
            <w:pPr>
              <w:pStyle w:val="OGNotes"/>
              <w:rPr>
                <w:szCs w:val="15"/>
              </w:rPr>
            </w:pPr>
            <w:r w:rsidRPr="00B2174E">
              <w:rPr>
                <w:szCs w:val="15"/>
              </w:rPr>
              <w:t>This</w:t>
            </w:r>
            <w:r w:rsidRPr="00B2174E">
              <w:rPr>
                <w:i w:val="0"/>
                <w:szCs w:val="15"/>
              </w:rPr>
              <w:t xml:space="preserve"> </w:t>
            </w:r>
            <w:r w:rsidRPr="00B2174E">
              <w:rPr>
                <w:szCs w:val="15"/>
              </w:rPr>
              <w:t>performance measure is a disaggregation of the 2013</w:t>
            </w:r>
            <w:r>
              <w:rPr>
                <w:szCs w:val="15"/>
              </w:rPr>
              <w:noBreakHyphen/>
            </w:r>
            <w:r w:rsidRPr="00B2174E">
              <w:rPr>
                <w:szCs w:val="15"/>
              </w:rPr>
              <w:t xml:space="preserve">14 performance measure ‘Registration and licensing transactions delivered by CAV’. The disaggregation facilitates increased transparency and accountability, and provides more information to the community. </w:t>
            </w:r>
          </w:p>
          <w:p w:rsidR="00A53D7D" w:rsidRPr="00B2174E" w:rsidRDefault="00A53D7D" w:rsidP="005140B4">
            <w:pPr>
              <w:pStyle w:val="OGNotes"/>
              <w:rPr>
                <w:szCs w:val="15"/>
              </w:rPr>
            </w:pPr>
            <w:r w:rsidRPr="003B380F">
              <w:rPr>
                <w:szCs w:val="15"/>
              </w:rPr>
              <w:t>The 2014</w:t>
            </w:r>
            <w:r>
              <w:rPr>
                <w:szCs w:val="15"/>
              </w:rPr>
              <w:noBreakHyphen/>
            </w:r>
            <w:r w:rsidRPr="003B380F">
              <w:rPr>
                <w:szCs w:val="15"/>
              </w:rPr>
              <w:t>15 target for ‘Transactions undertaken: registration and licensing transactions’ is higher than the 2013</w:t>
            </w:r>
            <w:r>
              <w:rPr>
                <w:szCs w:val="15"/>
              </w:rPr>
              <w:noBreakHyphen/>
            </w:r>
            <w:r w:rsidRPr="003B380F">
              <w:rPr>
                <w:szCs w:val="15"/>
              </w:rPr>
              <w:t>14 target due to increasing demand for registrations and licensing.</w:t>
            </w:r>
          </w:p>
          <w:p w:rsidR="00A53D7D" w:rsidRPr="00B2174E" w:rsidRDefault="00A53D7D" w:rsidP="005140B4">
            <w:pPr>
              <w:pStyle w:val="OGNotes"/>
            </w:pPr>
            <w:r w:rsidRPr="00B2174E">
              <w:rPr>
                <w:szCs w:val="15"/>
              </w:rPr>
              <w:t>The 2013</w:t>
            </w:r>
            <w:r>
              <w:rPr>
                <w:szCs w:val="15"/>
              </w:rPr>
              <w:noBreakHyphen/>
            </w:r>
            <w:r w:rsidRPr="00B2174E">
              <w:rPr>
                <w:szCs w:val="15"/>
              </w:rPr>
              <w:t>14 expected outcome for RTBA transactions is higher than the 2013</w:t>
            </w:r>
            <w:r>
              <w:rPr>
                <w:szCs w:val="15"/>
              </w:rPr>
              <w:noBreakHyphen/>
            </w:r>
            <w:r w:rsidRPr="00B2174E">
              <w:rPr>
                <w:szCs w:val="15"/>
              </w:rPr>
              <w:t xml:space="preserve">14 target due to a higher number of bonds being lodged with the RTBA. </w:t>
            </w:r>
            <w:r w:rsidRPr="003B380F">
              <w:rPr>
                <w:szCs w:val="15"/>
              </w:rPr>
              <w:t>The 2014</w:t>
            </w:r>
            <w:r>
              <w:rPr>
                <w:szCs w:val="15"/>
              </w:rPr>
              <w:noBreakHyphen/>
            </w:r>
            <w:r w:rsidRPr="003B380F">
              <w:rPr>
                <w:szCs w:val="15"/>
              </w:rPr>
              <w:t>15 target reflects historic growth for this demand driven activity.</w:t>
            </w:r>
          </w:p>
        </w:tc>
      </w:tr>
      <w:tr w:rsidR="00A53D7D" w:rsidRPr="00A475B8" w:rsidTr="005140B4">
        <w:tblPrEx>
          <w:tblBorders>
            <w:bottom w:val="single" w:sz="12" w:space="0" w:color="auto"/>
          </w:tblBorders>
        </w:tblPrEx>
        <w:trPr>
          <w:cantSplit/>
        </w:trPr>
        <w:tc>
          <w:tcPr>
            <w:tcW w:w="3155" w:type="dxa"/>
            <w:tcBorders>
              <w:top w:val="single" w:sz="6" w:space="0" w:color="auto"/>
              <w:bottom w:val="nil"/>
            </w:tcBorders>
            <w:vAlign w:val="center"/>
          </w:tcPr>
          <w:p w:rsidR="00A53D7D" w:rsidRPr="00A475B8" w:rsidRDefault="00A53D7D" w:rsidP="005140B4">
            <w:pPr>
              <w:pStyle w:val="OGTabHead"/>
              <w:rPr>
                <w:color w:val="000000"/>
                <w:lang w:eastAsia="en-AU"/>
              </w:rPr>
            </w:pPr>
            <w:r w:rsidRPr="00A475B8">
              <w:rPr>
                <w:iCs/>
                <w:color w:val="000000"/>
                <w:lang w:eastAsia="en-AU"/>
              </w:rPr>
              <w:t>Quality</w:t>
            </w:r>
          </w:p>
        </w:tc>
        <w:tc>
          <w:tcPr>
            <w:tcW w:w="907" w:type="dxa"/>
            <w:tcBorders>
              <w:top w:val="single" w:sz="6" w:space="0" w:color="auto"/>
              <w:bottom w:val="nil"/>
            </w:tcBorders>
            <w:vAlign w:val="center"/>
          </w:tcPr>
          <w:p w:rsidR="00A53D7D" w:rsidRPr="003E0A6C" w:rsidRDefault="00A53D7D" w:rsidP="005140B4">
            <w:pPr>
              <w:pStyle w:val="OGUoM"/>
              <w:rPr>
                <w:color w:val="000000"/>
                <w:lang w:eastAsia="en-AU"/>
              </w:rPr>
            </w:pPr>
            <w:r w:rsidRPr="003E0A6C">
              <w:rPr>
                <w:color w:val="000000"/>
                <w:lang w:eastAsia="en-AU"/>
              </w:rPr>
              <w:t> </w:t>
            </w:r>
          </w:p>
        </w:tc>
        <w:tc>
          <w:tcPr>
            <w:tcW w:w="907" w:type="dxa"/>
            <w:tcBorders>
              <w:top w:val="single" w:sz="6" w:space="0" w:color="auto"/>
              <w:bottom w:val="nil"/>
            </w:tcBorders>
            <w:shd w:val="clear" w:color="auto" w:fill="D9D9D9"/>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bottom w:val="nil"/>
            </w:tcBorders>
          </w:tcPr>
          <w:p w:rsidR="00A53D7D" w:rsidRPr="00421BDC" w:rsidRDefault="00A53D7D" w:rsidP="005140B4">
            <w:pPr>
              <w:pStyle w:val="OGTableofFigures"/>
              <w:rPr>
                <w:color w:val="000000"/>
                <w:lang w:eastAsia="en-AU"/>
              </w:rPr>
            </w:pPr>
            <w:r w:rsidRPr="00421BDC">
              <w:rPr>
                <w:color w:val="000000"/>
                <w:lang w:eastAsia="en-AU"/>
              </w:rPr>
              <w:t> </w:t>
            </w:r>
          </w:p>
        </w:tc>
        <w:tc>
          <w:tcPr>
            <w:tcW w:w="907" w:type="dxa"/>
            <w:tcBorders>
              <w:top w:val="single" w:sz="6" w:space="0" w:color="auto"/>
              <w:bottom w:val="nil"/>
            </w:tcBorders>
          </w:tcPr>
          <w:p w:rsidR="00A53D7D" w:rsidRPr="00421BDC" w:rsidRDefault="00A53D7D" w:rsidP="005140B4">
            <w:pPr>
              <w:pStyle w:val="OGTableofFigures"/>
              <w:rPr>
                <w:color w:val="000000"/>
                <w:lang w:eastAsia="en-AU"/>
              </w:rPr>
            </w:pPr>
            <w:r w:rsidRPr="00421BDC">
              <w:rPr>
                <w:color w:val="000000"/>
                <w:lang w:eastAsia="en-AU"/>
              </w:rPr>
              <w:t> </w:t>
            </w:r>
          </w:p>
        </w:tc>
        <w:tc>
          <w:tcPr>
            <w:tcW w:w="907" w:type="dxa"/>
            <w:tcBorders>
              <w:top w:val="single" w:sz="6" w:space="0" w:color="auto"/>
              <w:bottom w:val="nil"/>
            </w:tcBorders>
          </w:tcPr>
          <w:p w:rsidR="00A53D7D" w:rsidRPr="00421BDC" w:rsidRDefault="00A53D7D" w:rsidP="005140B4">
            <w:pPr>
              <w:pStyle w:val="OGTableofFigures"/>
              <w:rPr>
                <w:color w:val="000000"/>
                <w:lang w:eastAsia="en-AU"/>
              </w:rPr>
            </w:pPr>
            <w:r w:rsidRPr="00421BDC">
              <w:rPr>
                <w:color w:val="000000"/>
                <w:lang w:eastAsia="en-AU"/>
              </w:rPr>
              <w:t> </w:t>
            </w:r>
          </w:p>
        </w:tc>
      </w:tr>
      <w:tr w:rsidR="00A53D7D" w:rsidRPr="00A475B8" w:rsidTr="005140B4">
        <w:tblPrEx>
          <w:tblBorders>
            <w:bottom w:val="single" w:sz="12" w:space="0" w:color="auto"/>
          </w:tblBorders>
        </w:tblPrEx>
        <w:trPr>
          <w:cantSplit/>
        </w:trPr>
        <w:tc>
          <w:tcPr>
            <w:tcW w:w="3155" w:type="dxa"/>
            <w:tcBorders>
              <w:bottom w:val="single" w:sz="6" w:space="0" w:color="auto"/>
            </w:tcBorders>
            <w:vAlign w:val="center"/>
          </w:tcPr>
          <w:p w:rsidR="00A53D7D" w:rsidRPr="008845FB" w:rsidRDefault="00A53D7D" w:rsidP="005140B4">
            <w:pPr>
              <w:pStyle w:val="OGTabText"/>
              <w:rPr>
                <w:color w:val="000000"/>
                <w:highlight w:val="yellow"/>
                <w:lang w:eastAsia="en-AU"/>
              </w:rPr>
            </w:pPr>
            <w:r w:rsidRPr="00B91D65">
              <w:rPr>
                <w:color w:val="000000"/>
                <w:lang w:eastAsia="en-AU"/>
              </w:rPr>
              <w:t>Customer satisfaction with services provided</w:t>
            </w:r>
          </w:p>
        </w:tc>
        <w:tc>
          <w:tcPr>
            <w:tcW w:w="907" w:type="dxa"/>
            <w:tcBorders>
              <w:bottom w:val="single" w:sz="6" w:space="0" w:color="auto"/>
            </w:tcBorders>
          </w:tcPr>
          <w:p w:rsidR="00A53D7D" w:rsidRPr="003E0A6C" w:rsidRDefault="00A53D7D" w:rsidP="005140B4">
            <w:pPr>
              <w:pStyle w:val="OGUoM"/>
              <w:rPr>
                <w:color w:val="000000"/>
                <w:lang w:eastAsia="en-AU"/>
              </w:rPr>
            </w:pPr>
            <w:r w:rsidRPr="003E0A6C">
              <w:rPr>
                <w:color w:val="000000"/>
                <w:lang w:eastAsia="en-AU"/>
              </w:rPr>
              <w:t>per cent</w:t>
            </w:r>
          </w:p>
        </w:tc>
        <w:tc>
          <w:tcPr>
            <w:tcW w:w="907" w:type="dxa"/>
            <w:tcBorders>
              <w:bottom w:val="single" w:sz="6" w:space="0" w:color="auto"/>
            </w:tcBorders>
            <w:shd w:val="clear" w:color="auto" w:fill="D9D9D9"/>
          </w:tcPr>
          <w:p w:rsidR="00A53D7D" w:rsidRPr="002D5787" w:rsidRDefault="00A53D7D" w:rsidP="005140B4">
            <w:pPr>
              <w:pStyle w:val="OGTableofFigures"/>
              <w:rPr>
                <w:color w:val="000000"/>
                <w:lang w:eastAsia="en-AU"/>
              </w:rPr>
            </w:pPr>
            <w:r w:rsidRPr="002D5787">
              <w:rPr>
                <w:color w:val="000000"/>
                <w:lang w:eastAsia="en-AU"/>
              </w:rPr>
              <w:t>90</w:t>
            </w:r>
          </w:p>
        </w:tc>
        <w:tc>
          <w:tcPr>
            <w:tcW w:w="993" w:type="dxa"/>
            <w:tcBorders>
              <w:bottom w:val="single" w:sz="6" w:space="0" w:color="auto"/>
            </w:tcBorders>
          </w:tcPr>
          <w:p w:rsidR="00A53D7D" w:rsidRPr="00B2174E" w:rsidRDefault="00A53D7D" w:rsidP="005140B4">
            <w:pPr>
              <w:pStyle w:val="OGTableofFigures"/>
              <w:rPr>
                <w:color w:val="000000"/>
                <w:lang w:eastAsia="en-AU"/>
              </w:rPr>
            </w:pPr>
            <w:r w:rsidRPr="003B380F">
              <w:rPr>
                <w:color w:val="000000"/>
                <w:lang w:eastAsia="en-AU"/>
              </w:rPr>
              <w:t>9</w:t>
            </w:r>
            <w:r>
              <w:rPr>
                <w:color w:val="000000"/>
                <w:lang w:eastAsia="en-AU"/>
              </w:rPr>
              <w:t>3.2</w:t>
            </w:r>
          </w:p>
        </w:tc>
        <w:tc>
          <w:tcPr>
            <w:tcW w:w="907" w:type="dxa"/>
            <w:tcBorders>
              <w:bottom w:val="single" w:sz="6" w:space="0" w:color="auto"/>
            </w:tcBorders>
          </w:tcPr>
          <w:p w:rsidR="00A53D7D" w:rsidRPr="00B2174E" w:rsidRDefault="00A53D7D" w:rsidP="005140B4">
            <w:pPr>
              <w:pStyle w:val="OGTableofFigures"/>
              <w:rPr>
                <w:color w:val="000000"/>
                <w:lang w:eastAsia="en-AU"/>
              </w:rPr>
            </w:pPr>
            <w:r w:rsidRPr="00B2174E">
              <w:rPr>
                <w:color w:val="000000"/>
                <w:lang w:eastAsia="en-AU"/>
              </w:rPr>
              <w:t>90</w:t>
            </w:r>
          </w:p>
        </w:tc>
        <w:tc>
          <w:tcPr>
            <w:tcW w:w="907" w:type="dxa"/>
            <w:tcBorders>
              <w:bottom w:val="single" w:sz="6" w:space="0" w:color="auto"/>
            </w:tcBorders>
          </w:tcPr>
          <w:p w:rsidR="00A53D7D" w:rsidRPr="00421BDC" w:rsidRDefault="00A53D7D" w:rsidP="005140B4">
            <w:pPr>
              <w:pStyle w:val="OGTableofFigures"/>
              <w:rPr>
                <w:color w:val="000000"/>
                <w:lang w:eastAsia="en-AU"/>
              </w:rPr>
            </w:pPr>
            <w:r w:rsidRPr="00421BDC">
              <w:rPr>
                <w:color w:val="000000"/>
                <w:lang w:eastAsia="en-AU"/>
              </w:rPr>
              <w:t>94</w:t>
            </w:r>
          </w:p>
        </w:tc>
      </w:tr>
      <w:tr w:rsidR="00A53D7D" w:rsidRPr="00A475B8" w:rsidTr="005140B4">
        <w:tblPrEx>
          <w:tblBorders>
            <w:bottom w:val="single" w:sz="12" w:space="0" w:color="auto"/>
          </w:tblBorders>
        </w:tblPrEx>
        <w:trPr>
          <w:cantSplit/>
        </w:trPr>
        <w:tc>
          <w:tcPr>
            <w:tcW w:w="3155" w:type="dxa"/>
            <w:tcBorders>
              <w:top w:val="single" w:sz="6" w:space="0" w:color="auto"/>
              <w:bottom w:val="nil"/>
            </w:tcBorders>
            <w:vAlign w:val="center"/>
          </w:tcPr>
          <w:p w:rsidR="00A53D7D" w:rsidRPr="00A475B8" w:rsidRDefault="00A53D7D" w:rsidP="005140B4">
            <w:pPr>
              <w:pStyle w:val="OGTabHead"/>
              <w:rPr>
                <w:lang w:eastAsia="en-AU"/>
              </w:rPr>
            </w:pPr>
            <w:r w:rsidRPr="0016616A">
              <w:rPr>
                <w:iCs/>
                <w:color w:val="000000"/>
                <w:lang w:eastAsia="en-AU"/>
              </w:rPr>
              <w:t>Timeliness</w:t>
            </w:r>
          </w:p>
        </w:tc>
        <w:tc>
          <w:tcPr>
            <w:tcW w:w="907" w:type="dxa"/>
            <w:tcBorders>
              <w:top w:val="single" w:sz="6" w:space="0" w:color="auto"/>
              <w:bottom w:val="nil"/>
            </w:tcBorders>
            <w:vAlign w:val="center"/>
          </w:tcPr>
          <w:p w:rsidR="00A53D7D" w:rsidRPr="003E0A6C" w:rsidRDefault="00A53D7D" w:rsidP="005140B4">
            <w:pPr>
              <w:pStyle w:val="OGUoM"/>
              <w:rPr>
                <w:color w:val="000000"/>
                <w:lang w:eastAsia="en-AU"/>
              </w:rPr>
            </w:pPr>
            <w:r w:rsidRPr="003E0A6C">
              <w:rPr>
                <w:color w:val="000000"/>
                <w:lang w:eastAsia="en-AU"/>
              </w:rPr>
              <w:t> </w:t>
            </w:r>
          </w:p>
        </w:tc>
        <w:tc>
          <w:tcPr>
            <w:tcW w:w="907" w:type="dxa"/>
            <w:tcBorders>
              <w:top w:val="single" w:sz="6" w:space="0" w:color="auto"/>
              <w:bottom w:val="nil"/>
            </w:tcBorders>
            <w:shd w:val="clear" w:color="auto" w:fill="D9D9D9"/>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bottom w:val="nil"/>
            </w:tcBorders>
          </w:tcPr>
          <w:p w:rsidR="00A53D7D" w:rsidRPr="00EC2CB7" w:rsidRDefault="00A53D7D" w:rsidP="005140B4">
            <w:pPr>
              <w:pStyle w:val="OGTableofFigures"/>
              <w:rPr>
                <w:color w:val="000000"/>
                <w:lang w:eastAsia="en-AU"/>
              </w:rPr>
            </w:pPr>
            <w:r w:rsidRPr="00EC2CB7">
              <w:rPr>
                <w:color w:val="000000"/>
                <w:lang w:eastAsia="en-AU"/>
              </w:rPr>
              <w:t> </w:t>
            </w:r>
          </w:p>
        </w:tc>
        <w:tc>
          <w:tcPr>
            <w:tcW w:w="907" w:type="dxa"/>
            <w:tcBorders>
              <w:top w:val="single" w:sz="6" w:space="0" w:color="auto"/>
              <w:bottom w:val="nil"/>
            </w:tcBorders>
          </w:tcPr>
          <w:p w:rsidR="00A53D7D" w:rsidRPr="00EC2CB7" w:rsidRDefault="00A53D7D" w:rsidP="005140B4">
            <w:pPr>
              <w:pStyle w:val="OGTableofFigures"/>
              <w:rPr>
                <w:color w:val="000000"/>
                <w:lang w:eastAsia="en-AU"/>
              </w:rPr>
            </w:pPr>
            <w:r w:rsidRPr="00EC2CB7">
              <w:rPr>
                <w:color w:val="000000"/>
                <w:lang w:eastAsia="en-AU"/>
              </w:rPr>
              <w:t> </w:t>
            </w:r>
          </w:p>
        </w:tc>
        <w:tc>
          <w:tcPr>
            <w:tcW w:w="907" w:type="dxa"/>
            <w:tcBorders>
              <w:top w:val="single" w:sz="6" w:space="0" w:color="auto"/>
              <w:bottom w:val="nil"/>
            </w:tcBorders>
          </w:tcPr>
          <w:p w:rsidR="00A53D7D" w:rsidRPr="00EC2CB7" w:rsidRDefault="00A53D7D" w:rsidP="005140B4">
            <w:pPr>
              <w:pStyle w:val="OGTableofFigures"/>
              <w:rPr>
                <w:color w:val="000000"/>
                <w:lang w:eastAsia="en-AU"/>
              </w:rPr>
            </w:pPr>
            <w:r w:rsidRPr="00EC2CB7">
              <w:rPr>
                <w:color w:val="000000"/>
                <w:lang w:eastAsia="en-AU"/>
              </w:rPr>
              <w:t> </w:t>
            </w:r>
          </w:p>
        </w:tc>
      </w:tr>
      <w:tr w:rsidR="00A53D7D" w:rsidRPr="00A475B8" w:rsidTr="005140B4">
        <w:tblPrEx>
          <w:tblBorders>
            <w:bottom w:val="single" w:sz="12" w:space="0" w:color="auto"/>
          </w:tblBorders>
        </w:tblPrEx>
        <w:trPr>
          <w:cantSplit/>
        </w:trPr>
        <w:tc>
          <w:tcPr>
            <w:tcW w:w="3155" w:type="dxa"/>
            <w:tcBorders>
              <w:bottom w:val="single" w:sz="6" w:space="0" w:color="auto"/>
            </w:tcBorders>
            <w:vAlign w:val="center"/>
          </w:tcPr>
          <w:p w:rsidR="00A53D7D" w:rsidRPr="008845FB" w:rsidRDefault="00A53D7D" w:rsidP="005140B4">
            <w:pPr>
              <w:pStyle w:val="OGTabText"/>
              <w:rPr>
                <w:color w:val="000000"/>
                <w:highlight w:val="yellow"/>
                <w:lang w:eastAsia="en-AU"/>
              </w:rPr>
            </w:pPr>
            <w:r w:rsidRPr="00B91D65">
              <w:rPr>
                <w:color w:val="000000"/>
                <w:lang w:eastAsia="en-AU"/>
              </w:rPr>
              <w:t>Services provided within agreed timeframes</w:t>
            </w:r>
          </w:p>
        </w:tc>
        <w:tc>
          <w:tcPr>
            <w:tcW w:w="907" w:type="dxa"/>
            <w:tcBorders>
              <w:bottom w:val="single" w:sz="6" w:space="0" w:color="auto"/>
            </w:tcBorders>
          </w:tcPr>
          <w:p w:rsidR="00A53D7D" w:rsidRPr="003E0A6C" w:rsidRDefault="00A53D7D" w:rsidP="005140B4">
            <w:pPr>
              <w:pStyle w:val="OGUoM"/>
              <w:rPr>
                <w:color w:val="000000"/>
              </w:rPr>
            </w:pPr>
            <w:r w:rsidRPr="003E0A6C">
              <w:rPr>
                <w:color w:val="000000"/>
                <w:lang w:eastAsia="en-AU"/>
              </w:rPr>
              <w:t>per cent</w:t>
            </w:r>
          </w:p>
        </w:tc>
        <w:tc>
          <w:tcPr>
            <w:tcW w:w="907" w:type="dxa"/>
            <w:tcBorders>
              <w:bottom w:val="single" w:sz="6" w:space="0" w:color="auto"/>
            </w:tcBorders>
            <w:shd w:val="clear" w:color="auto" w:fill="D9D9D9"/>
          </w:tcPr>
          <w:p w:rsidR="00A53D7D" w:rsidRPr="00421BDC" w:rsidRDefault="00A53D7D" w:rsidP="005140B4">
            <w:pPr>
              <w:pStyle w:val="OGTableofFigures"/>
              <w:rPr>
                <w:color w:val="000000"/>
                <w:lang w:eastAsia="en-AU"/>
              </w:rPr>
            </w:pPr>
            <w:r w:rsidRPr="00421BDC">
              <w:rPr>
                <w:color w:val="000000"/>
                <w:lang w:eastAsia="en-AU"/>
              </w:rPr>
              <w:t>90</w:t>
            </w:r>
          </w:p>
        </w:tc>
        <w:tc>
          <w:tcPr>
            <w:tcW w:w="993" w:type="dxa"/>
            <w:tcBorders>
              <w:bottom w:val="single" w:sz="6" w:space="0" w:color="auto"/>
            </w:tcBorders>
          </w:tcPr>
          <w:p w:rsidR="00A53D7D" w:rsidRPr="00421BDC" w:rsidRDefault="00A53D7D" w:rsidP="005140B4">
            <w:pPr>
              <w:pStyle w:val="OGTableofFigures"/>
              <w:rPr>
                <w:color w:val="000000"/>
                <w:lang w:eastAsia="en-AU"/>
              </w:rPr>
            </w:pPr>
            <w:r w:rsidRPr="00421BDC">
              <w:rPr>
                <w:color w:val="000000"/>
                <w:lang w:eastAsia="en-AU"/>
              </w:rPr>
              <w:t>86.3</w:t>
            </w:r>
          </w:p>
        </w:tc>
        <w:tc>
          <w:tcPr>
            <w:tcW w:w="907" w:type="dxa"/>
            <w:tcBorders>
              <w:bottom w:val="single" w:sz="6" w:space="0" w:color="auto"/>
            </w:tcBorders>
          </w:tcPr>
          <w:p w:rsidR="00A53D7D" w:rsidRPr="00421BDC" w:rsidRDefault="00A53D7D" w:rsidP="005140B4">
            <w:pPr>
              <w:pStyle w:val="OGTableofFigures"/>
              <w:rPr>
                <w:color w:val="000000"/>
                <w:lang w:eastAsia="en-AU"/>
              </w:rPr>
            </w:pPr>
            <w:r w:rsidRPr="00421BDC">
              <w:rPr>
                <w:color w:val="000000"/>
                <w:lang w:eastAsia="en-AU"/>
              </w:rPr>
              <w:t>90</w:t>
            </w:r>
          </w:p>
        </w:tc>
        <w:tc>
          <w:tcPr>
            <w:tcW w:w="907" w:type="dxa"/>
            <w:tcBorders>
              <w:bottom w:val="single" w:sz="6" w:space="0" w:color="auto"/>
            </w:tcBorders>
          </w:tcPr>
          <w:p w:rsidR="00A53D7D" w:rsidRPr="00421BDC" w:rsidRDefault="00A53D7D" w:rsidP="005140B4">
            <w:pPr>
              <w:pStyle w:val="OGTableofFigures"/>
              <w:ind w:left="75"/>
              <w:rPr>
                <w:color w:val="000000"/>
                <w:lang w:eastAsia="en-AU"/>
              </w:rPr>
            </w:pPr>
            <w:r w:rsidRPr="00421BDC">
              <w:rPr>
                <w:color w:val="000000"/>
                <w:lang w:eastAsia="en-AU"/>
              </w:rPr>
              <w:t>90.1</w:t>
            </w:r>
          </w:p>
        </w:tc>
      </w:tr>
      <w:tr w:rsidR="00A53D7D" w:rsidRPr="00A475B8" w:rsidTr="005140B4">
        <w:tblPrEx>
          <w:tblBorders>
            <w:bottom w:val="single" w:sz="12" w:space="0" w:color="auto"/>
          </w:tblBorders>
        </w:tblPrEx>
        <w:trPr>
          <w:cantSplit/>
        </w:trPr>
        <w:tc>
          <w:tcPr>
            <w:tcW w:w="3155" w:type="dxa"/>
            <w:tcBorders>
              <w:top w:val="single" w:sz="6" w:space="0" w:color="auto"/>
            </w:tcBorders>
            <w:vAlign w:val="center"/>
          </w:tcPr>
          <w:p w:rsidR="00A53D7D" w:rsidRPr="00A475B8" w:rsidRDefault="00A53D7D" w:rsidP="005140B4">
            <w:pPr>
              <w:pStyle w:val="OGTabHead"/>
              <w:rPr>
                <w:color w:val="000000"/>
                <w:lang w:eastAsia="en-AU"/>
              </w:rPr>
            </w:pPr>
            <w:r w:rsidRPr="00A475B8">
              <w:rPr>
                <w:iCs/>
                <w:color w:val="000000"/>
                <w:lang w:eastAsia="en-AU"/>
              </w:rPr>
              <w:t>Cost</w:t>
            </w:r>
          </w:p>
        </w:tc>
        <w:tc>
          <w:tcPr>
            <w:tcW w:w="907" w:type="dxa"/>
            <w:tcBorders>
              <w:top w:val="single" w:sz="6" w:space="0" w:color="auto"/>
            </w:tcBorders>
            <w:vAlign w:val="center"/>
          </w:tcPr>
          <w:p w:rsidR="00A53D7D" w:rsidRPr="003E0A6C" w:rsidRDefault="00A53D7D" w:rsidP="005140B4">
            <w:pPr>
              <w:pStyle w:val="OGUoM"/>
              <w:rPr>
                <w:color w:val="000000"/>
                <w:lang w:eastAsia="en-AU"/>
              </w:rPr>
            </w:pPr>
          </w:p>
        </w:tc>
        <w:tc>
          <w:tcPr>
            <w:tcW w:w="907" w:type="dxa"/>
            <w:tcBorders>
              <w:top w:val="single" w:sz="6" w:space="0" w:color="auto"/>
            </w:tcBorders>
            <w:shd w:val="clear" w:color="auto" w:fill="D9D9D9"/>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tcBorders>
          </w:tcPr>
          <w:p w:rsidR="00A53D7D" w:rsidRPr="00EC2CB7" w:rsidRDefault="00A53D7D" w:rsidP="005140B4">
            <w:pPr>
              <w:pStyle w:val="OGTableofFigures"/>
              <w:rPr>
                <w:color w:val="000000"/>
                <w:lang w:eastAsia="en-AU"/>
              </w:rPr>
            </w:pPr>
          </w:p>
        </w:tc>
        <w:tc>
          <w:tcPr>
            <w:tcW w:w="907" w:type="dxa"/>
            <w:tcBorders>
              <w:top w:val="single" w:sz="6" w:space="0" w:color="auto"/>
            </w:tcBorders>
          </w:tcPr>
          <w:p w:rsidR="00A53D7D" w:rsidRPr="00EC2CB7" w:rsidRDefault="00A53D7D" w:rsidP="005140B4">
            <w:pPr>
              <w:pStyle w:val="OGTableofFigures"/>
              <w:rPr>
                <w:color w:val="000000"/>
                <w:lang w:eastAsia="en-AU"/>
              </w:rPr>
            </w:pPr>
          </w:p>
        </w:tc>
        <w:tc>
          <w:tcPr>
            <w:tcW w:w="907" w:type="dxa"/>
            <w:tcBorders>
              <w:top w:val="single" w:sz="6" w:space="0" w:color="auto"/>
            </w:tcBorders>
          </w:tcPr>
          <w:p w:rsidR="00A53D7D" w:rsidRPr="00EC2CB7" w:rsidRDefault="00A53D7D" w:rsidP="005140B4">
            <w:pPr>
              <w:pStyle w:val="OGTableofFigures"/>
              <w:rPr>
                <w:color w:val="000000"/>
                <w:lang w:eastAsia="en-AU"/>
              </w:rPr>
            </w:pPr>
          </w:p>
        </w:tc>
      </w:tr>
      <w:tr w:rsidR="00A53D7D" w:rsidRPr="00A475B8" w:rsidTr="005140B4">
        <w:tblPrEx>
          <w:tblBorders>
            <w:bottom w:val="single" w:sz="12" w:space="0" w:color="auto"/>
          </w:tblBorders>
        </w:tblPrEx>
        <w:trPr>
          <w:cantSplit/>
        </w:trPr>
        <w:tc>
          <w:tcPr>
            <w:tcW w:w="3155" w:type="dxa"/>
            <w:vAlign w:val="center"/>
          </w:tcPr>
          <w:p w:rsidR="00A53D7D" w:rsidRPr="00481722" w:rsidRDefault="00A53D7D" w:rsidP="005140B4">
            <w:pPr>
              <w:pStyle w:val="OGTabText"/>
              <w:rPr>
                <w:lang w:eastAsia="en-AU"/>
              </w:rPr>
            </w:pPr>
            <w:r w:rsidRPr="00481722">
              <w:rPr>
                <w:lang w:eastAsia="en-AU"/>
              </w:rPr>
              <w:t>Total output cost</w:t>
            </w:r>
          </w:p>
        </w:tc>
        <w:tc>
          <w:tcPr>
            <w:tcW w:w="907" w:type="dxa"/>
          </w:tcPr>
          <w:p w:rsidR="00A53D7D" w:rsidRPr="00481722" w:rsidRDefault="00A53D7D" w:rsidP="005140B4">
            <w:pPr>
              <w:pStyle w:val="OGUoM"/>
              <w:rPr>
                <w:lang w:eastAsia="en-AU"/>
              </w:rPr>
            </w:pPr>
            <w:r w:rsidRPr="00481722">
              <w:rPr>
                <w:lang w:eastAsia="en-AU"/>
              </w:rPr>
              <w:t>$ million</w:t>
            </w:r>
          </w:p>
        </w:tc>
        <w:tc>
          <w:tcPr>
            <w:tcW w:w="907" w:type="dxa"/>
            <w:shd w:val="clear" w:color="auto" w:fill="D9D9D9"/>
          </w:tcPr>
          <w:p w:rsidR="00A53D7D" w:rsidRPr="00F17ABC" w:rsidRDefault="00A53D7D" w:rsidP="005140B4">
            <w:pPr>
              <w:pStyle w:val="OGTableofFigures"/>
              <w:rPr>
                <w:lang w:eastAsia="en-AU"/>
              </w:rPr>
            </w:pPr>
            <w:r>
              <w:rPr>
                <w:lang w:eastAsia="en-AU"/>
              </w:rPr>
              <w:t>123.4</w:t>
            </w:r>
          </w:p>
        </w:tc>
        <w:tc>
          <w:tcPr>
            <w:tcW w:w="993" w:type="dxa"/>
          </w:tcPr>
          <w:p w:rsidR="00A53D7D" w:rsidRPr="00507A52" w:rsidRDefault="00A53D7D" w:rsidP="005140B4">
            <w:pPr>
              <w:pStyle w:val="OGTableofFigures"/>
              <w:rPr>
                <w:lang w:eastAsia="en-AU"/>
              </w:rPr>
            </w:pPr>
            <w:r>
              <w:rPr>
                <w:lang w:eastAsia="en-AU"/>
              </w:rPr>
              <w:t>89.8</w:t>
            </w:r>
          </w:p>
        </w:tc>
        <w:tc>
          <w:tcPr>
            <w:tcW w:w="907" w:type="dxa"/>
          </w:tcPr>
          <w:p w:rsidR="00A53D7D" w:rsidRPr="00481722" w:rsidRDefault="00A53D7D" w:rsidP="005140B4">
            <w:pPr>
              <w:pStyle w:val="OGTableofFigures"/>
              <w:rPr>
                <w:lang w:eastAsia="en-AU"/>
              </w:rPr>
            </w:pPr>
            <w:r>
              <w:rPr>
                <w:lang w:eastAsia="en-AU"/>
              </w:rPr>
              <w:t xml:space="preserve">88.0 </w:t>
            </w:r>
          </w:p>
        </w:tc>
        <w:tc>
          <w:tcPr>
            <w:tcW w:w="907" w:type="dxa"/>
          </w:tcPr>
          <w:p w:rsidR="00A53D7D" w:rsidRPr="00481722" w:rsidRDefault="00A53D7D" w:rsidP="005140B4">
            <w:pPr>
              <w:pStyle w:val="OGTableofFigures"/>
              <w:rPr>
                <w:lang w:eastAsia="en-AU"/>
              </w:rPr>
            </w:pPr>
            <w:r>
              <w:rPr>
                <w:lang w:eastAsia="en-AU"/>
              </w:rPr>
              <w:t xml:space="preserve">90.4 </w:t>
            </w:r>
          </w:p>
        </w:tc>
      </w:tr>
      <w:tr w:rsidR="00A53D7D" w:rsidRPr="00A475B8" w:rsidTr="005140B4">
        <w:tblPrEx>
          <w:tblBorders>
            <w:bottom w:val="single" w:sz="12" w:space="0" w:color="auto"/>
          </w:tblBorders>
        </w:tblPrEx>
        <w:trPr>
          <w:cantSplit/>
        </w:trPr>
        <w:tc>
          <w:tcPr>
            <w:tcW w:w="7776" w:type="dxa"/>
            <w:gridSpan w:val="6"/>
            <w:vAlign w:val="center"/>
          </w:tcPr>
          <w:p w:rsidR="00A53D7D" w:rsidRPr="00561AB1" w:rsidDel="008A5122" w:rsidRDefault="00A53D7D" w:rsidP="005140B4">
            <w:pPr>
              <w:pStyle w:val="OGNotes"/>
            </w:pPr>
            <w:r w:rsidRPr="00561AB1">
              <w:t>The increase in the 2014</w:t>
            </w:r>
            <w:r>
              <w:noBreakHyphen/>
            </w:r>
            <w:r w:rsidRPr="00561AB1">
              <w:t>15 target is driven by the estimated payments to the Victorian Civil and Administrative Tribunal for Residential Tenancies List, Domestic Building List, and Owners Corporations List from Consumer Affairs Victoria managed trust funds. P</w:t>
            </w:r>
            <w:r>
              <w:t xml:space="preserve">rior to the separation of Courts </w:t>
            </w:r>
            <w:r w:rsidRPr="00561AB1">
              <w:t xml:space="preserve">the costs were included as part of the Courts output. Also, additional grant payments are to be paid from the Victorian Property Fund to support affordable housing. </w:t>
            </w:r>
          </w:p>
        </w:tc>
      </w:tr>
    </w:tbl>
    <w:p w:rsidR="00A53D7D" w:rsidRDefault="00A53D7D" w:rsidP="005140B4">
      <w:pPr>
        <w:pStyle w:val="Source"/>
      </w:pPr>
      <w:r>
        <w:t>Source: Department of Justice</w:t>
      </w:r>
      <w:r>
        <w:fldChar w:fldCharType="begin"/>
      </w:r>
      <w:r>
        <w:instrText xml:space="preserve"> XE "</w:instrText>
      </w:r>
      <w:r w:rsidRPr="004014D6">
        <w:instrText>Department of Justice:Industry Regulation and Support</w:instrText>
      </w:r>
      <w:r>
        <w:instrText xml:space="preserve">" \r "BP3DOJIndustRegandSupport" </w:instrText>
      </w:r>
      <w:r>
        <w:fldChar w:fldCharType="end"/>
      </w:r>
      <w:r>
        <w:fldChar w:fldCharType="begin"/>
      </w:r>
      <w:r>
        <w:instrText xml:space="preserve"> XE "</w:instrText>
      </w:r>
      <w:r w:rsidRPr="008F564C">
        <w:instrText>Industry regulation</w:instrText>
      </w:r>
      <w:r>
        <w:instrText xml:space="preserve">" \r "BP3DOJIndustRegandSupport" </w:instrText>
      </w:r>
      <w:r>
        <w:fldChar w:fldCharType="end"/>
      </w:r>
    </w:p>
    <w:bookmarkEnd w:id="118"/>
    <w:p w:rsidR="00A53D7D" w:rsidRPr="002D2D05" w:rsidRDefault="00A53D7D" w:rsidP="005140B4">
      <w:pPr>
        <w:pStyle w:val="OGHeading1"/>
        <w:rPr>
          <w:lang w:val="x-none" w:eastAsia="en-AU"/>
        </w:rPr>
      </w:pPr>
      <w:r w:rsidRPr="00A475B8">
        <w:br w:type="page"/>
      </w:r>
      <w:bookmarkStart w:id="119" w:name="BP3DOJPubSectIntegrity"/>
      <w:r w:rsidRPr="002D2D05">
        <w:rPr>
          <w:lang w:val="x-none" w:eastAsia="en-AU"/>
        </w:rPr>
        <w:t>Public Sector Integrity</w:t>
      </w:r>
    </w:p>
    <w:p w:rsidR="00A53D7D" w:rsidRPr="002D2D05" w:rsidRDefault="00A53D7D" w:rsidP="005140B4">
      <w:pPr>
        <w:pStyle w:val="OGText"/>
        <w:rPr>
          <w:lang w:eastAsia="en-AU"/>
        </w:rPr>
      </w:pPr>
      <w:r w:rsidRPr="002D2D05">
        <w:rPr>
          <w:lang w:eastAsia="en-AU"/>
        </w:rPr>
        <w:t>This output group focuses on achieving a high standard of public sector integrity.</w:t>
      </w:r>
    </w:p>
    <w:p w:rsidR="00A53D7D" w:rsidRPr="002D2D05" w:rsidRDefault="00A53D7D" w:rsidP="005140B4">
      <w:pPr>
        <w:pStyle w:val="OGText"/>
        <w:rPr>
          <w:lang w:eastAsia="en-AU"/>
        </w:rPr>
      </w:pPr>
      <w:r w:rsidRPr="002D2D05">
        <w:rPr>
          <w:lang w:eastAsia="en-AU"/>
        </w:rPr>
        <w:t>The Independent Broad</w:t>
      </w:r>
      <w:r>
        <w:rPr>
          <w:lang w:eastAsia="en-AU"/>
        </w:rPr>
        <w:noBreakHyphen/>
      </w:r>
      <w:r w:rsidRPr="002D2D05">
        <w:rPr>
          <w:lang w:eastAsia="en-AU"/>
        </w:rPr>
        <w:t>based Anti</w:t>
      </w:r>
      <w:r>
        <w:rPr>
          <w:lang w:eastAsia="en-AU"/>
        </w:rPr>
        <w:noBreakHyphen/>
      </w:r>
      <w:r w:rsidRPr="002D2D05">
        <w:rPr>
          <w:lang w:eastAsia="en-AU"/>
        </w:rPr>
        <w:t xml:space="preserve">corruption Commission (IBAC) aims to identify and investigate serious corrupt conduct within the Victorian public sector and misconduct in Victoria Police. </w:t>
      </w:r>
    </w:p>
    <w:p w:rsidR="00A53D7D" w:rsidRPr="002D2D05" w:rsidRDefault="00A53D7D" w:rsidP="005140B4">
      <w:pPr>
        <w:pStyle w:val="OGText"/>
        <w:rPr>
          <w:lang w:eastAsia="en-AU"/>
        </w:rPr>
      </w:pPr>
      <w:r w:rsidRPr="002D2D05">
        <w:rPr>
          <w:lang w:eastAsia="en-AU"/>
        </w:rPr>
        <w:t xml:space="preserve">The Freedom of Information (FOI) Commissioner aims to enhance Victorian government openness, </w:t>
      </w:r>
      <w:proofErr w:type="gramStart"/>
      <w:r w:rsidRPr="002D2D05">
        <w:rPr>
          <w:lang w:eastAsia="en-AU"/>
        </w:rPr>
        <w:t>transparency</w:t>
      </w:r>
      <w:proofErr w:type="gramEnd"/>
      <w:r w:rsidRPr="002D2D05">
        <w:rPr>
          <w:lang w:eastAsia="en-AU"/>
        </w:rPr>
        <w:t xml:space="preserve"> and access to information by promoting the object and operation of FOI legislation, and reviewing and handling FOI decisions and complaints.</w:t>
      </w:r>
    </w:p>
    <w:p w:rsidR="00A53D7D" w:rsidRPr="00A475B8" w:rsidRDefault="00A53D7D" w:rsidP="005140B4">
      <w:pPr>
        <w:pStyle w:val="OGText"/>
        <w:rPr>
          <w:lang w:eastAsia="en-AU"/>
        </w:rPr>
      </w:pPr>
      <w:r w:rsidRPr="002D2D05">
        <w:rPr>
          <w:lang w:eastAsia="en-AU"/>
        </w:rPr>
        <w:t>This output group contributes to the Department’s objective of promoting and monitoring integrity within the public sector.</w:t>
      </w:r>
    </w:p>
    <w:tbl>
      <w:tblPr>
        <w:tblW w:w="7776" w:type="dxa"/>
        <w:tblInd w:w="29" w:type="dxa"/>
        <w:tblLayout w:type="fixed"/>
        <w:tblCellMar>
          <w:left w:w="43" w:type="dxa"/>
          <w:right w:w="43" w:type="dxa"/>
        </w:tblCellMar>
        <w:tblLook w:val="00A0" w:firstRow="1" w:lastRow="0" w:firstColumn="1" w:lastColumn="0" w:noHBand="0" w:noVBand="0"/>
      </w:tblPr>
      <w:tblGrid>
        <w:gridCol w:w="3155"/>
        <w:gridCol w:w="907"/>
        <w:gridCol w:w="907"/>
        <w:gridCol w:w="993"/>
        <w:gridCol w:w="907"/>
        <w:gridCol w:w="885"/>
        <w:gridCol w:w="22"/>
      </w:tblGrid>
      <w:tr w:rsidR="00A53D7D" w:rsidRPr="00A475B8" w:rsidTr="005140B4">
        <w:trPr>
          <w:cantSplit/>
          <w:tblHeader/>
        </w:trPr>
        <w:tc>
          <w:tcPr>
            <w:tcW w:w="3155" w:type="dxa"/>
            <w:tcBorders>
              <w:top w:val="single" w:sz="4" w:space="0" w:color="auto"/>
              <w:left w:val="single" w:sz="4" w:space="0" w:color="auto"/>
              <w:right w:val="nil"/>
            </w:tcBorders>
            <w:shd w:val="clear" w:color="auto" w:fill="000000"/>
            <w:vAlign w:val="bottom"/>
          </w:tcPr>
          <w:p w:rsidR="00A53D7D" w:rsidRPr="00EC2CB7" w:rsidRDefault="00A53D7D" w:rsidP="005140B4">
            <w:pPr>
              <w:pStyle w:val="OGTabColLeft"/>
              <w:rPr>
                <w:i/>
                <w:color w:val="FFFFFF"/>
              </w:rPr>
            </w:pPr>
            <w:r w:rsidRPr="00EC2CB7">
              <w:rPr>
                <w:color w:val="FFFFFF"/>
              </w:rPr>
              <w:t>Major Outputs/Deliverables</w:t>
            </w:r>
            <w:r w:rsidRPr="00EC2CB7">
              <w:rPr>
                <w:color w:val="FFFFFF"/>
              </w:rPr>
              <w:br/>
            </w:r>
            <w:r w:rsidRPr="00EC2CB7">
              <w:rPr>
                <w:b w:val="0"/>
                <w:i/>
                <w:color w:val="FFFFFF"/>
              </w:rPr>
              <w:t>Performance measures</w:t>
            </w:r>
          </w:p>
        </w:tc>
        <w:tc>
          <w:tcPr>
            <w:tcW w:w="907" w:type="dxa"/>
            <w:tcBorders>
              <w:top w:val="single" w:sz="4" w:space="0" w:color="auto"/>
              <w:left w:val="nil"/>
              <w:right w:val="nil"/>
            </w:tcBorders>
            <w:shd w:val="clear" w:color="auto" w:fill="000000"/>
            <w:noWrap/>
            <w:vAlign w:val="bottom"/>
          </w:tcPr>
          <w:p w:rsidR="00A53D7D" w:rsidRPr="003E0A6C" w:rsidRDefault="00A53D7D" w:rsidP="005140B4">
            <w:pPr>
              <w:pStyle w:val="Tabletextheadingcentred"/>
            </w:pPr>
            <w:r w:rsidRPr="003E0A6C">
              <w:t xml:space="preserve">Unit of </w:t>
            </w:r>
            <w:r w:rsidRPr="003E0A6C">
              <w:br/>
            </w:r>
            <w:r>
              <w:t>m</w:t>
            </w:r>
            <w:r w:rsidRPr="003E0A6C">
              <w:t>easure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2014</w:t>
            </w:r>
            <w:r>
              <w:noBreakHyphen/>
              <w:t>15</w:t>
            </w:r>
            <w:r w:rsidRPr="00EC2CB7">
              <w:t xml:space="preserve"> Target</w:t>
            </w:r>
          </w:p>
        </w:tc>
        <w:tc>
          <w:tcPr>
            <w:tcW w:w="993"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Expected Outcome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Target</w:t>
            </w:r>
          </w:p>
        </w:tc>
        <w:tc>
          <w:tcPr>
            <w:tcW w:w="907" w:type="dxa"/>
            <w:gridSpan w:val="2"/>
            <w:tcBorders>
              <w:top w:val="single" w:sz="4" w:space="0" w:color="auto"/>
              <w:left w:val="nil"/>
              <w:right w:val="single" w:sz="4" w:space="0" w:color="auto"/>
            </w:tcBorders>
            <w:shd w:val="clear" w:color="auto" w:fill="000000"/>
            <w:noWrap/>
            <w:vAlign w:val="bottom"/>
          </w:tcPr>
          <w:p w:rsidR="00A53D7D" w:rsidRPr="00EC2CB7" w:rsidRDefault="00A53D7D" w:rsidP="005140B4">
            <w:pPr>
              <w:pStyle w:val="Tabletextheading"/>
            </w:pPr>
            <w:r w:rsidRPr="00EC2CB7">
              <w:t>2012</w:t>
            </w:r>
            <w:r>
              <w:noBreakHyphen/>
            </w:r>
            <w:r w:rsidRPr="00EC2CB7">
              <w:t>13 Actual</w:t>
            </w:r>
          </w:p>
        </w:tc>
      </w:tr>
      <w:tr w:rsidR="00A53D7D" w:rsidRPr="00A475B8" w:rsidTr="005140B4">
        <w:trPr>
          <w:gridAfter w:val="1"/>
          <w:wAfter w:w="22" w:type="dxa"/>
          <w:cantSplit/>
        </w:trPr>
        <w:tc>
          <w:tcPr>
            <w:tcW w:w="7754" w:type="dxa"/>
            <w:gridSpan w:val="6"/>
            <w:tcBorders>
              <w:top w:val="nil"/>
              <w:left w:val="nil"/>
              <w:right w:val="nil"/>
            </w:tcBorders>
            <w:vAlign w:val="center"/>
          </w:tcPr>
          <w:p w:rsidR="00A53D7D" w:rsidRPr="00EC2CB7" w:rsidRDefault="00A53D7D" w:rsidP="005140B4">
            <w:pPr>
              <w:pStyle w:val="OGHeading2"/>
              <w:rPr>
                <w:bCs/>
                <w:color w:val="000000"/>
                <w:lang w:eastAsia="en-AU"/>
              </w:rPr>
            </w:pPr>
            <w:r w:rsidRPr="00EC2CB7">
              <w:rPr>
                <w:color w:val="000000"/>
                <w:lang w:eastAsia="en-AU"/>
              </w:rPr>
              <w:t>Anti</w:t>
            </w:r>
            <w:r>
              <w:rPr>
                <w:color w:val="000000"/>
                <w:lang w:eastAsia="en-AU"/>
              </w:rPr>
              <w:noBreakHyphen/>
            </w:r>
            <w:r w:rsidRPr="00EC2CB7">
              <w:rPr>
                <w:color w:val="000000"/>
                <w:lang w:eastAsia="en-AU"/>
              </w:rPr>
              <w:t>Corruption and Public Sector Integrity</w:t>
            </w:r>
          </w:p>
        </w:tc>
      </w:tr>
      <w:tr w:rsidR="00A53D7D" w:rsidRPr="00A475B8" w:rsidTr="005140B4">
        <w:trPr>
          <w:gridAfter w:val="1"/>
          <w:wAfter w:w="22" w:type="dxa"/>
          <w:cantSplit/>
          <w:trHeight w:val="3326"/>
        </w:trPr>
        <w:tc>
          <w:tcPr>
            <w:tcW w:w="7754" w:type="dxa"/>
            <w:gridSpan w:val="6"/>
            <w:tcBorders>
              <w:top w:val="nil"/>
              <w:left w:val="nil"/>
              <w:bottom w:val="single" w:sz="6" w:space="0" w:color="auto"/>
              <w:right w:val="nil"/>
            </w:tcBorders>
            <w:shd w:val="clear" w:color="auto" w:fill="auto"/>
            <w:vAlign w:val="center"/>
          </w:tcPr>
          <w:p w:rsidR="00A53D7D" w:rsidRPr="002D2D05" w:rsidRDefault="00A53D7D" w:rsidP="005140B4">
            <w:pPr>
              <w:pStyle w:val="OGText"/>
              <w:rPr>
                <w:lang w:eastAsia="en-AU"/>
              </w:rPr>
            </w:pPr>
            <w:r w:rsidRPr="002D2D05">
              <w:rPr>
                <w:lang w:eastAsia="en-AU"/>
              </w:rPr>
              <w:t>This output provides for the activities of the Independent Broad</w:t>
            </w:r>
            <w:r>
              <w:rPr>
                <w:lang w:eastAsia="en-AU"/>
              </w:rPr>
              <w:noBreakHyphen/>
            </w:r>
            <w:r w:rsidRPr="002D2D05">
              <w:rPr>
                <w:lang w:eastAsia="en-AU"/>
              </w:rPr>
              <w:t>based Anti</w:t>
            </w:r>
            <w:r>
              <w:rPr>
                <w:lang w:eastAsia="en-AU"/>
              </w:rPr>
              <w:noBreakHyphen/>
            </w:r>
            <w:r w:rsidRPr="002D2D05">
              <w:rPr>
                <w:lang w:eastAsia="en-AU"/>
              </w:rPr>
              <w:t>corruption Commission (IBAC). The role of IBAC is to prevent public sector corruption and to educate the public sector and community at large about corruption and its detrimental impact.</w:t>
            </w:r>
          </w:p>
          <w:p w:rsidR="00A53D7D" w:rsidRPr="002D2D05" w:rsidRDefault="00A53D7D" w:rsidP="005140B4">
            <w:pPr>
              <w:pStyle w:val="OGText"/>
              <w:rPr>
                <w:lang w:eastAsia="en-AU"/>
              </w:rPr>
            </w:pPr>
            <w:r w:rsidRPr="002D2D05">
              <w:rPr>
                <w:lang w:eastAsia="en-AU"/>
              </w:rPr>
              <w:t>The IBAC has functions and powers to expose and investigate allegations of serious corrupt conduct by public bodies or officers, and to investigate allegations of police personnel misconduct.</w:t>
            </w:r>
          </w:p>
          <w:p w:rsidR="00A53D7D" w:rsidRPr="002D2D05" w:rsidRDefault="00A53D7D" w:rsidP="005140B4">
            <w:pPr>
              <w:pStyle w:val="OGText"/>
              <w:rPr>
                <w:lang w:eastAsia="en-AU"/>
              </w:rPr>
            </w:pPr>
            <w:r w:rsidRPr="002D2D05">
              <w:rPr>
                <w:lang w:eastAsia="en-AU"/>
              </w:rPr>
              <w:t>The IBAC’s functions also include educating the community on corruption prevention and improving the capacity of the public sector to prevent corrupt conduct and police personnel misconduct.</w:t>
            </w:r>
          </w:p>
          <w:p w:rsidR="00A53D7D" w:rsidRPr="008845FB" w:rsidRDefault="00A53D7D" w:rsidP="005140B4">
            <w:pPr>
              <w:pStyle w:val="OGText"/>
              <w:rPr>
                <w:highlight w:val="yellow"/>
                <w:lang w:eastAsia="en-AU"/>
              </w:rPr>
            </w:pPr>
            <w:r w:rsidRPr="002D2D05">
              <w:rPr>
                <w:lang w:eastAsia="en-AU"/>
              </w:rPr>
              <w:t xml:space="preserve">The IBAC became </w:t>
            </w:r>
            <w:r>
              <w:rPr>
                <w:lang w:eastAsia="en-AU"/>
              </w:rPr>
              <w:t xml:space="preserve">fully </w:t>
            </w:r>
            <w:r w:rsidRPr="002D2D05">
              <w:rPr>
                <w:lang w:eastAsia="en-AU"/>
              </w:rPr>
              <w:t>operational on 10 February 2013. Therefore, the performance results are for a part of the 2012</w:t>
            </w:r>
            <w:r>
              <w:rPr>
                <w:lang w:eastAsia="en-AU"/>
              </w:rPr>
              <w:noBreakHyphen/>
            </w:r>
            <w:r w:rsidRPr="002D2D05">
              <w:rPr>
                <w:lang w:eastAsia="en-AU"/>
              </w:rPr>
              <w:t>13 reporting period only.</w:t>
            </w:r>
          </w:p>
        </w:tc>
      </w:tr>
      <w:tr w:rsidR="00A53D7D" w:rsidRPr="00A475B8" w:rsidTr="005140B4">
        <w:trPr>
          <w:gridAfter w:val="1"/>
          <w:wAfter w:w="22" w:type="dxa"/>
          <w:cantSplit/>
        </w:trPr>
        <w:tc>
          <w:tcPr>
            <w:tcW w:w="3155" w:type="dxa"/>
            <w:tcBorders>
              <w:top w:val="single" w:sz="6" w:space="0" w:color="auto"/>
              <w:left w:val="nil"/>
              <w:right w:val="nil"/>
            </w:tcBorders>
            <w:shd w:val="clear" w:color="auto" w:fill="auto"/>
            <w:vAlign w:val="center"/>
          </w:tcPr>
          <w:p w:rsidR="00A53D7D" w:rsidRPr="00A475B8" w:rsidRDefault="00A53D7D" w:rsidP="005140B4">
            <w:pPr>
              <w:pStyle w:val="OGTabHead"/>
              <w:rPr>
                <w:color w:val="000000"/>
                <w:lang w:eastAsia="en-AU"/>
              </w:rPr>
            </w:pPr>
            <w:r w:rsidRPr="00A475B8">
              <w:rPr>
                <w:iCs/>
                <w:color w:val="000000"/>
                <w:lang w:eastAsia="en-AU"/>
              </w:rPr>
              <w:t>Quantity</w:t>
            </w:r>
          </w:p>
        </w:tc>
        <w:tc>
          <w:tcPr>
            <w:tcW w:w="907" w:type="dxa"/>
            <w:tcBorders>
              <w:top w:val="single" w:sz="6" w:space="0" w:color="auto"/>
              <w:left w:val="nil"/>
              <w:right w:val="nil"/>
            </w:tcBorders>
            <w:shd w:val="clear" w:color="auto" w:fill="auto"/>
            <w:vAlign w:val="center"/>
          </w:tcPr>
          <w:p w:rsidR="00A53D7D" w:rsidRPr="003E0A6C" w:rsidRDefault="00A53D7D" w:rsidP="005140B4">
            <w:pPr>
              <w:pStyle w:val="OGUoM"/>
              <w:rPr>
                <w:color w:val="000000"/>
                <w:lang w:eastAsia="en-AU"/>
              </w:rPr>
            </w:pPr>
          </w:p>
        </w:tc>
        <w:tc>
          <w:tcPr>
            <w:tcW w:w="907" w:type="dxa"/>
            <w:tcBorders>
              <w:top w:val="single" w:sz="6" w:space="0" w:color="auto"/>
              <w:left w:val="nil"/>
              <w:right w:val="nil"/>
            </w:tcBorders>
            <w:shd w:val="clear" w:color="auto" w:fill="E6E6E6"/>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p>
        </w:tc>
        <w:tc>
          <w:tcPr>
            <w:tcW w:w="907"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p>
        </w:tc>
        <w:tc>
          <w:tcPr>
            <w:tcW w:w="885"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p>
        </w:tc>
      </w:tr>
      <w:tr w:rsidR="00A53D7D" w:rsidRPr="00A475B8" w:rsidTr="005140B4">
        <w:trPr>
          <w:gridAfter w:val="1"/>
          <w:wAfter w:w="22" w:type="dxa"/>
          <w:cantSplit/>
        </w:trPr>
        <w:tc>
          <w:tcPr>
            <w:tcW w:w="3155" w:type="dxa"/>
            <w:tcBorders>
              <w:top w:val="nil"/>
              <w:left w:val="nil"/>
              <w:bottom w:val="single" w:sz="6" w:space="0" w:color="auto"/>
              <w:right w:val="nil"/>
            </w:tcBorders>
            <w:shd w:val="clear" w:color="auto" w:fill="auto"/>
            <w:vAlign w:val="center"/>
          </w:tcPr>
          <w:p w:rsidR="00A53D7D" w:rsidRPr="000F543E" w:rsidRDefault="00A53D7D" w:rsidP="005140B4">
            <w:pPr>
              <w:pStyle w:val="OGTabText"/>
              <w:rPr>
                <w:color w:val="000000"/>
                <w:lang w:eastAsia="en-AU"/>
              </w:rPr>
            </w:pPr>
            <w:r w:rsidRPr="000F543E">
              <w:rPr>
                <w:color w:val="000000"/>
                <w:lang w:eastAsia="en-AU"/>
              </w:rPr>
              <w:t>Corruption prevention initiatives delivered by IBAC</w:t>
            </w:r>
          </w:p>
        </w:tc>
        <w:tc>
          <w:tcPr>
            <w:tcW w:w="907" w:type="dxa"/>
            <w:tcBorders>
              <w:top w:val="nil"/>
              <w:left w:val="nil"/>
              <w:bottom w:val="single" w:sz="6" w:space="0" w:color="auto"/>
              <w:right w:val="nil"/>
            </w:tcBorders>
            <w:shd w:val="clear" w:color="auto" w:fill="auto"/>
          </w:tcPr>
          <w:p w:rsidR="00A53D7D" w:rsidRPr="000F543E" w:rsidRDefault="00A53D7D" w:rsidP="005140B4">
            <w:pPr>
              <w:pStyle w:val="OGUoM"/>
              <w:rPr>
                <w:color w:val="000000"/>
                <w:lang w:eastAsia="en-AU"/>
              </w:rPr>
            </w:pPr>
            <w:r w:rsidRPr="000F543E">
              <w:rPr>
                <w:color w:val="000000"/>
                <w:lang w:eastAsia="en-AU"/>
              </w:rPr>
              <w:t>number</w:t>
            </w:r>
          </w:p>
        </w:tc>
        <w:tc>
          <w:tcPr>
            <w:tcW w:w="907" w:type="dxa"/>
            <w:tcBorders>
              <w:top w:val="nil"/>
              <w:left w:val="nil"/>
              <w:bottom w:val="single" w:sz="6" w:space="0" w:color="auto"/>
              <w:right w:val="nil"/>
            </w:tcBorders>
            <w:shd w:val="clear" w:color="auto" w:fill="E6E6E6"/>
          </w:tcPr>
          <w:p w:rsidR="00A53D7D" w:rsidRPr="00FD6046" w:rsidRDefault="00A53D7D" w:rsidP="005140B4">
            <w:pPr>
              <w:pStyle w:val="OGTableofFigures"/>
              <w:rPr>
                <w:color w:val="000000"/>
                <w:lang w:eastAsia="en-AU"/>
              </w:rPr>
            </w:pPr>
            <w:r w:rsidRPr="00FD6046">
              <w:rPr>
                <w:color w:val="000000"/>
                <w:lang w:eastAsia="en-AU"/>
              </w:rPr>
              <w:t>70</w:t>
            </w:r>
          </w:p>
        </w:tc>
        <w:tc>
          <w:tcPr>
            <w:tcW w:w="993" w:type="dxa"/>
            <w:tcBorders>
              <w:top w:val="nil"/>
              <w:left w:val="nil"/>
              <w:bottom w:val="single" w:sz="6" w:space="0" w:color="auto"/>
              <w:right w:val="nil"/>
            </w:tcBorders>
            <w:shd w:val="clear" w:color="auto" w:fill="auto"/>
          </w:tcPr>
          <w:p w:rsidR="00A53D7D" w:rsidRPr="00FD6046" w:rsidRDefault="00A53D7D" w:rsidP="005140B4">
            <w:pPr>
              <w:pStyle w:val="OGTableofFigures"/>
              <w:rPr>
                <w:color w:val="000000"/>
                <w:lang w:eastAsia="en-AU"/>
              </w:rPr>
            </w:pPr>
            <w:r w:rsidRPr="00FD6046">
              <w:rPr>
                <w:color w:val="000000"/>
                <w:lang w:eastAsia="en-AU"/>
              </w:rPr>
              <w:t>7</w:t>
            </w:r>
            <w:r>
              <w:rPr>
                <w:color w:val="000000"/>
                <w:lang w:eastAsia="en-AU"/>
              </w:rPr>
              <w:t>2</w:t>
            </w:r>
            <w:r w:rsidRPr="00FD6046">
              <w:rPr>
                <w:color w:val="000000"/>
                <w:lang w:eastAsia="en-AU"/>
              </w:rPr>
              <w:br/>
            </w:r>
          </w:p>
        </w:tc>
        <w:tc>
          <w:tcPr>
            <w:tcW w:w="907" w:type="dxa"/>
            <w:tcBorders>
              <w:top w:val="nil"/>
              <w:left w:val="nil"/>
              <w:bottom w:val="single" w:sz="6" w:space="0" w:color="auto"/>
              <w:right w:val="nil"/>
            </w:tcBorders>
            <w:shd w:val="clear" w:color="auto" w:fill="auto"/>
          </w:tcPr>
          <w:p w:rsidR="00A53D7D" w:rsidRPr="00FD6046" w:rsidRDefault="00A53D7D" w:rsidP="005140B4">
            <w:pPr>
              <w:pStyle w:val="OGTableofFigures"/>
              <w:rPr>
                <w:color w:val="000000"/>
                <w:lang w:eastAsia="en-AU"/>
              </w:rPr>
            </w:pPr>
            <w:r w:rsidRPr="00FD6046">
              <w:rPr>
                <w:color w:val="000000"/>
                <w:lang w:eastAsia="en-AU"/>
              </w:rPr>
              <w:t>70</w:t>
            </w:r>
          </w:p>
        </w:tc>
        <w:tc>
          <w:tcPr>
            <w:tcW w:w="885" w:type="dxa"/>
            <w:tcBorders>
              <w:top w:val="nil"/>
              <w:left w:val="nil"/>
              <w:bottom w:val="single" w:sz="6" w:space="0" w:color="auto"/>
              <w:right w:val="nil"/>
            </w:tcBorders>
            <w:shd w:val="clear" w:color="auto" w:fill="auto"/>
          </w:tcPr>
          <w:p w:rsidR="00A53D7D" w:rsidRPr="008845FB" w:rsidRDefault="00A53D7D" w:rsidP="005140B4">
            <w:pPr>
              <w:pStyle w:val="OGTableofFigures"/>
              <w:rPr>
                <w:color w:val="000000"/>
                <w:highlight w:val="yellow"/>
                <w:lang w:eastAsia="en-AU"/>
              </w:rPr>
            </w:pPr>
            <w:r w:rsidRPr="002D2D05">
              <w:rPr>
                <w:color w:val="000000"/>
                <w:lang w:eastAsia="en-AU"/>
              </w:rPr>
              <w:t>72</w:t>
            </w:r>
          </w:p>
        </w:tc>
      </w:tr>
      <w:tr w:rsidR="00A53D7D" w:rsidRPr="00A475B8" w:rsidTr="005140B4">
        <w:trPr>
          <w:gridAfter w:val="1"/>
          <w:wAfter w:w="22" w:type="dxa"/>
          <w:cantSplit/>
        </w:trPr>
        <w:tc>
          <w:tcPr>
            <w:tcW w:w="3155" w:type="dxa"/>
            <w:tcBorders>
              <w:top w:val="single" w:sz="6" w:space="0" w:color="auto"/>
              <w:left w:val="nil"/>
              <w:right w:val="nil"/>
            </w:tcBorders>
            <w:shd w:val="clear" w:color="auto" w:fill="auto"/>
            <w:vAlign w:val="center"/>
          </w:tcPr>
          <w:p w:rsidR="00A53D7D" w:rsidRPr="00A475B8" w:rsidRDefault="00A53D7D" w:rsidP="005140B4">
            <w:pPr>
              <w:pStyle w:val="OGTabHead"/>
              <w:rPr>
                <w:color w:val="000000"/>
                <w:lang w:eastAsia="en-AU"/>
              </w:rPr>
            </w:pPr>
            <w:r w:rsidRPr="00A475B8">
              <w:rPr>
                <w:iCs/>
                <w:color w:val="000000"/>
                <w:lang w:eastAsia="en-AU"/>
              </w:rPr>
              <w:t>Quality</w:t>
            </w:r>
          </w:p>
        </w:tc>
        <w:tc>
          <w:tcPr>
            <w:tcW w:w="907" w:type="dxa"/>
            <w:tcBorders>
              <w:top w:val="single" w:sz="6" w:space="0" w:color="auto"/>
              <w:left w:val="nil"/>
              <w:right w:val="nil"/>
            </w:tcBorders>
            <w:shd w:val="clear" w:color="auto" w:fill="auto"/>
            <w:vAlign w:val="center"/>
          </w:tcPr>
          <w:p w:rsidR="00A53D7D" w:rsidRPr="003E0A6C" w:rsidRDefault="00A53D7D" w:rsidP="005140B4">
            <w:pPr>
              <w:pStyle w:val="OGUoM"/>
              <w:rPr>
                <w:color w:val="000000"/>
                <w:lang w:eastAsia="en-AU"/>
              </w:rPr>
            </w:pPr>
            <w:r w:rsidRPr="003E0A6C">
              <w:rPr>
                <w:color w:val="000000"/>
                <w:lang w:eastAsia="en-AU"/>
              </w:rPr>
              <w:t> </w:t>
            </w:r>
          </w:p>
        </w:tc>
        <w:tc>
          <w:tcPr>
            <w:tcW w:w="907" w:type="dxa"/>
            <w:tcBorders>
              <w:top w:val="single" w:sz="6" w:space="0" w:color="auto"/>
              <w:left w:val="nil"/>
              <w:right w:val="nil"/>
            </w:tcBorders>
            <w:shd w:val="clear" w:color="auto" w:fill="E6E6E6"/>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c>
          <w:tcPr>
            <w:tcW w:w="907"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c>
          <w:tcPr>
            <w:tcW w:w="885"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r>
      <w:tr w:rsidR="00A53D7D" w:rsidRPr="008845FB" w:rsidTr="005140B4">
        <w:trPr>
          <w:gridAfter w:val="1"/>
          <w:wAfter w:w="22" w:type="dxa"/>
          <w:cantSplit/>
        </w:trPr>
        <w:tc>
          <w:tcPr>
            <w:tcW w:w="3155" w:type="dxa"/>
            <w:tcBorders>
              <w:top w:val="nil"/>
              <w:left w:val="nil"/>
              <w:bottom w:val="single" w:sz="6" w:space="0" w:color="auto"/>
              <w:right w:val="nil"/>
            </w:tcBorders>
            <w:shd w:val="clear" w:color="auto" w:fill="auto"/>
            <w:vAlign w:val="center"/>
          </w:tcPr>
          <w:p w:rsidR="00A53D7D" w:rsidRPr="000F543E" w:rsidRDefault="00A53D7D" w:rsidP="005140B4">
            <w:pPr>
              <w:pStyle w:val="OGTabText"/>
              <w:rPr>
                <w:color w:val="000000"/>
                <w:lang w:eastAsia="en-AU"/>
              </w:rPr>
            </w:pPr>
            <w:r w:rsidRPr="000F543E">
              <w:rPr>
                <w:color w:val="000000"/>
                <w:lang w:eastAsia="en-AU"/>
              </w:rPr>
              <w:t>Recipients of corruption prevention initiatives satisfied</w:t>
            </w:r>
          </w:p>
        </w:tc>
        <w:tc>
          <w:tcPr>
            <w:tcW w:w="907" w:type="dxa"/>
            <w:tcBorders>
              <w:top w:val="nil"/>
              <w:left w:val="nil"/>
              <w:bottom w:val="single" w:sz="6" w:space="0" w:color="auto"/>
              <w:right w:val="nil"/>
            </w:tcBorders>
            <w:shd w:val="clear" w:color="auto" w:fill="auto"/>
          </w:tcPr>
          <w:p w:rsidR="00A53D7D" w:rsidRPr="000F543E" w:rsidRDefault="00A53D7D" w:rsidP="005140B4">
            <w:pPr>
              <w:pStyle w:val="OGUoM"/>
              <w:rPr>
                <w:color w:val="000000"/>
                <w:lang w:eastAsia="en-AU"/>
              </w:rPr>
            </w:pPr>
            <w:r w:rsidRPr="000F543E">
              <w:rPr>
                <w:color w:val="000000"/>
                <w:lang w:eastAsia="en-AU"/>
              </w:rPr>
              <w:t>per cent</w:t>
            </w:r>
          </w:p>
        </w:tc>
        <w:tc>
          <w:tcPr>
            <w:tcW w:w="907" w:type="dxa"/>
            <w:tcBorders>
              <w:top w:val="nil"/>
              <w:left w:val="nil"/>
              <w:bottom w:val="single" w:sz="6" w:space="0" w:color="auto"/>
              <w:right w:val="nil"/>
            </w:tcBorders>
            <w:shd w:val="clear" w:color="auto" w:fill="E6E6E6"/>
          </w:tcPr>
          <w:p w:rsidR="00A53D7D" w:rsidRPr="00FD6046" w:rsidRDefault="00A53D7D" w:rsidP="005140B4">
            <w:pPr>
              <w:pStyle w:val="OGTableofFigures"/>
              <w:rPr>
                <w:color w:val="000000"/>
                <w:lang w:eastAsia="en-AU"/>
              </w:rPr>
            </w:pPr>
            <w:r w:rsidRPr="00FD6046">
              <w:rPr>
                <w:color w:val="000000"/>
                <w:lang w:eastAsia="en-AU"/>
              </w:rPr>
              <w:t>&gt; 90</w:t>
            </w:r>
          </w:p>
        </w:tc>
        <w:tc>
          <w:tcPr>
            <w:tcW w:w="993" w:type="dxa"/>
            <w:tcBorders>
              <w:top w:val="nil"/>
              <w:left w:val="nil"/>
              <w:bottom w:val="single" w:sz="6" w:space="0" w:color="auto"/>
              <w:right w:val="nil"/>
            </w:tcBorders>
            <w:shd w:val="clear" w:color="auto" w:fill="auto"/>
          </w:tcPr>
          <w:p w:rsidR="00A53D7D" w:rsidRPr="00FD6046" w:rsidRDefault="00A53D7D" w:rsidP="005140B4">
            <w:pPr>
              <w:pStyle w:val="OGTableofFigures"/>
              <w:rPr>
                <w:color w:val="000000"/>
                <w:lang w:eastAsia="en-AU"/>
              </w:rPr>
            </w:pPr>
            <w:r>
              <w:rPr>
                <w:color w:val="000000"/>
                <w:lang w:eastAsia="en-AU"/>
              </w:rPr>
              <w:t>91.5</w:t>
            </w:r>
          </w:p>
        </w:tc>
        <w:tc>
          <w:tcPr>
            <w:tcW w:w="907" w:type="dxa"/>
            <w:tcBorders>
              <w:top w:val="nil"/>
              <w:left w:val="nil"/>
              <w:bottom w:val="single" w:sz="6" w:space="0" w:color="auto"/>
              <w:right w:val="nil"/>
            </w:tcBorders>
            <w:shd w:val="clear" w:color="auto" w:fill="auto"/>
          </w:tcPr>
          <w:p w:rsidR="00A53D7D" w:rsidRPr="00FD6046" w:rsidRDefault="00A53D7D" w:rsidP="005140B4">
            <w:pPr>
              <w:pStyle w:val="OGTableofFigures"/>
              <w:rPr>
                <w:color w:val="000000"/>
                <w:lang w:eastAsia="en-AU"/>
              </w:rPr>
            </w:pPr>
            <w:r w:rsidRPr="00FD6046">
              <w:rPr>
                <w:color w:val="000000"/>
                <w:lang w:eastAsia="en-AU"/>
              </w:rPr>
              <w:t>&gt;90</w:t>
            </w:r>
          </w:p>
        </w:tc>
        <w:tc>
          <w:tcPr>
            <w:tcW w:w="885" w:type="dxa"/>
            <w:tcBorders>
              <w:top w:val="nil"/>
              <w:left w:val="nil"/>
              <w:bottom w:val="single" w:sz="6" w:space="0" w:color="auto"/>
              <w:right w:val="nil"/>
            </w:tcBorders>
            <w:shd w:val="clear" w:color="auto" w:fill="auto"/>
          </w:tcPr>
          <w:p w:rsidR="00A53D7D" w:rsidRPr="008845FB" w:rsidRDefault="00A53D7D" w:rsidP="005140B4">
            <w:pPr>
              <w:pStyle w:val="OGTableofFigures"/>
              <w:rPr>
                <w:color w:val="000000"/>
                <w:highlight w:val="yellow"/>
                <w:lang w:eastAsia="en-AU"/>
              </w:rPr>
            </w:pPr>
            <w:r w:rsidRPr="002D2D05">
              <w:rPr>
                <w:color w:val="000000"/>
                <w:lang w:eastAsia="en-AU"/>
              </w:rPr>
              <w:t>98.9 </w:t>
            </w:r>
          </w:p>
        </w:tc>
      </w:tr>
      <w:tr w:rsidR="00A53D7D" w:rsidRPr="00A475B8" w:rsidTr="005140B4">
        <w:trPr>
          <w:gridAfter w:val="1"/>
          <w:wAfter w:w="22" w:type="dxa"/>
          <w:cantSplit/>
        </w:trPr>
        <w:tc>
          <w:tcPr>
            <w:tcW w:w="3155" w:type="dxa"/>
            <w:tcBorders>
              <w:top w:val="single" w:sz="6" w:space="0" w:color="auto"/>
              <w:left w:val="nil"/>
              <w:right w:val="nil"/>
            </w:tcBorders>
            <w:shd w:val="clear" w:color="auto" w:fill="auto"/>
            <w:vAlign w:val="center"/>
          </w:tcPr>
          <w:p w:rsidR="00A53D7D" w:rsidRPr="00A475B8" w:rsidRDefault="00A53D7D" w:rsidP="005140B4">
            <w:pPr>
              <w:pStyle w:val="OGTabHead"/>
              <w:rPr>
                <w:lang w:eastAsia="en-AU"/>
              </w:rPr>
            </w:pPr>
            <w:r w:rsidRPr="0016616A">
              <w:rPr>
                <w:iCs/>
                <w:color w:val="000000"/>
                <w:lang w:eastAsia="en-AU"/>
              </w:rPr>
              <w:t>Timeliness</w:t>
            </w:r>
          </w:p>
        </w:tc>
        <w:tc>
          <w:tcPr>
            <w:tcW w:w="907" w:type="dxa"/>
            <w:tcBorders>
              <w:top w:val="single" w:sz="6" w:space="0" w:color="auto"/>
              <w:left w:val="nil"/>
              <w:right w:val="nil"/>
            </w:tcBorders>
            <w:shd w:val="clear" w:color="auto" w:fill="auto"/>
            <w:vAlign w:val="center"/>
          </w:tcPr>
          <w:p w:rsidR="00A53D7D" w:rsidRPr="003E0A6C" w:rsidRDefault="00A53D7D" w:rsidP="005140B4">
            <w:pPr>
              <w:pStyle w:val="OGUoM"/>
              <w:rPr>
                <w:color w:val="000000"/>
                <w:lang w:eastAsia="en-AU"/>
              </w:rPr>
            </w:pPr>
            <w:r w:rsidRPr="003E0A6C">
              <w:rPr>
                <w:color w:val="000000"/>
                <w:lang w:eastAsia="en-AU"/>
              </w:rPr>
              <w:t> </w:t>
            </w:r>
          </w:p>
        </w:tc>
        <w:tc>
          <w:tcPr>
            <w:tcW w:w="907" w:type="dxa"/>
            <w:tcBorders>
              <w:top w:val="single" w:sz="6" w:space="0" w:color="auto"/>
              <w:left w:val="nil"/>
              <w:right w:val="nil"/>
            </w:tcBorders>
            <w:shd w:val="clear" w:color="auto" w:fill="E6E6E6"/>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c>
          <w:tcPr>
            <w:tcW w:w="907"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c>
          <w:tcPr>
            <w:tcW w:w="885"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r>
      <w:tr w:rsidR="00A53D7D" w:rsidRPr="00A475B8" w:rsidTr="005140B4">
        <w:trPr>
          <w:gridAfter w:val="1"/>
          <w:wAfter w:w="22" w:type="dxa"/>
          <w:cantSplit/>
        </w:trPr>
        <w:tc>
          <w:tcPr>
            <w:tcW w:w="3155" w:type="dxa"/>
            <w:tcBorders>
              <w:top w:val="nil"/>
              <w:left w:val="nil"/>
              <w:right w:val="nil"/>
            </w:tcBorders>
            <w:shd w:val="clear" w:color="auto" w:fill="auto"/>
            <w:vAlign w:val="center"/>
          </w:tcPr>
          <w:p w:rsidR="00A53D7D" w:rsidRPr="000F543E" w:rsidRDefault="00A53D7D" w:rsidP="005140B4">
            <w:pPr>
              <w:pStyle w:val="OGTabText"/>
              <w:keepNext/>
              <w:rPr>
                <w:color w:val="000000"/>
                <w:lang w:eastAsia="en-AU"/>
              </w:rPr>
            </w:pPr>
            <w:r w:rsidRPr="000F543E">
              <w:rPr>
                <w:color w:val="000000"/>
                <w:lang w:eastAsia="en-AU"/>
              </w:rPr>
              <w:t>Proportion of complaints or notifications received and assessed within 60 days</w:t>
            </w:r>
            <w:r>
              <w:rPr>
                <w:color w:val="000000"/>
                <w:lang w:eastAsia="en-AU"/>
              </w:rPr>
              <w:t xml:space="preserve"> </w:t>
            </w:r>
          </w:p>
        </w:tc>
        <w:tc>
          <w:tcPr>
            <w:tcW w:w="907" w:type="dxa"/>
            <w:tcBorders>
              <w:top w:val="nil"/>
              <w:left w:val="nil"/>
              <w:right w:val="nil"/>
            </w:tcBorders>
            <w:shd w:val="clear" w:color="auto" w:fill="auto"/>
          </w:tcPr>
          <w:p w:rsidR="00A53D7D" w:rsidRPr="000F543E" w:rsidRDefault="00A53D7D" w:rsidP="005140B4">
            <w:pPr>
              <w:pStyle w:val="OGUoM"/>
              <w:rPr>
                <w:color w:val="000000"/>
                <w:lang w:eastAsia="en-AU"/>
              </w:rPr>
            </w:pPr>
            <w:r w:rsidRPr="000F543E">
              <w:rPr>
                <w:color w:val="000000"/>
                <w:lang w:eastAsia="en-AU"/>
              </w:rPr>
              <w:t>per cent</w:t>
            </w:r>
          </w:p>
        </w:tc>
        <w:tc>
          <w:tcPr>
            <w:tcW w:w="907" w:type="dxa"/>
            <w:tcBorders>
              <w:top w:val="nil"/>
              <w:left w:val="nil"/>
              <w:right w:val="nil"/>
            </w:tcBorders>
            <w:shd w:val="clear" w:color="auto" w:fill="E6E6E6"/>
          </w:tcPr>
          <w:p w:rsidR="00A53D7D" w:rsidRPr="00FD6046" w:rsidRDefault="00A53D7D" w:rsidP="005140B4">
            <w:pPr>
              <w:pStyle w:val="OGTableofFigures"/>
              <w:rPr>
                <w:color w:val="000000"/>
                <w:lang w:eastAsia="en-AU"/>
              </w:rPr>
            </w:pPr>
            <w:r w:rsidRPr="00FD6046">
              <w:rPr>
                <w:color w:val="000000"/>
                <w:lang w:eastAsia="en-AU"/>
              </w:rPr>
              <w:t>&gt; </w:t>
            </w:r>
            <w:r>
              <w:rPr>
                <w:color w:val="000000"/>
                <w:lang w:eastAsia="en-AU"/>
              </w:rPr>
              <w:t>75</w:t>
            </w:r>
          </w:p>
        </w:tc>
        <w:tc>
          <w:tcPr>
            <w:tcW w:w="993" w:type="dxa"/>
            <w:tcBorders>
              <w:top w:val="nil"/>
              <w:left w:val="nil"/>
              <w:right w:val="nil"/>
            </w:tcBorders>
            <w:shd w:val="clear" w:color="auto" w:fill="auto"/>
          </w:tcPr>
          <w:p w:rsidR="00A53D7D" w:rsidRPr="00FD6046" w:rsidRDefault="00A53D7D" w:rsidP="005140B4">
            <w:pPr>
              <w:pStyle w:val="OGTableofFigures"/>
              <w:rPr>
                <w:color w:val="000000"/>
                <w:lang w:eastAsia="en-AU"/>
              </w:rPr>
            </w:pPr>
            <w:r>
              <w:rPr>
                <w:color w:val="000000"/>
                <w:lang w:eastAsia="en-AU"/>
              </w:rPr>
              <w:t>95</w:t>
            </w:r>
          </w:p>
        </w:tc>
        <w:tc>
          <w:tcPr>
            <w:tcW w:w="907" w:type="dxa"/>
            <w:tcBorders>
              <w:top w:val="nil"/>
              <w:left w:val="nil"/>
              <w:right w:val="nil"/>
            </w:tcBorders>
            <w:shd w:val="clear" w:color="auto" w:fill="auto"/>
          </w:tcPr>
          <w:p w:rsidR="00A53D7D" w:rsidRPr="00FD6046" w:rsidRDefault="00A53D7D" w:rsidP="005140B4">
            <w:pPr>
              <w:pStyle w:val="OGTableofFigures"/>
              <w:rPr>
                <w:color w:val="000000"/>
                <w:lang w:eastAsia="en-AU"/>
              </w:rPr>
            </w:pPr>
            <w:r w:rsidRPr="00FD6046">
              <w:rPr>
                <w:color w:val="000000"/>
                <w:lang w:eastAsia="en-AU"/>
              </w:rPr>
              <w:t>&gt; 75</w:t>
            </w:r>
          </w:p>
        </w:tc>
        <w:tc>
          <w:tcPr>
            <w:tcW w:w="885" w:type="dxa"/>
            <w:tcBorders>
              <w:top w:val="nil"/>
              <w:left w:val="nil"/>
              <w:right w:val="nil"/>
            </w:tcBorders>
            <w:shd w:val="clear" w:color="auto" w:fill="auto"/>
          </w:tcPr>
          <w:p w:rsidR="00A53D7D" w:rsidRPr="002D2D05" w:rsidRDefault="00A53D7D" w:rsidP="005140B4">
            <w:pPr>
              <w:pStyle w:val="OGTableofFigures"/>
              <w:rPr>
                <w:color w:val="000000"/>
                <w:lang w:eastAsia="en-AU"/>
              </w:rPr>
            </w:pPr>
            <w:r w:rsidRPr="002D2D05">
              <w:rPr>
                <w:color w:val="000000"/>
                <w:lang w:eastAsia="en-AU"/>
              </w:rPr>
              <w:t>nm</w:t>
            </w:r>
          </w:p>
        </w:tc>
      </w:tr>
      <w:tr w:rsidR="00A53D7D" w:rsidRPr="00A475B8" w:rsidTr="005140B4">
        <w:trPr>
          <w:gridAfter w:val="1"/>
          <w:wAfter w:w="22" w:type="dxa"/>
          <w:cantSplit/>
        </w:trPr>
        <w:tc>
          <w:tcPr>
            <w:tcW w:w="7754" w:type="dxa"/>
            <w:gridSpan w:val="6"/>
            <w:tcBorders>
              <w:top w:val="nil"/>
              <w:left w:val="nil"/>
              <w:bottom w:val="single" w:sz="6" w:space="0" w:color="auto"/>
              <w:right w:val="nil"/>
            </w:tcBorders>
            <w:shd w:val="clear" w:color="auto" w:fill="auto"/>
            <w:vAlign w:val="center"/>
          </w:tcPr>
          <w:p w:rsidR="00A53D7D" w:rsidRPr="0051490F" w:rsidRDefault="00A53D7D" w:rsidP="005140B4">
            <w:pPr>
              <w:pStyle w:val="OGNotes"/>
              <w:rPr>
                <w:szCs w:val="15"/>
              </w:rPr>
            </w:pPr>
            <w:r w:rsidRPr="003B380F">
              <w:rPr>
                <w:szCs w:val="15"/>
              </w:rPr>
              <w:t>The 2013</w:t>
            </w:r>
            <w:r>
              <w:rPr>
                <w:szCs w:val="15"/>
              </w:rPr>
              <w:noBreakHyphen/>
            </w:r>
            <w:r w:rsidRPr="003B380F">
              <w:rPr>
                <w:szCs w:val="15"/>
              </w:rPr>
              <w:t xml:space="preserve">14 </w:t>
            </w:r>
            <w:r>
              <w:rPr>
                <w:szCs w:val="15"/>
              </w:rPr>
              <w:t>e</w:t>
            </w:r>
            <w:r w:rsidRPr="003B380F">
              <w:rPr>
                <w:szCs w:val="15"/>
              </w:rPr>
              <w:t xml:space="preserve">xpected </w:t>
            </w:r>
            <w:r>
              <w:rPr>
                <w:szCs w:val="15"/>
              </w:rPr>
              <w:t>o</w:t>
            </w:r>
            <w:r w:rsidRPr="003B380F">
              <w:rPr>
                <w:szCs w:val="15"/>
              </w:rPr>
              <w:t>utcome is higher than the 2013</w:t>
            </w:r>
            <w:r>
              <w:rPr>
                <w:szCs w:val="15"/>
              </w:rPr>
              <w:noBreakHyphen/>
            </w:r>
            <w:r w:rsidRPr="003B380F">
              <w:rPr>
                <w:szCs w:val="15"/>
              </w:rPr>
              <w:t xml:space="preserve">14 </w:t>
            </w:r>
            <w:r>
              <w:rPr>
                <w:szCs w:val="15"/>
              </w:rPr>
              <w:t>t</w:t>
            </w:r>
            <w:r w:rsidRPr="003B380F">
              <w:rPr>
                <w:szCs w:val="15"/>
              </w:rPr>
              <w:t xml:space="preserve">arget due to </w:t>
            </w:r>
            <w:r>
              <w:rPr>
                <w:szCs w:val="15"/>
              </w:rPr>
              <w:t xml:space="preserve">efficiencies in reviewing and assessing complaints and notifications. </w:t>
            </w:r>
          </w:p>
        </w:tc>
      </w:tr>
      <w:tr w:rsidR="00A53D7D" w:rsidRPr="00A475B8" w:rsidTr="005140B4">
        <w:trPr>
          <w:gridAfter w:val="1"/>
          <w:wAfter w:w="22" w:type="dxa"/>
          <w:cantSplit/>
        </w:trPr>
        <w:tc>
          <w:tcPr>
            <w:tcW w:w="3155" w:type="dxa"/>
            <w:tcBorders>
              <w:top w:val="single" w:sz="6" w:space="0" w:color="auto"/>
              <w:left w:val="nil"/>
              <w:right w:val="nil"/>
            </w:tcBorders>
            <w:shd w:val="clear" w:color="auto" w:fill="auto"/>
            <w:vAlign w:val="center"/>
          </w:tcPr>
          <w:p w:rsidR="00A53D7D" w:rsidRPr="000F543E" w:rsidRDefault="00A53D7D" w:rsidP="005140B4">
            <w:pPr>
              <w:pStyle w:val="OGTabText"/>
              <w:pageBreakBefore/>
              <w:ind w:left="142"/>
              <w:rPr>
                <w:color w:val="000000"/>
                <w:lang w:eastAsia="en-AU"/>
              </w:rPr>
            </w:pPr>
            <w:r w:rsidRPr="000F543E">
              <w:rPr>
                <w:color w:val="000000"/>
                <w:lang w:eastAsia="en-AU"/>
              </w:rPr>
              <w:t>Proportion of IBAC investigations completed within 12 months</w:t>
            </w:r>
            <w:r>
              <w:rPr>
                <w:color w:val="000000"/>
                <w:lang w:eastAsia="en-AU"/>
              </w:rPr>
              <w:t xml:space="preserve"> </w:t>
            </w:r>
          </w:p>
        </w:tc>
        <w:tc>
          <w:tcPr>
            <w:tcW w:w="907" w:type="dxa"/>
            <w:tcBorders>
              <w:top w:val="single" w:sz="6" w:space="0" w:color="auto"/>
              <w:left w:val="nil"/>
              <w:right w:val="nil"/>
            </w:tcBorders>
            <w:shd w:val="clear" w:color="auto" w:fill="auto"/>
          </w:tcPr>
          <w:p w:rsidR="00A53D7D" w:rsidRPr="000F543E" w:rsidRDefault="00A53D7D" w:rsidP="005140B4">
            <w:pPr>
              <w:pStyle w:val="OGUoM"/>
              <w:rPr>
                <w:color w:val="000000"/>
                <w:lang w:eastAsia="en-AU"/>
              </w:rPr>
            </w:pPr>
            <w:r w:rsidRPr="000F543E">
              <w:rPr>
                <w:color w:val="000000"/>
                <w:lang w:eastAsia="en-AU"/>
              </w:rPr>
              <w:t>per cent</w:t>
            </w:r>
          </w:p>
        </w:tc>
        <w:tc>
          <w:tcPr>
            <w:tcW w:w="907" w:type="dxa"/>
            <w:tcBorders>
              <w:top w:val="single" w:sz="6" w:space="0" w:color="auto"/>
              <w:left w:val="nil"/>
              <w:right w:val="nil"/>
            </w:tcBorders>
            <w:shd w:val="clear" w:color="auto" w:fill="E6E6E6"/>
          </w:tcPr>
          <w:p w:rsidR="00A53D7D" w:rsidRPr="00181B29" w:rsidRDefault="00A53D7D" w:rsidP="005140B4">
            <w:pPr>
              <w:pStyle w:val="OGTableofFigures"/>
              <w:rPr>
                <w:color w:val="000000"/>
                <w:lang w:eastAsia="en-AU"/>
              </w:rPr>
            </w:pPr>
            <w:r>
              <w:rPr>
                <w:color w:val="000000"/>
                <w:lang w:eastAsia="en-AU"/>
              </w:rPr>
              <w:t>&gt; 6</w:t>
            </w:r>
            <w:r w:rsidRPr="00181B29">
              <w:rPr>
                <w:color w:val="000000"/>
                <w:lang w:eastAsia="en-AU"/>
              </w:rPr>
              <w:t>0</w:t>
            </w:r>
          </w:p>
        </w:tc>
        <w:tc>
          <w:tcPr>
            <w:tcW w:w="993" w:type="dxa"/>
            <w:tcBorders>
              <w:top w:val="single" w:sz="6" w:space="0" w:color="auto"/>
              <w:left w:val="nil"/>
              <w:right w:val="nil"/>
            </w:tcBorders>
            <w:shd w:val="clear" w:color="auto" w:fill="auto"/>
          </w:tcPr>
          <w:p w:rsidR="00A53D7D" w:rsidRPr="00181B29" w:rsidRDefault="00A53D7D" w:rsidP="005140B4">
            <w:pPr>
              <w:pStyle w:val="OGTableofFigures"/>
              <w:rPr>
                <w:color w:val="000000"/>
                <w:lang w:eastAsia="en-AU"/>
              </w:rPr>
            </w:pPr>
            <w:r>
              <w:rPr>
                <w:color w:val="000000"/>
                <w:lang w:eastAsia="en-AU"/>
              </w:rPr>
              <w:t>100</w:t>
            </w:r>
          </w:p>
        </w:tc>
        <w:tc>
          <w:tcPr>
            <w:tcW w:w="907" w:type="dxa"/>
            <w:tcBorders>
              <w:top w:val="single" w:sz="6" w:space="0" w:color="auto"/>
              <w:left w:val="nil"/>
              <w:right w:val="nil"/>
            </w:tcBorders>
            <w:shd w:val="clear" w:color="auto" w:fill="auto"/>
          </w:tcPr>
          <w:p w:rsidR="00A53D7D" w:rsidRPr="00181B29" w:rsidRDefault="00A53D7D" w:rsidP="005140B4">
            <w:pPr>
              <w:pStyle w:val="OGTableofFigures"/>
              <w:rPr>
                <w:color w:val="000000"/>
                <w:lang w:eastAsia="en-AU"/>
              </w:rPr>
            </w:pPr>
            <w:r w:rsidRPr="00181B29">
              <w:rPr>
                <w:color w:val="000000"/>
                <w:lang w:eastAsia="en-AU"/>
              </w:rPr>
              <w:t>&gt; 60</w:t>
            </w:r>
          </w:p>
        </w:tc>
        <w:tc>
          <w:tcPr>
            <w:tcW w:w="885" w:type="dxa"/>
            <w:tcBorders>
              <w:top w:val="single" w:sz="6" w:space="0" w:color="auto"/>
              <w:left w:val="nil"/>
              <w:right w:val="nil"/>
            </w:tcBorders>
            <w:shd w:val="clear" w:color="auto" w:fill="auto"/>
          </w:tcPr>
          <w:p w:rsidR="00A53D7D" w:rsidRPr="002D2D05" w:rsidRDefault="00A53D7D" w:rsidP="005140B4">
            <w:pPr>
              <w:pStyle w:val="OGTableofFigures"/>
              <w:rPr>
                <w:color w:val="000000"/>
                <w:lang w:eastAsia="en-AU"/>
              </w:rPr>
            </w:pPr>
            <w:r w:rsidRPr="002D2D05">
              <w:rPr>
                <w:color w:val="000000"/>
                <w:lang w:eastAsia="en-AU"/>
              </w:rPr>
              <w:t>nm</w:t>
            </w:r>
          </w:p>
        </w:tc>
      </w:tr>
      <w:tr w:rsidR="00A53D7D" w:rsidRPr="00A475B8" w:rsidTr="005140B4">
        <w:trPr>
          <w:gridAfter w:val="1"/>
          <w:wAfter w:w="22" w:type="dxa"/>
          <w:cantSplit/>
        </w:trPr>
        <w:tc>
          <w:tcPr>
            <w:tcW w:w="7754" w:type="dxa"/>
            <w:gridSpan w:val="6"/>
            <w:tcBorders>
              <w:left w:val="nil"/>
              <w:bottom w:val="single" w:sz="6" w:space="0" w:color="auto"/>
              <w:right w:val="nil"/>
            </w:tcBorders>
            <w:shd w:val="clear" w:color="auto" w:fill="auto"/>
            <w:vAlign w:val="center"/>
          </w:tcPr>
          <w:p w:rsidR="00A53D7D" w:rsidRPr="003B380F" w:rsidRDefault="00A53D7D" w:rsidP="005140B4">
            <w:pPr>
              <w:pStyle w:val="OGNotes"/>
              <w:rPr>
                <w:szCs w:val="15"/>
              </w:rPr>
            </w:pPr>
            <w:r w:rsidRPr="003B380F">
              <w:rPr>
                <w:szCs w:val="15"/>
              </w:rPr>
              <w:t>The 2013</w:t>
            </w:r>
            <w:r>
              <w:rPr>
                <w:szCs w:val="15"/>
              </w:rPr>
              <w:noBreakHyphen/>
            </w:r>
            <w:r w:rsidRPr="003B380F">
              <w:rPr>
                <w:szCs w:val="15"/>
              </w:rPr>
              <w:t xml:space="preserve">14 </w:t>
            </w:r>
            <w:r>
              <w:rPr>
                <w:szCs w:val="15"/>
              </w:rPr>
              <w:t>e</w:t>
            </w:r>
            <w:r w:rsidRPr="003B380F">
              <w:rPr>
                <w:szCs w:val="15"/>
              </w:rPr>
              <w:t xml:space="preserve">xpected </w:t>
            </w:r>
            <w:r>
              <w:rPr>
                <w:szCs w:val="15"/>
              </w:rPr>
              <w:t>o</w:t>
            </w:r>
            <w:r w:rsidRPr="003B380F">
              <w:rPr>
                <w:szCs w:val="15"/>
              </w:rPr>
              <w:t>utcome is higher than the 2013</w:t>
            </w:r>
            <w:r>
              <w:rPr>
                <w:szCs w:val="15"/>
              </w:rPr>
              <w:noBreakHyphen/>
            </w:r>
            <w:r w:rsidRPr="003B380F">
              <w:rPr>
                <w:szCs w:val="15"/>
              </w:rPr>
              <w:t xml:space="preserve">14 </w:t>
            </w:r>
            <w:r>
              <w:rPr>
                <w:szCs w:val="15"/>
              </w:rPr>
              <w:t>t</w:t>
            </w:r>
            <w:r w:rsidRPr="003B380F">
              <w:rPr>
                <w:szCs w:val="15"/>
              </w:rPr>
              <w:t xml:space="preserve">arget due to </w:t>
            </w:r>
            <w:r>
              <w:rPr>
                <w:szCs w:val="15"/>
              </w:rPr>
              <w:t>efficiencies in completing investigations.</w:t>
            </w:r>
          </w:p>
        </w:tc>
      </w:tr>
      <w:tr w:rsidR="00A53D7D" w:rsidRPr="00A475B8" w:rsidTr="005140B4">
        <w:trPr>
          <w:gridAfter w:val="1"/>
          <w:wAfter w:w="22" w:type="dxa"/>
          <w:cantSplit/>
        </w:trPr>
        <w:tc>
          <w:tcPr>
            <w:tcW w:w="3155" w:type="dxa"/>
            <w:tcBorders>
              <w:top w:val="single" w:sz="6" w:space="0" w:color="auto"/>
              <w:left w:val="nil"/>
              <w:right w:val="nil"/>
            </w:tcBorders>
            <w:shd w:val="clear" w:color="auto" w:fill="auto"/>
            <w:vAlign w:val="center"/>
          </w:tcPr>
          <w:p w:rsidR="00A53D7D" w:rsidRPr="00A475B8" w:rsidRDefault="00A53D7D" w:rsidP="005140B4">
            <w:pPr>
              <w:pStyle w:val="OGTabHead"/>
              <w:rPr>
                <w:color w:val="000000"/>
                <w:lang w:eastAsia="en-AU"/>
              </w:rPr>
            </w:pPr>
            <w:r w:rsidRPr="00A475B8">
              <w:rPr>
                <w:iCs/>
                <w:color w:val="000000"/>
                <w:lang w:eastAsia="en-AU"/>
              </w:rPr>
              <w:t>Cost</w:t>
            </w:r>
          </w:p>
        </w:tc>
        <w:tc>
          <w:tcPr>
            <w:tcW w:w="907" w:type="dxa"/>
            <w:tcBorders>
              <w:top w:val="single" w:sz="6" w:space="0" w:color="auto"/>
              <w:left w:val="nil"/>
              <w:right w:val="nil"/>
            </w:tcBorders>
            <w:shd w:val="clear" w:color="auto" w:fill="auto"/>
            <w:vAlign w:val="center"/>
          </w:tcPr>
          <w:p w:rsidR="00A53D7D" w:rsidRPr="003E0A6C" w:rsidRDefault="00A53D7D" w:rsidP="005140B4">
            <w:pPr>
              <w:pStyle w:val="OGUoM"/>
              <w:rPr>
                <w:color w:val="000000"/>
                <w:lang w:eastAsia="en-AU"/>
              </w:rPr>
            </w:pPr>
            <w:r w:rsidRPr="003E0A6C">
              <w:rPr>
                <w:color w:val="000000"/>
                <w:lang w:eastAsia="en-AU"/>
              </w:rPr>
              <w:t> </w:t>
            </w:r>
          </w:p>
        </w:tc>
        <w:tc>
          <w:tcPr>
            <w:tcW w:w="907" w:type="dxa"/>
            <w:tcBorders>
              <w:top w:val="single" w:sz="6" w:space="0" w:color="auto"/>
              <w:left w:val="nil"/>
              <w:right w:val="nil"/>
            </w:tcBorders>
            <w:shd w:val="clear" w:color="auto" w:fill="E6E6E6"/>
            <w:vAlign w:val="center"/>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left w:val="nil"/>
              <w:right w:val="nil"/>
            </w:tcBorders>
            <w:shd w:val="clear" w:color="auto" w:fill="auto"/>
            <w:vAlign w:val="center"/>
          </w:tcPr>
          <w:p w:rsidR="00A53D7D" w:rsidRPr="00EC2CB7" w:rsidRDefault="00A53D7D" w:rsidP="005140B4">
            <w:pPr>
              <w:pStyle w:val="OGTableofFigures"/>
              <w:rPr>
                <w:color w:val="000000"/>
                <w:lang w:eastAsia="en-AU"/>
              </w:rPr>
            </w:pPr>
            <w:r w:rsidRPr="00EC2CB7">
              <w:rPr>
                <w:color w:val="000000"/>
                <w:lang w:eastAsia="en-AU"/>
              </w:rPr>
              <w:t> </w:t>
            </w:r>
          </w:p>
        </w:tc>
        <w:tc>
          <w:tcPr>
            <w:tcW w:w="907" w:type="dxa"/>
            <w:tcBorders>
              <w:top w:val="single" w:sz="6" w:space="0" w:color="auto"/>
              <w:left w:val="nil"/>
              <w:right w:val="nil"/>
            </w:tcBorders>
            <w:shd w:val="clear" w:color="auto" w:fill="auto"/>
            <w:vAlign w:val="center"/>
          </w:tcPr>
          <w:p w:rsidR="00A53D7D" w:rsidRPr="00EC2CB7" w:rsidRDefault="00A53D7D" w:rsidP="005140B4">
            <w:pPr>
              <w:pStyle w:val="OGTableofFigures"/>
              <w:rPr>
                <w:color w:val="000000"/>
                <w:lang w:eastAsia="en-AU"/>
              </w:rPr>
            </w:pPr>
            <w:r w:rsidRPr="00EC2CB7">
              <w:rPr>
                <w:color w:val="000000"/>
                <w:lang w:eastAsia="en-AU"/>
              </w:rPr>
              <w:t> </w:t>
            </w:r>
          </w:p>
        </w:tc>
        <w:tc>
          <w:tcPr>
            <w:tcW w:w="885" w:type="dxa"/>
            <w:tcBorders>
              <w:top w:val="single" w:sz="6" w:space="0" w:color="auto"/>
              <w:left w:val="nil"/>
              <w:right w:val="nil"/>
            </w:tcBorders>
            <w:shd w:val="clear" w:color="auto" w:fill="auto"/>
            <w:vAlign w:val="center"/>
          </w:tcPr>
          <w:p w:rsidR="00A53D7D" w:rsidRPr="00EC2CB7" w:rsidRDefault="00A53D7D" w:rsidP="005140B4">
            <w:pPr>
              <w:pStyle w:val="OGTableofFigures"/>
              <w:rPr>
                <w:color w:val="000000"/>
                <w:lang w:eastAsia="en-AU"/>
              </w:rPr>
            </w:pPr>
            <w:r w:rsidRPr="00EC2CB7">
              <w:rPr>
                <w:color w:val="000000"/>
                <w:lang w:eastAsia="en-AU"/>
              </w:rPr>
              <w:t> </w:t>
            </w:r>
          </w:p>
        </w:tc>
      </w:tr>
      <w:tr w:rsidR="00A53D7D" w:rsidRPr="002A22F7" w:rsidTr="005140B4">
        <w:trPr>
          <w:gridAfter w:val="1"/>
          <w:wAfter w:w="22" w:type="dxa"/>
          <w:cantSplit/>
        </w:trPr>
        <w:tc>
          <w:tcPr>
            <w:tcW w:w="3155" w:type="dxa"/>
            <w:tcBorders>
              <w:top w:val="nil"/>
              <w:left w:val="nil"/>
              <w:right w:val="nil"/>
            </w:tcBorders>
            <w:shd w:val="clear" w:color="auto" w:fill="auto"/>
            <w:vAlign w:val="center"/>
          </w:tcPr>
          <w:p w:rsidR="00A53D7D" w:rsidRPr="00BA4ECD" w:rsidRDefault="00A53D7D" w:rsidP="005140B4">
            <w:pPr>
              <w:pStyle w:val="OGTabText"/>
              <w:rPr>
                <w:color w:val="000000"/>
                <w:lang w:eastAsia="en-AU"/>
              </w:rPr>
            </w:pPr>
            <w:r w:rsidRPr="00BA4ECD">
              <w:rPr>
                <w:color w:val="000000"/>
                <w:lang w:eastAsia="en-AU"/>
              </w:rPr>
              <w:t>Total output cost</w:t>
            </w:r>
          </w:p>
        </w:tc>
        <w:tc>
          <w:tcPr>
            <w:tcW w:w="907" w:type="dxa"/>
            <w:tcBorders>
              <w:top w:val="nil"/>
              <w:left w:val="nil"/>
              <w:right w:val="nil"/>
            </w:tcBorders>
            <w:shd w:val="clear" w:color="auto" w:fill="auto"/>
          </w:tcPr>
          <w:p w:rsidR="00A53D7D" w:rsidRPr="00BA4ECD" w:rsidRDefault="00A53D7D" w:rsidP="005140B4">
            <w:pPr>
              <w:pStyle w:val="OGUoM"/>
              <w:rPr>
                <w:color w:val="000000"/>
                <w:lang w:eastAsia="en-AU"/>
              </w:rPr>
            </w:pPr>
            <w:r w:rsidRPr="00BA4ECD">
              <w:rPr>
                <w:color w:val="000000"/>
                <w:lang w:eastAsia="en-AU"/>
              </w:rPr>
              <w:t>$ million</w:t>
            </w:r>
          </w:p>
        </w:tc>
        <w:tc>
          <w:tcPr>
            <w:tcW w:w="907" w:type="dxa"/>
            <w:tcBorders>
              <w:top w:val="nil"/>
              <w:left w:val="nil"/>
              <w:right w:val="nil"/>
            </w:tcBorders>
            <w:shd w:val="clear" w:color="auto" w:fill="E6E6E6"/>
          </w:tcPr>
          <w:p w:rsidR="00A53D7D" w:rsidRPr="00F973A2" w:rsidRDefault="00A53D7D" w:rsidP="005140B4">
            <w:pPr>
              <w:pStyle w:val="OGTableofFigures"/>
              <w:rPr>
                <w:color w:val="000000"/>
                <w:lang w:eastAsia="en-AU"/>
              </w:rPr>
            </w:pPr>
            <w:r>
              <w:rPr>
                <w:color w:val="000000"/>
                <w:lang w:eastAsia="en-AU"/>
              </w:rPr>
              <w:t>56.8</w:t>
            </w:r>
          </w:p>
        </w:tc>
        <w:tc>
          <w:tcPr>
            <w:tcW w:w="993" w:type="dxa"/>
            <w:tcBorders>
              <w:top w:val="nil"/>
              <w:left w:val="nil"/>
              <w:right w:val="nil"/>
            </w:tcBorders>
            <w:shd w:val="clear" w:color="auto" w:fill="auto"/>
          </w:tcPr>
          <w:p w:rsidR="00A53D7D" w:rsidRPr="00F973A2" w:rsidRDefault="00A53D7D" w:rsidP="005140B4">
            <w:pPr>
              <w:pStyle w:val="OGTableofFigures"/>
              <w:rPr>
                <w:color w:val="000000"/>
                <w:lang w:eastAsia="en-AU"/>
              </w:rPr>
            </w:pPr>
            <w:r>
              <w:rPr>
                <w:color w:val="000000"/>
                <w:lang w:eastAsia="en-AU"/>
              </w:rPr>
              <w:t>38.2</w:t>
            </w:r>
          </w:p>
        </w:tc>
        <w:tc>
          <w:tcPr>
            <w:tcW w:w="907" w:type="dxa"/>
            <w:tcBorders>
              <w:top w:val="nil"/>
              <w:left w:val="nil"/>
              <w:right w:val="nil"/>
            </w:tcBorders>
            <w:shd w:val="clear" w:color="auto" w:fill="auto"/>
          </w:tcPr>
          <w:p w:rsidR="00A53D7D" w:rsidRPr="00BA4ECD" w:rsidRDefault="00A53D7D" w:rsidP="005140B4">
            <w:pPr>
              <w:pStyle w:val="OGTableofFigures"/>
              <w:rPr>
                <w:color w:val="000000"/>
                <w:lang w:eastAsia="en-AU"/>
              </w:rPr>
            </w:pPr>
            <w:r>
              <w:rPr>
                <w:color w:val="000000"/>
                <w:lang w:eastAsia="en-AU"/>
              </w:rPr>
              <w:t>48.8</w:t>
            </w:r>
          </w:p>
        </w:tc>
        <w:tc>
          <w:tcPr>
            <w:tcW w:w="885" w:type="dxa"/>
            <w:tcBorders>
              <w:top w:val="nil"/>
              <w:left w:val="nil"/>
              <w:right w:val="nil"/>
            </w:tcBorders>
            <w:shd w:val="clear" w:color="auto" w:fill="auto"/>
          </w:tcPr>
          <w:p w:rsidR="00A53D7D" w:rsidRPr="00BA4ECD" w:rsidRDefault="00A53D7D" w:rsidP="005140B4">
            <w:pPr>
              <w:pStyle w:val="OGTableofFigures"/>
              <w:rPr>
                <w:lang w:eastAsia="en-AU"/>
              </w:rPr>
            </w:pPr>
            <w:r w:rsidRPr="00BA4ECD">
              <w:rPr>
                <w:lang w:eastAsia="en-AU"/>
              </w:rPr>
              <w:t>28.1</w:t>
            </w:r>
          </w:p>
        </w:tc>
      </w:tr>
      <w:tr w:rsidR="00A53D7D" w:rsidRPr="002A22F7" w:rsidTr="005140B4">
        <w:trPr>
          <w:gridAfter w:val="1"/>
          <w:wAfter w:w="22" w:type="dxa"/>
          <w:cantSplit/>
        </w:trPr>
        <w:tc>
          <w:tcPr>
            <w:tcW w:w="7754" w:type="dxa"/>
            <w:gridSpan w:val="6"/>
            <w:tcBorders>
              <w:left w:val="nil"/>
              <w:bottom w:val="single" w:sz="6" w:space="0" w:color="auto"/>
              <w:right w:val="nil"/>
            </w:tcBorders>
            <w:shd w:val="clear" w:color="auto" w:fill="auto"/>
            <w:vAlign w:val="center"/>
          </w:tcPr>
          <w:p w:rsidR="00A53D7D" w:rsidRPr="00FC5069" w:rsidRDefault="00A53D7D" w:rsidP="005140B4">
            <w:pPr>
              <w:pStyle w:val="OGNotes"/>
              <w:rPr>
                <w:sz w:val="20"/>
                <w:szCs w:val="18"/>
              </w:rPr>
            </w:pPr>
            <w:r w:rsidRPr="003B380F">
              <w:rPr>
                <w:szCs w:val="15"/>
              </w:rPr>
              <w:t>The higher 2014</w:t>
            </w:r>
            <w:r>
              <w:rPr>
                <w:szCs w:val="15"/>
              </w:rPr>
              <w:noBreakHyphen/>
            </w:r>
            <w:r w:rsidRPr="003B380F">
              <w:rPr>
                <w:szCs w:val="15"/>
              </w:rPr>
              <w:t>15 target and lower 2013</w:t>
            </w:r>
            <w:r>
              <w:rPr>
                <w:szCs w:val="15"/>
              </w:rPr>
              <w:noBreakHyphen/>
            </w:r>
            <w:r w:rsidRPr="003B380F">
              <w:rPr>
                <w:szCs w:val="15"/>
              </w:rPr>
              <w:t xml:space="preserve">14 expected outcome result </w:t>
            </w:r>
            <w:r>
              <w:rPr>
                <w:szCs w:val="15"/>
              </w:rPr>
              <w:t>is due to rephasing of funds from</w:t>
            </w:r>
            <w:r w:rsidRPr="003B380F">
              <w:rPr>
                <w:szCs w:val="15"/>
              </w:rPr>
              <w:t xml:space="preserve"> 2013</w:t>
            </w:r>
            <w:r>
              <w:rPr>
                <w:szCs w:val="15"/>
              </w:rPr>
              <w:noBreakHyphen/>
            </w:r>
            <w:r w:rsidRPr="003B380F">
              <w:rPr>
                <w:szCs w:val="15"/>
              </w:rPr>
              <w:t>14 into 2014</w:t>
            </w:r>
            <w:r>
              <w:rPr>
                <w:szCs w:val="15"/>
              </w:rPr>
              <w:noBreakHyphen/>
              <w:t>15</w:t>
            </w:r>
            <w:r w:rsidRPr="003B380F">
              <w:rPr>
                <w:szCs w:val="15"/>
              </w:rPr>
              <w:t>.</w:t>
            </w:r>
          </w:p>
        </w:tc>
      </w:tr>
      <w:tr w:rsidR="00A53D7D" w:rsidRPr="00A475B8" w:rsidTr="005140B4">
        <w:trPr>
          <w:gridAfter w:val="1"/>
          <w:wAfter w:w="22" w:type="dxa"/>
          <w:cantSplit/>
        </w:trPr>
        <w:tc>
          <w:tcPr>
            <w:tcW w:w="7754" w:type="dxa"/>
            <w:gridSpan w:val="6"/>
            <w:tcBorders>
              <w:top w:val="single" w:sz="6" w:space="0" w:color="auto"/>
              <w:left w:val="nil"/>
              <w:right w:val="nil"/>
            </w:tcBorders>
            <w:vAlign w:val="center"/>
          </w:tcPr>
          <w:p w:rsidR="00A53D7D" w:rsidRPr="00EC2CB7" w:rsidRDefault="00A53D7D" w:rsidP="005140B4">
            <w:pPr>
              <w:pStyle w:val="OGHeading2"/>
              <w:rPr>
                <w:bCs/>
                <w:color w:val="000000"/>
                <w:lang w:eastAsia="en-AU"/>
              </w:rPr>
            </w:pPr>
            <w:r w:rsidRPr="00EC2CB7">
              <w:rPr>
                <w:color w:val="000000"/>
                <w:lang w:eastAsia="en-AU"/>
              </w:rPr>
              <w:t>Freedom of Information Commissioner</w:t>
            </w:r>
          </w:p>
        </w:tc>
      </w:tr>
      <w:tr w:rsidR="00A53D7D" w:rsidRPr="00A475B8" w:rsidTr="005140B4">
        <w:trPr>
          <w:gridAfter w:val="1"/>
          <w:wAfter w:w="22" w:type="dxa"/>
          <w:cantSplit/>
        </w:trPr>
        <w:tc>
          <w:tcPr>
            <w:tcW w:w="7754" w:type="dxa"/>
            <w:gridSpan w:val="6"/>
            <w:tcBorders>
              <w:top w:val="nil"/>
              <w:left w:val="nil"/>
              <w:bottom w:val="single" w:sz="6" w:space="0" w:color="auto"/>
              <w:right w:val="nil"/>
            </w:tcBorders>
            <w:shd w:val="clear" w:color="auto" w:fill="auto"/>
            <w:vAlign w:val="center"/>
          </w:tcPr>
          <w:p w:rsidR="00A53D7D" w:rsidRPr="009D09B9" w:rsidRDefault="00A53D7D" w:rsidP="005140B4">
            <w:pPr>
              <w:pStyle w:val="OGText"/>
              <w:rPr>
                <w:lang w:eastAsia="en-AU"/>
              </w:rPr>
            </w:pPr>
            <w:r w:rsidRPr="009D09B9">
              <w:rPr>
                <w:lang w:eastAsia="en-AU"/>
              </w:rPr>
              <w:t xml:space="preserve">This output involves activities conducted by the Freedom of Information (FOI) Commissioner. The FOI Commissioner works to enhance Victorian government openness, </w:t>
            </w:r>
            <w:proofErr w:type="gramStart"/>
            <w:r w:rsidRPr="009D09B9">
              <w:rPr>
                <w:lang w:eastAsia="en-AU"/>
              </w:rPr>
              <w:t>transparency</w:t>
            </w:r>
            <w:proofErr w:type="gramEnd"/>
            <w:r w:rsidRPr="009D09B9">
              <w:rPr>
                <w:lang w:eastAsia="en-AU"/>
              </w:rPr>
              <w:t xml:space="preserve"> and access to information. </w:t>
            </w:r>
          </w:p>
          <w:p w:rsidR="00A53D7D" w:rsidRPr="009D09B9" w:rsidRDefault="005140B4" w:rsidP="005140B4">
            <w:pPr>
              <w:pStyle w:val="OGText"/>
              <w:rPr>
                <w:lang w:eastAsia="en-AU"/>
              </w:rPr>
            </w:pPr>
            <w:hyperlink r:id="rId31" w:history="1">
              <w:r w:rsidR="00A53D7D" w:rsidRPr="009D09B9">
                <w:rPr>
                  <w:lang w:eastAsia="en-AU"/>
                </w:rPr>
                <w:t xml:space="preserve">The Commissioner plays an important role in promoting the object and operation of the </w:t>
              </w:r>
              <w:r w:rsidR="00A53D7D" w:rsidRPr="009D09B9">
                <w:rPr>
                  <w:i/>
                  <w:lang w:eastAsia="en-AU"/>
                </w:rPr>
                <w:t>Freedom of Information Act 1982</w:t>
              </w:r>
              <w:r w:rsidR="00A53D7D" w:rsidRPr="009D09B9">
                <w:rPr>
                  <w:lang w:eastAsia="en-AU"/>
                </w:rPr>
                <w:t>, reviewing FOI decisions, handling FOI complaints, monitoring compliance with the Act and providing advice, education and guidance to the public and agencies in relation to the Commissioner’s functions and any professional standards set by the Minister.</w:t>
              </w:r>
            </w:hyperlink>
          </w:p>
          <w:p w:rsidR="00A53D7D" w:rsidRPr="008845FB" w:rsidRDefault="00A53D7D" w:rsidP="005140B4">
            <w:pPr>
              <w:pStyle w:val="OGText"/>
              <w:rPr>
                <w:highlight w:val="yellow"/>
                <w:lang w:eastAsia="en-AU"/>
              </w:rPr>
            </w:pPr>
            <w:r w:rsidRPr="009D09B9">
              <w:rPr>
                <w:i/>
              </w:rPr>
              <w:t xml:space="preserve">The office of the FOI Commissioner became operational on 1 December 2012. </w:t>
            </w:r>
          </w:p>
        </w:tc>
      </w:tr>
      <w:tr w:rsidR="00A53D7D" w:rsidRPr="00A475B8" w:rsidTr="005140B4">
        <w:trPr>
          <w:gridAfter w:val="1"/>
          <w:wAfter w:w="22" w:type="dxa"/>
          <w:cantSplit/>
        </w:trPr>
        <w:tc>
          <w:tcPr>
            <w:tcW w:w="3155" w:type="dxa"/>
            <w:tcBorders>
              <w:top w:val="single" w:sz="6" w:space="0" w:color="auto"/>
              <w:left w:val="nil"/>
              <w:bottom w:val="nil"/>
              <w:right w:val="nil"/>
            </w:tcBorders>
            <w:shd w:val="clear" w:color="auto" w:fill="auto"/>
            <w:vAlign w:val="center"/>
          </w:tcPr>
          <w:p w:rsidR="00A53D7D" w:rsidRPr="00A475B8" w:rsidRDefault="00A53D7D" w:rsidP="005140B4">
            <w:pPr>
              <w:pStyle w:val="OGTabHead"/>
              <w:rPr>
                <w:color w:val="000000"/>
                <w:lang w:eastAsia="en-AU"/>
              </w:rPr>
            </w:pPr>
            <w:r w:rsidRPr="00A475B8">
              <w:rPr>
                <w:iCs/>
                <w:color w:val="000000"/>
                <w:lang w:eastAsia="en-AU"/>
              </w:rPr>
              <w:t>Quantity</w:t>
            </w:r>
          </w:p>
        </w:tc>
        <w:tc>
          <w:tcPr>
            <w:tcW w:w="907" w:type="dxa"/>
            <w:tcBorders>
              <w:top w:val="single" w:sz="6" w:space="0" w:color="auto"/>
              <w:left w:val="nil"/>
              <w:bottom w:val="nil"/>
              <w:right w:val="nil"/>
            </w:tcBorders>
            <w:shd w:val="clear" w:color="auto" w:fill="auto"/>
            <w:vAlign w:val="center"/>
          </w:tcPr>
          <w:p w:rsidR="00A53D7D" w:rsidRPr="003E0A6C" w:rsidRDefault="00A53D7D" w:rsidP="005140B4">
            <w:pPr>
              <w:pStyle w:val="OGUoM"/>
              <w:rPr>
                <w:color w:val="000000"/>
                <w:lang w:eastAsia="en-AU"/>
              </w:rPr>
            </w:pPr>
          </w:p>
        </w:tc>
        <w:tc>
          <w:tcPr>
            <w:tcW w:w="907" w:type="dxa"/>
            <w:tcBorders>
              <w:top w:val="single" w:sz="6" w:space="0" w:color="auto"/>
              <w:left w:val="nil"/>
              <w:bottom w:val="nil"/>
              <w:right w:val="nil"/>
            </w:tcBorders>
            <w:shd w:val="clear" w:color="auto" w:fill="E6E6E6"/>
            <w:vAlign w:val="center"/>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left w:val="nil"/>
              <w:bottom w:val="nil"/>
              <w:right w:val="nil"/>
            </w:tcBorders>
            <w:shd w:val="clear" w:color="auto" w:fill="auto"/>
            <w:vAlign w:val="center"/>
          </w:tcPr>
          <w:p w:rsidR="00A53D7D" w:rsidRPr="00EC2CB7" w:rsidRDefault="00A53D7D" w:rsidP="005140B4">
            <w:pPr>
              <w:pStyle w:val="OGTableofFigures"/>
              <w:rPr>
                <w:color w:val="000000"/>
                <w:lang w:eastAsia="en-AU"/>
              </w:rPr>
            </w:pPr>
          </w:p>
        </w:tc>
        <w:tc>
          <w:tcPr>
            <w:tcW w:w="907" w:type="dxa"/>
            <w:tcBorders>
              <w:top w:val="single" w:sz="6" w:space="0" w:color="auto"/>
              <w:left w:val="nil"/>
              <w:bottom w:val="nil"/>
              <w:right w:val="nil"/>
            </w:tcBorders>
            <w:shd w:val="clear" w:color="auto" w:fill="auto"/>
            <w:vAlign w:val="center"/>
          </w:tcPr>
          <w:p w:rsidR="00A53D7D" w:rsidRPr="00EC2CB7" w:rsidRDefault="00A53D7D" w:rsidP="005140B4">
            <w:pPr>
              <w:pStyle w:val="OGTableofFigures"/>
              <w:rPr>
                <w:color w:val="000000"/>
                <w:lang w:eastAsia="en-AU"/>
              </w:rPr>
            </w:pPr>
          </w:p>
        </w:tc>
        <w:tc>
          <w:tcPr>
            <w:tcW w:w="885" w:type="dxa"/>
            <w:tcBorders>
              <w:top w:val="single" w:sz="6" w:space="0" w:color="auto"/>
              <w:left w:val="nil"/>
              <w:bottom w:val="nil"/>
              <w:right w:val="nil"/>
            </w:tcBorders>
            <w:shd w:val="clear" w:color="auto" w:fill="auto"/>
            <w:vAlign w:val="center"/>
          </w:tcPr>
          <w:p w:rsidR="00A53D7D" w:rsidRPr="00EC2CB7" w:rsidRDefault="00A53D7D" w:rsidP="005140B4">
            <w:pPr>
              <w:pStyle w:val="OGTableofFigures"/>
              <w:rPr>
                <w:color w:val="000000"/>
                <w:lang w:eastAsia="en-AU"/>
              </w:rPr>
            </w:pPr>
          </w:p>
        </w:tc>
      </w:tr>
      <w:tr w:rsidR="00A53D7D" w:rsidRPr="009D09B9" w:rsidTr="005140B4">
        <w:trPr>
          <w:gridAfter w:val="1"/>
          <w:wAfter w:w="22" w:type="dxa"/>
          <w:cantSplit/>
        </w:trPr>
        <w:tc>
          <w:tcPr>
            <w:tcW w:w="3155" w:type="dxa"/>
            <w:tcBorders>
              <w:top w:val="nil"/>
              <w:left w:val="nil"/>
              <w:right w:val="nil"/>
            </w:tcBorders>
            <w:shd w:val="clear" w:color="auto" w:fill="auto"/>
            <w:vAlign w:val="center"/>
          </w:tcPr>
          <w:p w:rsidR="00A53D7D" w:rsidRPr="002565A2" w:rsidRDefault="00A53D7D" w:rsidP="005140B4">
            <w:pPr>
              <w:pStyle w:val="OGTabText"/>
              <w:rPr>
                <w:color w:val="000000"/>
                <w:lang w:eastAsia="en-AU"/>
              </w:rPr>
            </w:pPr>
            <w:r w:rsidRPr="002565A2">
              <w:rPr>
                <w:color w:val="000000"/>
                <w:lang w:eastAsia="en-AU"/>
              </w:rPr>
              <w:t>Reviews completed by FOI Commissioner</w:t>
            </w:r>
          </w:p>
        </w:tc>
        <w:tc>
          <w:tcPr>
            <w:tcW w:w="907" w:type="dxa"/>
            <w:tcBorders>
              <w:top w:val="nil"/>
              <w:left w:val="nil"/>
              <w:right w:val="nil"/>
            </w:tcBorders>
            <w:shd w:val="clear" w:color="auto" w:fill="auto"/>
          </w:tcPr>
          <w:p w:rsidR="00A53D7D" w:rsidRPr="002565A2" w:rsidRDefault="00A53D7D" w:rsidP="005140B4">
            <w:pPr>
              <w:pStyle w:val="OGUoM"/>
              <w:rPr>
                <w:color w:val="000000"/>
                <w:lang w:eastAsia="en-AU"/>
              </w:rPr>
            </w:pPr>
            <w:r w:rsidRPr="002565A2">
              <w:rPr>
                <w:color w:val="000000"/>
                <w:lang w:eastAsia="en-AU"/>
              </w:rPr>
              <w:t>number</w:t>
            </w:r>
          </w:p>
        </w:tc>
        <w:tc>
          <w:tcPr>
            <w:tcW w:w="907" w:type="dxa"/>
            <w:tcBorders>
              <w:top w:val="nil"/>
              <w:left w:val="nil"/>
              <w:right w:val="nil"/>
            </w:tcBorders>
            <w:shd w:val="clear" w:color="auto" w:fill="E6E6E6"/>
          </w:tcPr>
          <w:p w:rsidR="00A53D7D" w:rsidRDefault="00A53D7D" w:rsidP="005140B4">
            <w:pPr>
              <w:pStyle w:val="OGTableofFigures"/>
              <w:rPr>
                <w:color w:val="000000"/>
                <w:lang w:eastAsia="en-AU"/>
              </w:rPr>
            </w:pPr>
            <w:r>
              <w:rPr>
                <w:color w:val="000000"/>
                <w:lang w:eastAsia="en-AU"/>
              </w:rPr>
              <w:t>400</w:t>
            </w:r>
          </w:p>
          <w:p w:rsidR="00A53D7D" w:rsidRPr="00BA4ECD" w:rsidRDefault="00A53D7D" w:rsidP="005140B4">
            <w:pPr>
              <w:pStyle w:val="OGTableofFigures"/>
              <w:rPr>
                <w:color w:val="000000"/>
                <w:lang w:eastAsia="en-AU"/>
              </w:rPr>
            </w:pPr>
          </w:p>
        </w:tc>
        <w:tc>
          <w:tcPr>
            <w:tcW w:w="993" w:type="dxa"/>
            <w:tcBorders>
              <w:top w:val="nil"/>
              <w:left w:val="nil"/>
              <w:right w:val="nil"/>
            </w:tcBorders>
            <w:shd w:val="clear" w:color="auto" w:fill="auto"/>
          </w:tcPr>
          <w:p w:rsidR="00A53D7D" w:rsidRPr="00BA4ECD" w:rsidRDefault="00A53D7D" w:rsidP="005140B4">
            <w:pPr>
              <w:pStyle w:val="OGTableofFigures"/>
              <w:rPr>
                <w:color w:val="000000"/>
                <w:lang w:eastAsia="en-AU"/>
              </w:rPr>
            </w:pPr>
            <w:r w:rsidRPr="00BA4ECD">
              <w:rPr>
                <w:color w:val="000000"/>
                <w:lang w:eastAsia="en-AU"/>
              </w:rPr>
              <w:t>350</w:t>
            </w:r>
            <w:r w:rsidRPr="00BA4ECD">
              <w:rPr>
                <w:color w:val="000000"/>
                <w:lang w:eastAsia="en-AU"/>
              </w:rPr>
              <w:br/>
            </w:r>
          </w:p>
        </w:tc>
        <w:tc>
          <w:tcPr>
            <w:tcW w:w="907" w:type="dxa"/>
            <w:tcBorders>
              <w:top w:val="nil"/>
              <w:left w:val="nil"/>
              <w:right w:val="nil"/>
            </w:tcBorders>
            <w:shd w:val="clear" w:color="auto" w:fill="auto"/>
          </w:tcPr>
          <w:p w:rsidR="00A53D7D" w:rsidRPr="00BA4ECD" w:rsidRDefault="00A53D7D" w:rsidP="005140B4">
            <w:pPr>
              <w:pStyle w:val="OGTableofFigures"/>
              <w:rPr>
                <w:color w:val="000000"/>
                <w:lang w:eastAsia="en-AU"/>
              </w:rPr>
            </w:pPr>
            <w:r w:rsidRPr="00BA4ECD">
              <w:rPr>
                <w:color w:val="000000"/>
                <w:lang w:eastAsia="en-AU"/>
              </w:rPr>
              <w:t>400</w:t>
            </w:r>
            <w:r w:rsidRPr="00BA4ECD">
              <w:rPr>
                <w:color w:val="000000"/>
                <w:lang w:eastAsia="en-AU"/>
              </w:rPr>
              <w:br/>
            </w:r>
          </w:p>
        </w:tc>
        <w:tc>
          <w:tcPr>
            <w:tcW w:w="885" w:type="dxa"/>
            <w:tcBorders>
              <w:top w:val="nil"/>
              <w:left w:val="nil"/>
              <w:right w:val="nil"/>
            </w:tcBorders>
            <w:shd w:val="clear" w:color="auto" w:fill="auto"/>
          </w:tcPr>
          <w:p w:rsidR="00A53D7D" w:rsidRPr="009D09B9" w:rsidRDefault="00A53D7D" w:rsidP="005140B4">
            <w:pPr>
              <w:pStyle w:val="OGTableofFigures"/>
              <w:rPr>
                <w:color w:val="000000"/>
                <w:lang w:eastAsia="en-AU"/>
              </w:rPr>
            </w:pPr>
            <w:r w:rsidRPr="009D09B9">
              <w:rPr>
                <w:color w:val="000000"/>
                <w:lang w:eastAsia="en-AU"/>
              </w:rPr>
              <w:t>190</w:t>
            </w:r>
          </w:p>
        </w:tc>
      </w:tr>
      <w:tr w:rsidR="00A53D7D" w:rsidRPr="00A475B8" w:rsidTr="005140B4">
        <w:trPr>
          <w:gridAfter w:val="1"/>
          <w:wAfter w:w="22" w:type="dxa"/>
          <w:cantSplit/>
        </w:trPr>
        <w:tc>
          <w:tcPr>
            <w:tcW w:w="7754" w:type="dxa"/>
            <w:gridSpan w:val="6"/>
            <w:tcBorders>
              <w:top w:val="nil"/>
              <w:left w:val="nil"/>
              <w:bottom w:val="single" w:sz="6" w:space="0" w:color="auto"/>
              <w:right w:val="nil"/>
            </w:tcBorders>
            <w:shd w:val="clear" w:color="auto" w:fill="auto"/>
            <w:vAlign w:val="center"/>
          </w:tcPr>
          <w:p w:rsidR="00A53D7D" w:rsidRPr="009E557F" w:rsidRDefault="00A53D7D" w:rsidP="005140B4">
            <w:pPr>
              <w:pStyle w:val="OGNotes"/>
              <w:rPr>
                <w:highlight w:val="yellow"/>
              </w:rPr>
            </w:pPr>
            <w:r w:rsidRPr="003B380F">
              <w:t>The 2013</w:t>
            </w:r>
            <w:r>
              <w:noBreakHyphen/>
            </w:r>
            <w:r w:rsidRPr="003B380F">
              <w:t>14 expected outcome is lower than the 2013</w:t>
            </w:r>
            <w:r>
              <w:noBreakHyphen/>
            </w:r>
            <w:r w:rsidRPr="003B380F">
              <w:t>14 target due to an increase in the number of complex review applications and other statutory activities.</w:t>
            </w:r>
          </w:p>
        </w:tc>
      </w:tr>
      <w:tr w:rsidR="00A53D7D" w:rsidRPr="00A475B8" w:rsidTr="005140B4">
        <w:trPr>
          <w:gridAfter w:val="1"/>
          <w:wAfter w:w="22" w:type="dxa"/>
          <w:cantSplit/>
        </w:trPr>
        <w:tc>
          <w:tcPr>
            <w:tcW w:w="3155" w:type="dxa"/>
            <w:tcBorders>
              <w:top w:val="single" w:sz="6" w:space="0" w:color="auto"/>
              <w:left w:val="nil"/>
              <w:right w:val="nil"/>
            </w:tcBorders>
            <w:shd w:val="clear" w:color="auto" w:fill="auto"/>
            <w:vAlign w:val="center"/>
          </w:tcPr>
          <w:p w:rsidR="00A53D7D" w:rsidRPr="002565A2" w:rsidRDefault="00A53D7D" w:rsidP="005140B4">
            <w:pPr>
              <w:pStyle w:val="OGTabText"/>
              <w:rPr>
                <w:color w:val="000000"/>
                <w:lang w:eastAsia="en-AU"/>
              </w:rPr>
            </w:pPr>
            <w:r w:rsidRPr="002565A2">
              <w:rPr>
                <w:color w:val="000000"/>
                <w:lang w:eastAsia="en-AU"/>
              </w:rPr>
              <w:t xml:space="preserve">Complaints completed by FOI Commissioner </w:t>
            </w:r>
          </w:p>
        </w:tc>
        <w:tc>
          <w:tcPr>
            <w:tcW w:w="907" w:type="dxa"/>
            <w:tcBorders>
              <w:top w:val="single" w:sz="6" w:space="0" w:color="auto"/>
              <w:left w:val="nil"/>
              <w:right w:val="nil"/>
            </w:tcBorders>
            <w:shd w:val="clear" w:color="auto" w:fill="auto"/>
          </w:tcPr>
          <w:p w:rsidR="00A53D7D" w:rsidRPr="002565A2" w:rsidRDefault="00A53D7D" w:rsidP="005140B4">
            <w:pPr>
              <w:pStyle w:val="OGUoM"/>
              <w:rPr>
                <w:color w:val="000000"/>
                <w:lang w:eastAsia="en-AU"/>
              </w:rPr>
            </w:pPr>
            <w:r w:rsidRPr="002565A2">
              <w:rPr>
                <w:color w:val="000000"/>
                <w:lang w:eastAsia="en-AU"/>
              </w:rPr>
              <w:t>number</w:t>
            </w:r>
          </w:p>
        </w:tc>
        <w:tc>
          <w:tcPr>
            <w:tcW w:w="907" w:type="dxa"/>
            <w:tcBorders>
              <w:top w:val="single" w:sz="6" w:space="0" w:color="auto"/>
              <w:left w:val="nil"/>
              <w:right w:val="nil"/>
            </w:tcBorders>
            <w:shd w:val="clear" w:color="auto" w:fill="E6E6E6"/>
          </w:tcPr>
          <w:p w:rsidR="00A53D7D" w:rsidRPr="00AF51A3" w:rsidRDefault="00A53D7D" w:rsidP="005140B4">
            <w:pPr>
              <w:pStyle w:val="OGTableofFigures"/>
              <w:rPr>
                <w:color w:val="000000"/>
                <w:lang w:eastAsia="en-AU"/>
              </w:rPr>
            </w:pPr>
            <w:r w:rsidRPr="00AF51A3">
              <w:rPr>
                <w:color w:val="000000"/>
                <w:lang w:eastAsia="en-AU"/>
              </w:rPr>
              <w:t>150</w:t>
            </w:r>
          </w:p>
        </w:tc>
        <w:tc>
          <w:tcPr>
            <w:tcW w:w="993" w:type="dxa"/>
            <w:tcBorders>
              <w:top w:val="single" w:sz="6" w:space="0" w:color="auto"/>
              <w:left w:val="nil"/>
              <w:right w:val="nil"/>
            </w:tcBorders>
            <w:shd w:val="clear" w:color="auto" w:fill="auto"/>
          </w:tcPr>
          <w:p w:rsidR="00A53D7D" w:rsidRPr="00AF51A3" w:rsidRDefault="00A53D7D" w:rsidP="005140B4">
            <w:pPr>
              <w:pStyle w:val="OGTableofFigures"/>
              <w:rPr>
                <w:color w:val="000000"/>
                <w:lang w:eastAsia="en-AU"/>
              </w:rPr>
            </w:pPr>
            <w:r w:rsidRPr="00AF51A3">
              <w:rPr>
                <w:color w:val="000000"/>
                <w:lang w:eastAsia="en-AU"/>
              </w:rPr>
              <w:t>225</w:t>
            </w:r>
            <w:r w:rsidRPr="00AF51A3">
              <w:rPr>
                <w:color w:val="000000"/>
                <w:lang w:eastAsia="en-AU"/>
              </w:rPr>
              <w:br/>
            </w:r>
          </w:p>
        </w:tc>
        <w:tc>
          <w:tcPr>
            <w:tcW w:w="907" w:type="dxa"/>
            <w:tcBorders>
              <w:top w:val="single" w:sz="6" w:space="0" w:color="auto"/>
              <w:left w:val="nil"/>
              <w:right w:val="nil"/>
            </w:tcBorders>
            <w:shd w:val="clear" w:color="auto" w:fill="auto"/>
          </w:tcPr>
          <w:p w:rsidR="00A53D7D" w:rsidRPr="00AF51A3" w:rsidRDefault="00A53D7D" w:rsidP="005140B4">
            <w:pPr>
              <w:pStyle w:val="OGTableofFigures"/>
              <w:rPr>
                <w:color w:val="000000"/>
                <w:lang w:eastAsia="en-AU"/>
              </w:rPr>
            </w:pPr>
            <w:r w:rsidRPr="00AF51A3">
              <w:rPr>
                <w:color w:val="000000"/>
                <w:lang w:eastAsia="en-AU"/>
              </w:rPr>
              <w:t>150</w:t>
            </w:r>
            <w:r w:rsidRPr="00AF51A3">
              <w:rPr>
                <w:color w:val="000000"/>
                <w:lang w:eastAsia="en-AU"/>
              </w:rPr>
              <w:br/>
            </w:r>
          </w:p>
        </w:tc>
        <w:tc>
          <w:tcPr>
            <w:tcW w:w="885" w:type="dxa"/>
            <w:tcBorders>
              <w:top w:val="single" w:sz="6" w:space="0" w:color="auto"/>
              <w:left w:val="nil"/>
              <w:right w:val="nil"/>
            </w:tcBorders>
            <w:shd w:val="clear" w:color="auto" w:fill="auto"/>
          </w:tcPr>
          <w:p w:rsidR="00A53D7D" w:rsidRPr="008845FB" w:rsidRDefault="00A53D7D" w:rsidP="005140B4">
            <w:pPr>
              <w:pStyle w:val="OGTableofFigures"/>
              <w:rPr>
                <w:color w:val="000000"/>
                <w:highlight w:val="yellow"/>
                <w:lang w:eastAsia="en-AU"/>
              </w:rPr>
            </w:pPr>
            <w:r w:rsidRPr="009D09B9">
              <w:rPr>
                <w:color w:val="000000"/>
                <w:lang w:eastAsia="en-AU"/>
              </w:rPr>
              <w:t>98</w:t>
            </w:r>
          </w:p>
        </w:tc>
      </w:tr>
      <w:tr w:rsidR="00A53D7D" w:rsidRPr="00A475B8" w:rsidTr="005140B4">
        <w:trPr>
          <w:gridAfter w:val="1"/>
          <w:wAfter w:w="22" w:type="dxa"/>
          <w:cantSplit/>
        </w:trPr>
        <w:tc>
          <w:tcPr>
            <w:tcW w:w="7754" w:type="dxa"/>
            <w:gridSpan w:val="6"/>
            <w:tcBorders>
              <w:top w:val="nil"/>
              <w:left w:val="nil"/>
              <w:bottom w:val="single" w:sz="6" w:space="0" w:color="auto"/>
              <w:right w:val="nil"/>
            </w:tcBorders>
            <w:shd w:val="clear" w:color="auto" w:fill="auto"/>
            <w:vAlign w:val="center"/>
          </w:tcPr>
          <w:p w:rsidR="00A53D7D" w:rsidRPr="003E0A6C" w:rsidRDefault="00A53D7D" w:rsidP="005140B4">
            <w:pPr>
              <w:pStyle w:val="OGNotes"/>
              <w:rPr>
                <w:highlight w:val="yellow"/>
              </w:rPr>
            </w:pPr>
            <w:r>
              <w:rPr>
                <w:color w:val="000000"/>
              </w:rPr>
              <w:t>The 2013</w:t>
            </w:r>
            <w:r>
              <w:rPr>
                <w:color w:val="000000"/>
              </w:rPr>
              <w:noBreakHyphen/>
              <w:t>14 expected outcome is higher than the 2013</w:t>
            </w:r>
            <w:r>
              <w:rPr>
                <w:color w:val="000000"/>
              </w:rPr>
              <w:noBreakHyphen/>
              <w:t xml:space="preserve">14 target due to increased </w:t>
            </w:r>
            <w:r w:rsidRPr="002D46D3">
              <w:rPr>
                <w:color w:val="000000"/>
              </w:rPr>
              <w:t>demand</w:t>
            </w:r>
            <w:proofErr w:type="gramStart"/>
            <w:r>
              <w:rPr>
                <w:color w:val="000000"/>
              </w:rPr>
              <w:t xml:space="preserve">.  </w:t>
            </w:r>
            <w:proofErr w:type="gramEnd"/>
            <w:r w:rsidRPr="002D46D3">
              <w:rPr>
                <w:color w:val="000000"/>
              </w:rPr>
              <w:t>The legislative requirement for informal resolution of complaints as a first step tends to be less resource</w:t>
            </w:r>
            <w:r>
              <w:rPr>
                <w:color w:val="000000"/>
              </w:rPr>
              <w:noBreakHyphen/>
            </w:r>
            <w:r w:rsidRPr="002D46D3">
              <w:rPr>
                <w:color w:val="000000"/>
              </w:rPr>
              <w:t xml:space="preserve">intensive and can lead to </w:t>
            </w:r>
            <w:r>
              <w:rPr>
                <w:color w:val="000000"/>
              </w:rPr>
              <w:t xml:space="preserve">a </w:t>
            </w:r>
            <w:r w:rsidRPr="002D46D3">
              <w:rPr>
                <w:color w:val="000000"/>
              </w:rPr>
              <w:t xml:space="preserve">higher rate </w:t>
            </w:r>
            <w:r>
              <w:rPr>
                <w:color w:val="000000"/>
              </w:rPr>
              <w:t>of resolution amongst parties</w:t>
            </w:r>
            <w:r w:rsidRPr="002D46D3">
              <w:rPr>
                <w:color w:val="000000"/>
              </w:rPr>
              <w:t>.</w:t>
            </w:r>
            <w:r>
              <w:rPr>
                <w:highlight w:val="yellow"/>
              </w:rPr>
              <w:t xml:space="preserve"> </w:t>
            </w:r>
          </w:p>
        </w:tc>
      </w:tr>
      <w:tr w:rsidR="00A53D7D" w:rsidRPr="009D09B9" w:rsidTr="005140B4">
        <w:trPr>
          <w:gridAfter w:val="1"/>
          <w:wAfter w:w="22" w:type="dxa"/>
          <w:cantSplit/>
        </w:trPr>
        <w:tc>
          <w:tcPr>
            <w:tcW w:w="3155" w:type="dxa"/>
            <w:tcBorders>
              <w:top w:val="single" w:sz="6" w:space="0" w:color="auto"/>
              <w:left w:val="nil"/>
              <w:right w:val="nil"/>
            </w:tcBorders>
            <w:shd w:val="clear" w:color="auto" w:fill="auto"/>
            <w:vAlign w:val="center"/>
          </w:tcPr>
          <w:p w:rsidR="00A53D7D" w:rsidRPr="002565A2" w:rsidRDefault="00A53D7D" w:rsidP="005140B4">
            <w:pPr>
              <w:pStyle w:val="OGTabText"/>
              <w:rPr>
                <w:color w:val="000000"/>
                <w:lang w:eastAsia="en-AU"/>
              </w:rPr>
            </w:pPr>
            <w:r w:rsidRPr="002565A2">
              <w:rPr>
                <w:color w:val="000000"/>
                <w:lang w:eastAsia="en-AU"/>
              </w:rPr>
              <w:t>Education and training activities delivered by FOI Commissioner</w:t>
            </w:r>
          </w:p>
        </w:tc>
        <w:tc>
          <w:tcPr>
            <w:tcW w:w="907" w:type="dxa"/>
            <w:tcBorders>
              <w:top w:val="single" w:sz="6" w:space="0" w:color="auto"/>
              <w:left w:val="nil"/>
              <w:right w:val="nil"/>
            </w:tcBorders>
            <w:shd w:val="clear" w:color="auto" w:fill="auto"/>
          </w:tcPr>
          <w:p w:rsidR="00A53D7D" w:rsidRPr="002565A2" w:rsidRDefault="00A53D7D" w:rsidP="005140B4">
            <w:pPr>
              <w:pStyle w:val="OGUoM"/>
              <w:rPr>
                <w:color w:val="000000"/>
                <w:lang w:eastAsia="en-AU"/>
              </w:rPr>
            </w:pPr>
            <w:r w:rsidRPr="002565A2">
              <w:rPr>
                <w:color w:val="000000"/>
                <w:lang w:eastAsia="en-AU"/>
              </w:rPr>
              <w:t>number</w:t>
            </w:r>
          </w:p>
        </w:tc>
        <w:tc>
          <w:tcPr>
            <w:tcW w:w="907" w:type="dxa"/>
            <w:tcBorders>
              <w:top w:val="single" w:sz="6" w:space="0" w:color="auto"/>
              <w:left w:val="nil"/>
              <w:right w:val="nil"/>
            </w:tcBorders>
            <w:shd w:val="clear" w:color="auto" w:fill="E6E6E6"/>
          </w:tcPr>
          <w:p w:rsidR="00A53D7D" w:rsidRPr="008845FB" w:rsidRDefault="00A53D7D" w:rsidP="005140B4">
            <w:pPr>
              <w:pStyle w:val="OGTableofFigures"/>
              <w:rPr>
                <w:color w:val="000000"/>
                <w:highlight w:val="yellow"/>
                <w:lang w:eastAsia="en-AU"/>
              </w:rPr>
            </w:pPr>
            <w:r w:rsidRPr="0019647D">
              <w:rPr>
                <w:color w:val="000000"/>
                <w:lang w:eastAsia="en-AU"/>
              </w:rPr>
              <w:t>20</w:t>
            </w:r>
          </w:p>
        </w:tc>
        <w:tc>
          <w:tcPr>
            <w:tcW w:w="993" w:type="dxa"/>
            <w:tcBorders>
              <w:top w:val="single" w:sz="6" w:space="0" w:color="auto"/>
              <w:left w:val="nil"/>
              <w:right w:val="nil"/>
            </w:tcBorders>
            <w:shd w:val="clear" w:color="auto" w:fill="auto"/>
          </w:tcPr>
          <w:p w:rsidR="00A53D7D" w:rsidRPr="008845FB" w:rsidRDefault="00A53D7D" w:rsidP="005140B4">
            <w:pPr>
              <w:pStyle w:val="OGTableofFigures"/>
              <w:rPr>
                <w:color w:val="000000"/>
                <w:highlight w:val="yellow"/>
                <w:lang w:eastAsia="en-AU"/>
              </w:rPr>
            </w:pPr>
            <w:r w:rsidRPr="0019647D">
              <w:rPr>
                <w:color w:val="000000"/>
                <w:lang w:eastAsia="en-AU"/>
              </w:rPr>
              <w:t>10</w:t>
            </w:r>
            <w:r>
              <w:rPr>
                <w:color w:val="000000"/>
                <w:highlight w:val="yellow"/>
                <w:lang w:eastAsia="en-AU"/>
              </w:rPr>
              <w:br/>
            </w:r>
          </w:p>
        </w:tc>
        <w:tc>
          <w:tcPr>
            <w:tcW w:w="907" w:type="dxa"/>
            <w:tcBorders>
              <w:top w:val="single" w:sz="6" w:space="0" w:color="auto"/>
              <w:left w:val="nil"/>
              <w:right w:val="nil"/>
            </w:tcBorders>
            <w:shd w:val="clear" w:color="auto" w:fill="auto"/>
          </w:tcPr>
          <w:p w:rsidR="00A53D7D" w:rsidRPr="008845FB" w:rsidRDefault="00A53D7D" w:rsidP="005140B4">
            <w:pPr>
              <w:pStyle w:val="OGTableofFigures"/>
              <w:rPr>
                <w:color w:val="000000"/>
                <w:highlight w:val="yellow"/>
                <w:lang w:eastAsia="en-AU"/>
              </w:rPr>
            </w:pPr>
            <w:r w:rsidRPr="00AF51A3">
              <w:rPr>
                <w:color w:val="000000"/>
                <w:lang w:eastAsia="en-AU"/>
              </w:rPr>
              <w:t>20</w:t>
            </w:r>
          </w:p>
        </w:tc>
        <w:tc>
          <w:tcPr>
            <w:tcW w:w="885" w:type="dxa"/>
            <w:tcBorders>
              <w:top w:val="single" w:sz="6" w:space="0" w:color="auto"/>
              <w:left w:val="nil"/>
              <w:right w:val="nil"/>
            </w:tcBorders>
            <w:shd w:val="clear" w:color="auto" w:fill="auto"/>
          </w:tcPr>
          <w:p w:rsidR="00A53D7D" w:rsidRPr="009D09B9" w:rsidRDefault="00A53D7D" w:rsidP="005140B4">
            <w:pPr>
              <w:pStyle w:val="OGTableofFigures"/>
              <w:rPr>
                <w:color w:val="000000"/>
                <w:lang w:eastAsia="en-AU"/>
              </w:rPr>
            </w:pPr>
            <w:r w:rsidRPr="009D09B9">
              <w:rPr>
                <w:color w:val="000000"/>
                <w:lang w:eastAsia="en-AU"/>
              </w:rPr>
              <w:t>9</w:t>
            </w:r>
          </w:p>
        </w:tc>
      </w:tr>
      <w:tr w:rsidR="00A53D7D" w:rsidRPr="00A475B8" w:rsidTr="005140B4">
        <w:trPr>
          <w:gridAfter w:val="1"/>
          <w:wAfter w:w="22" w:type="dxa"/>
          <w:cantSplit/>
        </w:trPr>
        <w:tc>
          <w:tcPr>
            <w:tcW w:w="7754" w:type="dxa"/>
            <w:gridSpan w:val="6"/>
            <w:tcBorders>
              <w:top w:val="nil"/>
              <w:left w:val="nil"/>
              <w:bottom w:val="single" w:sz="6" w:space="0" w:color="auto"/>
              <w:right w:val="nil"/>
            </w:tcBorders>
            <w:shd w:val="clear" w:color="auto" w:fill="auto"/>
            <w:vAlign w:val="center"/>
          </w:tcPr>
          <w:p w:rsidR="00A53D7D" w:rsidRPr="003E0A6C" w:rsidRDefault="00A53D7D" w:rsidP="005140B4">
            <w:pPr>
              <w:pStyle w:val="OGNotes"/>
              <w:rPr>
                <w:highlight w:val="yellow"/>
              </w:rPr>
            </w:pPr>
            <w:r>
              <w:rPr>
                <w:color w:val="000000"/>
              </w:rPr>
              <w:t>The 2013</w:t>
            </w:r>
            <w:r>
              <w:rPr>
                <w:color w:val="000000"/>
              </w:rPr>
              <w:noBreakHyphen/>
              <w:t>14 expected outcome is lower than the 2013</w:t>
            </w:r>
            <w:r>
              <w:rPr>
                <w:color w:val="000000"/>
              </w:rPr>
              <w:noBreakHyphen/>
              <w:t>14 target due to an increase in the number of complex review applications and other statutory activities.</w:t>
            </w:r>
          </w:p>
        </w:tc>
      </w:tr>
      <w:tr w:rsidR="00A53D7D" w:rsidRPr="00A475B8" w:rsidTr="005140B4">
        <w:trPr>
          <w:gridAfter w:val="1"/>
          <w:wAfter w:w="22" w:type="dxa"/>
          <w:cantSplit/>
        </w:trPr>
        <w:tc>
          <w:tcPr>
            <w:tcW w:w="3155" w:type="dxa"/>
            <w:tcBorders>
              <w:top w:val="single" w:sz="6" w:space="0" w:color="auto"/>
              <w:left w:val="nil"/>
              <w:right w:val="nil"/>
            </w:tcBorders>
            <w:shd w:val="clear" w:color="auto" w:fill="auto"/>
            <w:vAlign w:val="center"/>
          </w:tcPr>
          <w:p w:rsidR="00A53D7D" w:rsidRPr="00A475B8" w:rsidRDefault="00A53D7D" w:rsidP="005140B4">
            <w:pPr>
              <w:pStyle w:val="OGTabHead"/>
              <w:rPr>
                <w:color w:val="000000"/>
                <w:lang w:eastAsia="en-AU"/>
              </w:rPr>
            </w:pPr>
            <w:r w:rsidRPr="00A475B8">
              <w:rPr>
                <w:iCs/>
                <w:color w:val="000000"/>
                <w:lang w:eastAsia="en-AU"/>
              </w:rPr>
              <w:t>Quality</w:t>
            </w:r>
          </w:p>
        </w:tc>
        <w:tc>
          <w:tcPr>
            <w:tcW w:w="907" w:type="dxa"/>
            <w:tcBorders>
              <w:top w:val="single" w:sz="6" w:space="0" w:color="auto"/>
              <w:left w:val="nil"/>
              <w:right w:val="nil"/>
            </w:tcBorders>
            <w:shd w:val="clear" w:color="auto" w:fill="auto"/>
            <w:vAlign w:val="center"/>
          </w:tcPr>
          <w:p w:rsidR="00A53D7D" w:rsidRPr="003E0A6C" w:rsidRDefault="00A53D7D" w:rsidP="005140B4">
            <w:pPr>
              <w:pStyle w:val="OGUoM"/>
              <w:rPr>
                <w:color w:val="000000"/>
                <w:lang w:eastAsia="en-AU"/>
              </w:rPr>
            </w:pPr>
            <w:r w:rsidRPr="003E0A6C">
              <w:rPr>
                <w:color w:val="000000"/>
                <w:lang w:eastAsia="en-AU"/>
              </w:rPr>
              <w:t> </w:t>
            </w:r>
          </w:p>
        </w:tc>
        <w:tc>
          <w:tcPr>
            <w:tcW w:w="907"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c>
          <w:tcPr>
            <w:tcW w:w="907"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c>
          <w:tcPr>
            <w:tcW w:w="885" w:type="dxa"/>
            <w:tcBorders>
              <w:top w:val="single" w:sz="6" w:space="0" w:color="auto"/>
              <w:left w:val="nil"/>
              <w:right w:val="nil"/>
            </w:tcBorders>
            <w:shd w:val="clear" w:color="auto" w:fill="auto"/>
          </w:tcPr>
          <w:p w:rsidR="00A53D7D" w:rsidRPr="00EC2CB7" w:rsidRDefault="00A53D7D" w:rsidP="005140B4">
            <w:pPr>
              <w:pStyle w:val="OGTableofFigures"/>
              <w:rPr>
                <w:color w:val="000000"/>
                <w:lang w:eastAsia="en-AU"/>
              </w:rPr>
            </w:pPr>
            <w:r w:rsidRPr="00EC2CB7">
              <w:rPr>
                <w:color w:val="000000"/>
                <w:lang w:eastAsia="en-AU"/>
              </w:rPr>
              <w:t> </w:t>
            </w:r>
          </w:p>
        </w:tc>
      </w:tr>
      <w:tr w:rsidR="00A53D7D" w:rsidRPr="00A475B8" w:rsidTr="005140B4">
        <w:trPr>
          <w:gridAfter w:val="1"/>
          <w:wAfter w:w="22" w:type="dxa"/>
          <w:cantSplit/>
        </w:trPr>
        <w:tc>
          <w:tcPr>
            <w:tcW w:w="3155" w:type="dxa"/>
            <w:tcBorders>
              <w:top w:val="nil"/>
              <w:left w:val="nil"/>
              <w:bottom w:val="single" w:sz="6" w:space="0" w:color="auto"/>
              <w:right w:val="nil"/>
            </w:tcBorders>
            <w:shd w:val="clear" w:color="auto" w:fill="auto"/>
            <w:vAlign w:val="center"/>
          </w:tcPr>
          <w:p w:rsidR="00A53D7D" w:rsidRPr="002565A2" w:rsidRDefault="00A53D7D" w:rsidP="005140B4">
            <w:pPr>
              <w:pStyle w:val="OGTabText"/>
              <w:rPr>
                <w:color w:val="000000"/>
                <w:lang w:eastAsia="en-AU"/>
              </w:rPr>
            </w:pPr>
            <w:r w:rsidRPr="002565A2">
              <w:rPr>
                <w:color w:val="000000"/>
                <w:lang w:eastAsia="en-AU"/>
              </w:rPr>
              <w:t xml:space="preserve">Satisfaction with services performed (FOI Commissioner) </w:t>
            </w:r>
          </w:p>
        </w:tc>
        <w:tc>
          <w:tcPr>
            <w:tcW w:w="907" w:type="dxa"/>
            <w:tcBorders>
              <w:top w:val="nil"/>
              <w:left w:val="nil"/>
              <w:bottom w:val="single" w:sz="6" w:space="0" w:color="auto"/>
              <w:right w:val="nil"/>
            </w:tcBorders>
            <w:shd w:val="clear" w:color="auto" w:fill="auto"/>
          </w:tcPr>
          <w:p w:rsidR="00A53D7D" w:rsidRPr="002565A2" w:rsidRDefault="00A53D7D" w:rsidP="005140B4">
            <w:pPr>
              <w:pStyle w:val="OGUoM"/>
              <w:rPr>
                <w:color w:val="000000"/>
                <w:lang w:eastAsia="en-AU"/>
              </w:rPr>
            </w:pPr>
            <w:r w:rsidRPr="002565A2">
              <w:rPr>
                <w:color w:val="000000"/>
                <w:lang w:eastAsia="en-AU"/>
              </w:rPr>
              <w:t>level</w:t>
            </w:r>
          </w:p>
        </w:tc>
        <w:tc>
          <w:tcPr>
            <w:tcW w:w="907" w:type="dxa"/>
            <w:tcBorders>
              <w:top w:val="nil"/>
              <w:left w:val="nil"/>
              <w:bottom w:val="single" w:sz="6" w:space="0" w:color="auto"/>
              <w:right w:val="nil"/>
            </w:tcBorders>
            <w:shd w:val="clear" w:color="auto" w:fill="E6E6E6"/>
          </w:tcPr>
          <w:p w:rsidR="00A53D7D" w:rsidRPr="002417F4" w:rsidRDefault="00A53D7D" w:rsidP="005140B4">
            <w:pPr>
              <w:pStyle w:val="OGTableofFigures"/>
              <w:rPr>
                <w:color w:val="000000"/>
                <w:lang w:eastAsia="en-AU"/>
              </w:rPr>
            </w:pPr>
            <w:r w:rsidRPr="002417F4">
              <w:rPr>
                <w:color w:val="000000"/>
                <w:lang w:eastAsia="en-AU"/>
              </w:rPr>
              <w:t>high</w:t>
            </w:r>
          </w:p>
        </w:tc>
        <w:tc>
          <w:tcPr>
            <w:tcW w:w="993" w:type="dxa"/>
            <w:tcBorders>
              <w:top w:val="nil"/>
              <w:left w:val="nil"/>
              <w:bottom w:val="single" w:sz="6" w:space="0" w:color="auto"/>
              <w:right w:val="nil"/>
            </w:tcBorders>
            <w:shd w:val="clear" w:color="auto" w:fill="auto"/>
          </w:tcPr>
          <w:p w:rsidR="00A53D7D" w:rsidRPr="002417F4" w:rsidRDefault="00A53D7D" w:rsidP="005140B4">
            <w:pPr>
              <w:pStyle w:val="OGTableofFigures"/>
              <w:rPr>
                <w:color w:val="000000"/>
                <w:lang w:eastAsia="en-AU"/>
              </w:rPr>
            </w:pPr>
            <w:r w:rsidRPr="002417F4">
              <w:rPr>
                <w:color w:val="000000"/>
                <w:lang w:eastAsia="en-AU"/>
              </w:rPr>
              <w:t>high</w:t>
            </w:r>
          </w:p>
        </w:tc>
        <w:tc>
          <w:tcPr>
            <w:tcW w:w="907" w:type="dxa"/>
            <w:tcBorders>
              <w:top w:val="nil"/>
              <w:left w:val="nil"/>
              <w:bottom w:val="single" w:sz="6" w:space="0" w:color="auto"/>
              <w:right w:val="nil"/>
            </w:tcBorders>
            <w:shd w:val="clear" w:color="auto" w:fill="auto"/>
          </w:tcPr>
          <w:p w:rsidR="00A53D7D" w:rsidRPr="002417F4" w:rsidRDefault="00A53D7D" w:rsidP="005140B4">
            <w:pPr>
              <w:pStyle w:val="OGTableofFigures"/>
              <w:rPr>
                <w:color w:val="000000"/>
                <w:lang w:eastAsia="en-AU"/>
              </w:rPr>
            </w:pPr>
            <w:r w:rsidRPr="002417F4">
              <w:rPr>
                <w:color w:val="000000"/>
                <w:lang w:eastAsia="en-AU"/>
              </w:rPr>
              <w:t>high</w:t>
            </w:r>
          </w:p>
        </w:tc>
        <w:tc>
          <w:tcPr>
            <w:tcW w:w="885" w:type="dxa"/>
            <w:tcBorders>
              <w:top w:val="nil"/>
              <w:left w:val="nil"/>
              <w:bottom w:val="single" w:sz="6" w:space="0" w:color="auto"/>
              <w:right w:val="nil"/>
            </w:tcBorders>
            <w:shd w:val="clear" w:color="auto" w:fill="auto"/>
          </w:tcPr>
          <w:p w:rsidR="00A53D7D" w:rsidRPr="002417F4" w:rsidRDefault="00A53D7D" w:rsidP="005140B4">
            <w:pPr>
              <w:pStyle w:val="OGTableofFigures"/>
              <w:rPr>
                <w:color w:val="000000"/>
                <w:lang w:eastAsia="en-AU"/>
              </w:rPr>
            </w:pPr>
            <w:r w:rsidRPr="002417F4">
              <w:rPr>
                <w:color w:val="000000"/>
                <w:lang w:eastAsia="en-AU"/>
              </w:rPr>
              <w:t>high</w:t>
            </w:r>
          </w:p>
        </w:tc>
      </w:tr>
      <w:tr w:rsidR="00A53D7D" w:rsidRPr="00A475B8" w:rsidTr="005140B4">
        <w:trPr>
          <w:gridAfter w:val="1"/>
          <w:wAfter w:w="22" w:type="dxa"/>
          <w:cantSplit/>
        </w:trPr>
        <w:tc>
          <w:tcPr>
            <w:tcW w:w="3155" w:type="dxa"/>
            <w:tcBorders>
              <w:top w:val="single" w:sz="6" w:space="0" w:color="auto"/>
              <w:left w:val="nil"/>
              <w:right w:val="nil"/>
            </w:tcBorders>
            <w:shd w:val="clear" w:color="auto" w:fill="auto"/>
            <w:vAlign w:val="center"/>
          </w:tcPr>
          <w:p w:rsidR="00A53D7D" w:rsidRPr="002565A2" w:rsidRDefault="00A53D7D" w:rsidP="00E646BF">
            <w:pPr>
              <w:pStyle w:val="OGTabHead"/>
              <w:rPr>
                <w:lang w:eastAsia="en-AU"/>
              </w:rPr>
            </w:pPr>
            <w:r>
              <w:rPr>
                <w:lang w:eastAsia="en-AU"/>
              </w:rPr>
              <w:t>T</w:t>
            </w:r>
            <w:r w:rsidRPr="0016616A">
              <w:rPr>
                <w:lang w:eastAsia="en-AU"/>
              </w:rPr>
              <w:t>imeliness</w:t>
            </w:r>
          </w:p>
        </w:tc>
        <w:tc>
          <w:tcPr>
            <w:tcW w:w="907" w:type="dxa"/>
            <w:tcBorders>
              <w:top w:val="single" w:sz="6" w:space="0" w:color="auto"/>
              <w:left w:val="nil"/>
              <w:right w:val="nil"/>
            </w:tcBorders>
            <w:shd w:val="clear" w:color="auto" w:fill="auto"/>
            <w:vAlign w:val="center"/>
          </w:tcPr>
          <w:p w:rsidR="00A53D7D" w:rsidRPr="002565A2" w:rsidRDefault="00A53D7D" w:rsidP="00E646BF">
            <w:pPr>
              <w:pStyle w:val="OGUoM"/>
              <w:keepNext/>
              <w:rPr>
                <w:color w:val="000000"/>
                <w:lang w:eastAsia="en-AU"/>
              </w:rPr>
            </w:pPr>
          </w:p>
        </w:tc>
        <w:tc>
          <w:tcPr>
            <w:tcW w:w="907" w:type="dxa"/>
            <w:tcBorders>
              <w:top w:val="single" w:sz="6" w:space="0" w:color="auto"/>
              <w:left w:val="nil"/>
              <w:right w:val="nil"/>
            </w:tcBorders>
            <w:shd w:val="clear" w:color="auto" w:fill="E6E6E6"/>
          </w:tcPr>
          <w:p w:rsidR="00A53D7D" w:rsidRPr="002417F4" w:rsidRDefault="00A53D7D" w:rsidP="00E646BF">
            <w:pPr>
              <w:pStyle w:val="OGTableofFigures"/>
              <w:keepNext/>
              <w:rPr>
                <w:color w:val="000000"/>
                <w:lang w:eastAsia="en-AU"/>
              </w:rPr>
            </w:pPr>
            <w:r w:rsidRPr="00EC2CB7">
              <w:rPr>
                <w:color w:val="000000"/>
                <w:lang w:eastAsia="en-AU"/>
              </w:rPr>
              <w:t> </w:t>
            </w:r>
          </w:p>
        </w:tc>
        <w:tc>
          <w:tcPr>
            <w:tcW w:w="993" w:type="dxa"/>
            <w:tcBorders>
              <w:top w:val="single" w:sz="6" w:space="0" w:color="auto"/>
              <w:left w:val="nil"/>
              <w:right w:val="nil"/>
            </w:tcBorders>
            <w:shd w:val="clear" w:color="auto" w:fill="auto"/>
          </w:tcPr>
          <w:p w:rsidR="00A53D7D" w:rsidRPr="002417F4" w:rsidRDefault="00A53D7D" w:rsidP="00E646BF">
            <w:pPr>
              <w:pStyle w:val="OGTableofFigures"/>
              <w:keepNext/>
              <w:rPr>
                <w:color w:val="000000"/>
                <w:lang w:eastAsia="en-AU"/>
              </w:rPr>
            </w:pPr>
          </w:p>
        </w:tc>
        <w:tc>
          <w:tcPr>
            <w:tcW w:w="907" w:type="dxa"/>
            <w:tcBorders>
              <w:top w:val="single" w:sz="6" w:space="0" w:color="auto"/>
              <w:left w:val="nil"/>
              <w:right w:val="nil"/>
            </w:tcBorders>
            <w:shd w:val="clear" w:color="auto" w:fill="auto"/>
          </w:tcPr>
          <w:p w:rsidR="00A53D7D" w:rsidRPr="002417F4" w:rsidRDefault="00A53D7D" w:rsidP="00E646BF">
            <w:pPr>
              <w:pStyle w:val="OGTableofFigures"/>
              <w:keepNext/>
              <w:rPr>
                <w:color w:val="000000"/>
                <w:lang w:eastAsia="en-AU"/>
              </w:rPr>
            </w:pPr>
          </w:p>
        </w:tc>
        <w:tc>
          <w:tcPr>
            <w:tcW w:w="885" w:type="dxa"/>
            <w:tcBorders>
              <w:top w:val="single" w:sz="6" w:space="0" w:color="auto"/>
              <w:left w:val="nil"/>
              <w:right w:val="nil"/>
            </w:tcBorders>
            <w:shd w:val="clear" w:color="auto" w:fill="auto"/>
          </w:tcPr>
          <w:p w:rsidR="00A53D7D" w:rsidRPr="002417F4" w:rsidRDefault="00A53D7D" w:rsidP="00E646BF">
            <w:pPr>
              <w:pStyle w:val="OGTableofFigures"/>
              <w:keepNext/>
              <w:rPr>
                <w:color w:val="000000"/>
                <w:lang w:eastAsia="en-AU"/>
              </w:rPr>
            </w:pPr>
          </w:p>
        </w:tc>
      </w:tr>
      <w:tr w:rsidR="00A53D7D" w:rsidRPr="00A475B8" w:rsidTr="005140B4">
        <w:trPr>
          <w:gridAfter w:val="1"/>
          <w:wAfter w:w="22" w:type="dxa"/>
          <w:cantSplit/>
        </w:trPr>
        <w:tc>
          <w:tcPr>
            <w:tcW w:w="3155" w:type="dxa"/>
            <w:tcBorders>
              <w:top w:val="nil"/>
              <w:left w:val="nil"/>
              <w:right w:val="nil"/>
            </w:tcBorders>
            <w:shd w:val="clear" w:color="auto" w:fill="auto"/>
            <w:vAlign w:val="center"/>
          </w:tcPr>
          <w:p w:rsidR="00A53D7D" w:rsidRPr="002565A2" w:rsidRDefault="00A53D7D" w:rsidP="00E646BF">
            <w:pPr>
              <w:pStyle w:val="OGTabText"/>
              <w:keepNext/>
              <w:rPr>
                <w:color w:val="000000"/>
                <w:lang w:eastAsia="en-AU"/>
              </w:rPr>
            </w:pPr>
            <w:r w:rsidRPr="00EE1960">
              <w:rPr>
                <w:color w:val="000000"/>
                <w:lang w:eastAsia="en-AU"/>
              </w:rPr>
              <w:t>Statutory and other agreed timelines met (FOI Commissioner)</w:t>
            </w:r>
          </w:p>
        </w:tc>
        <w:tc>
          <w:tcPr>
            <w:tcW w:w="907" w:type="dxa"/>
            <w:tcBorders>
              <w:top w:val="nil"/>
              <w:left w:val="nil"/>
              <w:right w:val="nil"/>
            </w:tcBorders>
            <w:shd w:val="clear" w:color="auto" w:fill="auto"/>
          </w:tcPr>
          <w:p w:rsidR="00A53D7D" w:rsidRPr="002565A2" w:rsidRDefault="00A53D7D" w:rsidP="00E646BF">
            <w:pPr>
              <w:pStyle w:val="OGUoM"/>
              <w:keepNext/>
              <w:rPr>
                <w:color w:val="000000"/>
                <w:lang w:eastAsia="en-AU"/>
              </w:rPr>
            </w:pPr>
            <w:r w:rsidRPr="00EE1960">
              <w:rPr>
                <w:color w:val="000000"/>
                <w:lang w:eastAsia="en-AU"/>
              </w:rPr>
              <w:t>per cent</w:t>
            </w:r>
          </w:p>
        </w:tc>
        <w:tc>
          <w:tcPr>
            <w:tcW w:w="907" w:type="dxa"/>
            <w:tcBorders>
              <w:top w:val="nil"/>
              <w:left w:val="nil"/>
              <w:right w:val="nil"/>
            </w:tcBorders>
            <w:shd w:val="clear" w:color="auto" w:fill="E6E6E6"/>
          </w:tcPr>
          <w:p w:rsidR="00A53D7D" w:rsidRPr="002417F4" w:rsidRDefault="00A53D7D" w:rsidP="00E646BF">
            <w:pPr>
              <w:pStyle w:val="OGTableofFigures"/>
              <w:keepNext/>
              <w:rPr>
                <w:color w:val="000000"/>
                <w:lang w:eastAsia="en-AU"/>
              </w:rPr>
            </w:pPr>
            <w:r>
              <w:rPr>
                <w:color w:val="000000"/>
                <w:lang w:eastAsia="en-AU"/>
              </w:rPr>
              <w:t>85</w:t>
            </w:r>
            <w:r w:rsidRPr="00EE1960">
              <w:rPr>
                <w:color w:val="000000"/>
                <w:lang w:eastAsia="en-AU"/>
              </w:rPr>
              <w:br/>
            </w:r>
          </w:p>
        </w:tc>
        <w:tc>
          <w:tcPr>
            <w:tcW w:w="993" w:type="dxa"/>
            <w:tcBorders>
              <w:top w:val="nil"/>
              <w:left w:val="nil"/>
              <w:right w:val="nil"/>
            </w:tcBorders>
            <w:shd w:val="clear" w:color="auto" w:fill="auto"/>
          </w:tcPr>
          <w:p w:rsidR="00A53D7D" w:rsidRPr="002417F4" w:rsidRDefault="00A53D7D" w:rsidP="00E646BF">
            <w:pPr>
              <w:pStyle w:val="OGTableofFigures"/>
              <w:keepNext/>
              <w:rPr>
                <w:color w:val="000000"/>
                <w:lang w:eastAsia="en-AU"/>
              </w:rPr>
            </w:pPr>
            <w:r w:rsidRPr="000E7246">
              <w:rPr>
                <w:color w:val="000000"/>
                <w:lang w:eastAsia="en-AU"/>
              </w:rPr>
              <w:t>65</w:t>
            </w:r>
            <w:r w:rsidRPr="000E7246">
              <w:rPr>
                <w:color w:val="000000"/>
                <w:lang w:eastAsia="en-AU"/>
              </w:rPr>
              <w:br/>
            </w:r>
          </w:p>
        </w:tc>
        <w:tc>
          <w:tcPr>
            <w:tcW w:w="907" w:type="dxa"/>
            <w:tcBorders>
              <w:top w:val="nil"/>
              <w:left w:val="nil"/>
              <w:right w:val="nil"/>
            </w:tcBorders>
            <w:shd w:val="clear" w:color="auto" w:fill="auto"/>
          </w:tcPr>
          <w:p w:rsidR="00A53D7D" w:rsidRPr="002417F4" w:rsidRDefault="00A53D7D" w:rsidP="00E646BF">
            <w:pPr>
              <w:pStyle w:val="OGTableofFigures"/>
              <w:keepNext/>
              <w:rPr>
                <w:color w:val="000000"/>
                <w:lang w:eastAsia="en-AU"/>
              </w:rPr>
            </w:pPr>
            <w:r w:rsidRPr="000E7246">
              <w:rPr>
                <w:color w:val="000000"/>
                <w:lang w:eastAsia="en-AU"/>
              </w:rPr>
              <w:t>100</w:t>
            </w:r>
          </w:p>
        </w:tc>
        <w:tc>
          <w:tcPr>
            <w:tcW w:w="885" w:type="dxa"/>
            <w:tcBorders>
              <w:top w:val="nil"/>
              <w:left w:val="nil"/>
              <w:right w:val="nil"/>
            </w:tcBorders>
            <w:shd w:val="clear" w:color="auto" w:fill="auto"/>
          </w:tcPr>
          <w:p w:rsidR="00A53D7D" w:rsidRPr="002417F4" w:rsidRDefault="00A53D7D" w:rsidP="00E646BF">
            <w:pPr>
              <w:pStyle w:val="OGTableofFigures"/>
              <w:keepNext/>
              <w:rPr>
                <w:color w:val="000000"/>
                <w:lang w:eastAsia="en-AU"/>
              </w:rPr>
            </w:pPr>
            <w:r w:rsidRPr="009D09B9">
              <w:rPr>
                <w:color w:val="000000"/>
                <w:lang w:eastAsia="en-AU"/>
              </w:rPr>
              <w:t>89</w:t>
            </w:r>
          </w:p>
        </w:tc>
      </w:tr>
      <w:tr w:rsidR="00A53D7D" w:rsidRPr="00A475B8" w:rsidTr="005140B4">
        <w:trPr>
          <w:gridAfter w:val="1"/>
          <w:wAfter w:w="22" w:type="dxa"/>
          <w:cantSplit/>
        </w:trPr>
        <w:tc>
          <w:tcPr>
            <w:tcW w:w="7754" w:type="dxa"/>
            <w:gridSpan w:val="6"/>
            <w:tcBorders>
              <w:left w:val="nil"/>
              <w:bottom w:val="single" w:sz="6" w:space="0" w:color="auto"/>
              <w:right w:val="nil"/>
            </w:tcBorders>
            <w:shd w:val="clear" w:color="auto" w:fill="auto"/>
            <w:vAlign w:val="center"/>
          </w:tcPr>
          <w:p w:rsidR="00A53D7D" w:rsidRPr="00B561EA" w:rsidRDefault="00A53D7D" w:rsidP="00E646BF">
            <w:pPr>
              <w:pStyle w:val="OGNotes"/>
              <w:keepNext/>
            </w:pPr>
            <w:r w:rsidRPr="00B561EA">
              <w:rPr>
                <w:rStyle w:val="OGNotesChar"/>
              </w:rPr>
              <w:t>The 2013</w:t>
            </w:r>
            <w:r>
              <w:rPr>
                <w:rStyle w:val="OGNotesChar"/>
              </w:rPr>
              <w:noBreakHyphen/>
            </w:r>
            <w:r w:rsidRPr="00B561EA">
              <w:rPr>
                <w:rStyle w:val="OGNotesChar"/>
              </w:rPr>
              <w:t>14 expected outcome is lower than the 2013</w:t>
            </w:r>
            <w:r>
              <w:rPr>
                <w:rStyle w:val="OGNotesChar"/>
              </w:rPr>
              <w:noBreakHyphen/>
            </w:r>
            <w:r w:rsidRPr="00B561EA">
              <w:rPr>
                <w:rStyle w:val="OGNotesChar"/>
              </w:rPr>
              <w:t>14 target due to the ability to complete matters within statutory or agreed timelines being impacted by the volume and complexity of matters being considered by the Commission. The 2014</w:t>
            </w:r>
            <w:r>
              <w:rPr>
                <w:rStyle w:val="OGNotesChar"/>
              </w:rPr>
              <w:noBreakHyphen/>
            </w:r>
            <w:r w:rsidRPr="00B561EA">
              <w:rPr>
                <w:rStyle w:val="OGNotesChar"/>
              </w:rPr>
              <w:t>15 target reflects the anticipated activity for the year</w:t>
            </w:r>
            <w:r w:rsidRPr="00B561EA">
              <w:t xml:space="preserve">. </w:t>
            </w:r>
          </w:p>
        </w:tc>
      </w:tr>
      <w:tr w:rsidR="00A53D7D" w:rsidRPr="00A475B8" w:rsidTr="005140B4">
        <w:trPr>
          <w:gridAfter w:val="1"/>
          <w:wAfter w:w="22" w:type="dxa"/>
          <w:cantSplit/>
        </w:trPr>
        <w:tc>
          <w:tcPr>
            <w:tcW w:w="3155" w:type="dxa"/>
            <w:tcBorders>
              <w:top w:val="single" w:sz="6" w:space="0" w:color="auto"/>
              <w:left w:val="nil"/>
              <w:right w:val="nil"/>
            </w:tcBorders>
            <w:shd w:val="clear" w:color="auto" w:fill="auto"/>
            <w:vAlign w:val="center"/>
          </w:tcPr>
          <w:p w:rsidR="00A53D7D" w:rsidRPr="002565A2" w:rsidRDefault="00A53D7D" w:rsidP="005140B4">
            <w:pPr>
              <w:pStyle w:val="OGTabHead"/>
              <w:rPr>
                <w:lang w:eastAsia="en-AU"/>
              </w:rPr>
            </w:pPr>
            <w:r w:rsidRPr="00A475B8">
              <w:rPr>
                <w:lang w:eastAsia="en-AU"/>
              </w:rPr>
              <w:t>Cost</w:t>
            </w:r>
          </w:p>
        </w:tc>
        <w:tc>
          <w:tcPr>
            <w:tcW w:w="907" w:type="dxa"/>
            <w:tcBorders>
              <w:top w:val="single" w:sz="6" w:space="0" w:color="auto"/>
              <w:left w:val="nil"/>
              <w:right w:val="nil"/>
            </w:tcBorders>
            <w:shd w:val="clear" w:color="auto" w:fill="auto"/>
            <w:vAlign w:val="center"/>
          </w:tcPr>
          <w:p w:rsidR="00A53D7D" w:rsidRPr="002565A2" w:rsidRDefault="00A53D7D" w:rsidP="005140B4">
            <w:pPr>
              <w:pStyle w:val="OGUoM"/>
              <w:rPr>
                <w:color w:val="000000"/>
                <w:lang w:eastAsia="en-AU"/>
              </w:rPr>
            </w:pPr>
            <w:r w:rsidRPr="003E0A6C">
              <w:rPr>
                <w:color w:val="000000"/>
                <w:lang w:eastAsia="en-AU"/>
              </w:rPr>
              <w:t> </w:t>
            </w:r>
          </w:p>
        </w:tc>
        <w:tc>
          <w:tcPr>
            <w:tcW w:w="907" w:type="dxa"/>
            <w:tcBorders>
              <w:top w:val="single" w:sz="6" w:space="0" w:color="auto"/>
              <w:left w:val="nil"/>
              <w:right w:val="nil"/>
            </w:tcBorders>
            <w:shd w:val="clear" w:color="auto" w:fill="E6E6E6"/>
            <w:vAlign w:val="center"/>
          </w:tcPr>
          <w:p w:rsidR="00A53D7D" w:rsidRPr="002417F4" w:rsidRDefault="00A53D7D" w:rsidP="005140B4">
            <w:pPr>
              <w:pStyle w:val="OGTableofFigures"/>
              <w:rPr>
                <w:color w:val="000000"/>
                <w:lang w:eastAsia="en-AU"/>
              </w:rPr>
            </w:pPr>
            <w:r w:rsidRPr="00EC2CB7">
              <w:rPr>
                <w:color w:val="000000"/>
                <w:lang w:eastAsia="en-AU"/>
              </w:rPr>
              <w:t> </w:t>
            </w:r>
          </w:p>
        </w:tc>
        <w:tc>
          <w:tcPr>
            <w:tcW w:w="993" w:type="dxa"/>
            <w:tcBorders>
              <w:top w:val="single" w:sz="6" w:space="0" w:color="auto"/>
              <w:left w:val="nil"/>
              <w:right w:val="nil"/>
            </w:tcBorders>
            <w:shd w:val="clear" w:color="auto" w:fill="auto"/>
            <w:vAlign w:val="center"/>
          </w:tcPr>
          <w:p w:rsidR="00A53D7D" w:rsidRPr="002417F4" w:rsidRDefault="00A53D7D" w:rsidP="005140B4">
            <w:pPr>
              <w:pStyle w:val="OGTableofFigures"/>
              <w:rPr>
                <w:color w:val="000000"/>
                <w:lang w:eastAsia="en-AU"/>
              </w:rPr>
            </w:pPr>
            <w:r w:rsidRPr="00EC2CB7">
              <w:rPr>
                <w:color w:val="000000"/>
                <w:lang w:eastAsia="en-AU"/>
              </w:rPr>
              <w:t> </w:t>
            </w:r>
          </w:p>
        </w:tc>
        <w:tc>
          <w:tcPr>
            <w:tcW w:w="907" w:type="dxa"/>
            <w:tcBorders>
              <w:top w:val="single" w:sz="6" w:space="0" w:color="auto"/>
              <w:left w:val="nil"/>
              <w:right w:val="nil"/>
            </w:tcBorders>
            <w:shd w:val="clear" w:color="auto" w:fill="auto"/>
            <w:vAlign w:val="center"/>
          </w:tcPr>
          <w:p w:rsidR="00A53D7D" w:rsidRPr="002417F4" w:rsidRDefault="00A53D7D" w:rsidP="005140B4">
            <w:pPr>
              <w:pStyle w:val="OGTableofFigures"/>
              <w:rPr>
                <w:color w:val="000000"/>
                <w:lang w:eastAsia="en-AU"/>
              </w:rPr>
            </w:pPr>
            <w:r w:rsidRPr="00EC2CB7">
              <w:rPr>
                <w:color w:val="000000"/>
                <w:lang w:eastAsia="en-AU"/>
              </w:rPr>
              <w:t> </w:t>
            </w:r>
          </w:p>
        </w:tc>
        <w:tc>
          <w:tcPr>
            <w:tcW w:w="885" w:type="dxa"/>
            <w:tcBorders>
              <w:top w:val="single" w:sz="6" w:space="0" w:color="auto"/>
              <w:left w:val="nil"/>
              <w:right w:val="nil"/>
            </w:tcBorders>
            <w:shd w:val="clear" w:color="auto" w:fill="auto"/>
            <w:vAlign w:val="center"/>
          </w:tcPr>
          <w:p w:rsidR="00A53D7D" w:rsidRPr="002417F4" w:rsidRDefault="00A53D7D" w:rsidP="005140B4">
            <w:pPr>
              <w:pStyle w:val="OGTableofFigures"/>
              <w:rPr>
                <w:color w:val="000000"/>
                <w:lang w:eastAsia="en-AU"/>
              </w:rPr>
            </w:pPr>
            <w:r w:rsidRPr="00EC2CB7">
              <w:rPr>
                <w:color w:val="000000"/>
                <w:lang w:eastAsia="en-AU"/>
              </w:rPr>
              <w:t> </w:t>
            </w:r>
          </w:p>
        </w:tc>
      </w:tr>
      <w:tr w:rsidR="00A53D7D" w:rsidRPr="00A475B8" w:rsidTr="005140B4">
        <w:trPr>
          <w:gridAfter w:val="1"/>
          <w:wAfter w:w="22" w:type="dxa"/>
          <w:cantSplit/>
        </w:trPr>
        <w:tc>
          <w:tcPr>
            <w:tcW w:w="3155" w:type="dxa"/>
            <w:tcBorders>
              <w:top w:val="nil"/>
              <w:left w:val="nil"/>
              <w:right w:val="nil"/>
            </w:tcBorders>
            <w:shd w:val="clear" w:color="auto" w:fill="auto"/>
            <w:vAlign w:val="center"/>
          </w:tcPr>
          <w:p w:rsidR="00A53D7D" w:rsidRPr="002565A2" w:rsidRDefault="00A53D7D" w:rsidP="005140B4">
            <w:pPr>
              <w:pStyle w:val="OGTabText"/>
              <w:rPr>
                <w:color w:val="000000"/>
                <w:lang w:eastAsia="en-AU"/>
              </w:rPr>
            </w:pPr>
            <w:r w:rsidRPr="002417F4">
              <w:rPr>
                <w:lang w:eastAsia="en-AU"/>
              </w:rPr>
              <w:t>Total output cost</w:t>
            </w:r>
          </w:p>
        </w:tc>
        <w:tc>
          <w:tcPr>
            <w:tcW w:w="907" w:type="dxa"/>
            <w:tcBorders>
              <w:top w:val="nil"/>
              <w:left w:val="nil"/>
              <w:right w:val="nil"/>
            </w:tcBorders>
            <w:shd w:val="clear" w:color="auto" w:fill="auto"/>
          </w:tcPr>
          <w:p w:rsidR="00A53D7D" w:rsidRPr="002565A2" w:rsidRDefault="00A53D7D" w:rsidP="005140B4">
            <w:pPr>
              <w:pStyle w:val="OGUoM"/>
              <w:rPr>
                <w:color w:val="000000"/>
                <w:lang w:eastAsia="en-AU"/>
              </w:rPr>
            </w:pPr>
            <w:r w:rsidRPr="002417F4">
              <w:rPr>
                <w:lang w:eastAsia="en-AU"/>
              </w:rPr>
              <w:t>$ million</w:t>
            </w:r>
          </w:p>
        </w:tc>
        <w:tc>
          <w:tcPr>
            <w:tcW w:w="907" w:type="dxa"/>
            <w:tcBorders>
              <w:top w:val="nil"/>
              <w:left w:val="nil"/>
              <w:right w:val="nil"/>
            </w:tcBorders>
            <w:shd w:val="clear" w:color="auto" w:fill="E6E6E6"/>
          </w:tcPr>
          <w:p w:rsidR="00A53D7D" w:rsidRPr="002417F4" w:rsidRDefault="00A53D7D" w:rsidP="005140B4">
            <w:pPr>
              <w:pStyle w:val="OGTableofFigures"/>
              <w:rPr>
                <w:color w:val="000000"/>
                <w:lang w:eastAsia="en-AU"/>
              </w:rPr>
            </w:pPr>
            <w:r>
              <w:rPr>
                <w:lang w:eastAsia="en-AU"/>
              </w:rPr>
              <w:t>2.7</w:t>
            </w:r>
          </w:p>
        </w:tc>
        <w:tc>
          <w:tcPr>
            <w:tcW w:w="993" w:type="dxa"/>
            <w:tcBorders>
              <w:top w:val="nil"/>
              <w:left w:val="nil"/>
              <w:right w:val="nil"/>
            </w:tcBorders>
            <w:shd w:val="clear" w:color="auto" w:fill="auto"/>
          </w:tcPr>
          <w:p w:rsidR="00A53D7D" w:rsidRPr="002417F4" w:rsidRDefault="00A53D7D" w:rsidP="005140B4">
            <w:pPr>
              <w:pStyle w:val="OGTableofFigures"/>
              <w:rPr>
                <w:color w:val="000000"/>
                <w:lang w:eastAsia="en-AU"/>
              </w:rPr>
            </w:pPr>
            <w:r>
              <w:rPr>
                <w:lang w:eastAsia="en-AU"/>
              </w:rPr>
              <w:t>3.5</w:t>
            </w:r>
          </w:p>
        </w:tc>
        <w:tc>
          <w:tcPr>
            <w:tcW w:w="907" w:type="dxa"/>
            <w:tcBorders>
              <w:top w:val="nil"/>
              <w:left w:val="nil"/>
              <w:right w:val="nil"/>
            </w:tcBorders>
            <w:shd w:val="clear" w:color="auto" w:fill="auto"/>
          </w:tcPr>
          <w:p w:rsidR="00A53D7D" w:rsidRPr="002417F4" w:rsidRDefault="00A53D7D" w:rsidP="005140B4">
            <w:pPr>
              <w:pStyle w:val="OGTableofFigures"/>
              <w:rPr>
                <w:color w:val="000000"/>
                <w:lang w:eastAsia="en-AU"/>
              </w:rPr>
            </w:pPr>
            <w:r>
              <w:rPr>
                <w:lang w:eastAsia="en-AU"/>
              </w:rPr>
              <w:t>3.5</w:t>
            </w:r>
          </w:p>
        </w:tc>
        <w:tc>
          <w:tcPr>
            <w:tcW w:w="885" w:type="dxa"/>
            <w:tcBorders>
              <w:top w:val="nil"/>
              <w:left w:val="nil"/>
              <w:right w:val="nil"/>
            </w:tcBorders>
            <w:shd w:val="clear" w:color="auto" w:fill="auto"/>
          </w:tcPr>
          <w:p w:rsidR="00A53D7D" w:rsidRPr="002417F4" w:rsidRDefault="00A53D7D" w:rsidP="005140B4">
            <w:pPr>
              <w:pStyle w:val="OGTableofFigures"/>
              <w:rPr>
                <w:color w:val="000000"/>
                <w:lang w:eastAsia="en-AU"/>
              </w:rPr>
            </w:pPr>
            <w:r w:rsidRPr="002417F4">
              <w:rPr>
                <w:lang w:eastAsia="en-AU"/>
              </w:rPr>
              <w:t>nm</w:t>
            </w:r>
          </w:p>
        </w:tc>
      </w:tr>
      <w:tr w:rsidR="00A53D7D" w:rsidRPr="00A475B8" w:rsidTr="005140B4">
        <w:trPr>
          <w:gridAfter w:val="1"/>
          <w:wAfter w:w="22" w:type="dxa"/>
          <w:cantSplit/>
        </w:trPr>
        <w:tc>
          <w:tcPr>
            <w:tcW w:w="7754" w:type="dxa"/>
            <w:gridSpan w:val="6"/>
            <w:tcBorders>
              <w:left w:val="nil"/>
              <w:bottom w:val="single" w:sz="12" w:space="0" w:color="auto"/>
              <w:right w:val="nil"/>
            </w:tcBorders>
            <w:shd w:val="clear" w:color="auto" w:fill="auto"/>
            <w:vAlign w:val="center"/>
          </w:tcPr>
          <w:p w:rsidR="00A53D7D" w:rsidRPr="002417F4" w:rsidRDefault="00A53D7D" w:rsidP="005140B4">
            <w:pPr>
              <w:pStyle w:val="OGNotes"/>
              <w:rPr>
                <w:sz w:val="20"/>
                <w:szCs w:val="18"/>
              </w:rPr>
            </w:pPr>
            <w:r>
              <w:t>The 2013</w:t>
            </w:r>
            <w:r>
              <w:noBreakHyphen/>
              <w:t>14 target is higher than the 2014</w:t>
            </w:r>
            <w:r>
              <w:noBreakHyphen/>
              <w:t>15 target as it includes carryover funding</w:t>
            </w:r>
            <w:r w:rsidRPr="00FC5069">
              <w:t>.</w:t>
            </w:r>
          </w:p>
        </w:tc>
      </w:tr>
    </w:tbl>
    <w:p w:rsidR="00A53D7D" w:rsidRDefault="00A53D7D" w:rsidP="005140B4">
      <w:pPr>
        <w:pStyle w:val="Source"/>
      </w:pPr>
      <w:r>
        <w:t>Source: Department of Justice</w:t>
      </w:r>
      <w:bookmarkEnd w:id="119"/>
      <w:r>
        <w:fldChar w:fldCharType="begin"/>
      </w:r>
      <w:r>
        <w:instrText xml:space="preserve"> XE "</w:instrText>
      </w:r>
      <w:r w:rsidRPr="00BC47A0">
        <w:rPr>
          <w:lang w:eastAsia="en-AU"/>
        </w:rPr>
        <w:instrText>Department of Justice</w:instrText>
      </w:r>
      <w:r w:rsidRPr="00BC47A0">
        <w:instrText>:Public Sector Integrity</w:instrText>
      </w:r>
      <w:r>
        <w:instrText xml:space="preserve">" \r "BP3DOJPubSectIntegrity" </w:instrText>
      </w:r>
      <w:r>
        <w:fldChar w:fldCharType="end"/>
      </w:r>
      <w:r>
        <w:fldChar w:fldCharType="begin"/>
      </w:r>
      <w:r>
        <w:instrText xml:space="preserve"> XE "</w:instrText>
      </w:r>
      <w:r w:rsidRPr="008F564C">
        <w:rPr>
          <w:lang w:val="x-none" w:eastAsia="en-AU"/>
        </w:rPr>
        <w:instrText>Public Sector Integrity</w:instrText>
      </w:r>
      <w:r>
        <w:instrText xml:space="preserve">" \r "BP3DOJPubSectIntegrity" </w:instrText>
      </w:r>
      <w:r>
        <w:fldChar w:fldCharType="end"/>
      </w:r>
    </w:p>
    <w:p w:rsidR="00A53D7D" w:rsidRPr="00CF7D40" w:rsidRDefault="00A53D7D" w:rsidP="005140B4"/>
    <w:p w:rsidR="00A53D7D" w:rsidRDefault="00A53D7D" w:rsidP="00497606"/>
    <w:p w:rsidR="00A53D7D" w:rsidRDefault="00A53D7D" w:rsidP="004463C6">
      <w:pPr>
        <w:sectPr w:rsidR="00A53D7D" w:rsidSect="00CD2017">
          <w:footerReference w:type="even" r:id="rId32"/>
          <w:footerReference w:type="default" r:id="rId33"/>
          <w:pgSz w:w="9979" w:h="14181" w:code="138"/>
          <w:pgMar w:top="1140" w:right="1140" w:bottom="1140" w:left="1140" w:header="720" w:footer="431" w:gutter="0"/>
          <w:cols w:space="708"/>
          <w:docGrid w:linePitch="360"/>
        </w:sectPr>
      </w:pPr>
    </w:p>
    <w:p w:rsidR="00A53D7D" w:rsidRDefault="00A53D7D" w:rsidP="005140B4">
      <w:pPr>
        <w:pStyle w:val="Heading1"/>
      </w:pPr>
      <w:bookmarkStart w:id="120" w:name="_Toc386541221"/>
      <w:bookmarkStart w:id="121" w:name="_Toc407116913"/>
      <w:r>
        <w:t>Department of Premier and Cabinet</w:t>
      </w:r>
      <w:bookmarkEnd w:id="120"/>
      <w:bookmarkEnd w:id="121"/>
    </w:p>
    <w:p w:rsidR="00A53D7D" w:rsidRDefault="00A53D7D" w:rsidP="005140B4">
      <w:pPr>
        <w:pStyle w:val="Heading2"/>
      </w:pPr>
      <w:r>
        <w:t>Ministerial portfolios</w:t>
      </w:r>
    </w:p>
    <w:p w:rsidR="00A53D7D" w:rsidRDefault="00A53D7D" w:rsidP="005140B4">
      <w:r w:rsidRPr="007052B7">
        <w:t>The Department supports the ministerial portfolios of the Premier, Aboriginal Affairs, Arts, Multicultural Affairs and Citizenship, and Veterans’ Affairs.</w:t>
      </w:r>
    </w:p>
    <w:p w:rsidR="00A53D7D" w:rsidRDefault="00A53D7D" w:rsidP="005140B4">
      <w:pPr>
        <w:pStyle w:val="Heading2"/>
      </w:pPr>
      <w:r>
        <w:t>Departmental mission statement</w:t>
      </w:r>
    </w:p>
    <w:p w:rsidR="00A53D7D" w:rsidRDefault="00A53D7D" w:rsidP="005140B4">
      <w:r w:rsidRPr="007052B7">
        <w:t>The Department of Premier and Cabinet’s mission is to display exemplary leadership and innovation to support the Victorian Government in achieving strong public policy and service delivery outcomes for all Victorians.</w:t>
      </w:r>
    </w:p>
    <w:p w:rsidR="00A53D7D" w:rsidRDefault="00A53D7D" w:rsidP="005140B4">
      <w:pPr>
        <w:pStyle w:val="Heading2"/>
      </w:pPr>
      <w:r>
        <w:t>Departmental objectives, indicators and outputs</w:t>
      </w:r>
    </w:p>
    <w:p w:rsidR="00A53D7D" w:rsidRDefault="00A53D7D" w:rsidP="005140B4">
      <w:r w:rsidRPr="007052B7">
        <w:t>The Department of Premier and Cabinet’s objectives, indicators, and linked outputs are:</w:t>
      </w:r>
    </w:p>
    <w:tbl>
      <w:tblPr>
        <w:tblW w:w="5000" w:type="pct"/>
        <w:tblBorders>
          <w:bottom w:val="single" w:sz="12" w:space="0" w:color="auto"/>
          <w:insideH w:val="single" w:sz="6" w:space="0" w:color="auto"/>
        </w:tblBorders>
        <w:tblCellMar>
          <w:left w:w="43" w:type="dxa"/>
          <w:right w:w="43" w:type="dxa"/>
        </w:tblCellMar>
        <w:tblLook w:val="04A0" w:firstRow="1" w:lastRow="0" w:firstColumn="1" w:lastColumn="0" w:noHBand="0" w:noVBand="1"/>
      </w:tblPr>
      <w:tblGrid>
        <w:gridCol w:w="2618"/>
        <w:gridCol w:w="2603"/>
        <w:gridCol w:w="2564"/>
      </w:tblGrid>
      <w:tr w:rsidR="00A53D7D" w:rsidRPr="007052B7" w:rsidTr="005140B4">
        <w:trPr>
          <w:cantSplit/>
          <w:trHeight w:val="240"/>
          <w:tblHeader/>
        </w:trPr>
        <w:tc>
          <w:tcPr>
            <w:tcW w:w="1681" w:type="pct"/>
            <w:shd w:val="clear" w:color="auto" w:fill="000000"/>
          </w:tcPr>
          <w:p w:rsidR="00A53D7D" w:rsidRPr="007052B7" w:rsidRDefault="00A53D7D" w:rsidP="005140B4">
            <w:pPr>
              <w:pStyle w:val="TabletextheadingLeft0"/>
            </w:pPr>
            <w:r w:rsidRPr="007052B7">
              <w:t>Departmental objectives</w:t>
            </w:r>
          </w:p>
        </w:tc>
        <w:tc>
          <w:tcPr>
            <w:tcW w:w="1672" w:type="pct"/>
            <w:shd w:val="clear" w:color="auto" w:fill="000000"/>
          </w:tcPr>
          <w:p w:rsidR="00A53D7D" w:rsidRPr="007052B7" w:rsidRDefault="00A53D7D" w:rsidP="005140B4">
            <w:pPr>
              <w:pStyle w:val="TabletextheadingLeft0"/>
            </w:pPr>
            <w:r w:rsidRPr="007052B7">
              <w:t>Indicators</w:t>
            </w:r>
          </w:p>
        </w:tc>
        <w:tc>
          <w:tcPr>
            <w:tcW w:w="1647" w:type="pct"/>
            <w:shd w:val="clear" w:color="auto" w:fill="000000"/>
          </w:tcPr>
          <w:p w:rsidR="00A53D7D" w:rsidRPr="007052B7" w:rsidRDefault="00A53D7D" w:rsidP="005140B4">
            <w:pPr>
              <w:pStyle w:val="TabletextheadingLeft0"/>
            </w:pPr>
            <w:r w:rsidRPr="007052B7">
              <w:t>Output Title</w:t>
            </w:r>
          </w:p>
        </w:tc>
      </w:tr>
      <w:tr w:rsidR="00A53D7D" w:rsidTr="005140B4">
        <w:trPr>
          <w:cantSplit/>
          <w:trHeight w:val="1139"/>
        </w:trPr>
        <w:tc>
          <w:tcPr>
            <w:tcW w:w="1681" w:type="pct"/>
            <w:tcBorders>
              <w:bottom w:val="single" w:sz="6" w:space="0" w:color="auto"/>
            </w:tcBorders>
            <w:shd w:val="clear" w:color="auto" w:fill="auto"/>
          </w:tcPr>
          <w:p w:rsidR="00A53D7D" w:rsidRPr="000B58D1" w:rsidRDefault="00A53D7D" w:rsidP="005140B4">
            <w:pPr>
              <w:pStyle w:val="Tabletextnoindent"/>
            </w:pPr>
            <w:r w:rsidRPr="000B58D1">
              <w:t>Supporting high</w:t>
            </w:r>
            <w:r>
              <w:noBreakHyphen/>
            </w:r>
            <w:r w:rsidRPr="000B58D1">
              <w:t>quality Government decision</w:t>
            </w:r>
            <w:r>
              <w:noBreakHyphen/>
            </w:r>
            <w:r w:rsidRPr="000B58D1">
              <w:t>making and implementation</w:t>
            </w:r>
          </w:p>
        </w:tc>
        <w:tc>
          <w:tcPr>
            <w:tcW w:w="1672" w:type="pct"/>
            <w:tcBorders>
              <w:bottom w:val="single" w:sz="6" w:space="0" w:color="auto"/>
            </w:tcBorders>
            <w:shd w:val="clear" w:color="auto" w:fill="auto"/>
          </w:tcPr>
          <w:p w:rsidR="00A53D7D" w:rsidRPr="000B58D1" w:rsidRDefault="00A53D7D" w:rsidP="005140B4">
            <w:pPr>
              <w:pStyle w:val="Tabletextnoindent"/>
            </w:pPr>
            <w:r w:rsidRPr="000B58D1">
              <w:t>DPC leads policy development on key priority issues</w:t>
            </w:r>
          </w:p>
          <w:p w:rsidR="00A53D7D" w:rsidRPr="000B58D1" w:rsidRDefault="00A53D7D" w:rsidP="005140B4">
            <w:pPr>
              <w:pStyle w:val="Tabletextnoindent"/>
            </w:pPr>
            <w:r w:rsidRPr="000B58D1">
              <w:t>DPC responds effectively to significant state issues</w:t>
            </w:r>
          </w:p>
        </w:tc>
        <w:tc>
          <w:tcPr>
            <w:tcW w:w="1647" w:type="pct"/>
            <w:tcBorders>
              <w:bottom w:val="single" w:sz="6" w:space="0" w:color="auto"/>
            </w:tcBorders>
            <w:shd w:val="clear" w:color="auto" w:fill="auto"/>
          </w:tcPr>
          <w:p w:rsidR="00A53D7D" w:rsidRDefault="00A53D7D" w:rsidP="005140B4">
            <w:pPr>
              <w:pStyle w:val="Tabletextnoindent"/>
            </w:pPr>
            <w:r w:rsidRPr="00CB036A">
              <w:t>Strategic Advice and Government Support</w:t>
            </w:r>
          </w:p>
          <w:p w:rsidR="00A53D7D" w:rsidRPr="000B58D1" w:rsidRDefault="00A53D7D" w:rsidP="005140B4">
            <w:pPr>
              <w:pStyle w:val="Tabletextnoindent"/>
            </w:pPr>
            <w:r w:rsidRPr="00CB036A">
              <w:t>Government</w:t>
            </w:r>
            <w:r>
              <w:noBreakHyphen/>
            </w:r>
            <w:r w:rsidRPr="00CB036A">
              <w:t>wide leadership and implementation</w:t>
            </w:r>
          </w:p>
        </w:tc>
      </w:tr>
      <w:tr w:rsidR="00A53D7D" w:rsidTr="005140B4">
        <w:trPr>
          <w:cantSplit/>
          <w:trHeight w:val="2892"/>
        </w:trPr>
        <w:tc>
          <w:tcPr>
            <w:tcW w:w="1681" w:type="pct"/>
            <w:tcBorders>
              <w:top w:val="single" w:sz="6" w:space="0" w:color="auto"/>
              <w:bottom w:val="single" w:sz="6" w:space="0" w:color="auto"/>
            </w:tcBorders>
            <w:shd w:val="clear" w:color="auto" w:fill="auto"/>
          </w:tcPr>
          <w:p w:rsidR="00A53D7D" w:rsidRPr="000B58D1" w:rsidRDefault="00A53D7D" w:rsidP="005140B4">
            <w:pPr>
              <w:pStyle w:val="Tabletextnoindent"/>
            </w:pPr>
            <w:r w:rsidRPr="000B58D1">
              <w:t>Developing and promoting a thriving Victorian arts and cultural sector</w:t>
            </w:r>
          </w:p>
        </w:tc>
        <w:tc>
          <w:tcPr>
            <w:tcW w:w="1672" w:type="pct"/>
            <w:tcBorders>
              <w:top w:val="single" w:sz="6" w:space="0" w:color="auto"/>
              <w:bottom w:val="single" w:sz="6" w:space="0" w:color="auto"/>
            </w:tcBorders>
            <w:shd w:val="clear" w:color="auto" w:fill="auto"/>
          </w:tcPr>
          <w:p w:rsidR="00A53D7D" w:rsidRPr="000B58D1" w:rsidRDefault="00A53D7D" w:rsidP="005140B4">
            <w:pPr>
              <w:pStyle w:val="Tabletextnoindent"/>
            </w:pPr>
            <w:r w:rsidRPr="000B58D1">
              <w:t>Victoria's reputation as an international centre for arts and culture is enhanced</w:t>
            </w:r>
          </w:p>
          <w:p w:rsidR="00A53D7D" w:rsidRPr="000B58D1" w:rsidRDefault="00A53D7D" w:rsidP="005140B4">
            <w:pPr>
              <w:pStyle w:val="Tabletextnoindent"/>
            </w:pPr>
            <w:r w:rsidRPr="000B58D1">
              <w:t xml:space="preserve">Access to arts and cultural programs is improved, particularly for school children, youth, families and regional communities </w:t>
            </w:r>
          </w:p>
          <w:p w:rsidR="00A53D7D" w:rsidRPr="000B58D1" w:rsidRDefault="00A53D7D" w:rsidP="005140B4">
            <w:pPr>
              <w:pStyle w:val="Tabletextnoindent"/>
            </w:pPr>
            <w:r w:rsidRPr="000B58D1">
              <w:t>Victoria’s cultural venues and state</w:t>
            </w:r>
            <w:r>
              <w:noBreakHyphen/>
            </w:r>
            <w:r w:rsidRPr="000B58D1">
              <w:t>owned facilities are maintained to provide continuously improving services to Victorians</w:t>
            </w:r>
          </w:p>
        </w:tc>
        <w:tc>
          <w:tcPr>
            <w:tcW w:w="1647" w:type="pct"/>
            <w:tcBorders>
              <w:top w:val="single" w:sz="6" w:space="0" w:color="auto"/>
              <w:bottom w:val="single" w:sz="6" w:space="0" w:color="auto"/>
            </w:tcBorders>
            <w:shd w:val="clear" w:color="auto" w:fill="auto"/>
          </w:tcPr>
          <w:p w:rsidR="00A53D7D" w:rsidRDefault="00A53D7D" w:rsidP="005140B4">
            <w:pPr>
              <w:pStyle w:val="Tabletextnoindent"/>
            </w:pPr>
            <w:r w:rsidRPr="00CB036A">
              <w:t>Access, Industry Development and Innovation</w:t>
            </w:r>
          </w:p>
          <w:p w:rsidR="00A53D7D" w:rsidRDefault="00A53D7D" w:rsidP="005140B4">
            <w:pPr>
              <w:pStyle w:val="Tabletextnoindent"/>
            </w:pPr>
            <w:r w:rsidRPr="00CB036A">
              <w:t>Cultural Infrastructure and Facilities</w:t>
            </w:r>
          </w:p>
          <w:p w:rsidR="00A53D7D" w:rsidRPr="000B58D1" w:rsidRDefault="00A53D7D" w:rsidP="005140B4">
            <w:pPr>
              <w:pStyle w:val="Tabletextnoindent"/>
            </w:pPr>
            <w:r w:rsidRPr="00CB036A">
              <w:t>Arts Portfolio Agencies</w:t>
            </w:r>
          </w:p>
        </w:tc>
      </w:tr>
      <w:tr w:rsidR="00A53D7D" w:rsidTr="005140B4">
        <w:trPr>
          <w:cantSplit/>
          <w:trHeight w:val="2786"/>
        </w:trPr>
        <w:tc>
          <w:tcPr>
            <w:tcW w:w="1681" w:type="pct"/>
            <w:tcBorders>
              <w:top w:val="single" w:sz="6" w:space="0" w:color="auto"/>
              <w:bottom w:val="single" w:sz="4" w:space="0" w:color="auto"/>
            </w:tcBorders>
            <w:shd w:val="clear" w:color="auto" w:fill="auto"/>
          </w:tcPr>
          <w:p w:rsidR="00A53D7D" w:rsidRPr="000B58D1" w:rsidRDefault="00A53D7D" w:rsidP="005140B4">
            <w:pPr>
              <w:pStyle w:val="Tabletextnoindent"/>
            </w:pPr>
            <w:r w:rsidRPr="000B58D1">
              <w:t>Supporting and promoting full participation in strong and vibrant communities</w:t>
            </w:r>
          </w:p>
        </w:tc>
        <w:tc>
          <w:tcPr>
            <w:tcW w:w="1672" w:type="pct"/>
            <w:tcBorders>
              <w:top w:val="single" w:sz="6" w:space="0" w:color="auto"/>
              <w:bottom w:val="single" w:sz="4" w:space="0" w:color="auto"/>
            </w:tcBorders>
            <w:shd w:val="clear" w:color="auto" w:fill="auto"/>
          </w:tcPr>
          <w:p w:rsidR="00A53D7D" w:rsidRPr="000B58D1" w:rsidRDefault="00A53D7D" w:rsidP="005140B4">
            <w:pPr>
              <w:pStyle w:val="Tabletextnoindent"/>
            </w:pPr>
            <w:r w:rsidRPr="000B58D1">
              <w:t>Culturally, linguistically and religiously diverse communities are better able to participate in and contribute to the social, cultural, economic and democratic life of Victoria</w:t>
            </w:r>
          </w:p>
          <w:p w:rsidR="00A53D7D" w:rsidRPr="000B58D1" w:rsidRDefault="00A53D7D" w:rsidP="005140B4">
            <w:pPr>
              <w:pStyle w:val="Tabletextnoindent"/>
            </w:pPr>
            <w:r w:rsidRPr="000B58D1">
              <w:t xml:space="preserve">Capacity building activities undertaken with </w:t>
            </w:r>
            <w:r>
              <w:t>traditional owner groups</w:t>
            </w:r>
            <w:r w:rsidRPr="000B58D1">
              <w:t>: cultural heritage management</w:t>
            </w:r>
          </w:p>
          <w:p w:rsidR="00A53D7D" w:rsidRPr="000B58D1" w:rsidRDefault="00A53D7D" w:rsidP="005140B4">
            <w:pPr>
              <w:pStyle w:val="Tabletextnoindent"/>
            </w:pPr>
            <w:r w:rsidRPr="000B58D1">
              <w:t xml:space="preserve">Level of participation in ANZAC </w:t>
            </w:r>
            <w:r>
              <w:t>commemoration</w:t>
            </w:r>
            <w:r w:rsidRPr="000B58D1">
              <w:t xml:space="preserve"> and visits to Shrine of Remembrance</w:t>
            </w:r>
          </w:p>
        </w:tc>
        <w:tc>
          <w:tcPr>
            <w:tcW w:w="1647" w:type="pct"/>
            <w:tcBorders>
              <w:top w:val="single" w:sz="6" w:space="0" w:color="auto"/>
              <w:bottom w:val="single" w:sz="4" w:space="0" w:color="auto"/>
            </w:tcBorders>
            <w:shd w:val="clear" w:color="auto" w:fill="auto"/>
          </w:tcPr>
          <w:p w:rsidR="00A53D7D" w:rsidRDefault="00A53D7D" w:rsidP="005140B4">
            <w:pPr>
              <w:pStyle w:val="Tabletextnoindent"/>
            </w:pPr>
            <w:r w:rsidRPr="00CB036A">
              <w:t>Multicultural Affairs and Citizenship</w:t>
            </w:r>
          </w:p>
          <w:p w:rsidR="00A53D7D" w:rsidRDefault="00A53D7D" w:rsidP="005140B4">
            <w:pPr>
              <w:pStyle w:val="Tabletextnoindent"/>
            </w:pPr>
            <w:r w:rsidRPr="00CB036A">
              <w:t>Aboriginal Affairs</w:t>
            </w:r>
          </w:p>
          <w:p w:rsidR="00A53D7D" w:rsidRPr="00CB036A" w:rsidRDefault="00A53D7D" w:rsidP="005140B4">
            <w:pPr>
              <w:pStyle w:val="Tabletextnoindent"/>
            </w:pPr>
            <w:r w:rsidRPr="00CB036A">
              <w:t>Veterans’ Affairs</w:t>
            </w:r>
          </w:p>
        </w:tc>
      </w:tr>
      <w:tr w:rsidR="00A53D7D" w:rsidTr="005140B4">
        <w:trPr>
          <w:cantSplit/>
          <w:trHeight w:val="3858"/>
        </w:trPr>
        <w:tc>
          <w:tcPr>
            <w:tcW w:w="1681" w:type="pct"/>
            <w:tcBorders>
              <w:top w:val="single" w:sz="4" w:space="0" w:color="auto"/>
            </w:tcBorders>
            <w:shd w:val="clear" w:color="auto" w:fill="auto"/>
          </w:tcPr>
          <w:p w:rsidR="00A53D7D" w:rsidRPr="000B58D1" w:rsidRDefault="00A53D7D" w:rsidP="005140B4">
            <w:pPr>
              <w:pStyle w:val="Tabletextnoindent"/>
            </w:pPr>
            <w:r w:rsidRPr="000B58D1">
              <w:t>Promoting an effective, accountable and professional public administration</w:t>
            </w:r>
          </w:p>
        </w:tc>
        <w:tc>
          <w:tcPr>
            <w:tcW w:w="1672" w:type="pct"/>
            <w:tcBorders>
              <w:top w:val="single" w:sz="4" w:space="0" w:color="auto"/>
            </w:tcBorders>
            <w:shd w:val="clear" w:color="auto" w:fill="auto"/>
          </w:tcPr>
          <w:p w:rsidR="00A53D7D" w:rsidRPr="000B58D1" w:rsidRDefault="00A53D7D" w:rsidP="005140B4">
            <w:pPr>
              <w:pStyle w:val="Tabletextnoindent"/>
            </w:pPr>
            <w:r w:rsidRPr="000B58D1">
              <w:t>The Governor is supported effectively in the exercising of his functions and powers</w:t>
            </w:r>
          </w:p>
          <w:p w:rsidR="00A53D7D" w:rsidRPr="000B58D1" w:rsidRDefault="00A53D7D" w:rsidP="005140B4">
            <w:pPr>
              <w:pStyle w:val="Tabletextnoindent"/>
            </w:pPr>
            <w:r w:rsidRPr="000B58D1">
              <w:t>A centre for excellence that fosters an efficient, ethical and responsible public sector</w:t>
            </w:r>
          </w:p>
          <w:p w:rsidR="00A53D7D" w:rsidRPr="000B58D1" w:rsidRDefault="00A53D7D" w:rsidP="005140B4">
            <w:pPr>
              <w:pStyle w:val="Tabletextnoindent"/>
            </w:pPr>
            <w:r w:rsidRPr="000B58D1">
              <w:t>Fairness, integrity and respect for human rights and administrative excellence in the Victorian public sector are effectively promoted</w:t>
            </w:r>
          </w:p>
          <w:p w:rsidR="00A53D7D" w:rsidRPr="000B58D1" w:rsidRDefault="00A53D7D" w:rsidP="005140B4">
            <w:pPr>
              <w:pStyle w:val="Tabletextnoindent"/>
            </w:pPr>
            <w:r w:rsidRPr="000B58D1">
              <w:t xml:space="preserve">Services provided to the State relating to the development, drafting, publication and implementation of legislation are comprehensive, integrated and of </w:t>
            </w:r>
            <w:r>
              <w:t>a high</w:t>
            </w:r>
            <w:r>
              <w:noBreakHyphen/>
            </w:r>
            <w:r w:rsidRPr="000B58D1">
              <w:t>quality</w:t>
            </w:r>
          </w:p>
        </w:tc>
        <w:tc>
          <w:tcPr>
            <w:tcW w:w="1647" w:type="pct"/>
            <w:tcBorders>
              <w:top w:val="single" w:sz="4" w:space="0" w:color="auto"/>
            </w:tcBorders>
            <w:shd w:val="clear" w:color="auto" w:fill="auto"/>
          </w:tcPr>
          <w:p w:rsidR="00A53D7D" w:rsidRDefault="00A53D7D" w:rsidP="005140B4">
            <w:pPr>
              <w:pStyle w:val="Tabletextnoindent"/>
            </w:pPr>
            <w:r w:rsidRPr="00CB036A">
              <w:t>Advice and Support to the Governor</w:t>
            </w:r>
          </w:p>
          <w:p w:rsidR="00A53D7D" w:rsidRPr="006949AD" w:rsidRDefault="00A53D7D" w:rsidP="005140B4">
            <w:pPr>
              <w:pStyle w:val="Tabletextnoindent"/>
              <w:rPr>
                <w:color w:val="000000" w:themeColor="text1"/>
              </w:rPr>
            </w:pPr>
            <w:r w:rsidRPr="006949AD">
              <w:rPr>
                <w:color w:val="000000" w:themeColor="text1"/>
              </w:rPr>
              <w:t xml:space="preserve">Public Administration </w:t>
            </w:r>
            <w:r>
              <w:rPr>
                <w:color w:val="000000" w:themeColor="text1"/>
              </w:rPr>
              <w:t xml:space="preserve">Advice </w:t>
            </w:r>
            <w:r w:rsidRPr="006949AD">
              <w:rPr>
                <w:color w:val="000000" w:themeColor="text1"/>
              </w:rPr>
              <w:t>and Support</w:t>
            </w:r>
          </w:p>
          <w:p w:rsidR="00A53D7D" w:rsidRDefault="00A53D7D" w:rsidP="005140B4">
            <w:pPr>
              <w:pStyle w:val="Tabletextnoindent"/>
            </w:pPr>
            <w:r>
              <w:t>Ombudsman Services</w:t>
            </w:r>
          </w:p>
          <w:p w:rsidR="00A53D7D" w:rsidRPr="000B58D1" w:rsidRDefault="00A53D7D" w:rsidP="005140B4">
            <w:pPr>
              <w:pStyle w:val="Tabletextnoindent"/>
            </w:pPr>
            <w:r>
              <w:t>Chief Parliamentary Counsel Services</w:t>
            </w:r>
          </w:p>
        </w:tc>
      </w:tr>
    </w:tbl>
    <w:p w:rsidR="00A53D7D" w:rsidRDefault="00A53D7D" w:rsidP="005140B4">
      <w:pPr>
        <w:pStyle w:val="Source"/>
      </w:pPr>
      <w:r w:rsidRPr="007052B7">
        <w:t>Source: Department of Premier and Cabinet</w:t>
      </w:r>
    </w:p>
    <w:p w:rsidR="004E7A50" w:rsidRPr="004E7A50" w:rsidRDefault="004E7A50" w:rsidP="004E7A50">
      <w:pPr>
        <w:pStyle w:val="Notes"/>
      </w:pPr>
    </w:p>
    <w:p w:rsidR="00A53D7D" w:rsidRDefault="00A53D7D" w:rsidP="005140B4">
      <w:pPr>
        <w:pStyle w:val="Heading2"/>
      </w:pPr>
      <w:r>
        <w:t>Changes to the output structure</w:t>
      </w:r>
    </w:p>
    <w:p w:rsidR="00A53D7D" w:rsidRDefault="00A53D7D" w:rsidP="005140B4">
      <w:r w:rsidRPr="007052B7">
        <w:t>The Department has made some changes to its output structure for 2014</w:t>
      </w:r>
      <w:r>
        <w:noBreakHyphen/>
      </w:r>
      <w:r w:rsidRPr="007052B7">
        <w:t>15 as shown in the table below:</w:t>
      </w:r>
    </w:p>
    <w:tbl>
      <w:tblPr>
        <w:tblW w:w="5000" w:type="pct"/>
        <w:tblCellMar>
          <w:left w:w="43" w:type="dxa"/>
          <w:right w:w="43" w:type="dxa"/>
        </w:tblCellMar>
        <w:tblLook w:val="0000" w:firstRow="0" w:lastRow="0" w:firstColumn="0" w:lastColumn="0" w:noHBand="0" w:noVBand="0"/>
      </w:tblPr>
      <w:tblGrid>
        <w:gridCol w:w="2618"/>
        <w:gridCol w:w="2603"/>
        <w:gridCol w:w="2564"/>
      </w:tblGrid>
      <w:tr w:rsidR="00A53D7D" w:rsidRPr="003B522A" w:rsidTr="005140B4">
        <w:trPr>
          <w:cantSplit/>
          <w:tblHeader/>
        </w:trPr>
        <w:tc>
          <w:tcPr>
            <w:tcW w:w="1681" w:type="pct"/>
            <w:tcBorders>
              <w:top w:val="single" w:sz="4" w:space="0" w:color="auto"/>
              <w:left w:val="single" w:sz="4" w:space="0" w:color="auto"/>
              <w:bottom w:val="single" w:sz="4" w:space="0" w:color="auto"/>
              <w:right w:val="single" w:sz="4" w:space="0" w:color="auto"/>
            </w:tcBorders>
            <w:shd w:val="clear" w:color="auto" w:fill="000000"/>
          </w:tcPr>
          <w:p w:rsidR="00A53D7D" w:rsidRPr="003B522A" w:rsidRDefault="00A53D7D" w:rsidP="005140B4">
            <w:pPr>
              <w:pStyle w:val="TabletextheadingLeft0"/>
            </w:pPr>
            <w:r w:rsidRPr="003B522A">
              <w:t>2013</w:t>
            </w:r>
            <w:r>
              <w:noBreakHyphen/>
            </w:r>
            <w:r w:rsidRPr="003B522A">
              <w:t>14 Outputs</w:t>
            </w:r>
          </w:p>
        </w:tc>
        <w:tc>
          <w:tcPr>
            <w:tcW w:w="1672" w:type="pct"/>
            <w:tcBorders>
              <w:top w:val="single" w:sz="4" w:space="0" w:color="auto"/>
              <w:left w:val="single" w:sz="4" w:space="0" w:color="auto"/>
              <w:bottom w:val="single" w:sz="4" w:space="0" w:color="auto"/>
              <w:right w:val="single" w:sz="4" w:space="0" w:color="auto"/>
            </w:tcBorders>
            <w:shd w:val="clear" w:color="auto" w:fill="000000"/>
          </w:tcPr>
          <w:p w:rsidR="00A53D7D" w:rsidRPr="003B522A" w:rsidRDefault="00A53D7D" w:rsidP="005140B4">
            <w:pPr>
              <w:pStyle w:val="TabletextheadingLeft0"/>
            </w:pPr>
            <w:r w:rsidRPr="003B522A">
              <w:t xml:space="preserve">Reason </w:t>
            </w:r>
          </w:p>
        </w:tc>
        <w:tc>
          <w:tcPr>
            <w:tcW w:w="1647" w:type="pct"/>
            <w:tcBorders>
              <w:top w:val="single" w:sz="4" w:space="0" w:color="auto"/>
              <w:left w:val="single" w:sz="4" w:space="0" w:color="auto"/>
              <w:bottom w:val="single" w:sz="4" w:space="0" w:color="auto"/>
              <w:right w:val="single" w:sz="4" w:space="0" w:color="auto"/>
            </w:tcBorders>
            <w:shd w:val="clear" w:color="auto" w:fill="000000"/>
          </w:tcPr>
          <w:p w:rsidR="00A53D7D" w:rsidRPr="003B522A" w:rsidRDefault="00A53D7D" w:rsidP="005140B4">
            <w:pPr>
              <w:pStyle w:val="TabletextheadingLeft0"/>
            </w:pPr>
            <w:r w:rsidRPr="003B522A">
              <w:t>2014</w:t>
            </w:r>
            <w:r>
              <w:noBreakHyphen/>
            </w:r>
            <w:r w:rsidRPr="003B522A">
              <w:t>15 Outputs</w:t>
            </w:r>
          </w:p>
        </w:tc>
      </w:tr>
      <w:tr w:rsidR="00A53D7D" w:rsidRPr="004914FE" w:rsidTr="005140B4">
        <w:trPr>
          <w:cantSplit/>
        </w:trPr>
        <w:tc>
          <w:tcPr>
            <w:tcW w:w="1681" w:type="pct"/>
            <w:tcBorders>
              <w:top w:val="single" w:sz="4" w:space="0" w:color="auto"/>
              <w:bottom w:val="single" w:sz="12" w:space="0" w:color="auto"/>
            </w:tcBorders>
            <w:shd w:val="clear" w:color="auto" w:fill="auto"/>
          </w:tcPr>
          <w:p w:rsidR="00A53D7D" w:rsidRPr="004914FE" w:rsidRDefault="00A53D7D" w:rsidP="005140B4">
            <w:pPr>
              <w:keepNext/>
              <w:spacing w:before="40"/>
              <w:rPr>
                <w:rFonts w:asciiTheme="minorHAnsi" w:hAnsiTheme="minorHAnsi" w:cstheme="minorHAnsi"/>
                <w:sz w:val="20"/>
              </w:rPr>
            </w:pPr>
            <w:r w:rsidRPr="007052B7">
              <w:rPr>
                <w:rFonts w:asciiTheme="minorHAnsi" w:hAnsiTheme="minorHAnsi" w:cstheme="minorHAnsi"/>
                <w:sz w:val="20"/>
              </w:rPr>
              <w:t>State Services Authority</w:t>
            </w:r>
          </w:p>
        </w:tc>
        <w:tc>
          <w:tcPr>
            <w:tcW w:w="1672" w:type="pct"/>
            <w:tcBorders>
              <w:top w:val="single" w:sz="4" w:space="0" w:color="auto"/>
              <w:bottom w:val="single" w:sz="12" w:space="0" w:color="auto"/>
            </w:tcBorders>
            <w:shd w:val="clear" w:color="auto" w:fill="auto"/>
          </w:tcPr>
          <w:p w:rsidR="00A53D7D" w:rsidRPr="004914FE" w:rsidRDefault="00A53D7D" w:rsidP="005140B4">
            <w:pPr>
              <w:keepNext/>
              <w:spacing w:before="40"/>
              <w:rPr>
                <w:rFonts w:asciiTheme="minorHAnsi" w:hAnsiTheme="minorHAnsi" w:cstheme="minorHAnsi"/>
                <w:sz w:val="20"/>
              </w:rPr>
            </w:pPr>
            <w:r w:rsidRPr="007052B7">
              <w:rPr>
                <w:rFonts w:asciiTheme="minorHAnsi" w:hAnsiTheme="minorHAnsi" w:cstheme="minorHAnsi"/>
                <w:sz w:val="20"/>
              </w:rPr>
              <w:t>New output to reflect the establishment of the Victorian Public Sector Commission</w:t>
            </w:r>
          </w:p>
        </w:tc>
        <w:tc>
          <w:tcPr>
            <w:tcW w:w="1647" w:type="pct"/>
            <w:tcBorders>
              <w:top w:val="single" w:sz="4" w:space="0" w:color="auto"/>
              <w:bottom w:val="single" w:sz="12" w:space="0" w:color="auto"/>
            </w:tcBorders>
            <w:shd w:val="clear" w:color="auto" w:fill="auto"/>
          </w:tcPr>
          <w:p w:rsidR="00A53D7D" w:rsidRPr="004914FE" w:rsidRDefault="00A53D7D" w:rsidP="005140B4">
            <w:pPr>
              <w:keepNext/>
              <w:spacing w:before="40"/>
              <w:rPr>
                <w:rFonts w:asciiTheme="minorHAnsi" w:hAnsiTheme="minorHAnsi" w:cstheme="minorHAnsi"/>
                <w:sz w:val="20"/>
              </w:rPr>
            </w:pPr>
            <w:r w:rsidRPr="007052B7">
              <w:rPr>
                <w:rFonts w:asciiTheme="minorHAnsi" w:hAnsiTheme="minorHAnsi" w:cstheme="minorHAnsi"/>
                <w:sz w:val="20"/>
              </w:rPr>
              <w:t>Public Administration Advice and Support</w:t>
            </w:r>
          </w:p>
        </w:tc>
      </w:tr>
    </w:tbl>
    <w:p w:rsidR="00A53D7D" w:rsidRDefault="00A53D7D" w:rsidP="005140B4">
      <w:pPr>
        <w:pStyle w:val="Source"/>
      </w:pPr>
      <w:r w:rsidRPr="007052B7">
        <w:t>Source: Department of Premier and Cabinet</w:t>
      </w:r>
    </w:p>
    <w:p w:rsidR="00A53D7D" w:rsidRDefault="00A53D7D" w:rsidP="005140B4">
      <w:pPr>
        <w:spacing w:after="0"/>
      </w:pPr>
      <w:r>
        <w:br w:type="page"/>
      </w:r>
      <w:r w:rsidRPr="007052B7">
        <w:t>The following table summarises the Department’s total output cost.</w:t>
      </w:r>
    </w:p>
    <w:p w:rsidR="00A53D7D" w:rsidRDefault="00A53D7D" w:rsidP="005140B4">
      <w:pPr>
        <w:pStyle w:val="Tableheading"/>
      </w:pPr>
      <w:r>
        <w:t>Table 2.17:</w:t>
      </w:r>
      <w:r>
        <w:tab/>
        <w:t xml:space="preserve">Output summary </w:t>
      </w:r>
    </w:p>
    <w:p w:rsidR="00A53D7D" w:rsidRPr="002C429E"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2C429E" w:rsidTr="005140B4">
        <w:tc>
          <w:tcPr>
            <w:tcW w:w="3801" w:type="dxa"/>
            <w:tcBorders>
              <w:top w:val="single" w:sz="4" w:space="0" w:color="auto"/>
              <w:left w:val="single" w:sz="4" w:space="0" w:color="auto"/>
              <w:bottom w:val="nil"/>
              <w:right w:val="nil"/>
            </w:tcBorders>
            <w:shd w:val="clear" w:color="auto" w:fill="000000"/>
          </w:tcPr>
          <w:p w:rsidR="00A53D7D" w:rsidRPr="002C429E" w:rsidRDefault="00A53D7D" w:rsidP="005140B4">
            <w:pPr>
              <w:pStyle w:val="Tabletext"/>
              <w:rPr>
                <w:rFonts w:eastAsiaTheme="minorEastAsia"/>
                <w:lang w:eastAsia="en-AU"/>
              </w:rPr>
            </w:pPr>
          </w:p>
        </w:tc>
        <w:tc>
          <w:tcPr>
            <w:tcW w:w="993" w:type="dxa"/>
            <w:tcBorders>
              <w:top w:val="single" w:sz="4" w:space="0" w:color="auto"/>
              <w:left w:val="nil"/>
              <w:bottom w:val="nil"/>
              <w:right w:val="nil"/>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2014-15</w:t>
            </w:r>
          </w:p>
        </w:tc>
        <w:tc>
          <w:tcPr>
            <w:tcW w:w="993" w:type="dxa"/>
            <w:tcBorders>
              <w:top w:val="single" w:sz="4" w:space="0" w:color="auto"/>
              <w:left w:val="nil"/>
              <w:bottom w:val="nil"/>
              <w:right w:val="single" w:sz="4" w:space="0" w:color="auto"/>
            </w:tcBorders>
            <w:shd w:val="clear" w:color="auto" w:fill="000000"/>
          </w:tcPr>
          <w:p w:rsidR="00A53D7D" w:rsidRPr="002C429E" w:rsidRDefault="00A53D7D" w:rsidP="005140B4">
            <w:pPr>
              <w:pStyle w:val="Tabletextheading"/>
              <w:ind w:left="-8"/>
              <w:rPr>
                <w:rFonts w:eastAsiaTheme="minorEastAsia" w:cs="Calibri"/>
                <w:iCs/>
                <w:color w:val="FFFFFF" w:themeColor="background1"/>
                <w:vertAlign w:val="superscript"/>
                <w:lang w:eastAsia="en-AU"/>
              </w:rPr>
            </w:pPr>
            <w:r w:rsidRPr="002C429E">
              <w:rPr>
                <w:rFonts w:eastAsiaTheme="minorEastAsia"/>
                <w:lang w:eastAsia="en-AU"/>
              </w:rPr>
              <w:t>Variation</w:t>
            </w:r>
            <w:r w:rsidRPr="002C429E">
              <w:rPr>
                <w:rFonts w:eastAsiaTheme="minorEastAsia"/>
                <w:vertAlign w:val="superscript"/>
                <w:lang w:eastAsia="en-AU"/>
              </w:rPr>
              <w:t>(</w:t>
            </w:r>
            <w:r w:rsidRPr="002C429E">
              <w:rPr>
                <w:rFonts w:eastAsiaTheme="minorEastAsia" w:cs="Calibri"/>
                <w:iCs/>
                <w:color w:val="FFFFFF" w:themeColor="background1"/>
                <w:vertAlign w:val="superscript"/>
                <w:lang w:eastAsia="en-AU"/>
              </w:rPr>
              <w:t>a)</w:t>
            </w:r>
          </w:p>
        </w:tc>
      </w:tr>
      <w:tr w:rsidR="00A53D7D" w:rsidRPr="002C429E" w:rsidTr="005140B4">
        <w:tc>
          <w:tcPr>
            <w:tcW w:w="3801" w:type="dxa"/>
            <w:tcBorders>
              <w:top w:val="nil"/>
              <w:left w:val="single" w:sz="4" w:space="0" w:color="auto"/>
              <w:bottom w:val="single" w:sz="4" w:space="0" w:color="auto"/>
              <w:right w:val="nil"/>
            </w:tcBorders>
            <w:shd w:val="clear" w:color="auto" w:fill="000000"/>
          </w:tcPr>
          <w:p w:rsidR="00A53D7D" w:rsidRPr="002C429E" w:rsidRDefault="00A53D7D" w:rsidP="005140B4">
            <w:pPr>
              <w:pStyle w:val="Tabletext"/>
              <w:rPr>
                <w:rFonts w:eastAsiaTheme="minorEastAsia"/>
                <w:lang w:eastAsia="en-AU"/>
              </w:rPr>
            </w:pPr>
          </w:p>
        </w:tc>
        <w:tc>
          <w:tcPr>
            <w:tcW w:w="993" w:type="dxa"/>
            <w:tcBorders>
              <w:top w:val="nil"/>
              <w:left w:val="nil"/>
              <w:bottom w:val="single" w:sz="4" w:space="0" w:color="auto"/>
              <w:right w:val="nil"/>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Budget</w:t>
            </w:r>
          </w:p>
        </w:tc>
        <w:tc>
          <w:tcPr>
            <w:tcW w:w="993" w:type="dxa"/>
            <w:tcBorders>
              <w:top w:val="nil"/>
              <w:left w:val="nil"/>
              <w:bottom w:val="single" w:sz="4" w:space="0" w:color="auto"/>
              <w:right w:val="single" w:sz="4" w:space="0" w:color="auto"/>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w:t>
            </w:r>
          </w:p>
        </w:tc>
      </w:tr>
      <w:tr w:rsidR="00A53D7D" w:rsidRPr="002C429E" w:rsidTr="005140B4">
        <w:tc>
          <w:tcPr>
            <w:tcW w:w="3801" w:type="dxa"/>
            <w:tcBorders>
              <w:top w:val="single" w:sz="4" w:space="0" w:color="auto"/>
              <w:left w:val="nil"/>
              <w:bottom w:val="nil"/>
              <w:right w:val="nil"/>
            </w:tcBorders>
          </w:tcPr>
          <w:p w:rsidR="00A53D7D" w:rsidRPr="002C429E" w:rsidRDefault="00A53D7D" w:rsidP="005140B4">
            <w:pPr>
              <w:pStyle w:val="Tabletext"/>
              <w:rPr>
                <w:rFonts w:eastAsiaTheme="minorEastAsia" w:cs="Calibri"/>
                <w:color w:val="000000"/>
                <w:lang w:eastAsia="en-AU"/>
              </w:rPr>
            </w:pPr>
            <w:r w:rsidRPr="002C429E">
              <w:rPr>
                <w:rFonts w:eastAsiaTheme="minorEastAsia"/>
                <w:lang w:eastAsia="en-AU"/>
              </w:rPr>
              <w:t xml:space="preserve">Strategic Advice and Support </w:t>
            </w:r>
            <w:r w:rsidRPr="002C429E">
              <w:rPr>
                <w:rFonts w:eastAsiaTheme="minorEastAsia" w:cs="Calibri"/>
                <w:color w:val="000000"/>
                <w:vertAlign w:val="superscript"/>
                <w:lang w:eastAsia="en-AU"/>
              </w:rPr>
              <w:t>(b)</w:t>
            </w:r>
          </w:p>
        </w:tc>
        <w:tc>
          <w:tcPr>
            <w:tcW w:w="993" w:type="dxa"/>
            <w:tcBorders>
              <w:top w:val="single" w:sz="4" w:space="0" w:color="auto"/>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99.1</w:t>
            </w:r>
          </w:p>
        </w:tc>
        <w:tc>
          <w:tcPr>
            <w:tcW w:w="993" w:type="dxa"/>
            <w:tcBorders>
              <w:top w:val="single" w:sz="4" w:space="0" w:color="auto"/>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104.5</w:t>
            </w:r>
          </w:p>
        </w:tc>
        <w:tc>
          <w:tcPr>
            <w:tcW w:w="993" w:type="dxa"/>
            <w:tcBorders>
              <w:top w:val="single" w:sz="4" w:space="0" w:color="auto"/>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104.6</w:t>
            </w:r>
          </w:p>
        </w:tc>
        <w:tc>
          <w:tcPr>
            <w:tcW w:w="993" w:type="dxa"/>
            <w:tcBorders>
              <w:top w:val="single" w:sz="4" w:space="0" w:color="auto"/>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5.5</w:t>
            </w:r>
          </w:p>
        </w:tc>
      </w:tr>
      <w:tr w:rsidR="00A53D7D" w:rsidRPr="002C429E" w:rsidTr="005140B4">
        <w:tc>
          <w:tcPr>
            <w:tcW w:w="3801" w:type="dxa"/>
            <w:tcBorders>
              <w:top w:val="nil"/>
              <w:left w:val="nil"/>
              <w:bottom w:val="nil"/>
              <w:right w:val="nil"/>
            </w:tcBorders>
          </w:tcPr>
          <w:p w:rsidR="00A53D7D" w:rsidRPr="002C429E" w:rsidRDefault="00A53D7D" w:rsidP="005140B4">
            <w:pPr>
              <w:pStyle w:val="Tabletext"/>
              <w:rPr>
                <w:rFonts w:eastAsiaTheme="minorEastAsia"/>
                <w:lang w:eastAsia="en-AU"/>
              </w:rPr>
            </w:pPr>
            <w:r w:rsidRPr="002C429E">
              <w:rPr>
                <w:rFonts w:eastAsiaTheme="minorEastAsia"/>
                <w:lang w:eastAsia="en-AU"/>
              </w:rPr>
              <w:t>Arts and Cultural Development</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480.6</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476.2</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488.3</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1.6</w:t>
            </w:r>
          </w:p>
        </w:tc>
      </w:tr>
      <w:tr w:rsidR="00A53D7D" w:rsidRPr="002C429E" w:rsidTr="005140B4">
        <w:tc>
          <w:tcPr>
            <w:tcW w:w="3801" w:type="dxa"/>
            <w:tcBorders>
              <w:top w:val="nil"/>
              <w:left w:val="nil"/>
              <w:bottom w:val="nil"/>
              <w:right w:val="nil"/>
            </w:tcBorders>
          </w:tcPr>
          <w:p w:rsidR="00A53D7D" w:rsidRPr="002C429E" w:rsidRDefault="00A53D7D" w:rsidP="005140B4">
            <w:pPr>
              <w:pStyle w:val="Tabletext"/>
              <w:rPr>
                <w:rFonts w:eastAsiaTheme="minorEastAsia"/>
                <w:lang w:eastAsia="en-AU"/>
              </w:rPr>
            </w:pPr>
            <w:r w:rsidRPr="002C429E">
              <w:rPr>
                <w:rFonts w:eastAsiaTheme="minorEastAsia"/>
                <w:lang w:eastAsia="en-AU"/>
              </w:rPr>
              <w:t>Supporting and Strengthening Communities</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49.7</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45.3</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50</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0.6</w:t>
            </w:r>
          </w:p>
        </w:tc>
      </w:tr>
      <w:tr w:rsidR="00A53D7D" w:rsidRPr="002C429E" w:rsidTr="005140B4">
        <w:tc>
          <w:tcPr>
            <w:tcW w:w="3801" w:type="dxa"/>
            <w:tcBorders>
              <w:top w:val="nil"/>
              <w:left w:val="nil"/>
              <w:bottom w:val="nil"/>
              <w:right w:val="nil"/>
            </w:tcBorders>
          </w:tcPr>
          <w:p w:rsidR="00A53D7D" w:rsidRPr="002C429E" w:rsidRDefault="00A53D7D" w:rsidP="005140B4">
            <w:pPr>
              <w:pStyle w:val="Tabletext"/>
              <w:rPr>
                <w:rFonts w:eastAsiaTheme="minorEastAsia" w:cs="Calibri"/>
                <w:color w:val="000000"/>
                <w:lang w:eastAsia="en-AU"/>
              </w:rPr>
            </w:pPr>
            <w:r w:rsidRPr="002C429E">
              <w:rPr>
                <w:rFonts w:eastAsiaTheme="minorEastAsia"/>
                <w:lang w:eastAsia="en-AU"/>
              </w:rPr>
              <w:t>Public Sector Management, Governance</w:t>
            </w:r>
            <w:r w:rsidRPr="002C429E">
              <w:rPr>
                <w:rFonts w:eastAsiaTheme="minorEastAsia" w:cs="Calibri"/>
                <w:color w:val="000000"/>
                <w:lang w:eastAsia="en-AU"/>
              </w:rPr>
              <w:t xml:space="preserve"> and Support</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32.3</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33.7</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33.2</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2.8</w:t>
            </w:r>
          </w:p>
        </w:tc>
      </w:tr>
      <w:tr w:rsidR="00A53D7D" w:rsidRPr="002C429E" w:rsidTr="005140B4">
        <w:tc>
          <w:tcPr>
            <w:tcW w:w="3801" w:type="dxa"/>
            <w:tcBorders>
              <w:top w:val="single" w:sz="6" w:space="0" w:color="auto"/>
              <w:left w:val="nil"/>
              <w:bottom w:val="single" w:sz="12" w:space="0" w:color="auto"/>
              <w:right w:val="nil"/>
            </w:tcBorders>
          </w:tcPr>
          <w:p w:rsidR="00A53D7D" w:rsidRPr="002C429E" w:rsidRDefault="00A53D7D" w:rsidP="005140B4">
            <w:pPr>
              <w:pStyle w:val="Tabletext"/>
              <w:rPr>
                <w:rFonts w:eastAsiaTheme="minorEastAsia"/>
                <w:b/>
                <w:bCs/>
                <w:lang w:eastAsia="en-AU"/>
              </w:rPr>
            </w:pPr>
            <w:r w:rsidRPr="002C429E">
              <w:rPr>
                <w:rFonts w:eastAsiaTheme="minorEastAsia"/>
                <w:b/>
                <w:bCs/>
                <w:lang w:eastAsia="en-AU"/>
              </w:rPr>
              <w:t>Total</w:t>
            </w:r>
          </w:p>
        </w:tc>
        <w:tc>
          <w:tcPr>
            <w:tcW w:w="993" w:type="dxa"/>
            <w:tcBorders>
              <w:top w:val="single" w:sz="6" w:space="0" w:color="auto"/>
              <w:left w:val="nil"/>
              <w:bottom w:val="single" w:sz="12" w:space="0" w:color="auto"/>
              <w:right w:val="nil"/>
            </w:tcBorders>
          </w:tcPr>
          <w:p w:rsidR="00A53D7D" w:rsidRPr="002C429E" w:rsidRDefault="00A53D7D" w:rsidP="005140B4">
            <w:pPr>
              <w:pStyle w:val="TableofFigures"/>
              <w:rPr>
                <w:rFonts w:eastAsiaTheme="minorEastAsia"/>
                <w:b/>
                <w:bCs/>
                <w:lang w:eastAsia="en-AU"/>
              </w:rPr>
            </w:pPr>
            <w:r w:rsidRPr="002C429E">
              <w:rPr>
                <w:rFonts w:eastAsiaTheme="minorEastAsia"/>
                <w:b/>
                <w:bCs/>
                <w:lang w:eastAsia="en-AU"/>
              </w:rPr>
              <w:t>661.7</w:t>
            </w:r>
          </w:p>
        </w:tc>
        <w:tc>
          <w:tcPr>
            <w:tcW w:w="993" w:type="dxa"/>
            <w:tcBorders>
              <w:top w:val="single" w:sz="6" w:space="0" w:color="auto"/>
              <w:left w:val="nil"/>
              <w:bottom w:val="single" w:sz="12" w:space="0" w:color="auto"/>
              <w:right w:val="nil"/>
            </w:tcBorders>
          </w:tcPr>
          <w:p w:rsidR="00A53D7D" w:rsidRPr="002C429E" w:rsidRDefault="00A53D7D" w:rsidP="005140B4">
            <w:pPr>
              <w:pStyle w:val="TableofFigures"/>
              <w:rPr>
                <w:rFonts w:eastAsiaTheme="minorEastAsia"/>
                <w:b/>
                <w:bCs/>
                <w:lang w:eastAsia="en-AU"/>
              </w:rPr>
            </w:pPr>
            <w:r w:rsidRPr="002C429E">
              <w:rPr>
                <w:rFonts w:eastAsiaTheme="minorEastAsia"/>
                <w:b/>
                <w:bCs/>
                <w:lang w:eastAsia="en-AU"/>
              </w:rPr>
              <w:t>659.7</w:t>
            </w:r>
          </w:p>
        </w:tc>
        <w:tc>
          <w:tcPr>
            <w:tcW w:w="993" w:type="dxa"/>
            <w:tcBorders>
              <w:top w:val="single" w:sz="6" w:space="0" w:color="auto"/>
              <w:left w:val="nil"/>
              <w:bottom w:val="single" w:sz="12" w:space="0" w:color="auto"/>
              <w:right w:val="nil"/>
            </w:tcBorders>
          </w:tcPr>
          <w:p w:rsidR="00A53D7D" w:rsidRPr="002C429E" w:rsidRDefault="00A53D7D" w:rsidP="005140B4">
            <w:pPr>
              <w:pStyle w:val="TableofFigures"/>
              <w:rPr>
                <w:rFonts w:eastAsiaTheme="minorEastAsia"/>
                <w:b/>
                <w:bCs/>
                <w:lang w:eastAsia="en-AU"/>
              </w:rPr>
            </w:pPr>
            <w:r w:rsidRPr="002C429E">
              <w:rPr>
                <w:rFonts w:eastAsiaTheme="minorEastAsia"/>
                <w:b/>
                <w:bCs/>
                <w:lang w:eastAsia="en-AU"/>
              </w:rPr>
              <w:t>676.1</w:t>
            </w:r>
          </w:p>
        </w:tc>
        <w:tc>
          <w:tcPr>
            <w:tcW w:w="993" w:type="dxa"/>
            <w:tcBorders>
              <w:top w:val="single" w:sz="6" w:space="0" w:color="auto"/>
              <w:left w:val="nil"/>
              <w:bottom w:val="single" w:sz="12" w:space="0" w:color="auto"/>
              <w:right w:val="nil"/>
            </w:tcBorders>
          </w:tcPr>
          <w:p w:rsidR="00A53D7D" w:rsidRPr="002C429E" w:rsidRDefault="00A53D7D" w:rsidP="005140B4">
            <w:pPr>
              <w:pStyle w:val="TableofFigures"/>
              <w:rPr>
                <w:rFonts w:eastAsiaTheme="minorEastAsia"/>
                <w:b/>
                <w:bCs/>
                <w:lang w:eastAsia="en-AU"/>
              </w:rPr>
            </w:pPr>
            <w:r w:rsidRPr="002C429E">
              <w:rPr>
                <w:rFonts w:eastAsiaTheme="minorEastAsia"/>
                <w:b/>
                <w:bCs/>
                <w:lang w:eastAsia="en-AU"/>
              </w:rPr>
              <w:t>2.2</w:t>
            </w:r>
          </w:p>
        </w:tc>
      </w:tr>
    </w:tbl>
    <w:p w:rsidR="00A53D7D" w:rsidRDefault="00A53D7D" w:rsidP="005140B4">
      <w:pPr>
        <w:pStyle w:val="Source"/>
      </w:pPr>
      <w:r>
        <w:t xml:space="preserve">Source: Department of Premier and Cabinet </w:t>
      </w:r>
      <w:r>
        <w:fldChar w:fldCharType="begin"/>
      </w:r>
      <w:r>
        <w:instrText xml:space="preserve"> XE "</w:instrText>
      </w:r>
      <w:r w:rsidRPr="00B15ECE">
        <w:instrText xml:space="preserve">Department of </w:instrText>
      </w:r>
      <w:r>
        <w:instrText>Premier</w:instrText>
      </w:r>
      <w:r w:rsidRPr="00B15ECE">
        <w:instrText xml:space="preserve"> and </w:instrText>
      </w:r>
      <w:r>
        <w:instrText>Cabinet</w:instrText>
      </w:r>
      <w:r w:rsidRPr="00B15ECE">
        <w:instrText>:Output summary</w:instrText>
      </w:r>
      <w:r>
        <w:instrText xml:space="preserve">" </w:instrText>
      </w:r>
      <w:r>
        <w:fldChar w:fldCharType="end"/>
      </w:r>
    </w:p>
    <w:p w:rsidR="00A53D7D" w:rsidRDefault="00A53D7D" w:rsidP="005140B4">
      <w:pPr>
        <w:pStyle w:val="Notes"/>
      </w:pPr>
      <w:r>
        <w:t>Notes:</w:t>
      </w:r>
    </w:p>
    <w:p w:rsidR="00A53D7D" w:rsidRDefault="00A53D7D" w:rsidP="005140B4">
      <w:pPr>
        <w:pStyle w:val="Notes"/>
      </w:pPr>
      <w:r>
        <w:t>(a)</w:t>
      </w:r>
      <w:r>
        <w:tab/>
        <w:t>Variation between 2013</w:t>
      </w:r>
      <w:r>
        <w:noBreakHyphen/>
        <w:t>14 budget and 2014</w:t>
      </w:r>
      <w:r>
        <w:noBreakHyphen/>
        <w:t>15 budget.</w:t>
      </w:r>
    </w:p>
    <w:p w:rsidR="00A53D7D" w:rsidRDefault="00A53D7D" w:rsidP="005140B4">
      <w:pPr>
        <w:pStyle w:val="Notes"/>
      </w:pPr>
      <w:r>
        <w:t>(b)</w:t>
      </w:r>
      <w:r>
        <w:tab/>
        <w:t>The 2014</w:t>
      </w:r>
      <w:r>
        <w:noBreakHyphen/>
        <w:t>15 budget is the same as the 2013</w:t>
      </w:r>
      <w:r>
        <w:noBreakHyphen/>
        <w:t>14 budget with the exception of funding included in the 2014</w:t>
      </w:r>
      <w:r>
        <w:noBreakHyphen/>
        <w:t xml:space="preserve">15 budget for the implementation of reforms resulting from the </w:t>
      </w:r>
      <w:r w:rsidRPr="003F7001">
        <w:rPr>
          <w:i w:val="0"/>
        </w:rPr>
        <w:t>Parliamentary and Public Administration Legislation Amendment Act 2013</w:t>
      </w:r>
      <w:r>
        <w:t>.</w:t>
      </w:r>
    </w:p>
    <w:p w:rsidR="004E7A50" w:rsidRDefault="004E7A50" w:rsidP="005140B4">
      <w:pPr>
        <w:pStyle w:val="Notes"/>
      </w:pPr>
    </w:p>
    <w:p w:rsidR="00A53D7D" w:rsidRDefault="00A53D7D" w:rsidP="005140B4">
      <w:pPr>
        <w:pStyle w:val="Heading2"/>
      </w:pPr>
      <w:r>
        <w:t>Amounts available</w:t>
      </w:r>
    </w:p>
    <w:p w:rsidR="00A53D7D" w:rsidRDefault="00A53D7D" w:rsidP="005140B4">
      <w:r>
        <w:t>The following tables detail the amounts available to the Department from Parliamentary authority and income generated through transactions.</w:t>
      </w:r>
    </w:p>
    <w:p w:rsidR="00A53D7D" w:rsidRPr="007052B7" w:rsidRDefault="00A53D7D" w:rsidP="005140B4">
      <w:r>
        <w:t>Table 2.18 outlines the Department’s income from transactions and Table 2.19 summarises the sources of Parliamentary authority available to the Department to fund the provision of outputs, additions to net asset base and payments made on behalf of the State.</w:t>
      </w:r>
    </w:p>
    <w:p w:rsidR="00A53D7D" w:rsidRDefault="00A53D7D" w:rsidP="005140B4">
      <w:pPr>
        <w:pStyle w:val="Tableheading"/>
      </w:pPr>
      <w:r>
        <w:t>Table 2.18:</w:t>
      </w:r>
      <w:r>
        <w:tab/>
        <w:t xml:space="preserve">Income from transactions </w:t>
      </w:r>
    </w:p>
    <w:p w:rsidR="00A53D7D" w:rsidRPr="002C429E"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2C429E" w:rsidTr="005140B4">
        <w:tc>
          <w:tcPr>
            <w:tcW w:w="3801" w:type="dxa"/>
            <w:tcBorders>
              <w:top w:val="single" w:sz="4" w:space="0" w:color="auto"/>
              <w:left w:val="single" w:sz="4" w:space="0" w:color="auto"/>
              <w:bottom w:val="nil"/>
              <w:right w:val="nil"/>
            </w:tcBorders>
            <w:shd w:val="clear" w:color="auto" w:fill="000000"/>
          </w:tcPr>
          <w:p w:rsidR="00A53D7D" w:rsidRPr="002C429E" w:rsidRDefault="00A53D7D" w:rsidP="005140B4">
            <w:pPr>
              <w:pStyle w:val="Tabletext"/>
              <w:rPr>
                <w:rFonts w:eastAsiaTheme="minorEastAsia"/>
                <w:lang w:eastAsia="en-AU"/>
              </w:rPr>
            </w:pPr>
            <w:r w:rsidRPr="002C429E">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2012-13</w:t>
            </w:r>
          </w:p>
        </w:tc>
        <w:tc>
          <w:tcPr>
            <w:tcW w:w="993" w:type="dxa"/>
            <w:tcBorders>
              <w:top w:val="single" w:sz="4" w:space="0" w:color="auto"/>
              <w:left w:val="nil"/>
              <w:bottom w:val="nil"/>
              <w:right w:val="nil"/>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2013-14</w:t>
            </w:r>
          </w:p>
        </w:tc>
        <w:tc>
          <w:tcPr>
            <w:tcW w:w="993" w:type="dxa"/>
            <w:tcBorders>
              <w:top w:val="single" w:sz="4" w:space="0" w:color="auto"/>
              <w:left w:val="nil"/>
              <w:bottom w:val="nil"/>
              <w:right w:val="single" w:sz="4" w:space="0" w:color="auto"/>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2014-15</w:t>
            </w:r>
          </w:p>
        </w:tc>
      </w:tr>
      <w:tr w:rsidR="00A53D7D" w:rsidRPr="002C429E" w:rsidTr="005140B4">
        <w:tc>
          <w:tcPr>
            <w:tcW w:w="3801" w:type="dxa"/>
            <w:tcBorders>
              <w:top w:val="nil"/>
              <w:left w:val="single" w:sz="4" w:space="0" w:color="auto"/>
              <w:bottom w:val="single" w:sz="4" w:space="0" w:color="auto"/>
              <w:right w:val="nil"/>
            </w:tcBorders>
            <w:shd w:val="clear" w:color="auto" w:fill="000000"/>
          </w:tcPr>
          <w:p w:rsidR="00A53D7D" w:rsidRPr="002C429E" w:rsidRDefault="00A53D7D" w:rsidP="005140B4">
            <w:pPr>
              <w:pStyle w:val="Tabletext"/>
              <w:rPr>
                <w:rFonts w:eastAsiaTheme="minorEastAsia"/>
                <w:lang w:eastAsia="en-AU"/>
              </w:rPr>
            </w:pPr>
            <w:r w:rsidRPr="002C429E">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Actual</w:t>
            </w:r>
          </w:p>
        </w:tc>
        <w:tc>
          <w:tcPr>
            <w:tcW w:w="993" w:type="dxa"/>
            <w:tcBorders>
              <w:top w:val="nil"/>
              <w:left w:val="nil"/>
              <w:bottom w:val="single" w:sz="4" w:space="0" w:color="auto"/>
              <w:right w:val="nil"/>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 xml:space="preserve">Budget </w:t>
            </w:r>
          </w:p>
        </w:tc>
        <w:tc>
          <w:tcPr>
            <w:tcW w:w="993" w:type="dxa"/>
            <w:tcBorders>
              <w:top w:val="nil"/>
              <w:left w:val="nil"/>
              <w:bottom w:val="single" w:sz="4" w:space="0" w:color="auto"/>
              <w:right w:val="nil"/>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Revised</w:t>
            </w:r>
          </w:p>
        </w:tc>
        <w:tc>
          <w:tcPr>
            <w:tcW w:w="993" w:type="dxa"/>
            <w:tcBorders>
              <w:top w:val="nil"/>
              <w:left w:val="nil"/>
              <w:bottom w:val="single" w:sz="4" w:space="0" w:color="auto"/>
              <w:right w:val="single" w:sz="4" w:space="0" w:color="auto"/>
            </w:tcBorders>
            <w:shd w:val="clear" w:color="auto" w:fill="000000"/>
          </w:tcPr>
          <w:p w:rsidR="00A53D7D" w:rsidRPr="002C429E" w:rsidRDefault="00A53D7D" w:rsidP="005140B4">
            <w:pPr>
              <w:pStyle w:val="Tabletextheading"/>
              <w:rPr>
                <w:rFonts w:eastAsiaTheme="minorEastAsia"/>
                <w:lang w:eastAsia="en-AU"/>
              </w:rPr>
            </w:pPr>
            <w:r w:rsidRPr="002C429E">
              <w:rPr>
                <w:rFonts w:eastAsiaTheme="minorEastAsia"/>
                <w:lang w:eastAsia="en-AU"/>
              </w:rPr>
              <w:t>Budget</w:t>
            </w:r>
          </w:p>
        </w:tc>
      </w:tr>
      <w:tr w:rsidR="00A53D7D" w:rsidRPr="002C429E" w:rsidTr="005140B4">
        <w:tc>
          <w:tcPr>
            <w:tcW w:w="3801" w:type="dxa"/>
            <w:tcBorders>
              <w:top w:val="single" w:sz="4" w:space="0" w:color="auto"/>
              <w:left w:val="nil"/>
              <w:bottom w:val="nil"/>
              <w:right w:val="nil"/>
            </w:tcBorders>
          </w:tcPr>
          <w:p w:rsidR="00A53D7D" w:rsidRPr="002C429E" w:rsidRDefault="00A53D7D" w:rsidP="005140B4">
            <w:pPr>
              <w:pStyle w:val="Tabletext"/>
              <w:rPr>
                <w:rFonts w:eastAsiaTheme="minorEastAsia"/>
                <w:lang w:eastAsia="en-AU"/>
              </w:rPr>
            </w:pPr>
            <w:r w:rsidRPr="002C429E">
              <w:rPr>
                <w:rFonts w:eastAsiaTheme="minorEastAsia"/>
                <w:lang w:eastAsia="en-AU"/>
              </w:rPr>
              <w:t>Output appropriations</w:t>
            </w:r>
          </w:p>
        </w:tc>
        <w:tc>
          <w:tcPr>
            <w:tcW w:w="993" w:type="dxa"/>
            <w:tcBorders>
              <w:top w:val="single" w:sz="4" w:space="0" w:color="auto"/>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548.8</w:t>
            </w:r>
          </w:p>
        </w:tc>
        <w:tc>
          <w:tcPr>
            <w:tcW w:w="993" w:type="dxa"/>
            <w:tcBorders>
              <w:top w:val="single" w:sz="4" w:space="0" w:color="auto"/>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579.2</w:t>
            </w:r>
          </w:p>
        </w:tc>
        <w:tc>
          <w:tcPr>
            <w:tcW w:w="993" w:type="dxa"/>
            <w:tcBorders>
              <w:top w:val="single" w:sz="4" w:space="0" w:color="auto"/>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573.4</w:t>
            </w:r>
          </w:p>
        </w:tc>
        <w:tc>
          <w:tcPr>
            <w:tcW w:w="993" w:type="dxa"/>
            <w:tcBorders>
              <w:top w:val="single" w:sz="4" w:space="0" w:color="auto"/>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593.8</w:t>
            </w:r>
          </w:p>
        </w:tc>
      </w:tr>
      <w:tr w:rsidR="00A53D7D" w:rsidRPr="002C429E" w:rsidTr="005140B4">
        <w:tc>
          <w:tcPr>
            <w:tcW w:w="3801" w:type="dxa"/>
            <w:tcBorders>
              <w:top w:val="nil"/>
              <w:left w:val="nil"/>
              <w:bottom w:val="nil"/>
              <w:right w:val="nil"/>
            </w:tcBorders>
          </w:tcPr>
          <w:p w:rsidR="00A53D7D" w:rsidRPr="002C429E" w:rsidRDefault="00A53D7D" w:rsidP="005140B4">
            <w:pPr>
              <w:pStyle w:val="Tabletext"/>
              <w:rPr>
                <w:rFonts w:eastAsiaTheme="minorEastAsia"/>
                <w:lang w:eastAsia="en-AU"/>
              </w:rPr>
            </w:pPr>
            <w:r w:rsidRPr="002C429E">
              <w:rPr>
                <w:rFonts w:eastAsiaTheme="minorEastAsia"/>
                <w:lang w:eastAsia="en-AU"/>
              </w:rPr>
              <w:t>Special appropriations</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8.3</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8.3</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8.7</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8.7</w:t>
            </w:r>
          </w:p>
        </w:tc>
      </w:tr>
      <w:tr w:rsidR="00A53D7D" w:rsidRPr="002C429E" w:rsidTr="005140B4">
        <w:tc>
          <w:tcPr>
            <w:tcW w:w="3801" w:type="dxa"/>
            <w:tcBorders>
              <w:top w:val="nil"/>
              <w:left w:val="nil"/>
              <w:bottom w:val="nil"/>
              <w:right w:val="nil"/>
            </w:tcBorders>
          </w:tcPr>
          <w:p w:rsidR="00A53D7D" w:rsidRPr="002C429E" w:rsidRDefault="00A53D7D" w:rsidP="005140B4">
            <w:pPr>
              <w:pStyle w:val="Tabletext"/>
              <w:rPr>
                <w:rFonts w:eastAsiaTheme="minorEastAsia"/>
                <w:lang w:eastAsia="en-AU"/>
              </w:rPr>
            </w:pPr>
            <w:r w:rsidRPr="002C429E">
              <w:rPr>
                <w:rFonts w:eastAsiaTheme="minorEastAsia"/>
                <w:lang w:eastAsia="en-AU"/>
              </w:rPr>
              <w:t>Interest</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7.0</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3.3</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2.8</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2.9</w:t>
            </w:r>
          </w:p>
        </w:tc>
      </w:tr>
      <w:tr w:rsidR="00A53D7D" w:rsidRPr="002C429E" w:rsidTr="005140B4">
        <w:tc>
          <w:tcPr>
            <w:tcW w:w="3801" w:type="dxa"/>
            <w:tcBorders>
              <w:top w:val="nil"/>
              <w:left w:val="nil"/>
              <w:bottom w:val="nil"/>
              <w:right w:val="nil"/>
            </w:tcBorders>
          </w:tcPr>
          <w:p w:rsidR="00A53D7D" w:rsidRPr="002C429E" w:rsidRDefault="00A53D7D" w:rsidP="005140B4">
            <w:pPr>
              <w:pStyle w:val="Tabletext"/>
              <w:rPr>
                <w:rFonts w:eastAsiaTheme="minorEastAsia"/>
                <w:lang w:eastAsia="en-AU"/>
              </w:rPr>
            </w:pPr>
            <w:r w:rsidRPr="002C429E">
              <w:rPr>
                <w:rFonts w:eastAsiaTheme="minorEastAsia"/>
                <w:lang w:eastAsia="en-AU"/>
              </w:rPr>
              <w:t>Sale of goods and services</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64.1</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50.2</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58.6</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56.9</w:t>
            </w:r>
          </w:p>
        </w:tc>
      </w:tr>
      <w:tr w:rsidR="00A53D7D" w:rsidRPr="002C429E" w:rsidTr="005140B4">
        <w:tc>
          <w:tcPr>
            <w:tcW w:w="3801" w:type="dxa"/>
            <w:tcBorders>
              <w:top w:val="nil"/>
              <w:left w:val="nil"/>
              <w:bottom w:val="nil"/>
              <w:right w:val="nil"/>
            </w:tcBorders>
          </w:tcPr>
          <w:p w:rsidR="00A53D7D" w:rsidRPr="002C429E" w:rsidRDefault="00A53D7D" w:rsidP="005140B4">
            <w:pPr>
              <w:pStyle w:val="Tabletext"/>
              <w:rPr>
                <w:rFonts w:eastAsiaTheme="minorEastAsia"/>
                <w:lang w:eastAsia="en-AU"/>
              </w:rPr>
            </w:pPr>
            <w:r w:rsidRPr="002C429E">
              <w:rPr>
                <w:rFonts w:eastAsiaTheme="minorEastAsia"/>
                <w:lang w:eastAsia="en-AU"/>
              </w:rPr>
              <w:t>Grants</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15.6</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11.5</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15.5</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7.3</w:t>
            </w:r>
          </w:p>
        </w:tc>
      </w:tr>
      <w:tr w:rsidR="00A53D7D" w:rsidRPr="002C429E" w:rsidTr="005140B4">
        <w:tc>
          <w:tcPr>
            <w:tcW w:w="3801" w:type="dxa"/>
            <w:tcBorders>
              <w:top w:val="nil"/>
              <w:left w:val="nil"/>
              <w:bottom w:val="nil"/>
              <w:right w:val="nil"/>
            </w:tcBorders>
          </w:tcPr>
          <w:p w:rsidR="00A53D7D" w:rsidRPr="002C429E" w:rsidRDefault="00A53D7D" w:rsidP="005140B4">
            <w:pPr>
              <w:pStyle w:val="Tabletext"/>
              <w:rPr>
                <w:rFonts w:eastAsiaTheme="minorEastAsia"/>
                <w:lang w:eastAsia="en-AU"/>
              </w:rPr>
            </w:pPr>
            <w:r w:rsidRPr="002C429E">
              <w:rPr>
                <w:rFonts w:eastAsiaTheme="minorEastAsia"/>
                <w:lang w:eastAsia="en-AU"/>
              </w:rPr>
              <w:t>Fair value of assets and services received free of charge or for nominal consideration</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0.6</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1.5</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1.5</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1.7</w:t>
            </w:r>
          </w:p>
        </w:tc>
      </w:tr>
      <w:tr w:rsidR="00A53D7D" w:rsidRPr="002C429E" w:rsidTr="005140B4">
        <w:tc>
          <w:tcPr>
            <w:tcW w:w="3801" w:type="dxa"/>
            <w:tcBorders>
              <w:top w:val="nil"/>
              <w:left w:val="nil"/>
              <w:bottom w:val="nil"/>
              <w:right w:val="nil"/>
            </w:tcBorders>
          </w:tcPr>
          <w:p w:rsidR="00A53D7D" w:rsidRPr="002C429E" w:rsidRDefault="00A53D7D" w:rsidP="005140B4">
            <w:pPr>
              <w:pStyle w:val="Tabletext"/>
              <w:rPr>
                <w:rFonts w:eastAsiaTheme="minorEastAsia"/>
                <w:lang w:eastAsia="en-AU"/>
              </w:rPr>
            </w:pPr>
            <w:r w:rsidRPr="002C429E">
              <w:rPr>
                <w:rFonts w:eastAsiaTheme="minorEastAsia"/>
                <w:lang w:eastAsia="en-AU"/>
              </w:rPr>
              <w:t>Other income</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26.8</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26.0</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24.3</w:t>
            </w:r>
          </w:p>
        </w:tc>
        <w:tc>
          <w:tcPr>
            <w:tcW w:w="993" w:type="dxa"/>
            <w:tcBorders>
              <w:top w:val="nil"/>
              <w:left w:val="nil"/>
              <w:bottom w:val="nil"/>
              <w:right w:val="nil"/>
            </w:tcBorders>
          </w:tcPr>
          <w:p w:rsidR="00A53D7D" w:rsidRPr="002C429E" w:rsidRDefault="00A53D7D" w:rsidP="005140B4">
            <w:pPr>
              <w:pStyle w:val="TableofFigures"/>
              <w:rPr>
                <w:rFonts w:eastAsiaTheme="minorEastAsia"/>
                <w:lang w:eastAsia="en-AU"/>
              </w:rPr>
            </w:pPr>
            <w:r w:rsidRPr="002C429E">
              <w:rPr>
                <w:rFonts w:eastAsiaTheme="minorEastAsia"/>
                <w:lang w:eastAsia="en-AU"/>
              </w:rPr>
              <w:t xml:space="preserve"> 24.5</w:t>
            </w:r>
          </w:p>
        </w:tc>
      </w:tr>
      <w:tr w:rsidR="00A53D7D" w:rsidRPr="002C429E" w:rsidTr="005140B4">
        <w:tc>
          <w:tcPr>
            <w:tcW w:w="3801" w:type="dxa"/>
            <w:tcBorders>
              <w:top w:val="single" w:sz="6" w:space="0" w:color="auto"/>
              <w:left w:val="nil"/>
              <w:bottom w:val="single" w:sz="12" w:space="0" w:color="auto"/>
              <w:right w:val="nil"/>
            </w:tcBorders>
          </w:tcPr>
          <w:p w:rsidR="00A53D7D" w:rsidRPr="002C429E" w:rsidRDefault="00A53D7D" w:rsidP="005140B4">
            <w:pPr>
              <w:pStyle w:val="Tabletext"/>
              <w:rPr>
                <w:rFonts w:eastAsiaTheme="minorEastAsia"/>
                <w:b/>
                <w:bCs/>
                <w:lang w:eastAsia="en-AU"/>
              </w:rPr>
            </w:pPr>
            <w:r w:rsidRPr="002C429E">
              <w:rPr>
                <w:rFonts w:eastAsiaTheme="minorEastAsia"/>
                <w:b/>
                <w:bCs/>
                <w:lang w:eastAsia="en-AU"/>
              </w:rPr>
              <w:t>Total income from transactions</w:t>
            </w:r>
          </w:p>
        </w:tc>
        <w:tc>
          <w:tcPr>
            <w:tcW w:w="993" w:type="dxa"/>
            <w:tcBorders>
              <w:top w:val="single" w:sz="6" w:space="0" w:color="auto"/>
              <w:left w:val="nil"/>
              <w:bottom w:val="single" w:sz="12" w:space="0" w:color="auto"/>
              <w:right w:val="nil"/>
            </w:tcBorders>
          </w:tcPr>
          <w:p w:rsidR="00A53D7D" w:rsidRPr="002C429E" w:rsidRDefault="00A53D7D" w:rsidP="005140B4">
            <w:pPr>
              <w:pStyle w:val="TableofFigures"/>
              <w:rPr>
                <w:rFonts w:eastAsiaTheme="minorEastAsia"/>
                <w:b/>
                <w:bCs/>
                <w:lang w:eastAsia="en-AU"/>
              </w:rPr>
            </w:pPr>
            <w:r w:rsidRPr="002C429E">
              <w:rPr>
                <w:rFonts w:eastAsiaTheme="minorEastAsia"/>
                <w:b/>
                <w:bCs/>
                <w:lang w:eastAsia="en-AU"/>
              </w:rPr>
              <w:t xml:space="preserve"> 671.1</w:t>
            </w:r>
          </w:p>
        </w:tc>
        <w:tc>
          <w:tcPr>
            <w:tcW w:w="993" w:type="dxa"/>
            <w:tcBorders>
              <w:top w:val="single" w:sz="6" w:space="0" w:color="auto"/>
              <w:left w:val="nil"/>
              <w:bottom w:val="single" w:sz="12" w:space="0" w:color="auto"/>
              <w:right w:val="nil"/>
            </w:tcBorders>
          </w:tcPr>
          <w:p w:rsidR="00A53D7D" w:rsidRPr="002C429E" w:rsidRDefault="00A53D7D" w:rsidP="005140B4">
            <w:pPr>
              <w:pStyle w:val="TableofFigures"/>
              <w:rPr>
                <w:rFonts w:eastAsiaTheme="minorEastAsia"/>
                <w:b/>
                <w:bCs/>
                <w:lang w:eastAsia="en-AU"/>
              </w:rPr>
            </w:pPr>
            <w:r w:rsidRPr="002C429E">
              <w:rPr>
                <w:rFonts w:eastAsiaTheme="minorEastAsia"/>
                <w:b/>
                <w:bCs/>
                <w:lang w:eastAsia="en-AU"/>
              </w:rPr>
              <w:t xml:space="preserve"> 680.0</w:t>
            </w:r>
          </w:p>
        </w:tc>
        <w:tc>
          <w:tcPr>
            <w:tcW w:w="993" w:type="dxa"/>
            <w:tcBorders>
              <w:top w:val="single" w:sz="6" w:space="0" w:color="auto"/>
              <w:left w:val="nil"/>
              <w:bottom w:val="single" w:sz="12" w:space="0" w:color="auto"/>
              <w:right w:val="nil"/>
            </w:tcBorders>
          </w:tcPr>
          <w:p w:rsidR="00A53D7D" w:rsidRPr="002C429E" w:rsidRDefault="00A53D7D" w:rsidP="005140B4">
            <w:pPr>
              <w:pStyle w:val="TableofFigures"/>
              <w:rPr>
                <w:rFonts w:eastAsiaTheme="minorEastAsia"/>
                <w:b/>
                <w:bCs/>
                <w:lang w:eastAsia="en-AU"/>
              </w:rPr>
            </w:pPr>
            <w:r w:rsidRPr="002C429E">
              <w:rPr>
                <w:rFonts w:eastAsiaTheme="minorEastAsia"/>
                <w:b/>
                <w:bCs/>
                <w:lang w:eastAsia="en-AU"/>
              </w:rPr>
              <w:t xml:space="preserve"> 684.7</w:t>
            </w:r>
          </w:p>
        </w:tc>
        <w:tc>
          <w:tcPr>
            <w:tcW w:w="993" w:type="dxa"/>
            <w:tcBorders>
              <w:top w:val="single" w:sz="6" w:space="0" w:color="auto"/>
              <w:left w:val="nil"/>
              <w:bottom w:val="single" w:sz="12" w:space="0" w:color="auto"/>
              <w:right w:val="nil"/>
            </w:tcBorders>
          </w:tcPr>
          <w:p w:rsidR="00A53D7D" w:rsidRPr="002C429E" w:rsidRDefault="00A53D7D" w:rsidP="005140B4">
            <w:pPr>
              <w:pStyle w:val="TableofFigures"/>
              <w:rPr>
                <w:rFonts w:eastAsiaTheme="minorEastAsia"/>
                <w:b/>
                <w:bCs/>
                <w:lang w:eastAsia="en-AU"/>
              </w:rPr>
            </w:pPr>
            <w:r w:rsidRPr="002C429E">
              <w:rPr>
                <w:rFonts w:eastAsiaTheme="minorEastAsia"/>
                <w:b/>
                <w:bCs/>
                <w:lang w:eastAsia="en-AU"/>
              </w:rPr>
              <w:t xml:space="preserve"> 695.7</w:t>
            </w:r>
          </w:p>
        </w:tc>
      </w:tr>
    </w:tbl>
    <w:p w:rsidR="00A53D7D" w:rsidRDefault="00A53D7D" w:rsidP="005140B4">
      <w:pPr>
        <w:pStyle w:val="Source"/>
      </w:pPr>
      <w:r>
        <w:t xml:space="preserve">Source: Departments of Premier and Cabinet and Treasury and Finance </w:t>
      </w:r>
      <w:r>
        <w:fldChar w:fldCharType="begin"/>
      </w:r>
      <w:r>
        <w:instrText xml:space="preserve"> XE "Department of Premier and Cabinet</w:instrText>
      </w:r>
      <w:r w:rsidRPr="00C642EA">
        <w:instrText>:Income from transactions</w:instrText>
      </w:r>
      <w:r>
        <w:instrText xml:space="preserve">" </w:instrText>
      </w:r>
      <w:r>
        <w:fldChar w:fldCharType="end"/>
      </w:r>
    </w:p>
    <w:p w:rsidR="00A53D7D" w:rsidRDefault="00A53D7D">
      <w:pPr>
        <w:spacing w:after="0"/>
        <w:rPr>
          <w:rFonts w:ascii="Calibri" w:hAnsi="Calibri"/>
          <w:b/>
        </w:rPr>
      </w:pPr>
      <w:r>
        <w:br w:type="page"/>
      </w:r>
    </w:p>
    <w:p w:rsidR="00A53D7D" w:rsidRDefault="00A53D7D" w:rsidP="005140B4">
      <w:pPr>
        <w:pStyle w:val="Tableheading"/>
      </w:pPr>
      <w:r>
        <w:t>Table 2.19:</w:t>
      </w:r>
      <w:r>
        <w:tab/>
        <w:t xml:space="preserve">Parliamentary authority for resources </w:t>
      </w:r>
    </w:p>
    <w:p w:rsidR="00A53D7D" w:rsidRPr="00E0371D"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53D7D" w:rsidRPr="00E0371D" w:rsidTr="00617E25">
        <w:tc>
          <w:tcPr>
            <w:tcW w:w="4668" w:type="dxa"/>
            <w:tcBorders>
              <w:top w:val="single" w:sz="4" w:space="0" w:color="auto"/>
              <w:left w:val="single" w:sz="4" w:space="0" w:color="auto"/>
              <w:right w:val="nil"/>
            </w:tcBorders>
            <w:shd w:val="clear" w:color="auto" w:fill="000000"/>
          </w:tcPr>
          <w:p w:rsidR="00A53D7D" w:rsidRPr="00E0371D" w:rsidRDefault="00A53D7D" w:rsidP="005140B4">
            <w:pPr>
              <w:pStyle w:val="Tabletext"/>
              <w:rPr>
                <w:rFonts w:eastAsiaTheme="minorEastAsia"/>
                <w:lang w:eastAsia="en-AU"/>
              </w:rPr>
            </w:pPr>
            <w:r w:rsidRPr="00E0371D">
              <w:rPr>
                <w:rFonts w:eastAsiaTheme="minorEastAsia"/>
                <w:lang w:eastAsia="en-AU"/>
              </w:rPr>
              <w:t xml:space="preserve"> </w:t>
            </w:r>
          </w:p>
        </w:tc>
        <w:tc>
          <w:tcPr>
            <w:tcW w:w="1036" w:type="dxa"/>
            <w:tcBorders>
              <w:top w:val="single" w:sz="4" w:space="0" w:color="auto"/>
              <w:left w:val="nil"/>
              <w:right w:val="nil"/>
            </w:tcBorders>
            <w:shd w:val="clear" w:color="auto" w:fill="000000"/>
          </w:tcPr>
          <w:p w:rsidR="00A53D7D" w:rsidRPr="00E0371D" w:rsidRDefault="00A53D7D" w:rsidP="005140B4">
            <w:pPr>
              <w:pStyle w:val="Tabletextheading"/>
              <w:rPr>
                <w:rFonts w:eastAsiaTheme="minorEastAsia"/>
                <w:lang w:eastAsia="en-AU"/>
              </w:rPr>
            </w:pPr>
            <w:r w:rsidRPr="00E0371D">
              <w:rPr>
                <w:rFonts w:eastAsiaTheme="minorEastAsia"/>
                <w:lang w:eastAsia="en-AU"/>
              </w:rPr>
              <w:t>2013-14</w:t>
            </w:r>
          </w:p>
        </w:tc>
        <w:tc>
          <w:tcPr>
            <w:tcW w:w="1036" w:type="dxa"/>
            <w:tcBorders>
              <w:top w:val="single" w:sz="4" w:space="0" w:color="auto"/>
              <w:left w:val="nil"/>
              <w:right w:val="nil"/>
            </w:tcBorders>
            <w:shd w:val="clear" w:color="auto" w:fill="000000"/>
          </w:tcPr>
          <w:p w:rsidR="00A53D7D" w:rsidRPr="00E0371D" w:rsidRDefault="00A53D7D" w:rsidP="005140B4">
            <w:pPr>
              <w:pStyle w:val="Tabletextheading"/>
              <w:rPr>
                <w:rFonts w:eastAsiaTheme="minorEastAsia"/>
                <w:lang w:eastAsia="en-AU"/>
              </w:rPr>
            </w:pPr>
            <w:r w:rsidRPr="00E0371D">
              <w:rPr>
                <w:rFonts w:eastAsiaTheme="minorEastAsia"/>
                <w:lang w:eastAsia="en-AU"/>
              </w:rPr>
              <w:t>2013-14</w:t>
            </w:r>
          </w:p>
        </w:tc>
        <w:tc>
          <w:tcPr>
            <w:tcW w:w="1036" w:type="dxa"/>
            <w:tcBorders>
              <w:top w:val="single" w:sz="4" w:space="0" w:color="auto"/>
              <w:left w:val="nil"/>
              <w:right w:val="single" w:sz="4" w:space="0" w:color="auto"/>
            </w:tcBorders>
            <w:shd w:val="clear" w:color="auto" w:fill="000000"/>
          </w:tcPr>
          <w:p w:rsidR="00A53D7D" w:rsidRPr="00E0371D" w:rsidRDefault="00A53D7D" w:rsidP="005140B4">
            <w:pPr>
              <w:pStyle w:val="Tabletextheading"/>
              <w:rPr>
                <w:rFonts w:eastAsiaTheme="minorEastAsia"/>
                <w:lang w:eastAsia="en-AU"/>
              </w:rPr>
            </w:pPr>
            <w:r w:rsidRPr="00E0371D">
              <w:rPr>
                <w:rFonts w:eastAsiaTheme="minorEastAsia"/>
                <w:lang w:eastAsia="en-AU"/>
              </w:rPr>
              <w:t>2014-15</w:t>
            </w:r>
          </w:p>
        </w:tc>
      </w:tr>
      <w:tr w:rsidR="00A53D7D" w:rsidRPr="00E0371D" w:rsidTr="00617E25">
        <w:tc>
          <w:tcPr>
            <w:tcW w:w="4668" w:type="dxa"/>
            <w:tcBorders>
              <w:top w:val="nil"/>
              <w:left w:val="single" w:sz="4" w:space="0" w:color="auto"/>
              <w:bottom w:val="single" w:sz="4" w:space="0" w:color="auto"/>
              <w:right w:val="nil"/>
            </w:tcBorders>
            <w:shd w:val="clear" w:color="auto" w:fill="000000"/>
          </w:tcPr>
          <w:p w:rsidR="00A53D7D" w:rsidRPr="00E0371D" w:rsidRDefault="00A53D7D" w:rsidP="005140B4">
            <w:pPr>
              <w:pStyle w:val="Tabletext"/>
              <w:rPr>
                <w:rFonts w:eastAsiaTheme="minorEastAsia"/>
                <w:lang w:eastAsia="en-AU"/>
              </w:rPr>
            </w:pPr>
            <w:r w:rsidRPr="00E0371D">
              <w:rPr>
                <w:rFonts w:eastAsiaTheme="minorEastAsia"/>
                <w:lang w:eastAsia="en-AU"/>
              </w:rPr>
              <w:t xml:space="preserve"> </w:t>
            </w:r>
          </w:p>
        </w:tc>
        <w:tc>
          <w:tcPr>
            <w:tcW w:w="1036" w:type="dxa"/>
            <w:tcBorders>
              <w:top w:val="nil"/>
              <w:left w:val="nil"/>
              <w:bottom w:val="single" w:sz="4" w:space="0" w:color="auto"/>
              <w:right w:val="nil"/>
            </w:tcBorders>
            <w:shd w:val="clear" w:color="auto" w:fill="000000"/>
          </w:tcPr>
          <w:p w:rsidR="00A53D7D" w:rsidRPr="00E0371D" w:rsidRDefault="00A53D7D" w:rsidP="005140B4">
            <w:pPr>
              <w:pStyle w:val="Tabletextheading"/>
              <w:rPr>
                <w:rFonts w:eastAsiaTheme="minorEastAsia"/>
                <w:lang w:eastAsia="en-AU"/>
              </w:rPr>
            </w:pPr>
            <w:r w:rsidRPr="00E0371D">
              <w:rPr>
                <w:rFonts w:eastAsiaTheme="minorEastAsia"/>
                <w:lang w:eastAsia="en-AU"/>
              </w:rPr>
              <w:t>Budget</w:t>
            </w:r>
          </w:p>
        </w:tc>
        <w:tc>
          <w:tcPr>
            <w:tcW w:w="1036" w:type="dxa"/>
            <w:tcBorders>
              <w:top w:val="nil"/>
              <w:left w:val="nil"/>
              <w:bottom w:val="single" w:sz="4" w:space="0" w:color="auto"/>
              <w:right w:val="nil"/>
            </w:tcBorders>
            <w:shd w:val="clear" w:color="auto" w:fill="000000"/>
          </w:tcPr>
          <w:p w:rsidR="00A53D7D" w:rsidRPr="00E0371D" w:rsidRDefault="00A53D7D" w:rsidP="005140B4">
            <w:pPr>
              <w:pStyle w:val="Tabletextheading"/>
              <w:rPr>
                <w:rFonts w:eastAsiaTheme="minorEastAsia"/>
                <w:lang w:eastAsia="en-AU"/>
              </w:rPr>
            </w:pPr>
            <w:r w:rsidRPr="00E0371D">
              <w:rPr>
                <w:rFonts w:eastAsiaTheme="minorEastAsia"/>
                <w:lang w:eastAsia="en-AU"/>
              </w:rPr>
              <w:t>Revised</w:t>
            </w:r>
          </w:p>
        </w:tc>
        <w:tc>
          <w:tcPr>
            <w:tcW w:w="1036" w:type="dxa"/>
            <w:tcBorders>
              <w:top w:val="nil"/>
              <w:left w:val="nil"/>
              <w:bottom w:val="single" w:sz="4" w:space="0" w:color="auto"/>
              <w:right w:val="single" w:sz="4" w:space="0" w:color="auto"/>
            </w:tcBorders>
            <w:shd w:val="clear" w:color="auto" w:fill="000000"/>
          </w:tcPr>
          <w:p w:rsidR="00A53D7D" w:rsidRPr="00E0371D" w:rsidRDefault="00A53D7D" w:rsidP="005140B4">
            <w:pPr>
              <w:pStyle w:val="Tabletextheading"/>
              <w:rPr>
                <w:rFonts w:eastAsiaTheme="minorEastAsia"/>
                <w:lang w:eastAsia="en-AU"/>
              </w:rPr>
            </w:pPr>
            <w:r w:rsidRPr="00E0371D">
              <w:rPr>
                <w:rFonts w:eastAsiaTheme="minorEastAsia"/>
                <w:lang w:eastAsia="en-AU"/>
              </w:rPr>
              <w:t>Budget</w:t>
            </w:r>
          </w:p>
        </w:tc>
      </w:tr>
      <w:tr w:rsidR="00A53D7D" w:rsidRPr="00E0371D" w:rsidTr="00617E25">
        <w:tc>
          <w:tcPr>
            <w:tcW w:w="4668" w:type="dxa"/>
            <w:tcBorders>
              <w:top w:val="single" w:sz="4" w:space="0" w:color="auto"/>
              <w:left w:val="nil"/>
              <w:bottom w:val="nil"/>
              <w:right w:val="nil"/>
            </w:tcBorders>
            <w:shd w:val="solid" w:color="FFFFFF" w:fill="auto"/>
          </w:tcPr>
          <w:p w:rsidR="00A53D7D" w:rsidRPr="00E0371D" w:rsidRDefault="00A53D7D" w:rsidP="005140B4">
            <w:pPr>
              <w:pStyle w:val="Tabletext"/>
              <w:rPr>
                <w:rFonts w:eastAsiaTheme="minorEastAsia"/>
                <w:b/>
                <w:bCs/>
                <w:lang w:eastAsia="en-AU"/>
              </w:rPr>
            </w:pPr>
            <w:r w:rsidRPr="00E0371D">
              <w:rPr>
                <w:rFonts w:eastAsiaTheme="minorEastAsia"/>
                <w:b/>
                <w:bCs/>
                <w:lang w:eastAsia="en-AU"/>
              </w:rPr>
              <w:t>Annual appropriations</w:t>
            </w:r>
          </w:p>
        </w:tc>
        <w:tc>
          <w:tcPr>
            <w:tcW w:w="1036" w:type="dxa"/>
            <w:tcBorders>
              <w:top w:val="single" w:sz="4" w:space="0" w:color="auto"/>
              <w:left w:val="nil"/>
              <w:bottom w:val="nil"/>
              <w:right w:val="nil"/>
            </w:tcBorders>
            <w:shd w:val="solid" w:color="FFFFFF" w:fill="auto"/>
          </w:tcPr>
          <w:p w:rsidR="00A53D7D" w:rsidRPr="00E0371D" w:rsidRDefault="00A53D7D" w:rsidP="005140B4">
            <w:pPr>
              <w:pStyle w:val="TableofFigures"/>
              <w:rPr>
                <w:rFonts w:eastAsiaTheme="minorEastAsia"/>
                <w:b/>
                <w:bCs/>
                <w:lang w:eastAsia="en-AU"/>
              </w:rPr>
            </w:pPr>
            <w:r w:rsidRPr="00E0371D">
              <w:rPr>
                <w:rFonts w:eastAsiaTheme="minorEastAsia"/>
                <w:b/>
                <w:bCs/>
                <w:lang w:eastAsia="en-AU"/>
              </w:rPr>
              <w:t xml:space="preserve"> 577.9</w:t>
            </w:r>
          </w:p>
        </w:tc>
        <w:tc>
          <w:tcPr>
            <w:tcW w:w="1036" w:type="dxa"/>
            <w:tcBorders>
              <w:top w:val="single" w:sz="4" w:space="0" w:color="auto"/>
              <w:left w:val="nil"/>
              <w:bottom w:val="nil"/>
              <w:right w:val="nil"/>
            </w:tcBorders>
            <w:shd w:val="solid" w:color="FFFFFF" w:fill="auto"/>
          </w:tcPr>
          <w:p w:rsidR="00A53D7D" w:rsidRPr="00E0371D" w:rsidRDefault="00A53D7D" w:rsidP="005140B4">
            <w:pPr>
              <w:pStyle w:val="TableofFigures"/>
              <w:rPr>
                <w:rFonts w:eastAsiaTheme="minorEastAsia"/>
                <w:b/>
                <w:bCs/>
                <w:lang w:eastAsia="en-AU"/>
              </w:rPr>
            </w:pPr>
            <w:r w:rsidRPr="00E0371D">
              <w:rPr>
                <w:rFonts w:eastAsiaTheme="minorEastAsia"/>
                <w:b/>
                <w:bCs/>
                <w:lang w:eastAsia="en-AU"/>
              </w:rPr>
              <w:t xml:space="preserve"> 591.7</w:t>
            </w:r>
          </w:p>
        </w:tc>
        <w:tc>
          <w:tcPr>
            <w:tcW w:w="1036" w:type="dxa"/>
            <w:tcBorders>
              <w:top w:val="single" w:sz="4" w:space="0" w:color="auto"/>
              <w:left w:val="nil"/>
              <w:bottom w:val="nil"/>
              <w:right w:val="nil"/>
            </w:tcBorders>
            <w:shd w:val="solid" w:color="FFFFFF" w:fill="auto"/>
          </w:tcPr>
          <w:p w:rsidR="00A53D7D" w:rsidRPr="00E0371D" w:rsidRDefault="00A53D7D" w:rsidP="005140B4">
            <w:pPr>
              <w:pStyle w:val="TableofFigures"/>
              <w:rPr>
                <w:rFonts w:eastAsiaTheme="minorEastAsia"/>
                <w:b/>
                <w:bCs/>
                <w:lang w:eastAsia="en-AU"/>
              </w:rPr>
            </w:pPr>
            <w:r w:rsidRPr="00E0371D">
              <w:rPr>
                <w:rFonts w:eastAsiaTheme="minorEastAsia"/>
                <w:b/>
                <w:bCs/>
                <w:lang w:eastAsia="en-AU"/>
              </w:rPr>
              <w:t xml:space="preserve"> 602.8</w:t>
            </w:r>
          </w:p>
        </w:tc>
      </w:tr>
      <w:tr w:rsidR="00A53D7D" w:rsidRPr="00E0371D" w:rsidTr="005140B4">
        <w:tc>
          <w:tcPr>
            <w:tcW w:w="4668" w:type="dxa"/>
            <w:tcBorders>
              <w:top w:val="nil"/>
              <w:left w:val="nil"/>
              <w:bottom w:val="nil"/>
              <w:right w:val="nil"/>
            </w:tcBorders>
            <w:shd w:val="solid" w:color="FFFFFF" w:fill="auto"/>
          </w:tcPr>
          <w:p w:rsidR="00A53D7D" w:rsidRPr="00E0371D" w:rsidRDefault="00A53D7D" w:rsidP="005140B4">
            <w:pPr>
              <w:pStyle w:val="Tabletext"/>
              <w:rPr>
                <w:rFonts w:eastAsiaTheme="minorEastAsia"/>
                <w:lang w:eastAsia="en-AU"/>
              </w:rPr>
            </w:pPr>
            <w:r w:rsidRPr="00E0371D">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561.7</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556.6</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577.7</w:t>
            </w:r>
          </w:p>
        </w:tc>
      </w:tr>
      <w:tr w:rsidR="00A53D7D" w:rsidRPr="00E0371D" w:rsidTr="005140B4">
        <w:tc>
          <w:tcPr>
            <w:tcW w:w="4668" w:type="dxa"/>
            <w:tcBorders>
              <w:top w:val="nil"/>
              <w:left w:val="nil"/>
              <w:bottom w:val="nil"/>
              <w:right w:val="nil"/>
            </w:tcBorders>
            <w:shd w:val="solid" w:color="FFFFFF" w:fill="auto"/>
          </w:tcPr>
          <w:p w:rsidR="00A53D7D" w:rsidRPr="00E0371D" w:rsidRDefault="00A53D7D" w:rsidP="005140B4">
            <w:pPr>
              <w:pStyle w:val="Tabletext"/>
              <w:rPr>
                <w:rFonts w:eastAsiaTheme="minorEastAsia"/>
                <w:lang w:eastAsia="en-AU"/>
              </w:rPr>
            </w:pPr>
            <w:r w:rsidRPr="00E0371D">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16.2</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33.6</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21.5</w:t>
            </w:r>
          </w:p>
        </w:tc>
      </w:tr>
      <w:tr w:rsidR="00A53D7D" w:rsidRPr="00E0371D" w:rsidTr="005140B4">
        <w:tc>
          <w:tcPr>
            <w:tcW w:w="4668" w:type="dxa"/>
            <w:tcBorders>
              <w:top w:val="nil"/>
              <w:left w:val="nil"/>
              <w:bottom w:val="nil"/>
              <w:right w:val="nil"/>
            </w:tcBorders>
            <w:shd w:val="solid" w:color="FFFFFF" w:fill="auto"/>
          </w:tcPr>
          <w:p w:rsidR="00A53D7D" w:rsidRPr="00E0371D" w:rsidRDefault="00A53D7D" w:rsidP="005140B4">
            <w:pPr>
              <w:pStyle w:val="Tabletext"/>
              <w:rPr>
                <w:rFonts w:eastAsiaTheme="minorEastAsia"/>
                <w:lang w:eastAsia="en-AU"/>
              </w:rPr>
            </w:pPr>
            <w:r w:rsidRPr="00E0371D">
              <w:rPr>
                <w:rFonts w:eastAsiaTheme="minorEastAsia"/>
                <w:lang w:eastAsia="en-AU"/>
              </w:rPr>
              <w:t xml:space="preserve"> Payments made on behalf of the State</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1.5</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3.5</w:t>
            </w:r>
          </w:p>
        </w:tc>
      </w:tr>
      <w:tr w:rsidR="00A53D7D" w:rsidRPr="00E0371D" w:rsidTr="005140B4">
        <w:tc>
          <w:tcPr>
            <w:tcW w:w="4668" w:type="dxa"/>
            <w:tcBorders>
              <w:top w:val="nil"/>
              <w:left w:val="nil"/>
              <w:bottom w:val="nil"/>
              <w:right w:val="nil"/>
            </w:tcBorders>
            <w:shd w:val="solid" w:color="FFFFFF" w:fill="auto"/>
          </w:tcPr>
          <w:p w:rsidR="00A53D7D" w:rsidRPr="00E0371D" w:rsidRDefault="00A53D7D" w:rsidP="005140B4">
            <w:pPr>
              <w:pStyle w:val="Tabletext"/>
              <w:rPr>
                <w:rFonts w:eastAsiaTheme="minorEastAsia"/>
                <w:lang w:eastAsia="en-AU"/>
              </w:rPr>
            </w:pPr>
            <w:r w:rsidRPr="00E0371D">
              <w:rPr>
                <w:rFonts w:eastAsiaTheme="minorEastAsia"/>
                <w:lang w:eastAsia="en-AU"/>
              </w:rPr>
              <w:t>Receipts credited to appropriations</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0.5</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0.5</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1.3</w:t>
            </w:r>
          </w:p>
        </w:tc>
      </w:tr>
      <w:tr w:rsidR="00A53D7D" w:rsidRPr="00E646BF" w:rsidTr="005140B4">
        <w:tc>
          <w:tcPr>
            <w:tcW w:w="4668" w:type="dxa"/>
            <w:tcBorders>
              <w:top w:val="nil"/>
              <w:left w:val="nil"/>
              <w:bottom w:val="nil"/>
              <w:right w:val="nil"/>
            </w:tcBorders>
            <w:shd w:val="solid" w:color="FFFFFF" w:fill="auto"/>
          </w:tcPr>
          <w:p w:rsidR="00A53D7D" w:rsidRPr="00E646BF" w:rsidRDefault="00A53D7D" w:rsidP="005140B4">
            <w:pPr>
              <w:pStyle w:val="Tabletext"/>
              <w:rPr>
                <w:rFonts w:eastAsiaTheme="minorEastAsia"/>
                <w:b/>
                <w:bCs/>
                <w:lang w:eastAsia="en-AU"/>
              </w:rPr>
            </w:pPr>
            <w:r w:rsidRPr="00E646BF">
              <w:rPr>
                <w:rFonts w:eastAsiaTheme="minorEastAsia"/>
                <w:b/>
                <w:bCs/>
                <w:lang w:eastAsia="en-AU"/>
              </w:rPr>
              <w:t>Unapplied previous years appropriation</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31.0</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22.8</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19.8</w:t>
            </w:r>
          </w:p>
        </w:tc>
      </w:tr>
      <w:tr w:rsidR="00A53D7D" w:rsidRPr="00E0371D" w:rsidTr="005140B4">
        <w:tc>
          <w:tcPr>
            <w:tcW w:w="4668" w:type="dxa"/>
            <w:tcBorders>
              <w:top w:val="nil"/>
              <w:left w:val="nil"/>
              <w:bottom w:val="nil"/>
              <w:right w:val="nil"/>
            </w:tcBorders>
            <w:shd w:val="solid" w:color="FFFFFF" w:fill="auto"/>
          </w:tcPr>
          <w:p w:rsidR="00A53D7D" w:rsidRPr="00E0371D" w:rsidRDefault="00A53D7D" w:rsidP="005140B4">
            <w:pPr>
              <w:pStyle w:val="Tabletext"/>
              <w:rPr>
                <w:rFonts w:eastAsiaTheme="minorEastAsia"/>
                <w:lang w:eastAsia="en-AU"/>
              </w:rPr>
            </w:pPr>
            <w:r w:rsidRPr="00E0371D">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17.1</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16.4</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14.8</w:t>
            </w:r>
          </w:p>
        </w:tc>
      </w:tr>
      <w:tr w:rsidR="00A53D7D" w:rsidRPr="00E0371D" w:rsidTr="005140B4">
        <w:tc>
          <w:tcPr>
            <w:tcW w:w="4668" w:type="dxa"/>
            <w:tcBorders>
              <w:top w:val="nil"/>
              <w:left w:val="nil"/>
              <w:bottom w:val="nil"/>
              <w:right w:val="nil"/>
            </w:tcBorders>
            <w:shd w:val="solid" w:color="FFFFFF" w:fill="auto"/>
          </w:tcPr>
          <w:p w:rsidR="00A53D7D" w:rsidRPr="00E0371D" w:rsidRDefault="00A53D7D" w:rsidP="005140B4">
            <w:pPr>
              <w:pStyle w:val="Tabletext"/>
              <w:rPr>
                <w:rFonts w:eastAsiaTheme="minorEastAsia"/>
                <w:lang w:eastAsia="en-AU"/>
              </w:rPr>
            </w:pPr>
            <w:r w:rsidRPr="00E0371D">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13.9</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6.5</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5.1</w:t>
            </w:r>
          </w:p>
        </w:tc>
      </w:tr>
      <w:tr w:rsidR="00A53D7D" w:rsidRPr="00E0371D" w:rsidTr="005140B4">
        <w:tc>
          <w:tcPr>
            <w:tcW w:w="4668" w:type="dxa"/>
            <w:tcBorders>
              <w:top w:val="nil"/>
              <w:left w:val="nil"/>
              <w:bottom w:val="single" w:sz="6" w:space="0" w:color="auto"/>
              <w:right w:val="nil"/>
            </w:tcBorders>
            <w:shd w:val="solid" w:color="FFFFFF" w:fill="auto"/>
          </w:tcPr>
          <w:p w:rsidR="00A53D7D" w:rsidRPr="00E0371D" w:rsidRDefault="00A53D7D" w:rsidP="005140B4">
            <w:pPr>
              <w:pStyle w:val="Tabletext"/>
              <w:rPr>
                <w:rFonts w:eastAsiaTheme="minorEastAsia"/>
                <w:lang w:eastAsia="en-AU"/>
              </w:rPr>
            </w:pPr>
            <w:r w:rsidRPr="00E0371D">
              <w:rPr>
                <w:rFonts w:eastAsiaTheme="minorEastAsia"/>
                <w:lang w:eastAsia="en-AU"/>
              </w:rPr>
              <w:t>Accumulated surplus – previously applied appropriation</w:t>
            </w:r>
          </w:p>
        </w:tc>
        <w:tc>
          <w:tcPr>
            <w:tcW w:w="1036" w:type="dxa"/>
            <w:tcBorders>
              <w:top w:val="nil"/>
              <w:left w:val="nil"/>
              <w:bottom w:val="single" w:sz="6" w:space="0" w:color="auto"/>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7.1</w:t>
            </w:r>
          </w:p>
        </w:tc>
        <w:tc>
          <w:tcPr>
            <w:tcW w:w="1036" w:type="dxa"/>
            <w:tcBorders>
              <w:top w:val="nil"/>
              <w:left w:val="nil"/>
              <w:bottom w:val="single" w:sz="6" w:space="0" w:color="auto"/>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1.2</w:t>
            </w:r>
          </w:p>
        </w:tc>
        <w:tc>
          <w:tcPr>
            <w:tcW w:w="1036" w:type="dxa"/>
            <w:tcBorders>
              <w:top w:val="nil"/>
              <w:left w:val="nil"/>
              <w:bottom w:val="single" w:sz="6" w:space="0" w:color="auto"/>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5.5</w:t>
            </w:r>
          </w:p>
        </w:tc>
      </w:tr>
      <w:tr w:rsidR="00A53D7D" w:rsidRPr="00E0371D" w:rsidTr="005140B4">
        <w:tc>
          <w:tcPr>
            <w:tcW w:w="4668" w:type="dxa"/>
            <w:tcBorders>
              <w:top w:val="nil"/>
              <w:left w:val="nil"/>
              <w:bottom w:val="nil"/>
              <w:right w:val="nil"/>
            </w:tcBorders>
            <w:shd w:val="solid" w:color="FFFFFF" w:fill="auto"/>
          </w:tcPr>
          <w:p w:rsidR="00A53D7D" w:rsidRPr="00E0371D" w:rsidRDefault="00A53D7D" w:rsidP="005140B4">
            <w:pPr>
              <w:pStyle w:val="Tabletext"/>
              <w:rPr>
                <w:rFonts w:eastAsiaTheme="minorEastAsia"/>
                <w:b/>
                <w:bCs/>
                <w:lang w:eastAsia="en-AU"/>
              </w:rPr>
            </w:pPr>
            <w:r w:rsidRPr="00E0371D">
              <w:rPr>
                <w:rFonts w:eastAsiaTheme="minorEastAsia"/>
                <w:b/>
                <w:bCs/>
                <w:lang w:eastAsia="en-AU"/>
              </w:rPr>
              <w:t>Gross annual appropriation</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b/>
                <w:bCs/>
                <w:lang w:eastAsia="en-AU"/>
              </w:rPr>
            </w:pPr>
            <w:r w:rsidRPr="00E0371D">
              <w:rPr>
                <w:rFonts w:eastAsiaTheme="minorEastAsia"/>
                <w:b/>
                <w:bCs/>
                <w:lang w:eastAsia="en-AU"/>
              </w:rPr>
              <w:t xml:space="preserve"> 616.5</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b/>
                <w:bCs/>
                <w:lang w:eastAsia="en-AU"/>
              </w:rPr>
            </w:pPr>
            <w:r w:rsidRPr="00E0371D">
              <w:rPr>
                <w:rFonts w:eastAsiaTheme="minorEastAsia"/>
                <w:b/>
                <w:bCs/>
                <w:lang w:eastAsia="en-AU"/>
              </w:rPr>
              <w:t xml:space="preserve"> 616.2</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b/>
                <w:bCs/>
                <w:lang w:eastAsia="en-AU"/>
              </w:rPr>
            </w:pPr>
            <w:r w:rsidRPr="00E0371D">
              <w:rPr>
                <w:rFonts w:eastAsiaTheme="minorEastAsia"/>
                <w:b/>
                <w:bCs/>
                <w:lang w:eastAsia="en-AU"/>
              </w:rPr>
              <w:t xml:space="preserve"> 629.4</w:t>
            </w:r>
          </w:p>
        </w:tc>
      </w:tr>
      <w:tr w:rsidR="00A53D7D" w:rsidRPr="00E0371D" w:rsidTr="005140B4">
        <w:tc>
          <w:tcPr>
            <w:tcW w:w="4668" w:type="dxa"/>
            <w:tcBorders>
              <w:top w:val="nil"/>
              <w:left w:val="nil"/>
              <w:bottom w:val="nil"/>
              <w:right w:val="nil"/>
            </w:tcBorders>
            <w:shd w:val="solid" w:color="FFFFFF" w:fill="auto"/>
          </w:tcPr>
          <w:p w:rsidR="00A53D7D" w:rsidRPr="00E0371D" w:rsidRDefault="00A53D7D" w:rsidP="005140B4">
            <w:pPr>
              <w:pStyle w:val="Tabletext"/>
              <w:rPr>
                <w:rFonts w:eastAsiaTheme="minorEastAsia"/>
                <w:lang w:eastAsia="en-AU"/>
              </w:rPr>
            </w:pPr>
            <w:r w:rsidRPr="00E0371D">
              <w:rPr>
                <w:rFonts w:eastAsiaTheme="minorEastAsia"/>
                <w:lang w:eastAsia="en-AU"/>
              </w:rPr>
              <w:t>Special appropriations</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8.3</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8.7</w:t>
            </w:r>
          </w:p>
        </w:tc>
        <w:tc>
          <w:tcPr>
            <w:tcW w:w="1036" w:type="dxa"/>
            <w:tcBorders>
              <w:top w:val="nil"/>
              <w:left w:val="nil"/>
              <w:bottom w:val="nil"/>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8.7</w:t>
            </w:r>
          </w:p>
        </w:tc>
      </w:tr>
      <w:tr w:rsidR="00A53D7D" w:rsidRPr="00E0371D" w:rsidTr="005140B4">
        <w:tc>
          <w:tcPr>
            <w:tcW w:w="4668" w:type="dxa"/>
            <w:tcBorders>
              <w:top w:val="nil"/>
              <w:left w:val="nil"/>
              <w:bottom w:val="single" w:sz="6" w:space="0" w:color="auto"/>
              <w:right w:val="nil"/>
            </w:tcBorders>
            <w:shd w:val="solid" w:color="FFFFFF" w:fill="auto"/>
          </w:tcPr>
          <w:p w:rsidR="00A53D7D" w:rsidRPr="00E0371D" w:rsidRDefault="00A53D7D" w:rsidP="005140B4">
            <w:pPr>
              <w:pStyle w:val="Tabletext"/>
              <w:rPr>
                <w:rFonts w:eastAsiaTheme="minorEastAsia"/>
                <w:lang w:eastAsia="en-AU"/>
              </w:rPr>
            </w:pPr>
            <w:r w:rsidRPr="00E0371D">
              <w:rPr>
                <w:rFonts w:eastAsiaTheme="minorEastAsia"/>
                <w:lang w:eastAsia="en-AU"/>
              </w:rPr>
              <w:t>Trust funds</w:t>
            </w:r>
          </w:p>
        </w:tc>
        <w:tc>
          <w:tcPr>
            <w:tcW w:w="1036" w:type="dxa"/>
            <w:tcBorders>
              <w:top w:val="nil"/>
              <w:left w:val="nil"/>
              <w:bottom w:val="single" w:sz="6" w:space="0" w:color="auto"/>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14.2</w:t>
            </w:r>
          </w:p>
        </w:tc>
        <w:tc>
          <w:tcPr>
            <w:tcW w:w="1036" w:type="dxa"/>
            <w:tcBorders>
              <w:top w:val="nil"/>
              <w:left w:val="nil"/>
              <w:bottom w:val="single" w:sz="6" w:space="0" w:color="auto"/>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22.7</w:t>
            </w:r>
          </w:p>
        </w:tc>
        <w:tc>
          <w:tcPr>
            <w:tcW w:w="1036" w:type="dxa"/>
            <w:tcBorders>
              <w:top w:val="nil"/>
              <w:left w:val="nil"/>
              <w:bottom w:val="single" w:sz="6" w:space="0" w:color="auto"/>
              <w:right w:val="nil"/>
            </w:tcBorders>
            <w:shd w:val="solid" w:color="FFFFFF" w:fill="auto"/>
          </w:tcPr>
          <w:p w:rsidR="00A53D7D" w:rsidRPr="00E0371D" w:rsidRDefault="00A53D7D" w:rsidP="005140B4">
            <w:pPr>
              <w:pStyle w:val="TableofFigures"/>
              <w:rPr>
                <w:rFonts w:eastAsiaTheme="minorEastAsia"/>
                <w:lang w:eastAsia="en-AU"/>
              </w:rPr>
            </w:pPr>
            <w:r w:rsidRPr="00E0371D">
              <w:rPr>
                <w:rFonts w:eastAsiaTheme="minorEastAsia"/>
                <w:lang w:eastAsia="en-AU"/>
              </w:rPr>
              <w:t xml:space="preserve"> 13.1</w:t>
            </w:r>
          </w:p>
        </w:tc>
      </w:tr>
      <w:tr w:rsidR="00A53D7D" w:rsidRPr="00E0371D" w:rsidTr="005140B4">
        <w:tc>
          <w:tcPr>
            <w:tcW w:w="4668" w:type="dxa"/>
            <w:tcBorders>
              <w:top w:val="nil"/>
              <w:left w:val="nil"/>
              <w:bottom w:val="single" w:sz="12" w:space="0" w:color="auto"/>
              <w:right w:val="nil"/>
            </w:tcBorders>
            <w:shd w:val="solid" w:color="FFFFFF" w:fill="auto"/>
          </w:tcPr>
          <w:p w:rsidR="00A53D7D" w:rsidRPr="00E0371D" w:rsidRDefault="00A53D7D" w:rsidP="005140B4">
            <w:pPr>
              <w:pStyle w:val="Tabletext"/>
              <w:rPr>
                <w:rFonts w:eastAsiaTheme="minorEastAsia"/>
                <w:b/>
                <w:bCs/>
                <w:lang w:eastAsia="en-AU"/>
              </w:rPr>
            </w:pPr>
            <w:r w:rsidRPr="00E0371D">
              <w:rPr>
                <w:rFonts w:eastAsiaTheme="minorEastAsia"/>
                <w:b/>
                <w:bCs/>
                <w:lang w:eastAsia="en-AU"/>
              </w:rPr>
              <w:t>Total parliamentary authority</w:t>
            </w:r>
          </w:p>
        </w:tc>
        <w:tc>
          <w:tcPr>
            <w:tcW w:w="1036" w:type="dxa"/>
            <w:tcBorders>
              <w:top w:val="nil"/>
              <w:left w:val="nil"/>
              <w:bottom w:val="single" w:sz="12" w:space="0" w:color="auto"/>
              <w:right w:val="nil"/>
            </w:tcBorders>
            <w:shd w:val="solid" w:color="FFFFFF" w:fill="auto"/>
          </w:tcPr>
          <w:p w:rsidR="00A53D7D" w:rsidRPr="00E0371D" w:rsidRDefault="00A53D7D" w:rsidP="005140B4">
            <w:pPr>
              <w:pStyle w:val="TableofFigures"/>
              <w:rPr>
                <w:rFonts w:eastAsiaTheme="minorEastAsia"/>
                <w:b/>
                <w:bCs/>
                <w:lang w:eastAsia="en-AU"/>
              </w:rPr>
            </w:pPr>
            <w:r w:rsidRPr="00E0371D">
              <w:rPr>
                <w:rFonts w:eastAsiaTheme="minorEastAsia"/>
                <w:b/>
                <w:bCs/>
                <w:lang w:eastAsia="en-AU"/>
              </w:rPr>
              <w:t xml:space="preserve"> 639.0</w:t>
            </w:r>
          </w:p>
        </w:tc>
        <w:tc>
          <w:tcPr>
            <w:tcW w:w="1036" w:type="dxa"/>
            <w:tcBorders>
              <w:top w:val="nil"/>
              <w:left w:val="nil"/>
              <w:bottom w:val="single" w:sz="12" w:space="0" w:color="auto"/>
              <w:right w:val="nil"/>
            </w:tcBorders>
            <w:shd w:val="solid" w:color="FFFFFF" w:fill="auto"/>
          </w:tcPr>
          <w:p w:rsidR="00A53D7D" w:rsidRPr="00E0371D" w:rsidRDefault="00A53D7D" w:rsidP="005140B4">
            <w:pPr>
              <w:pStyle w:val="TableofFigures"/>
              <w:rPr>
                <w:rFonts w:eastAsiaTheme="minorEastAsia"/>
                <w:b/>
                <w:bCs/>
                <w:lang w:eastAsia="en-AU"/>
              </w:rPr>
            </w:pPr>
            <w:r w:rsidRPr="00E0371D">
              <w:rPr>
                <w:rFonts w:eastAsiaTheme="minorEastAsia"/>
                <w:b/>
                <w:bCs/>
                <w:lang w:eastAsia="en-AU"/>
              </w:rPr>
              <w:t xml:space="preserve"> 647.6</w:t>
            </w:r>
          </w:p>
        </w:tc>
        <w:tc>
          <w:tcPr>
            <w:tcW w:w="1036" w:type="dxa"/>
            <w:tcBorders>
              <w:top w:val="nil"/>
              <w:left w:val="nil"/>
              <w:bottom w:val="single" w:sz="12" w:space="0" w:color="auto"/>
              <w:right w:val="nil"/>
            </w:tcBorders>
            <w:shd w:val="solid" w:color="FFFFFF" w:fill="auto"/>
          </w:tcPr>
          <w:p w:rsidR="00A53D7D" w:rsidRPr="00E0371D" w:rsidRDefault="00A53D7D" w:rsidP="005140B4">
            <w:pPr>
              <w:pStyle w:val="TableofFigures"/>
              <w:rPr>
                <w:rFonts w:eastAsiaTheme="minorEastAsia"/>
                <w:b/>
                <w:bCs/>
                <w:lang w:eastAsia="en-AU"/>
              </w:rPr>
            </w:pPr>
            <w:r w:rsidRPr="00E0371D">
              <w:rPr>
                <w:rFonts w:eastAsiaTheme="minorEastAsia"/>
                <w:b/>
                <w:bCs/>
                <w:lang w:eastAsia="en-AU"/>
              </w:rPr>
              <w:t xml:space="preserve"> 651.2</w:t>
            </w:r>
          </w:p>
        </w:tc>
      </w:tr>
    </w:tbl>
    <w:p w:rsidR="00A53D7D" w:rsidRDefault="00A53D7D" w:rsidP="005140B4">
      <w:pPr>
        <w:pStyle w:val="Source"/>
      </w:pPr>
      <w:r>
        <w:t xml:space="preserve">Source: Departments of Premier and Cabinet and Treasury and Finance </w:t>
      </w:r>
      <w:r>
        <w:fldChar w:fldCharType="begin"/>
      </w:r>
      <w:r>
        <w:instrText xml:space="preserve"> XE "Department of Premier and Cabinet</w:instrText>
      </w:r>
      <w:r w:rsidRPr="00ED1DC7">
        <w:instrText>:Parliamentary authority for resources</w:instrText>
      </w:r>
      <w:r>
        <w:instrText xml:space="preserve">" </w:instrText>
      </w:r>
      <w:r>
        <w:fldChar w:fldCharType="end"/>
      </w:r>
    </w:p>
    <w:p w:rsidR="00A53D7D" w:rsidRDefault="00A53D7D" w:rsidP="005140B4"/>
    <w:p w:rsidR="00A53D7D" w:rsidRDefault="00A53D7D">
      <w:pPr>
        <w:spacing w:after="0"/>
      </w:pPr>
      <w:r>
        <w:br w:type="page"/>
      </w:r>
    </w:p>
    <w:p w:rsidR="00A53D7D" w:rsidRPr="00774631" w:rsidRDefault="00A53D7D" w:rsidP="005140B4">
      <w:pPr>
        <w:pStyle w:val="OGHeading1"/>
      </w:pPr>
      <w:bookmarkStart w:id="122" w:name="BP3DPCStratSup"/>
      <w:r w:rsidRPr="00774631">
        <w:t>Strategic Advice and Support</w:t>
      </w:r>
    </w:p>
    <w:p w:rsidR="00A53D7D" w:rsidRPr="00774631" w:rsidRDefault="00A53D7D" w:rsidP="005140B4">
      <w:pPr>
        <w:pStyle w:val="OGText"/>
      </w:pPr>
      <w:proofErr w:type="gramStart"/>
      <w:r w:rsidRPr="00774631">
        <w:t>Provision of advice and support to the Premier and Cabinet on all aspects of policy including the Government’s medium</w:t>
      </w:r>
      <w:r>
        <w:noBreakHyphen/>
      </w:r>
      <w:r w:rsidRPr="00774631">
        <w:t>term strategic directions.</w:t>
      </w:r>
      <w:proofErr w:type="gramEnd"/>
      <w:r w:rsidRPr="00774631">
        <w:t xml:space="preserve"> This involves advice on issues as they arise, policy coordination and analysis, consultation with key internal and external stakeholders and leadership in long</w:t>
      </w:r>
      <w:r>
        <w:noBreakHyphen/>
      </w:r>
      <w:r w:rsidRPr="00774631">
        <w:t xml:space="preserve">term policy development and research. </w:t>
      </w:r>
    </w:p>
    <w:p w:rsidR="00A53D7D" w:rsidRDefault="00A53D7D" w:rsidP="005140B4">
      <w:pPr>
        <w:pStyle w:val="OGText"/>
      </w:pPr>
      <w:r w:rsidRPr="00774631">
        <w:t>These outputs contribute to the departmental objective of supporting high</w:t>
      </w:r>
      <w:r>
        <w:noBreakHyphen/>
      </w:r>
      <w:r w:rsidRPr="00774631">
        <w:t>quality Government decision</w:t>
      </w:r>
      <w:r>
        <w:noBreakHyphen/>
      </w:r>
      <w:r w:rsidRPr="00774631">
        <w:t>making and implementation.</w:t>
      </w:r>
    </w:p>
    <w:tbl>
      <w:tblPr>
        <w:tblW w:w="7769" w:type="dxa"/>
        <w:tblInd w:w="29" w:type="dxa"/>
        <w:tblLayout w:type="fixed"/>
        <w:tblCellMar>
          <w:left w:w="43" w:type="dxa"/>
          <w:right w:w="43" w:type="dxa"/>
        </w:tblCellMar>
        <w:tblLook w:val="04A0" w:firstRow="1" w:lastRow="0" w:firstColumn="1" w:lastColumn="0" w:noHBand="0" w:noVBand="1"/>
      </w:tblPr>
      <w:tblGrid>
        <w:gridCol w:w="3136"/>
        <w:gridCol w:w="924"/>
        <w:gridCol w:w="910"/>
        <w:gridCol w:w="993"/>
        <w:gridCol w:w="910"/>
        <w:gridCol w:w="896"/>
      </w:tblGrid>
      <w:tr w:rsidR="00A53D7D" w:rsidRPr="00774631" w:rsidTr="005140B4">
        <w:trPr>
          <w:cantSplit/>
          <w:trHeight w:val="780"/>
          <w:tblHeader/>
        </w:trPr>
        <w:tc>
          <w:tcPr>
            <w:tcW w:w="3136" w:type="dxa"/>
            <w:tcBorders>
              <w:top w:val="single" w:sz="4" w:space="0" w:color="auto"/>
              <w:left w:val="single" w:sz="4" w:space="0" w:color="auto"/>
              <w:bottom w:val="single" w:sz="4" w:space="0" w:color="auto"/>
              <w:right w:val="nil"/>
            </w:tcBorders>
            <w:shd w:val="clear" w:color="auto" w:fill="000000"/>
            <w:vAlign w:val="bottom"/>
          </w:tcPr>
          <w:p w:rsidR="00A53D7D" w:rsidRPr="00774631" w:rsidRDefault="00A53D7D" w:rsidP="005140B4">
            <w:pPr>
              <w:pStyle w:val="TabletextheadingLeft0"/>
            </w:pPr>
            <w:r w:rsidRPr="003F10AA">
              <w:rPr>
                <w:b/>
                <w:i w:val="0"/>
              </w:rPr>
              <w:t>Major Outputs/Deliverables</w:t>
            </w:r>
            <w:r w:rsidRPr="003F10AA">
              <w:rPr>
                <w:b/>
                <w:i w:val="0"/>
              </w:rPr>
              <w:br/>
            </w:r>
            <w:r w:rsidRPr="00774631">
              <w:t>Performance measures</w:t>
            </w:r>
          </w:p>
        </w:tc>
        <w:tc>
          <w:tcPr>
            <w:tcW w:w="924"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 xml:space="preserve">Unit of </w:t>
            </w:r>
            <w:r w:rsidRPr="00774631">
              <w:br/>
            </w:r>
            <w:r>
              <w:t>m</w:t>
            </w:r>
            <w:r w:rsidRPr="00774631">
              <w:t>easure</w:t>
            </w:r>
          </w:p>
        </w:tc>
        <w:tc>
          <w:tcPr>
            <w:tcW w:w="910"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2014</w:t>
            </w:r>
            <w:r>
              <w:noBreakHyphen/>
            </w:r>
            <w:r w:rsidRPr="00774631">
              <w:t>15 Target</w:t>
            </w:r>
          </w:p>
        </w:tc>
        <w:tc>
          <w:tcPr>
            <w:tcW w:w="993"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2013</w:t>
            </w:r>
            <w:r>
              <w:noBreakHyphen/>
            </w:r>
            <w:r w:rsidRPr="00774631">
              <w:t>14 Expected Outcome</w:t>
            </w:r>
          </w:p>
        </w:tc>
        <w:tc>
          <w:tcPr>
            <w:tcW w:w="910"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2013</w:t>
            </w:r>
            <w:r>
              <w:noBreakHyphen/>
            </w:r>
            <w:r w:rsidRPr="00774631">
              <w:t>14 Target</w:t>
            </w:r>
          </w:p>
        </w:tc>
        <w:tc>
          <w:tcPr>
            <w:tcW w:w="896" w:type="dxa"/>
            <w:tcBorders>
              <w:top w:val="single" w:sz="4" w:space="0" w:color="auto"/>
              <w:left w:val="nil"/>
              <w:bottom w:val="single" w:sz="4" w:space="0" w:color="auto"/>
              <w:right w:val="single" w:sz="4" w:space="0" w:color="auto"/>
            </w:tcBorders>
            <w:shd w:val="clear" w:color="auto" w:fill="000000"/>
            <w:noWrap/>
            <w:vAlign w:val="bottom"/>
            <w:hideMark/>
          </w:tcPr>
          <w:p w:rsidR="00A53D7D" w:rsidRPr="00774631" w:rsidRDefault="00A53D7D" w:rsidP="005140B4">
            <w:pPr>
              <w:pStyle w:val="Tabletextheading"/>
            </w:pPr>
            <w:r w:rsidRPr="00774631">
              <w:t>2012</w:t>
            </w:r>
            <w:r>
              <w:noBreakHyphen/>
            </w:r>
            <w:r w:rsidRPr="00774631">
              <w:t>13 Actual</w:t>
            </w:r>
          </w:p>
        </w:tc>
      </w:tr>
      <w:tr w:rsidR="00A53D7D" w:rsidRPr="00774631" w:rsidTr="005140B4">
        <w:trPr>
          <w:cantSplit/>
          <w:trHeight w:val="525"/>
        </w:trPr>
        <w:tc>
          <w:tcPr>
            <w:tcW w:w="7769" w:type="dxa"/>
            <w:gridSpan w:val="6"/>
            <w:tcBorders>
              <w:top w:val="nil"/>
              <w:left w:val="nil"/>
              <w:bottom w:val="nil"/>
              <w:right w:val="nil"/>
            </w:tcBorders>
            <w:shd w:val="clear" w:color="auto" w:fill="auto"/>
            <w:hideMark/>
          </w:tcPr>
          <w:p w:rsidR="00A53D7D" w:rsidRPr="00774631" w:rsidRDefault="00A53D7D" w:rsidP="005140B4">
            <w:pPr>
              <w:pStyle w:val="OGHeading2"/>
            </w:pPr>
            <w:r w:rsidRPr="00774631">
              <w:t>Strategic Advice and Government Support</w:t>
            </w:r>
          </w:p>
        </w:tc>
      </w:tr>
      <w:tr w:rsidR="00A53D7D" w:rsidRPr="00774631" w:rsidTr="005140B4">
        <w:trPr>
          <w:cantSplit/>
          <w:trHeight w:val="480"/>
        </w:trPr>
        <w:tc>
          <w:tcPr>
            <w:tcW w:w="7769" w:type="dxa"/>
            <w:gridSpan w:val="6"/>
            <w:tcBorders>
              <w:top w:val="nil"/>
              <w:left w:val="nil"/>
              <w:bottom w:val="single" w:sz="6" w:space="0" w:color="auto"/>
              <w:right w:val="nil"/>
            </w:tcBorders>
            <w:shd w:val="clear" w:color="auto" w:fill="auto"/>
            <w:hideMark/>
          </w:tcPr>
          <w:p w:rsidR="00A53D7D" w:rsidRPr="00774631" w:rsidRDefault="00A53D7D" w:rsidP="005140B4">
            <w:pPr>
              <w:pStyle w:val="OGText"/>
            </w:pPr>
            <w:r w:rsidRPr="00774631">
              <w:t xml:space="preserve">Provide strategic policy analysis and advice to the Premier, lead policy development on key priority </w:t>
            </w:r>
            <w:proofErr w:type="gramStart"/>
            <w:r w:rsidRPr="00774631">
              <w:t>issues</w:t>
            </w:r>
            <w:proofErr w:type="gramEnd"/>
            <w:r w:rsidRPr="00774631">
              <w:t xml:space="preserve"> and support informed Government decision</w:t>
            </w:r>
            <w:r>
              <w:noBreakHyphen/>
            </w:r>
            <w:r w:rsidRPr="00774631">
              <w:t xml:space="preserve">making. </w:t>
            </w:r>
          </w:p>
        </w:tc>
      </w:tr>
      <w:tr w:rsidR="00A53D7D" w:rsidRPr="00774631" w:rsidTr="005140B4">
        <w:trPr>
          <w:cantSplit/>
          <w:trHeight w:val="300"/>
        </w:trPr>
        <w:tc>
          <w:tcPr>
            <w:tcW w:w="3136" w:type="dxa"/>
            <w:tcBorders>
              <w:top w:val="single" w:sz="6" w:space="0" w:color="auto"/>
              <w:left w:val="nil"/>
              <w:bottom w:val="nil"/>
              <w:right w:val="nil"/>
            </w:tcBorders>
            <w:shd w:val="clear" w:color="auto" w:fill="auto"/>
            <w:hideMark/>
          </w:tcPr>
          <w:p w:rsidR="00A53D7D" w:rsidRPr="00774631" w:rsidRDefault="00A53D7D" w:rsidP="005140B4">
            <w:pPr>
              <w:pStyle w:val="OGTabHead"/>
            </w:pPr>
            <w:r w:rsidRPr="00774631">
              <w:t>Quantity</w:t>
            </w:r>
          </w:p>
        </w:tc>
        <w:tc>
          <w:tcPr>
            <w:tcW w:w="924" w:type="dxa"/>
            <w:tcBorders>
              <w:top w:val="single" w:sz="6" w:space="0" w:color="auto"/>
              <w:left w:val="nil"/>
              <w:bottom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bottom w:val="nil"/>
              <w:right w:val="nil"/>
            </w:tcBorders>
            <w:shd w:val="clear" w:color="auto" w:fill="D9D9D9"/>
            <w:noWrap/>
            <w:hideMark/>
          </w:tcPr>
          <w:p w:rsidR="00A53D7D" w:rsidRPr="00774631" w:rsidRDefault="00A53D7D" w:rsidP="005140B4">
            <w:pPr>
              <w:pStyle w:val="OGTableofFigures"/>
            </w:pPr>
            <w:r w:rsidRPr="00774631">
              <w:t> </w:t>
            </w:r>
          </w:p>
        </w:tc>
        <w:tc>
          <w:tcPr>
            <w:tcW w:w="993"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c>
          <w:tcPr>
            <w:tcW w:w="910"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5140B4">
        <w:trPr>
          <w:cantSplit/>
          <w:trHeight w:val="311"/>
        </w:trPr>
        <w:tc>
          <w:tcPr>
            <w:tcW w:w="3136" w:type="dxa"/>
            <w:tcBorders>
              <w:top w:val="nil"/>
              <w:left w:val="nil"/>
              <w:right w:val="nil"/>
            </w:tcBorders>
            <w:shd w:val="clear" w:color="auto" w:fill="auto"/>
          </w:tcPr>
          <w:p w:rsidR="00A53D7D" w:rsidRPr="00774631" w:rsidRDefault="00A53D7D" w:rsidP="005140B4">
            <w:pPr>
              <w:pStyle w:val="OGTabText"/>
            </w:pPr>
            <w:r>
              <w:t>Policy analyse</w:t>
            </w:r>
            <w:r w:rsidRPr="00774631">
              <w:t>s and papers prepared</w:t>
            </w:r>
          </w:p>
        </w:tc>
        <w:tc>
          <w:tcPr>
            <w:tcW w:w="924" w:type="dxa"/>
            <w:tcBorders>
              <w:top w:val="nil"/>
              <w:left w:val="nil"/>
              <w:right w:val="nil"/>
            </w:tcBorders>
            <w:shd w:val="clear" w:color="auto" w:fill="auto"/>
            <w:noWrap/>
          </w:tcPr>
          <w:p w:rsidR="00A53D7D" w:rsidRPr="00774631" w:rsidRDefault="00A53D7D" w:rsidP="005140B4">
            <w:pPr>
              <w:pStyle w:val="OGUoM"/>
            </w:pPr>
            <w:r w:rsidRPr="00774631">
              <w:t>number</w:t>
            </w:r>
          </w:p>
        </w:tc>
        <w:tc>
          <w:tcPr>
            <w:tcW w:w="910" w:type="dxa"/>
            <w:tcBorders>
              <w:top w:val="nil"/>
              <w:left w:val="nil"/>
              <w:right w:val="nil"/>
            </w:tcBorders>
            <w:shd w:val="clear" w:color="auto" w:fill="D9D9D9"/>
            <w:noWrap/>
          </w:tcPr>
          <w:p w:rsidR="00A53D7D" w:rsidRPr="00774631" w:rsidRDefault="00A53D7D" w:rsidP="005140B4">
            <w:pPr>
              <w:pStyle w:val="OGTableofFigures"/>
            </w:pPr>
            <w:r>
              <w:t>1 </w:t>
            </w:r>
            <w:r w:rsidRPr="00774631">
              <w:t>000</w:t>
            </w:r>
          </w:p>
        </w:tc>
        <w:tc>
          <w:tcPr>
            <w:tcW w:w="993" w:type="dxa"/>
            <w:tcBorders>
              <w:top w:val="nil"/>
              <w:left w:val="nil"/>
              <w:right w:val="nil"/>
            </w:tcBorders>
            <w:shd w:val="clear" w:color="auto" w:fill="auto"/>
            <w:noWrap/>
          </w:tcPr>
          <w:p w:rsidR="00A53D7D" w:rsidRPr="00774631" w:rsidRDefault="00A53D7D" w:rsidP="005140B4">
            <w:pPr>
              <w:pStyle w:val="OGTableofFigures"/>
            </w:pPr>
            <w:r>
              <w:t>1 </w:t>
            </w:r>
            <w:r w:rsidRPr="00774631">
              <w:t>045</w:t>
            </w:r>
          </w:p>
        </w:tc>
        <w:tc>
          <w:tcPr>
            <w:tcW w:w="910" w:type="dxa"/>
            <w:tcBorders>
              <w:top w:val="nil"/>
              <w:left w:val="nil"/>
              <w:right w:val="nil"/>
            </w:tcBorders>
            <w:shd w:val="clear" w:color="auto" w:fill="auto"/>
            <w:noWrap/>
          </w:tcPr>
          <w:p w:rsidR="00A53D7D" w:rsidRPr="00774631" w:rsidRDefault="00A53D7D" w:rsidP="005140B4">
            <w:pPr>
              <w:pStyle w:val="OGTableofFigures"/>
            </w:pPr>
            <w:r>
              <w:t>1 </w:t>
            </w:r>
            <w:r w:rsidRPr="00774631">
              <w:t>000</w:t>
            </w:r>
          </w:p>
        </w:tc>
        <w:tc>
          <w:tcPr>
            <w:tcW w:w="896" w:type="dxa"/>
            <w:tcBorders>
              <w:top w:val="nil"/>
              <w:left w:val="nil"/>
              <w:right w:val="nil"/>
            </w:tcBorders>
            <w:shd w:val="clear" w:color="auto" w:fill="auto"/>
            <w:noWrap/>
          </w:tcPr>
          <w:p w:rsidR="00A53D7D" w:rsidRPr="00774631" w:rsidRDefault="00A53D7D" w:rsidP="005140B4">
            <w:pPr>
              <w:pStyle w:val="OGTableofFigures"/>
            </w:pPr>
            <w:r>
              <w:t>1 </w:t>
            </w:r>
            <w:r w:rsidRPr="00774631">
              <w:t>188</w:t>
            </w:r>
          </w:p>
        </w:tc>
      </w:tr>
      <w:tr w:rsidR="00A53D7D" w:rsidRPr="00774631" w:rsidTr="005140B4">
        <w:trPr>
          <w:cantSplit/>
          <w:trHeight w:val="556"/>
        </w:trPr>
        <w:tc>
          <w:tcPr>
            <w:tcW w:w="3136" w:type="dxa"/>
            <w:tcBorders>
              <w:top w:val="single" w:sz="6" w:space="0" w:color="auto"/>
              <w:left w:val="nil"/>
              <w:right w:val="nil"/>
            </w:tcBorders>
            <w:shd w:val="clear" w:color="auto" w:fill="auto"/>
          </w:tcPr>
          <w:p w:rsidR="00A53D7D" w:rsidRPr="00774631" w:rsidRDefault="00A53D7D" w:rsidP="005140B4">
            <w:pPr>
              <w:pStyle w:val="OGTabText"/>
            </w:pPr>
            <w:r w:rsidRPr="00774631">
              <w:t>Number of briefs supporting Cabinet and Cabinet committee decision</w:t>
            </w:r>
            <w:r>
              <w:noBreakHyphen/>
            </w:r>
            <w:r w:rsidRPr="00774631">
              <w:t>making</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r>
              <w:t>1 2</w:t>
            </w:r>
            <w:r w:rsidRPr="00774631">
              <w:t>00</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w:t>
            </w:r>
            <w:r>
              <w:t> </w:t>
            </w:r>
            <w:r w:rsidRPr="00774631">
              <w:t>200</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t>1 </w:t>
            </w:r>
            <w:r w:rsidRPr="00774631">
              <w:t>200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nm</w:t>
            </w:r>
          </w:p>
        </w:tc>
      </w:tr>
      <w:tr w:rsidR="00A53D7D" w:rsidRPr="00774631" w:rsidTr="005140B4">
        <w:trPr>
          <w:cantSplit/>
          <w:trHeight w:val="300"/>
        </w:trPr>
        <w:tc>
          <w:tcPr>
            <w:tcW w:w="3136" w:type="dxa"/>
            <w:tcBorders>
              <w:top w:val="single" w:sz="6" w:space="0" w:color="auto"/>
              <w:left w:val="nil"/>
              <w:right w:val="nil"/>
            </w:tcBorders>
            <w:shd w:val="clear" w:color="auto" w:fill="auto"/>
          </w:tcPr>
          <w:p w:rsidR="00A53D7D" w:rsidRPr="00774631" w:rsidRDefault="00A53D7D" w:rsidP="005140B4">
            <w:pPr>
              <w:pStyle w:val="OGTabHead"/>
            </w:pPr>
            <w:r w:rsidRPr="00774631">
              <w:t>Quality</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810"/>
        </w:trPr>
        <w:tc>
          <w:tcPr>
            <w:tcW w:w="3136" w:type="dxa"/>
            <w:tcBorders>
              <w:top w:val="nil"/>
              <w:left w:val="nil"/>
              <w:right w:val="nil"/>
            </w:tcBorders>
            <w:shd w:val="clear" w:color="auto" w:fill="auto"/>
          </w:tcPr>
          <w:p w:rsidR="00A53D7D" w:rsidRPr="00774631" w:rsidRDefault="00A53D7D" w:rsidP="005140B4">
            <w:pPr>
              <w:pStyle w:val="OGTabText"/>
            </w:pPr>
            <w:r w:rsidRPr="00774631">
              <w:t>Cabinet and Cabinet committee meetings, and Cabinet visits to metropolitan and regional Victoria supported to the requirement of the Government</w:t>
            </w:r>
          </w:p>
        </w:tc>
        <w:tc>
          <w:tcPr>
            <w:tcW w:w="924" w:type="dxa"/>
            <w:tcBorders>
              <w:top w:val="nil"/>
              <w:left w:val="nil"/>
              <w:right w:val="nil"/>
            </w:tcBorders>
            <w:shd w:val="clear" w:color="auto" w:fill="auto"/>
            <w:noWrap/>
          </w:tcPr>
          <w:p w:rsidR="00A53D7D" w:rsidRPr="00774631" w:rsidRDefault="00A53D7D" w:rsidP="005140B4">
            <w:pPr>
              <w:pStyle w:val="OGUoM"/>
            </w:pPr>
            <w:r w:rsidRPr="00774631">
              <w:t>per cent</w:t>
            </w:r>
          </w:p>
        </w:tc>
        <w:tc>
          <w:tcPr>
            <w:tcW w:w="910" w:type="dxa"/>
            <w:tcBorders>
              <w:top w:val="nil"/>
              <w:left w:val="nil"/>
              <w:right w:val="nil"/>
            </w:tcBorders>
            <w:shd w:val="clear" w:color="auto" w:fill="D9D9D9"/>
            <w:noWrap/>
          </w:tcPr>
          <w:p w:rsidR="00A53D7D" w:rsidRPr="00774631" w:rsidRDefault="00A53D7D" w:rsidP="005140B4">
            <w:pPr>
              <w:pStyle w:val="OGTableofFigures"/>
            </w:pPr>
            <w:r w:rsidRPr="00774631">
              <w:t>100</w:t>
            </w:r>
          </w:p>
        </w:tc>
        <w:tc>
          <w:tcPr>
            <w:tcW w:w="993" w:type="dxa"/>
            <w:tcBorders>
              <w:top w:val="nil"/>
              <w:left w:val="nil"/>
              <w:right w:val="nil"/>
            </w:tcBorders>
            <w:shd w:val="clear" w:color="auto" w:fill="auto"/>
            <w:noWrap/>
          </w:tcPr>
          <w:p w:rsidR="00A53D7D" w:rsidRPr="00774631" w:rsidRDefault="00A53D7D" w:rsidP="005140B4">
            <w:pPr>
              <w:pStyle w:val="OGTableofFigures"/>
            </w:pPr>
            <w:r w:rsidRPr="00774631">
              <w:t>100</w:t>
            </w:r>
          </w:p>
        </w:tc>
        <w:tc>
          <w:tcPr>
            <w:tcW w:w="910" w:type="dxa"/>
            <w:tcBorders>
              <w:top w:val="nil"/>
              <w:left w:val="nil"/>
              <w:right w:val="nil"/>
            </w:tcBorders>
            <w:shd w:val="clear" w:color="auto" w:fill="auto"/>
            <w:noWrap/>
          </w:tcPr>
          <w:p w:rsidR="00A53D7D" w:rsidRPr="00774631" w:rsidRDefault="00A53D7D" w:rsidP="005140B4">
            <w:pPr>
              <w:pStyle w:val="OGTableofFigures"/>
            </w:pPr>
            <w:r w:rsidRPr="00774631">
              <w:t>100</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nm</w:t>
            </w:r>
          </w:p>
        </w:tc>
      </w:tr>
      <w:tr w:rsidR="00A53D7D" w:rsidRPr="00774631" w:rsidTr="005140B4">
        <w:trPr>
          <w:cantSplit/>
          <w:trHeight w:val="315"/>
        </w:trPr>
        <w:tc>
          <w:tcPr>
            <w:tcW w:w="3136" w:type="dxa"/>
            <w:tcBorders>
              <w:top w:val="single" w:sz="6" w:space="0" w:color="auto"/>
              <w:left w:val="nil"/>
              <w:right w:val="nil"/>
            </w:tcBorders>
            <w:shd w:val="clear" w:color="auto" w:fill="auto"/>
          </w:tcPr>
          <w:p w:rsidR="00A53D7D" w:rsidRPr="00774631" w:rsidRDefault="00A53D7D" w:rsidP="005140B4">
            <w:pPr>
              <w:pStyle w:val="OGTabText"/>
            </w:pPr>
            <w:r w:rsidRPr="00774631">
              <w:t>Policy services satisfaction rating</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86</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86</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86</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85.54</w:t>
            </w:r>
          </w:p>
        </w:tc>
      </w:tr>
      <w:tr w:rsidR="00A53D7D" w:rsidRPr="00774631" w:rsidTr="005140B4">
        <w:trPr>
          <w:cantSplit/>
          <w:trHeight w:val="300"/>
        </w:trPr>
        <w:tc>
          <w:tcPr>
            <w:tcW w:w="3136" w:type="dxa"/>
            <w:tcBorders>
              <w:top w:val="single" w:sz="6" w:space="0" w:color="auto"/>
              <w:left w:val="nil"/>
              <w:right w:val="nil"/>
            </w:tcBorders>
            <w:shd w:val="clear" w:color="auto" w:fill="auto"/>
            <w:hideMark/>
          </w:tcPr>
          <w:p w:rsidR="00A53D7D" w:rsidRPr="00774631" w:rsidRDefault="00A53D7D" w:rsidP="005140B4">
            <w:pPr>
              <w:pStyle w:val="OGTabHead"/>
            </w:pPr>
            <w:r w:rsidRPr="00774631">
              <w:t>Timeliness</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300"/>
        </w:trPr>
        <w:tc>
          <w:tcPr>
            <w:tcW w:w="3136" w:type="dxa"/>
            <w:tcBorders>
              <w:top w:val="nil"/>
              <w:left w:val="nil"/>
              <w:right w:val="nil"/>
            </w:tcBorders>
            <w:shd w:val="clear" w:color="auto" w:fill="auto"/>
          </w:tcPr>
          <w:p w:rsidR="00A53D7D" w:rsidRPr="00774631" w:rsidRDefault="00A53D7D" w:rsidP="005140B4">
            <w:pPr>
              <w:pStyle w:val="OGTabText"/>
            </w:pPr>
            <w:r w:rsidRPr="00774631">
              <w:t>Policy services timeliness rating</w:t>
            </w:r>
          </w:p>
        </w:tc>
        <w:tc>
          <w:tcPr>
            <w:tcW w:w="924" w:type="dxa"/>
            <w:tcBorders>
              <w:top w:val="nil"/>
              <w:left w:val="nil"/>
              <w:right w:val="nil"/>
            </w:tcBorders>
            <w:shd w:val="clear" w:color="auto" w:fill="auto"/>
            <w:noWrap/>
          </w:tcPr>
          <w:p w:rsidR="00A53D7D" w:rsidRPr="00774631" w:rsidRDefault="00A53D7D" w:rsidP="005140B4">
            <w:pPr>
              <w:pStyle w:val="OGUoM"/>
            </w:pPr>
            <w:r w:rsidRPr="00774631">
              <w:t>per cent</w:t>
            </w:r>
          </w:p>
        </w:tc>
        <w:tc>
          <w:tcPr>
            <w:tcW w:w="910" w:type="dxa"/>
            <w:tcBorders>
              <w:top w:val="nil"/>
              <w:left w:val="nil"/>
              <w:right w:val="nil"/>
            </w:tcBorders>
            <w:shd w:val="clear" w:color="auto" w:fill="D9D9D9"/>
            <w:noWrap/>
          </w:tcPr>
          <w:p w:rsidR="00A53D7D" w:rsidRPr="00774631" w:rsidRDefault="00A53D7D" w:rsidP="005140B4">
            <w:pPr>
              <w:pStyle w:val="OGTableofFigures"/>
            </w:pPr>
            <w:r w:rsidRPr="00774631">
              <w:t>95</w:t>
            </w:r>
          </w:p>
        </w:tc>
        <w:tc>
          <w:tcPr>
            <w:tcW w:w="993" w:type="dxa"/>
            <w:tcBorders>
              <w:top w:val="nil"/>
              <w:left w:val="nil"/>
              <w:right w:val="nil"/>
            </w:tcBorders>
            <w:shd w:val="clear" w:color="auto" w:fill="auto"/>
            <w:noWrap/>
          </w:tcPr>
          <w:p w:rsidR="00A53D7D" w:rsidRPr="00774631" w:rsidRDefault="00A53D7D" w:rsidP="005140B4">
            <w:pPr>
              <w:pStyle w:val="OGTableofFigures"/>
            </w:pPr>
            <w:r w:rsidRPr="00774631">
              <w:t>95</w:t>
            </w:r>
          </w:p>
        </w:tc>
        <w:tc>
          <w:tcPr>
            <w:tcW w:w="910" w:type="dxa"/>
            <w:tcBorders>
              <w:top w:val="nil"/>
              <w:left w:val="nil"/>
              <w:right w:val="nil"/>
            </w:tcBorders>
            <w:shd w:val="clear" w:color="auto" w:fill="auto"/>
            <w:noWrap/>
          </w:tcPr>
          <w:p w:rsidR="00A53D7D" w:rsidRPr="00774631" w:rsidRDefault="00A53D7D" w:rsidP="005140B4">
            <w:pPr>
              <w:pStyle w:val="OGTableofFigures"/>
            </w:pPr>
            <w:r w:rsidRPr="00774631">
              <w:t>95</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90.6</w:t>
            </w:r>
          </w:p>
        </w:tc>
      </w:tr>
      <w:tr w:rsidR="00A53D7D" w:rsidRPr="00774631" w:rsidTr="005140B4">
        <w:trPr>
          <w:cantSplit/>
          <w:trHeight w:val="300"/>
        </w:trPr>
        <w:tc>
          <w:tcPr>
            <w:tcW w:w="3136" w:type="dxa"/>
            <w:tcBorders>
              <w:top w:val="single" w:sz="6" w:space="0" w:color="auto"/>
              <w:left w:val="nil"/>
              <w:right w:val="nil"/>
            </w:tcBorders>
            <w:shd w:val="clear" w:color="auto" w:fill="auto"/>
            <w:hideMark/>
          </w:tcPr>
          <w:p w:rsidR="00A53D7D" w:rsidRPr="00774631" w:rsidRDefault="00A53D7D" w:rsidP="005140B4">
            <w:pPr>
              <w:pStyle w:val="OGTabHead"/>
            </w:pPr>
            <w:r w:rsidRPr="00774631">
              <w:t>Cost</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right w:val="nil"/>
            </w:tcBorders>
            <w:shd w:val="clear" w:color="auto" w:fill="D9D9D9"/>
            <w:noWrap/>
            <w:hideMark/>
          </w:tcPr>
          <w:p w:rsidR="00A53D7D" w:rsidRPr="00774631" w:rsidRDefault="00A53D7D" w:rsidP="005140B4">
            <w:pPr>
              <w:pStyle w:val="OGTableofFigures"/>
            </w:pPr>
            <w:r w:rsidRPr="00774631">
              <w:t> </w:t>
            </w:r>
          </w:p>
        </w:tc>
        <w:tc>
          <w:tcPr>
            <w:tcW w:w="993"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910"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5140B4">
        <w:trPr>
          <w:cantSplit/>
          <w:trHeight w:val="315"/>
        </w:trPr>
        <w:tc>
          <w:tcPr>
            <w:tcW w:w="3136" w:type="dxa"/>
            <w:tcBorders>
              <w:top w:val="nil"/>
              <w:left w:val="nil"/>
              <w:right w:val="nil"/>
            </w:tcBorders>
            <w:shd w:val="clear" w:color="auto" w:fill="auto"/>
          </w:tcPr>
          <w:p w:rsidR="00A53D7D" w:rsidRPr="00774631" w:rsidRDefault="00A53D7D" w:rsidP="005140B4">
            <w:pPr>
              <w:pStyle w:val="OGTabText"/>
            </w:pPr>
            <w:r w:rsidRPr="00774631">
              <w:t>Total output cost</w:t>
            </w:r>
          </w:p>
        </w:tc>
        <w:tc>
          <w:tcPr>
            <w:tcW w:w="924" w:type="dxa"/>
            <w:tcBorders>
              <w:top w:val="nil"/>
              <w:left w:val="nil"/>
              <w:right w:val="nil"/>
            </w:tcBorders>
            <w:shd w:val="clear" w:color="auto" w:fill="auto"/>
            <w:noWrap/>
          </w:tcPr>
          <w:p w:rsidR="00A53D7D" w:rsidRPr="00774631" w:rsidRDefault="00A53D7D" w:rsidP="005140B4">
            <w:pPr>
              <w:pStyle w:val="OGUoM"/>
            </w:pPr>
            <w:r w:rsidRPr="00774631">
              <w:t>$ million</w:t>
            </w:r>
          </w:p>
        </w:tc>
        <w:tc>
          <w:tcPr>
            <w:tcW w:w="910" w:type="dxa"/>
            <w:tcBorders>
              <w:top w:val="nil"/>
              <w:left w:val="nil"/>
              <w:right w:val="nil"/>
            </w:tcBorders>
            <w:shd w:val="clear" w:color="auto" w:fill="D9D9D9"/>
            <w:noWrap/>
          </w:tcPr>
          <w:p w:rsidR="00A53D7D" w:rsidRPr="00774631" w:rsidRDefault="00A53D7D" w:rsidP="005140B4">
            <w:pPr>
              <w:pStyle w:val="OGTableofFigures"/>
            </w:pPr>
            <w:r w:rsidRPr="00774631">
              <w:t>78.57</w:t>
            </w:r>
          </w:p>
        </w:tc>
        <w:tc>
          <w:tcPr>
            <w:tcW w:w="993" w:type="dxa"/>
            <w:tcBorders>
              <w:top w:val="nil"/>
              <w:left w:val="nil"/>
              <w:right w:val="nil"/>
            </w:tcBorders>
            <w:shd w:val="clear" w:color="auto" w:fill="auto"/>
            <w:noWrap/>
          </w:tcPr>
          <w:p w:rsidR="00A53D7D" w:rsidRPr="00774631" w:rsidRDefault="00A53D7D" w:rsidP="005140B4">
            <w:pPr>
              <w:pStyle w:val="OGTableofFigures"/>
            </w:pPr>
            <w:r w:rsidRPr="00774631">
              <w:t>77.0</w:t>
            </w:r>
          </w:p>
        </w:tc>
        <w:tc>
          <w:tcPr>
            <w:tcW w:w="910" w:type="dxa"/>
            <w:tcBorders>
              <w:top w:val="nil"/>
              <w:left w:val="nil"/>
              <w:right w:val="nil"/>
            </w:tcBorders>
            <w:shd w:val="clear" w:color="auto" w:fill="auto"/>
            <w:noWrap/>
          </w:tcPr>
          <w:p w:rsidR="00A53D7D" w:rsidRPr="00774631" w:rsidRDefault="00A53D7D" w:rsidP="005140B4">
            <w:pPr>
              <w:pStyle w:val="OGTableofFigures"/>
            </w:pPr>
            <w:r w:rsidRPr="00774631">
              <w:t>72.6</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nm</w:t>
            </w:r>
          </w:p>
        </w:tc>
      </w:tr>
      <w:tr w:rsidR="00A53D7D" w:rsidRPr="00774631" w:rsidTr="005140B4">
        <w:trPr>
          <w:cantSplit/>
          <w:trHeight w:val="144"/>
        </w:trPr>
        <w:tc>
          <w:tcPr>
            <w:tcW w:w="7769" w:type="dxa"/>
            <w:gridSpan w:val="6"/>
            <w:tcBorders>
              <w:left w:val="nil"/>
              <w:bottom w:val="single" w:sz="4" w:space="0" w:color="auto"/>
              <w:right w:val="nil"/>
            </w:tcBorders>
            <w:shd w:val="clear" w:color="auto" w:fill="auto"/>
          </w:tcPr>
          <w:p w:rsidR="00A53D7D" w:rsidRDefault="00A53D7D" w:rsidP="005140B4">
            <w:pPr>
              <w:pStyle w:val="OGNotes"/>
            </w:pPr>
            <w:r w:rsidRPr="00774631">
              <w:t>The 2013</w:t>
            </w:r>
            <w:r>
              <w:noBreakHyphen/>
            </w:r>
            <w:r w:rsidRPr="00774631">
              <w:t>14 expected outcome is higher than the 2013</w:t>
            </w:r>
            <w:r>
              <w:noBreakHyphen/>
              <w:t xml:space="preserve">14 target due to the </w:t>
            </w:r>
            <w:r w:rsidRPr="00774631">
              <w:t>Parliamentary and Public Administration Legislation Amendment Act 2013</w:t>
            </w:r>
            <w:r>
              <w:t xml:space="preserve">. </w:t>
            </w:r>
          </w:p>
          <w:p w:rsidR="00A53D7D" w:rsidRPr="00774631" w:rsidRDefault="00A53D7D" w:rsidP="005140B4">
            <w:pPr>
              <w:pStyle w:val="OGNotes"/>
            </w:pPr>
            <w:r w:rsidRPr="00774631">
              <w:t>The 2014</w:t>
            </w:r>
            <w:r>
              <w:noBreakHyphen/>
            </w:r>
            <w:r w:rsidRPr="00774631">
              <w:t>15 target has been revised upwards to reflect this.</w:t>
            </w:r>
          </w:p>
        </w:tc>
      </w:tr>
      <w:tr w:rsidR="00A53D7D" w:rsidRPr="00774631" w:rsidTr="005140B4">
        <w:trPr>
          <w:cantSplit/>
          <w:trHeight w:val="525"/>
        </w:trPr>
        <w:tc>
          <w:tcPr>
            <w:tcW w:w="7769" w:type="dxa"/>
            <w:gridSpan w:val="6"/>
            <w:tcBorders>
              <w:top w:val="single" w:sz="4" w:space="0" w:color="auto"/>
              <w:left w:val="nil"/>
              <w:bottom w:val="nil"/>
              <w:right w:val="nil"/>
            </w:tcBorders>
            <w:shd w:val="clear" w:color="auto" w:fill="auto"/>
            <w:hideMark/>
          </w:tcPr>
          <w:p w:rsidR="00A53D7D" w:rsidRPr="00774631" w:rsidRDefault="00A53D7D" w:rsidP="005140B4">
            <w:pPr>
              <w:pStyle w:val="OGHeading2"/>
            </w:pPr>
            <w:r w:rsidRPr="00774631">
              <w:t>Government</w:t>
            </w:r>
            <w:r>
              <w:noBreakHyphen/>
            </w:r>
            <w:r w:rsidRPr="00774631">
              <w:t xml:space="preserve">wide Leadership and Implementation </w:t>
            </w:r>
          </w:p>
        </w:tc>
      </w:tr>
      <w:tr w:rsidR="00A53D7D" w:rsidRPr="00774631" w:rsidTr="005140B4">
        <w:trPr>
          <w:cantSplit/>
          <w:trHeight w:val="1245"/>
        </w:trPr>
        <w:tc>
          <w:tcPr>
            <w:tcW w:w="7769" w:type="dxa"/>
            <w:gridSpan w:val="6"/>
            <w:tcBorders>
              <w:top w:val="nil"/>
              <w:left w:val="nil"/>
              <w:bottom w:val="single" w:sz="6" w:space="0" w:color="auto"/>
              <w:right w:val="nil"/>
            </w:tcBorders>
            <w:shd w:val="clear" w:color="auto" w:fill="auto"/>
            <w:hideMark/>
          </w:tcPr>
          <w:p w:rsidR="00A53D7D" w:rsidRPr="00774631" w:rsidRDefault="00A53D7D" w:rsidP="005140B4">
            <w:pPr>
              <w:pStyle w:val="OGText"/>
            </w:pPr>
            <w:r w:rsidRPr="00774631">
              <w:t>Monitor the implementation and delivery of the Government's decisions and projects and lead effective whole</w:t>
            </w:r>
            <w:r>
              <w:noBreakHyphen/>
            </w:r>
            <w:r w:rsidRPr="00774631">
              <w:t>of</w:t>
            </w:r>
            <w:r>
              <w:noBreakHyphen/>
            </w:r>
            <w:r w:rsidRPr="00774631">
              <w:t>government responses to significant identified issues.</w:t>
            </w:r>
          </w:p>
          <w:p w:rsidR="00A53D7D" w:rsidRPr="00774631" w:rsidRDefault="00A53D7D" w:rsidP="005140B4">
            <w:pPr>
              <w:pStyle w:val="OGText"/>
            </w:pPr>
            <w:r w:rsidRPr="00774631">
              <w:t>Support the Premier and Government’s leadership role regarding international engagement and in building international cultural links.</w:t>
            </w:r>
          </w:p>
        </w:tc>
      </w:tr>
      <w:tr w:rsidR="00A53D7D" w:rsidRPr="00774631" w:rsidTr="005140B4">
        <w:trPr>
          <w:cantSplit/>
          <w:trHeight w:val="315"/>
        </w:trPr>
        <w:tc>
          <w:tcPr>
            <w:tcW w:w="3136" w:type="dxa"/>
            <w:tcBorders>
              <w:top w:val="single" w:sz="6" w:space="0" w:color="auto"/>
              <w:left w:val="nil"/>
              <w:right w:val="nil"/>
            </w:tcBorders>
            <w:shd w:val="clear" w:color="auto" w:fill="auto"/>
            <w:hideMark/>
          </w:tcPr>
          <w:p w:rsidR="00A53D7D" w:rsidRPr="00774631" w:rsidRDefault="00A53D7D" w:rsidP="005140B4">
            <w:pPr>
              <w:pStyle w:val="OGTabHead"/>
            </w:pPr>
            <w:r w:rsidRPr="00774631">
              <w:t>Quantity</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right w:val="nil"/>
            </w:tcBorders>
            <w:shd w:val="clear" w:color="auto" w:fill="D9D9D9"/>
            <w:noWrap/>
            <w:hideMark/>
          </w:tcPr>
          <w:p w:rsidR="00A53D7D" w:rsidRPr="00774631" w:rsidRDefault="00A53D7D" w:rsidP="005140B4">
            <w:pPr>
              <w:pStyle w:val="OGTableofFigures"/>
            </w:pPr>
            <w:r w:rsidRPr="00774631">
              <w:t> </w:t>
            </w:r>
          </w:p>
        </w:tc>
        <w:tc>
          <w:tcPr>
            <w:tcW w:w="993"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910"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5140B4">
        <w:trPr>
          <w:cantSplit/>
          <w:trHeight w:val="300"/>
        </w:trPr>
        <w:tc>
          <w:tcPr>
            <w:tcW w:w="3136" w:type="dxa"/>
            <w:tcBorders>
              <w:top w:val="nil"/>
              <w:left w:val="nil"/>
              <w:bottom w:val="single" w:sz="6" w:space="0" w:color="auto"/>
              <w:right w:val="nil"/>
            </w:tcBorders>
            <w:shd w:val="clear" w:color="auto" w:fill="auto"/>
          </w:tcPr>
          <w:p w:rsidR="00A53D7D" w:rsidRPr="00774631" w:rsidDel="00A67E88" w:rsidRDefault="00A53D7D" w:rsidP="005140B4">
            <w:pPr>
              <w:pStyle w:val="OGTabText"/>
            </w:pPr>
            <w:r w:rsidRPr="00774631">
              <w:t>Annual special events</w:t>
            </w:r>
          </w:p>
        </w:tc>
        <w:tc>
          <w:tcPr>
            <w:tcW w:w="924" w:type="dxa"/>
            <w:tcBorders>
              <w:top w:val="nil"/>
              <w:left w:val="nil"/>
              <w:bottom w:val="single" w:sz="6" w:space="0" w:color="auto"/>
              <w:right w:val="nil"/>
            </w:tcBorders>
            <w:shd w:val="clear" w:color="auto" w:fill="auto"/>
            <w:noWrap/>
          </w:tcPr>
          <w:p w:rsidR="00A53D7D" w:rsidRPr="00774631" w:rsidDel="00A67E88" w:rsidRDefault="00A53D7D" w:rsidP="005140B4">
            <w:pPr>
              <w:pStyle w:val="OGUoM"/>
            </w:pPr>
            <w:r w:rsidRPr="00774631">
              <w:t>number</w:t>
            </w:r>
          </w:p>
        </w:tc>
        <w:tc>
          <w:tcPr>
            <w:tcW w:w="910" w:type="dxa"/>
            <w:tcBorders>
              <w:top w:val="nil"/>
              <w:left w:val="nil"/>
              <w:bottom w:val="single" w:sz="6" w:space="0" w:color="auto"/>
              <w:right w:val="nil"/>
            </w:tcBorders>
            <w:shd w:val="clear" w:color="auto" w:fill="D9D9D9"/>
            <w:noWrap/>
          </w:tcPr>
          <w:p w:rsidR="00A53D7D" w:rsidRPr="00774631" w:rsidDel="00A67E88" w:rsidRDefault="00A53D7D" w:rsidP="005140B4">
            <w:pPr>
              <w:pStyle w:val="OGTableofFigures"/>
            </w:pPr>
            <w:r w:rsidRPr="00774631">
              <w:t>7</w:t>
            </w:r>
          </w:p>
        </w:tc>
        <w:tc>
          <w:tcPr>
            <w:tcW w:w="993" w:type="dxa"/>
            <w:tcBorders>
              <w:top w:val="nil"/>
              <w:left w:val="nil"/>
              <w:bottom w:val="single" w:sz="6" w:space="0" w:color="auto"/>
              <w:right w:val="nil"/>
            </w:tcBorders>
            <w:shd w:val="clear" w:color="auto" w:fill="auto"/>
            <w:noWrap/>
          </w:tcPr>
          <w:p w:rsidR="00A53D7D" w:rsidRPr="00774631" w:rsidDel="00A67E88" w:rsidRDefault="00A53D7D" w:rsidP="005140B4">
            <w:pPr>
              <w:pStyle w:val="OGTableofFigures"/>
            </w:pPr>
            <w:r w:rsidRPr="00774631">
              <w:t>7</w:t>
            </w:r>
          </w:p>
        </w:tc>
        <w:tc>
          <w:tcPr>
            <w:tcW w:w="910" w:type="dxa"/>
            <w:tcBorders>
              <w:top w:val="nil"/>
              <w:left w:val="nil"/>
              <w:bottom w:val="single" w:sz="6" w:space="0" w:color="auto"/>
              <w:right w:val="nil"/>
            </w:tcBorders>
            <w:shd w:val="clear" w:color="auto" w:fill="auto"/>
            <w:noWrap/>
          </w:tcPr>
          <w:p w:rsidR="00A53D7D" w:rsidRPr="00774631" w:rsidDel="00A67E88" w:rsidRDefault="00A53D7D" w:rsidP="005140B4">
            <w:pPr>
              <w:pStyle w:val="OGTableofFigures"/>
            </w:pPr>
            <w:r w:rsidRPr="00774631">
              <w:t>7</w:t>
            </w:r>
          </w:p>
        </w:tc>
        <w:tc>
          <w:tcPr>
            <w:tcW w:w="896" w:type="dxa"/>
            <w:tcBorders>
              <w:top w:val="nil"/>
              <w:left w:val="nil"/>
              <w:bottom w:val="single" w:sz="6" w:space="0" w:color="auto"/>
              <w:right w:val="nil"/>
            </w:tcBorders>
            <w:shd w:val="clear" w:color="auto" w:fill="auto"/>
            <w:noWrap/>
          </w:tcPr>
          <w:p w:rsidR="00A53D7D" w:rsidRPr="00774631" w:rsidDel="00A67E88" w:rsidRDefault="00A53D7D" w:rsidP="005140B4">
            <w:pPr>
              <w:pStyle w:val="OGTableofFigures"/>
            </w:pPr>
            <w:r w:rsidRPr="00774631">
              <w:t>7</w:t>
            </w:r>
          </w:p>
        </w:tc>
      </w:tr>
      <w:tr w:rsidR="00A53D7D" w:rsidRPr="00774631" w:rsidTr="005140B4">
        <w:trPr>
          <w:cantSplit/>
          <w:trHeight w:val="286"/>
        </w:trPr>
        <w:tc>
          <w:tcPr>
            <w:tcW w:w="3136" w:type="dxa"/>
            <w:tcBorders>
              <w:top w:val="single" w:sz="6" w:space="0" w:color="auto"/>
              <w:left w:val="nil"/>
              <w:right w:val="nil"/>
            </w:tcBorders>
            <w:shd w:val="clear" w:color="auto" w:fill="auto"/>
          </w:tcPr>
          <w:p w:rsidR="00A53D7D" w:rsidRPr="00774631" w:rsidDel="002D4C3C" w:rsidRDefault="00A53D7D" w:rsidP="005140B4">
            <w:pPr>
              <w:pStyle w:val="OGTabText"/>
            </w:pPr>
            <w:r w:rsidRPr="00774631">
              <w:t>Official international visitors to Victoria</w:t>
            </w:r>
          </w:p>
        </w:tc>
        <w:tc>
          <w:tcPr>
            <w:tcW w:w="924" w:type="dxa"/>
            <w:tcBorders>
              <w:top w:val="single" w:sz="6" w:space="0" w:color="auto"/>
              <w:left w:val="nil"/>
              <w:right w:val="nil"/>
            </w:tcBorders>
            <w:shd w:val="clear" w:color="auto" w:fill="auto"/>
            <w:noWrap/>
          </w:tcPr>
          <w:p w:rsidR="00A53D7D" w:rsidRPr="00774631" w:rsidDel="002D4C3C" w:rsidRDefault="00A53D7D" w:rsidP="005140B4">
            <w:pPr>
              <w:pStyle w:val="OGUoM"/>
            </w:pPr>
            <w:r w:rsidRPr="00774631">
              <w:t>number</w:t>
            </w:r>
          </w:p>
        </w:tc>
        <w:tc>
          <w:tcPr>
            <w:tcW w:w="910" w:type="dxa"/>
            <w:tcBorders>
              <w:top w:val="single" w:sz="6" w:space="0" w:color="auto"/>
              <w:left w:val="nil"/>
              <w:right w:val="nil"/>
            </w:tcBorders>
            <w:shd w:val="clear" w:color="auto" w:fill="D9D9D9"/>
            <w:noWrap/>
          </w:tcPr>
          <w:p w:rsidR="00A53D7D" w:rsidRPr="00774631" w:rsidDel="002D4C3C" w:rsidRDefault="00A53D7D" w:rsidP="005140B4">
            <w:pPr>
              <w:pStyle w:val="OGTableofFigures"/>
            </w:pPr>
            <w:r w:rsidRPr="00774631">
              <w:t>20</w:t>
            </w:r>
          </w:p>
        </w:tc>
        <w:tc>
          <w:tcPr>
            <w:tcW w:w="993" w:type="dxa"/>
            <w:tcBorders>
              <w:top w:val="single" w:sz="6" w:space="0" w:color="auto"/>
              <w:left w:val="nil"/>
              <w:right w:val="nil"/>
            </w:tcBorders>
            <w:shd w:val="clear" w:color="auto" w:fill="auto"/>
            <w:noWrap/>
          </w:tcPr>
          <w:p w:rsidR="00A53D7D" w:rsidRPr="00774631" w:rsidDel="002D4C3C" w:rsidRDefault="00A53D7D" w:rsidP="005140B4">
            <w:pPr>
              <w:pStyle w:val="OGTableofFigures"/>
            </w:pPr>
            <w:r w:rsidRPr="00774631">
              <w:t>20</w:t>
            </w:r>
          </w:p>
        </w:tc>
        <w:tc>
          <w:tcPr>
            <w:tcW w:w="910" w:type="dxa"/>
            <w:tcBorders>
              <w:top w:val="single" w:sz="6" w:space="0" w:color="auto"/>
              <w:left w:val="nil"/>
              <w:right w:val="nil"/>
            </w:tcBorders>
            <w:shd w:val="clear" w:color="auto" w:fill="auto"/>
            <w:noWrap/>
          </w:tcPr>
          <w:p w:rsidR="00A53D7D" w:rsidRPr="00774631" w:rsidDel="002D4C3C" w:rsidRDefault="00A53D7D" w:rsidP="005140B4">
            <w:pPr>
              <w:pStyle w:val="OGTableofFigures"/>
            </w:pPr>
            <w:r w:rsidRPr="00774631">
              <w:t>20</w:t>
            </w:r>
          </w:p>
        </w:tc>
        <w:tc>
          <w:tcPr>
            <w:tcW w:w="896" w:type="dxa"/>
            <w:tcBorders>
              <w:top w:val="single" w:sz="6" w:space="0" w:color="auto"/>
              <w:left w:val="nil"/>
              <w:right w:val="nil"/>
            </w:tcBorders>
            <w:shd w:val="clear" w:color="auto" w:fill="auto"/>
            <w:noWrap/>
          </w:tcPr>
          <w:p w:rsidR="00A53D7D" w:rsidRPr="00774631" w:rsidDel="002D4C3C" w:rsidRDefault="00A53D7D" w:rsidP="005140B4">
            <w:pPr>
              <w:pStyle w:val="OGTableofFigures"/>
            </w:pPr>
            <w:r w:rsidRPr="00774631">
              <w:t>20</w:t>
            </w:r>
          </w:p>
        </w:tc>
      </w:tr>
      <w:tr w:rsidR="00A53D7D" w:rsidRPr="00774631" w:rsidTr="005140B4">
        <w:trPr>
          <w:cantSplit/>
          <w:trHeight w:val="795"/>
        </w:trPr>
        <w:tc>
          <w:tcPr>
            <w:tcW w:w="3136" w:type="dxa"/>
            <w:tcBorders>
              <w:top w:val="single" w:sz="6" w:space="0" w:color="auto"/>
              <w:left w:val="nil"/>
              <w:right w:val="nil"/>
            </w:tcBorders>
            <w:shd w:val="clear" w:color="auto" w:fill="auto"/>
          </w:tcPr>
          <w:p w:rsidR="00A53D7D" w:rsidRPr="00774631" w:rsidRDefault="00A53D7D" w:rsidP="005140B4">
            <w:pPr>
              <w:pStyle w:val="OGTabText"/>
            </w:pPr>
            <w:r w:rsidRPr="00774631">
              <w:t>Whole of Government emergency management forums and meetings and continuity exercises facilitated</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14</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23</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14</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nm</w:t>
            </w:r>
          </w:p>
        </w:tc>
      </w:tr>
      <w:tr w:rsidR="00A53D7D" w:rsidRPr="00774631" w:rsidTr="005140B4">
        <w:trPr>
          <w:cantSplit/>
          <w:trHeight w:val="312"/>
        </w:trPr>
        <w:tc>
          <w:tcPr>
            <w:tcW w:w="7769" w:type="dxa"/>
            <w:gridSpan w:val="6"/>
            <w:tcBorders>
              <w:left w:val="nil"/>
              <w:bottom w:val="single" w:sz="4"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t>14 target due to coordination of</w:t>
            </w:r>
            <w:r w:rsidRPr="00774631">
              <w:t xml:space="preserve"> the whole of government response to the Hazelwood mine fire and the Gippsland fires.</w:t>
            </w:r>
          </w:p>
        </w:tc>
      </w:tr>
      <w:tr w:rsidR="00A53D7D" w:rsidRPr="00774631" w:rsidTr="005140B4">
        <w:trPr>
          <w:cantSplit/>
          <w:trHeight w:val="315"/>
        </w:trPr>
        <w:tc>
          <w:tcPr>
            <w:tcW w:w="3136" w:type="dxa"/>
            <w:tcBorders>
              <w:top w:val="single" w:sz="6" w:space="0" w:color="auto"/>
              <w:left w:val="nil"/>
              <w:bottom w:val="nil"/>
              <w:right w:val="nil"/>
            </w:tcBorders>
            <w:shd w:val="clear" w:color="auto" w:fill="auto"/>
            <w:hideMark/>
          </w:tcPr>
          <w:p w:rsidR="00A53D7D" w:rsidRPr="00774631" w:rsidRDefault="00A53D7D" w:rsidP="005140B4">
            <w:pPr>
              <w:pStyle w:val="OGTabHead"/>
            </w:pPr>
            <w:r w:rsidRPr="00774631">
              <w:t>Quality</w:t>
            </w:r>
          </w:p>
        </w:tc>
        <w:tc>
          <w:tcPr>
            <w:tcW w:w="924" w:type="dxa"/>
            <w:tcBorders>
              <w:top w:val="single" w:sz="6" w:space="0" w:color="auto"/>
              <w:left w:val="nil"/>
              <w:bottom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bottom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540"/>
        </w:trPr>
        <w:tc>
          <w:tcPr>
            <w:tcW w:w="3136" w:type="dxa"/>
            <w:tcBorders>
              <w:top w:val="nil"/>
              <w:left w:val="nil"/>
              <w:bottom w:val="single" w:sz="6" w:space="0" w:color="auto"/>
              <w:right w:val="nil"/>
            </w:tcBorders>
            <w:shd w:val="clear" w:color="auto" w:fill="auto"/>
          </w:tcPr>
          <w:p w:rsidR="00A53D7D" w:rsidRPr="00774631" w:rsidRDefault="00A53D7D" w:rsidP="005140B4">
            <w:pPr>
              <w:pStyle w:val="OGTabText"/>
            </w:pPr>
            <w:r w:rsidRPr="00774631">
              <w:t>Emergency management advice satisfaction rating</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top w:val="nil"/>
              <w:left w:val="nil"/>
              <w:bottom w:val="single" w:sz="6" w:space="0" w:color="auto"/>
              <w:right w:val="nil"/>
            </w:tcBorders>
            <w:shd w:val="clear" w:color="auto" w:fill="D9D9D9"/>
            <w:noWrap/>
          </w:tcPr>
          <w:p w:rsidR="00A53D7D" w:rsidRPr="00774631" w:rsidRDefault="00A53D7D" w:rsidP="005140B4">
            <w:pPr>
              <w:pStyle w:val="OGTableofFigures"/>
            </w:pPr>
            <w:r w:rsidRPr="00774631">
              <w:t>90</w:t>
            </w:r>
          </w:p>
        </w:tc>
        <w:tc>
          <w:tcPr>
            <w:tcW w:w="993"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90</w:t>
            </w:r>
          </w:p>
        </w:tc>
        <w:tc>
          <w:tcPr>
            <w:tcW w:w="910"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90</w:t>
            </w:r>
          </w:p>
        </w:tc>
        <w:tc>
          <w:tcPr>
            <w:tcW w:w="896"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nm</w:t>
            </w:r>
          </w:p>
        </w:tc>
      </w:tr>
      <w:tr w:rsidR="00A53D7D" w:rsidRPr="00774631" w:rsidTr="005140B4">
        <w:trPr>
          <w:cantSplit/>
          <w:trHeight w:val="795"/>
        </w:trPr>
        <w:tc>
          <w:tcPr>
            <w:tcW w:w="3136" w:type="dxa"/>
            <w:tcBorders>
              <w:top w:val="single" w:sz="6" w:space="0" w:color="auto"/>
              <w:left w:val="nil"/>
              <w:bottom w:val="single" w:sz="4" w:space="0" w:color="auto"/>
              <w:right w:val="nil"/>
            </w:tcBorders>
            <w:shd w:val="clear" w:color="auto" w:fill="auto"/>
          </w:tcPr>
          <w:p w:rsidR="00A53D7D" w:rsidRPr="00774631" w:rsidRDefault="00A53D7D" w:rsidP="005140B4">
            <w:pPr>
              <w:pStyle w:val="OGTabText"/>
            </w:pPr>
            <w:r w:rsidRPr="00774631">
              <w:t>Satisfaction with advice and support for intergovernmental and international relations</w:t>
            </w:r>
          </w:p>
        </w:tc>
        <w:tc>
          <w:tcPr>
            <w:tcW w:w="924" w:type="dxa"/>
            <w:tcBorders>
              <w:top w:val="single" w:sz="6" w:space="0" w:color="auto"/>
              <w:left w:val="nil"/>
              <w:bottom w:val="single" w:sz="4"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6" w:space="0" w:color="auto"/>
              <w:left w:val="nil"/>
              <w:bottom w:val="single" w:sz="4" w:space="0" w:color="auto"/>
              <w:right w:val="nil"/>
            </w:tcBorders>
            <w:shd w:val="clear" w:color="auto" w:fill="D9D9D9"/>
            <w:noWrap/>
          </w:tcPr>
          <w:p w:rsidR="00A53D7D" w:rsidRPr="00774631" w:rsidRDefault="00A53D7D" w:rsidP="005140B4">
            <w:pPr>
              <w:pStyle w:val="OGTableofFigures"/>
            </w:pPr>
            <w:r w:rsidRPr="00774631">
              <w:t>90</w:t>
            </w:r>
          </w:p>
        </w:tc>
        <w:tc>
          <w:tcPr>
            <w:tcW w:w="993" w:type="dxa"/>
            <w:tcBorders>
              <w:top w:val="single" w:sz="6" w:space="0" w:color="auto"/>
              <w:left w:val="nil"/>
              <w:bottom w:val="single" w:sz="4" w:space="0" w:color="auto"/>
              <w:right w:val="nil"/>
            </w:tcBorders>
            <w:shd w:val="clear" w:color="auto" w:fill="auto"/>
            <w:noWrap/>
          </w:tcPr>
          <w:p w:rsidR="00A53D7D" w:rsidRPr="00774631" w:rsidRDefault="00A53D7D" w:rsidP="005140B4">
            <w:pPr>
              <w:pStyle w:val="OGTableofFigures"/>
            </w:pPr>
            <w:r w:rsidRPr="00774631">
              <w:t>90</w:t>
            </w:r>
          </w:p>
        </w:tc>
        <w:tc>
          <w:tcPr>
            <w:tcW w:w="910" w:type="dxa"/>
            <w:tcBorders>
              <w:top w:val="single" w:sz="6" w:space="0" w:color="auto"/>
              <w:left w:val="nil"/>
              <w:bottom w:val="single" w:sz="4" w:space="0" w:color="auto"/>
              <w:right w:val="nil"/>
            </w:tcBorders>
            <w:shd w:val="clear" w:color="auto" w:fill="auto"/>
            <w:noWrap/>
          </w:tcPr>
          <w:p w:rsidR="00A53D7D" w:rsidRPr="00774631" w:rsidRDefault="00A53D7D" w:rsidP="005140B4">
            <w:pPr>
              <w:pStyle w:val="OGTableofFigures"/>
            </w:pPr>
            <w:r w:rsidRPr="00774631">
              <w:t>90</w:t>
            </w:r>
          </w:p>
        </w:tc>
        <w:tc>
          <w:tcPr>
            <w:tcW w:w="896" w:type="dxa"/>
            <w:tcBorders>
              <w:top w:val="single" w:sz="6" w:space="0" w:color="auto"/>
              <w:left w:val="nil"/>
              <w:bottom w:val="single" w:sz="4" w:space="0" w:color="auto"/>
              <w:right w:val="nil"/>
            </w:tcBorders>
            <w:shd w:val="clear" w:color="auto" w:fill="auto"/>
            <w:noWrap/>
          </w:tcPr>
          <w:p w:rsidR="00A53D7D" w:rsidRPr="00774631" w:rsidRDefault="00A53D7D" w:rsidP="005140B4">
            <w:pPr>
              <w:pStyle w:val="OGTableofFigures"/>
            </w:pPr>
            <w:r w:rsidRPr="00774631">
              <w:t>nm</w:t>
            </w:r>
          </w:p>
        </w:tc>
      </w:tr>
      <w:tr w:rsidR="00A53D7D" w:rsidRPr="00774631" w:rsidTr="005140B4">
        <w:trPr>
          <w:cantSplit/>
          <w:trHeight w:val="315"/>
        </w:trPr>
        <w:tc>
          <w:tcPr>
            <w:tcW w:w="3136" w:type="dxa"/>
            <w:tcBorders>
              <w:top w:val="single" w:sz="4" w:space="0" w:color="auto"/>
              <w:left w:val="nil"/>
              <w:bottom w:val="nil"/>
              <w:right w:val="nil"/>
            </w:tcBorders>
            <w:shd w:val="clear" w:color="auto" w:fill="auto"/>
            <w:hideMark/>
          </w:tcPr>
          <w:p w:rsidR="00A53D7D" w:rsidRPr="00774631" w:rsidRDefault="00A53D7D" w:rsidP="005140B4">
            <w:pPr>
              <w:pStyle w:val="OGTabHead"/>
            </w:pPr>
            <w:r w:rsidRPr="00774631">
              <w:t>Timeliness</w:t>
            </w:r>
          </w:p>
        </w:tc>
        <w:tc>
          <w:tcPr>
            <w:tcW w:w="924" w:type="dxa"/>
            <w:tcBorders>
              <w:top w:val="single" w:sz="4" w:space="0" w:color="auto"/>
              <w:left w:val="nil"/>
              <w:bottom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4" w:space="0" w:color="auto"/>
              <w:left w:val="nil"/>
              <w:bottom w:val="nil"/>
              <w:right w:val="nil"/>
            </w:tcBorders>
            <w:shd w:val="clear" w:color="auto" w:fill="D9D9D9"/>
            <w:noWrap/>
          </w:tcPr>
          <w:p w:rsidR="00A53D7D" w:rsidRPr="00774631" w:rsidRDefault="00A53D7D" w:rsidP="005140B4">
            <w:pPr>
              <w:pStyle w:val="OGTableofFigures"/>
            </w:pPr>
          </w:p>
        </w:tc>
        <w:tc>
          <w:tcPr>
            <w:tcW w:w="993" w:type="dxa"/>
            <w:tcBorders>
              <w:top w:val="single" w:sz="4" w:space="0" w:color="auto"/>
              <w:left w:val="nil"/>
              <w:bottom w:val="nil"/>
              <w:right w:val="nil"/>
            </w:tcBorders>
            <w:shd w:val="clear" w:color="auto" w:fill="auto"/>
            <w:noWrap/>
          </w:tcPr>
          <w:p w:rsidR="00A53D7D" w:rsidRPr="00774631" w:rsidRDefault="00A53D7D" w:rsidP="005140B4">
            <w:pPr>
              <w:pStyle w:val="OGTableofFigures"/>
            </w:pPr>
          </w:p>
        </w:tc>
        <w:tc>
          <w:tcPr>
            <w:tcW w:w="910" w:type="dxa"/>
            <w:tcBorders>
              <w:top w:val="single" w:sz="4" w:space="0" w:color="auto"/>
              <w:left w:val="nil"/>
              <w:bottom w:val="nil"/>
              <w:right w:val="nil"/>
            </w:tcBorders>
            <w:shd w:val="clear" w:color="auto" w:fill="auto"/>
            <w:noWrap/>
          </w:tcPr>
          <w:p w:rsidR="00A53D7D" w:rsidRPr="00774631" w:rsidRDefault="00A53D7D" w:rsidP="005140B4">
            <w:pPr>
              <w:pStyle w:val="OGTableofFigures"/>
            </w:pPr>
          </w:p>
        </w:tc>
        <w:tc>
          <w:tcPr>
            <w:tcW w:w="896" w:type="dxa"/>
            <w:tcBorders>
              <w:top w:val="single" w:sz="4" w:space="0" w:color="auto"/>
              <w:left w:val="nil"/>
              <w:bottom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578"/>
        </w:trPr>
        <w:tc>
          <w:tcPr>
            <w:tcW w:w="3136" w:type="dxa"/>
            <w:tcBorders>
              <w:top w:val="nil"/>
              <w:left w:val="nil"/>
              <w:right w:val="nil"/>
            </w:tcBorders>
            <w:shd w:val="clear" w:color="auto" w:fill="auto"/>
          </w:tcPr>
          <w:p w:rsidR="00A53D7D" w:rsidRPr="00774631" w:rsidDel="00347F30" w:rsidRDefault="00A53D7D" w:rsidP="005140B4">
            <w:pPr>
              <w:pStyle w:val="OGTabText"/>
            </w:pPr>
            <w:r w:rsidRPr="00774631">
              <w:t>Timely delivery of events, functions and international visit arrangements</w:t>
            </w:r>
          </w:p>
        </w:tc>
        <w:tc>
          <w:tcPr>
            <w:tcW w:w="924" w:type="dxa"/>
            <w:tcBorders>
              <w:top w:val="nil"/>
              <w:left w:val="nil"/>
              <w:right w:val="nil"/>
            </w:tcBorders>
            <w:shd w:val="clear" w:color="auto" w:fill="auto"/>
            <w:noWrap/>
          </w:tcPr>
          <w:p w:rsidR="00A53D7D" w:rsidRPr="00774631" w:rsidDel="00347F30" w:rsidRDefault="00A53D7D" w:rsidP="005140B4">
            <w:pPr>
              <w:pStyle w:val="OGUoM"/>
            </w:pPr>
            <w:r w:rsidRPr="00774631">
              <w:t>per cent</w:t>
            </w:r>
          </w:p>
        </w:tc>
        <w:tc>
          <w:tcPr>
            <w:tcW w:w="910" w:type="dxa"/>
            <w:tcBorders>
              <w:top w:val="nil"/>
              <w:left w:val="nil"/>
              <w:right w:val="nil"/>
            </w:tcBorders>
            <w:shd w:val="clear" w:color="auto" w:fill="D9D9D9"/>
            <w:noWrap/>
          </w:tcPr>
          <w:p w:rsidR="00A53D7D" w:rsidRPr="00774631" w:rsidDel="00347F30" w:rsidRDefault="00A53D7D" w:rsidP="005140B4">
            <w:pPr>
              <w:pStyle w:val="OGTableofFigures"/>
            </w:pPr>
            <w:r w:rsidRPr="00774631">
              <w:t>100</w:t>
            </w:r>
          </w:p>
        </w:tc>
        <w:tc>
          <w:tcPr>
            <w:tcW w:w="993" w:type="dxa"/>
            <w:tcBorders>
              <w:top w:val="nil"/>
              <w:left w:val="nil"/>
              <w:right w:val="nil"/>
            </w:tcBorders>
            <w:shd w:val="clear" w:color="auto" w:fill="auto"/>
            <w:noWrap/>
          </w:tcPr>
          <w:p w:rsidR="00A53D7D" w:rsidRPr="00774631" w:rsidDel="00347F30" w:rsidRDefault="00A53D7D" w:rsidP="005140B4">
            <w:pPr>
              <w:pStyle w:val="OGTableofFigures"/>
            </w:pPr>
            <w:r w:rsidRPr="00774631">
              <w:t>100</w:t>
            </w:r>
          </w:p>
        </w:tc>
        <w:tc>
          <w:tcPr>
            <w:tcW w:w="910" w:type="dxa"/>
            <w:tcBorders>
              <w:top w:val="nil"/>
              <w:left w:val="nil"/>
              <w:right w:val="nil"/>
            </w:tcBorders>
            <w:shd w:val="clear" w:color="auto" w:fill="auto"/>
            <w:noWrap/>
          </w:tcPr>
          <w:p w:rsidR="00A53D7D" w:rsidRPr="00774631" w:rsidDel="00347F30" w:rsidRDefault="00A53D7D" w:rsidP="005140B4">
            <w:pPr>
              <w:pStyle w:val="OGTableofFigures"/>
            </w:pPr>
            <w:r w:rsidRPr="00774631">
              <w:t>100</w:t>
            </w:r>
          </w:p>
        </w:tc>
        <w:tc>
          <w:tcPr>
            <w:tcW w:w="896" w:type="dxa"/>
            <w:tcBorders>
              <w:top w:val="nil"/>
              <w:left w:val="nil"/>
              <w:right w:val="nil"/>
            </w:tcBorders>
            <w:shd w:val="clear" w:color="auto" w:fill="auto"/>
            <w:noWrap/>
          </w:tcPr>
          <w:p w:rsidR="00A53D7D" w:rsidRPr="00774631" w:rsidDel="00347F30" w:rsidRDefault="00A53D7D" w:rsidP="005140B4">
            <w:pPr>
              <w:pStyle w:val="OGTableofFigures"/>
            </w:pPr>
            <w:r w:rsidRPr="00774631">
              <w:t>100</w:t>
            </w:r>
          </w:p>
        </w:tc>
      </w:tr>
      <w:tr w:rsidR="00A53D7D" w:rsidRPr="00774631" w:rsidTr="005140B4">
        <w:trPr>
          <w:cantSplit/>
          <w:trHeight w:val="315"/>
        </w:trPr>
        <w:tc>
          <w:tcPr>
            <w:tcW w:w="3136" w:type="dxa"/>
            <w:tcBorders>
              <w:top w:val="single" w:sz="6" w:space="0" w:color="auto"/>
              <w:left w:val="nil"/>
              <w:right w:val="nil"/>
            </w:tcBorders>
            <w:shd w:val="clear" w:color="auto" w:fill="auto"/>
            <w:hideMark/>
          </w:tcPr>
          <w:p w:rsidR="00A53D7D" w:rsidRPr="00774631" w:rsidRDefault="00A53D7D" w:rsidP="005140B4">
            <w:pPr>
              <w:pStyle w:val="OGTabHead"/>
            </w:pPr>
            <w:r w:rsidRPr="00774631">
              <w:t>Cost</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300"/>
        </w:trPr>
        <w:tc>
          <w:tcPr>
            <w:tcW w:w="3136" w:type="dxa"/>
            <w:tcBorders>
              <w:top w:val="nil"/>
              <w:left w:val="nil"/>
              <w:bottom w:val="single" w:sz="12" w:space="0" w:color="auto"/>
              <w:right w:val="nil"/>
            </w:tcBorders>
            <w:shd w:val="clear" w:color="auto" w:fill="auto"/>
          </w:tcPr>
          <w:p w:rsidR="00A53D7D" w:rsidRPr="00774631" w:rsidRDefault="00A53D7D" w:rsidP="005140B4">
            <w:pPr>
              <w:pStyle w:val="OGTabText"/>
            </w:pPr>
            <w:r w:rsidRPr="00774631">
              <w:t>Total output cost</w:t>
            </w:r>
          </w:p>
        </w:tc>
        <w:tc>
          <w:tcPr>
            <w:tcW w:w="924" w:type="dxa"/>
            <w:tcBorders>
              <w:top w:val="nil"/>
              <w:left w:val="nil"/>
              <w:bottom w:val="single" w:sz="12" w:space="0" w:color="auto"/>
              <w:right w:val="nil"/>
            </w:tcBorders>
            <w:shd w:val="clear" w:color="auto" w:fill="auto"/>
            <w:noWrap/>
          </w:tcPr>
          <w:p w:rsidR="00A53D7D" w:rsidRPr="00774631" w:rsidRDefault="00A53D7D" w:rsidP="005140B4">
            <w:pPr>
              <w:pStyle w:val="OGUoM"/>
            </w:pPr>
            <w:r w:rsidRPr="00774631">
              <w:t>$ million</w:t>
            </w:r>
          </w:p>
        </w:tc>
        <w:tc>
          <w:tcPr>
            <w:tcW w:w="910" w:type="dxa"/>
            <w:tcBorders>
              <w:top w:val="nil"/>
              <w:left w:val="nil"/>
              <w:bottom w:val="single" w:sz="12" w:space="0" w:color="auto"/>
              <w:right w:val="nil"/>
            </w:tcBorders>
            <w:shd w:val="clear" w:color="auto" w:fill="D9D9D9"/>
            <w:noWrap/>
          </w:tcPr>
          <w:p w:rsidR="00A53D7D" w:rsidRPr="00774631" w:rsidRDefault="00A53D7D" w:rsidP="005140B4">
            <w:pPr>
              <w:pStyle w:val="OGTableofFigures"/>
            </w:pPr>
            <w:r w:rsidRPr="00774631">
              <w:t>25.7</w:t>
            </w:r>
          </w:p>
        </w:tc>
        <w:tc>
          <w:tcPr>
            <w:tcW w:w="993" w:type="dxa"/>
            <w:tcBorders>
              <w:top w:val="nil"/>
              <w:left w:val="nil"/>
              <w:bottom w:val="single" w:sz="12" w:space="0" w:color="auto"/>
              <w:right w:val="nil"/>
            </w:tcBorders>
            <w:shd w:val="clear" w:color="auto" w:fill="auto"/>
            <w:noWrap/>
          </w:tcPr>
          <w:p w:rsidR="00A53D7D" w:rsidRPr="00774631" w:rsidRDefault="00A53D7D" w:rsidP="005140B4">
            <w:pPr>
              <w:pStyle w:val="OGTableofFigures"/>
            </w:pPr>
            <w:r w:rsidRPr="00774631">
              <w:t>27.1</w:t>
            </w:r>
          </w:p>
        </w:tc>
        <w:tc>
          <w:tcPr>
            <w:tcW w:w="910" w:type="dxa"/>
            <w:tcBorders>
              <w:top w:val="nil"/>
              <w:left w:val="nil"/>
              <w:bottom w:val="single" w:sz="12" w:space="0" w:color="auto"/>
              <w:right w:val="nil"/>
            </w:tcBorders>
            <w:shd w:val="clear" w:color="auto" w:fill="auto"/>
            <w:noWrap/>
          </w:tcPr>
          <w:p w:rsidR="00A53D7D" w:rsidRPr="00774631" w:rsidRDefault="00A53D7D" w:rsidP="005140B4">
            <w:pPr>
              <w:pStyle w:val="OGTableofFigures"/>
            </w:pPr>
            <w:r w:rsidRPr="00774631">
              <w:t>26.5</w:t>
            </w:r>
          </w:p>
        </w:tc>
        <w:tc>
          <w:tcPr>
            <w:tcW w:w="896" w:type="dxa"/>
            <w:tcBorders>
              <w:top w:val="nil"/>
              <w:left w:val="nil"/>
              <w:bottom w:val="single" w:sz="12" w:space="0" w:color="auto"/>
              <w:right w:val="nil"/>
            </w:tcBorders>
            <w:shd w:val="clear" w:color="auto" w:fill="auto"/>
            <w:noWrap/>
          </w:tcPr>
          <w:p w:rsidR="00A53D7D" w:rsidRPr="00774631" w:rsidRDefault="00A53D7D" w:rsidP="005140B4">
            <w:pPr>
              <w:pStyle w:val="OGTableofFigures"/>
            </w:pPr>
            <w:r w:rsidRPr="00774631">
              <w:t>nm</w:t>
            </w:r>
          </w:p>
        </w:tc>
      </w:tr>
    </w:tbl>
    <w:p w:rsidR="00A53D7D" w:rsidRPr="00E25303" w:rsidRDefault="00A53D7D" w:rsidP="005140B4">
      <w:pPr>
        <w:pStyle w:val="Source"/>
      </w:pPr>
      <w:r w:rsidRPr="00774631">
        <w:t>Sources: Departments of Premier and Cabinet and Treasury and Finance</w:t>
      </w:r>
      <w:r w:rsidRPr="00E25303">
        <w:t>.</w:t>
      </w:r>
      <w:r w:rsidRPr="00E25303">
        <w:fldChar w:fldCharType="begin"/>
      </w:r>
      <w:r w:rsidRPr="00E25303">
        <w:instrText xml:space="preserve"> XE "Department of Premier and Cabinet:Strategic Advice and Support" \r "BP3DPCStratSup" </w:instrText>
      </w:r>
      <w:r w:rsidRPr="00E25303">
        <w:fldChar w:fldCharType="end"/>
      </w:r>
    </w:p>
    <w:bookmarkEnd w:id="122"/>
    <w:p w:rsidR="00A53D7D" w:rsidRDefault="00A53D7D" w:rsidP="005140B4">
      <w:pPr>
        <w:rPr>
          <w:lang w:eastAsia="en-AU"/>
        </w:rPr>
      </w:pPr>
      <w:r>
        <w:rPr>
          <w:lang w:eastAsia="en-AU"/>
        </w:rPr>
        <w:br w:type="page"/>
      </w:r>
    </w:p>
    <w:p w:rsidR="00A53D7D" w:rsidRPr="00774631" w:rsidRDefault="00A53D7D" w:rsidP="005140B4">
      <w:pPr>
        <w:pStyle w:val="OGHeading1"/>
      </w:pPr>
      <w:bookmarkStart w:id="123" w:name="BP3DPCArtsandCultDvlpmnt"/>
      <w:r>
        <w:t>Arts and Cultural Development</w:t>
      </w:r>
    </w:p>
    <w:p w:rsidR="00A53D7D" w:rsidRPr="00774631" w:rsidRDefault="00A53D7D" w:rsidP="005140B4">
      <w:pPr>
        <w:pStyle w:val="OGText"/>
      </w:pPr>
      <w:r w:rsidRPr="00774631">
        <w:t xml:space="preserve">These outputs contribute to the development of the Victorian arts and cultural sector through the provision of industry assistance programs, infrastructure </w:t>
      </w:r>
      <w:proofErr w:type="gramStart"/>
      <w:r w:rsidRPr="00774631">
        <w:t>development</w:t>
      </w:r>
      <w:proofErr w:type="gramEnd"/>
      <w:r w:rsidRPr="00774631">
        <w:t xml:space="preserve"> and policy advice.</w:t>
      </w:r>
    </w:p>
    <w:p w:rsidR="00A53D7D" w:rsidRDefault="00A53D7D" w:rsidP="005140B4">
      <w:pPr>
        <w:pStyle w:val="OGText"/>
      </w:pPr>
      <w:r w:rsidRPr="00774631">
        <w:t>These outputs contribute to the departmental objective of developing and promoting a thriving Victorian arts and cultural sector.</w:t>
      </w:r>
    </w:p>
    <w:tbl>
      <w:tblPr>
        <w:tblW w:w="7769" w:type="dxa"/>
        <w:tblInd w:w="29" w:type="dxa"/>
        <w:tblLayout w:type="fixed"/>
        <w:tblCellMar>
          <w:left w:w="43" w:type="dxa"/>
          <w:right w:w="43" w:type="dxa"/>
        </w:tblCellMar>
        <w:tblLook w:val="04A0" w:firstRow="1" w:lastRow="0" w:firstColumn="1" w:lastColumn="0" w:noHBand="0" w:noVBand="1"/>
      </w:tblPr>
      <w:tblGrid>
        <w:gridCol w:w="3150"/>
        <w:gridCol w:w="910"/>
        <w:gridCol w:w="910"/>
        <w:gridCol w:w="993"/>
        <w:gridCol w:w="910"/>
        <w:gridCol w:w="896"/>
      </w:tblGrid>
      <w:tr w:rsidR="00A53D7D" w:rsidRPr="00774631" w:rsidTr="005140B4">
        <w:trPr>
          <w:cantSplit/>
          <w:trHeight w:val="786"/>
          <w:tblHeader/>
        </w:trPr>
        <w:tc>
          <w:tcPr>
            <w:tcW w:w="3150" w:type="dxa"/>
            <w:tcBorders>
              <w:top w:val="single" w:sz="4" w:space="0" w:color="auto"/>
              <w:left w:val="single" w:sz="4" w:space="0" w:color="auto"/>
              <w:bottom w:val="single" w:sz="4" w:space="0" w:color="auto"/>
              <w:right w:val="nil"/>
            </w:tcBorders>
            <w:shd w:val="clear" w:color="auto" w:fill="000000"/>
            <w:vAlign w:val="bottom"/>
          </w:tcPr>
          <w:p w:rsidR="00A53D7D" w:rsidRPr="00774631" w:rsidRDefault="00A53D7D" w:rsidP="005140B4">
            <w:pPr>
              <w:pStyle w:val="TabletextheadingLeft0"/>
            </w:pPr>
            <w:r w:rsidRPr="00F34986">
              <w:rPr>
                <w:b/>
                <w:i w:val="0"/>
              </w:rPr>
              <w:t>Major Outputs/Deliverables</w:t>
            </w:r>
            <w:r w:rsidRPr="00F34986">
              <w:rPr>
                <w:b/>
                <w:i w:val="0"/>
              </w:rPr>
              <w:br/>
            </w:r>
            <w:r w:rsidRPr="00774631">
              <w:t>Performance measures</w:t>
            </w:r>
          </w:p>
        </w:tc>
        <w:tc>
          <w:tcPr>
            <w:tcW w:w="910"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 xml:space="preserve">Unit of </w:t>
            </w:r>
            <w:r w:rsidRPr="00774631">
              <w:br/>
            </w:r>
            <w:r>
              <w:t>m</w:t>
            </w:r>
            <w:r w:rsidRPr="00774631">
              <w:t>easure</w:t>
            </w:r>
          </w:p>
        </w:tc>
        <w:tc>
          <w:tcPr>
            <w:tcW w:w="910"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2014</w:t>
            </w:r>
            <w:r>
              <w:noBreakHyphen/>
            </w:r>
            <w:r w:rsidRPr="00774631">
              <w:t>15 Target</w:t>
            </w:r>
          </w:p>
        </w:tc>
        <w:tc>
          <w:tcPr>
            <w:tcW w:w="993"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2013</w:t>
            </w:r>
            <w:r>
              <w:noBreakHyphen/>
            </w:r>
            <w:r w:rsidRPr="00774631">
              <w:t>14 Expected Outcome</w:t>
            </w:r>
          </w:p>
        </w:tc>
        <w:tc>
          <w:tcPr>
            <w:tcW w:w="910"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2013</w:t>
            </w:r>
            <w:r>
              <w:noBreakHyphen/>
            </w:r>
            <w:r w:rsidRPr="00774631">
              <w:t>14 Target</w:t>
            </w:r>
          </w:p>
        </w:tc>
        <w:tc>
          <w:tcPr>
            <w:tcW w:w="896" w:type="dxa"/>
            <w:tcBorders>
              <w:top w:val="single" w:sz="4" w:space="0" w:color="auto"/>
              <w:left w:val="nil"/>
              <w:bottom w:val="single" w:sz="4" w:space="0" w:color="auto"/>
              <w:right w:val="single" w:sz="4" w:space="0" w:color="auto"/>
            </w:tcBorders>
            <w:shd w:val="clear" w:color="auto" w:fill="000000"/>
            <w:noWrap/>
            <w:vAlign w:val="bottom"/>
            <w:hideMark/>
          </w:tcPr>
          <w:p w:rsidR="00A53D7D" w:rsidRPr="00774631" w:rsidRDefault="00A53D7D" w:rsidP="005140B4">
            <w:pPr>
              <w:pStyle w:val="Tabletextheading"/>
            </w:pPr>
            <w:r w:rsidRPr="00774631">
              <w:t>2012</w:t>
            </w:r>
            <w:r>
              <w:noBreakHyphen/>
            </w:r>
            <w:r w:rsidRPr="00774631">
              <w:t>13 Actual</w:t>
            </w:r>
          </w:p>
        </w:tc>
      </w:tr>
      <w:tr w:rsidR="00A53D7D" w:rsidRPr="00774631" w:rsidTr="005140B4">
        <w:trPr>
          <w:cantSplit/>
          <w:trHeight w:val="504"/>
        </w:trPr>
        <w:tc>
          <w:tcPr>
            <w:tcW w:w="7769" w:type="dxa"/>
            <w:gridSpan w:val="6"/>
            <w:tcBorders>
              <w:top w:val="nil"/>
              <w:left w:val="nil"/>
              <w:bottom w:val="nil"/>
              <w:right w:val="nil"/>
            </w:tcBorders>
            <w:shd w:val="clear" w:color="auto" w:fill="auto"/>
            <w:hideMark/>
          </w:tcPr>
          <w:p w:rsidR="00A53D7D" w:rsidRPr="00774631" w:rsidRDefault="00A53D7D" w:rsidP="005140B4">
            <w:pPr>
              <w:pStyle w:val="OGHeading2"/>
            </w:pPr>
            <w:r w:rsidRPr="00774631">
              <w:t>Access, Industry Development and Innovation</w:t>
            </w:r>
          </w:p>
        </w:tc>
      </w:tr>
      <w:tr w:rsidR="00A53D7D" w:rsidRPr="00774631" w:rsidTr="005140B4">
        <w:trPr>
          <w:cantSplit/>
          <w:trHeight w:val="890"/>
        </w:trPr>
        <w:tc>
          <w:tcPr>
            <w:tcW w:w="7769" w:type="dxa"/>
            <w:gridSpan w:val="6"/>
            <w:tcBorders>
              <w:top w:val="nil"/>
              <w:left w:val="nil"/>
              <w:bottom w:val="single" w:sz="6" w:space="0" w:color="auto"/>
              <w:right w:val="nil"/>
            </w:tcBorders>
            <w:shd w:val="clear" w:color="auto" w:fill="auto"/>
            <w:hideMark/>
          </w:tcPr>
          <w:p w:rsidR="00A53D7D" w:rsidRPr="00774631" w:rsidRDefault="00A53D7D" w:rsidP="005140B4">
            <w:pPr>
              <w:pStyle w:val="OGText"/>
            </w:pPr>
            <w:r w:rsidRPr="00774631">
              <w:t>Support artists and arts organisations to maximise public benefit through expanded access to a diverse range of arts products, as well as supporting industry research, marketing and development. These services enhance Victoria’s arts and cultural sector.</w:t>
            </w:r>
          </w:p>
        </w:tc>
      </w:tr>
      <w:tr w:rsidR="00A53D7D" w:rsidRPr="00774631" w:rsidTr="005140B4">
        <w:trPr>
          <w:cantSplit/>
          <w:trHeight w:val="297"/>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Quantity</w:t>
            </w:r>
          </w:p>
        </w:tc>
        <w:tc>
          <w:tcPr>
            <w:tcW w:w="910"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right w:val="nil"/>
            </w:tcBorders>
            <w:shd w:val="clear" w:color="auto" w:fill="D9D9D9"/>
            <w:noWrap/>
            <w:hideMark/>
          </w:tcPr>
          <w:p w:rsidR="00A53D7D" w:rsidRPr="00774631" w:rsidRDefault="00A53D7D" w:rsidP="005140B4">
            <w:pPr>
              <w:pStyle w:val="OGTableofFigures"/>
            </w:pPr>
            <w:r w:rsidRPr="00774631">
              <w:t> </w:t>
            </w:r>
          </w:p>
        </w:tc>
        <w:tc>
          <w:tcPr>
            <w:tcW w:w="993"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910"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5140B4">
        <w:trPr>
          <w:cantSplit/>
          <w:trHeight w:val="297"/>
        </w:trPr>
        <w:tc>
          <w:tcPr>
            <w:tcW w:w="3150" w:type="dxa"/>
            <w:tcBorders>
              <w:left w:val="nil"/>
              <w:bottom w:val="single" w:sz="6" w:space="0" w:color="auto"/>
              <w:right w:val="nil"/>
            </w:tcBorders>
            <w:shd w:val="clear" w:color="auto" w:fill="auto"/>
          </w:tcPr>
          <w:p w:rsidR="00A53D7D" w:rsidRPr="00774631" w:rsidRDefault="00A53D7D" w:rsidP="005140B4">
            <w:pPr>
              <w:pStyle w:val="OGTabText"/>
            </w:pPr>
            <w:r w:rsidRPr="00774631">
              <w:t>Access to diverse range of supported projects: artist residencies in schools</w:t>
            </w:r>
          </w:p>
        </w:tc>
        <w:tc>
          <w:tcPr>
            <w:tcW w:w="910" w:type="dxa"/>
            <w:tcBorders>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910" w:type="dxa"/>
            <w:tcBorders>
              <w:left w:val="nil"/>
              <w:bottom w:val="single" w:sz="6" w:space="0" w:color="auto"/>
              <w:right w:val="nil"/>
            </w:tcBorders>
            <w:shd w:val="clear" w:color="auto" w:fill="D9D9D9"/>
            <w:noWrap/>
          </w:tcPr>
          <w:p w:rsidR="00A53D7D" w:rsidRPr="00774631" w:rsidRDefault="00A53D7D" w:rsidP="005140B4">
            <w:pPr>
              <w:pStyle w:val="OGTableofFigures"/>
            </w:pPr>
            <w:r>
              <w:t>24</w:t>
            </w:r>
          </w:p>
        </w:tc>
        <w:tc>
          <w:tcPr>
            <w:tcW w:w="993"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24</w:t>
            </w:r>
          </w:p>
        </w:tc>
        <w:tc>
          <w:tcPr>
            <w:tcW w:w="910"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23</w:t>
            </w:r>
          </w:p>
        </w:tc>
        <w:tc>
          <w:tcPr>
            <w:tcW w:w="896"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24</w:t>
            </w:r>
          </w:p>
        </w:tc>
      </w:tr>
      <w:tr w:rsidR="00A53D7D" w:rsidRPr="00774631" w:rsidTr="005140B4">
        <w:trPr>
          <w:cantSplit/>
          <w:trHeight w:val="312"/>
        </w:trPr>
        <w:tc>
          <w:tcPr>
            <w:tcW w:w="3150" w:type="dxa"/>
            <w:tcBorders>
              <w:top w:val="single" w:sz="6" w:space="0" w:color="auto"/>
              <w:left w:val="nil"/>
              <w:bottom w:val="nil"/>
              <w:right w:val="nil"/>
            </w:tcBorders>
            <w:shd w:val="clear" w:color="auto" w:fill="auto"/>
          </w:tcPr>
          <w:p w:rsidR="00A53D7D" w:rsidRPr="00774631" w:rsidRDefault="00A53D7D" w:rsidP="005140B4">
            <w:pPr>
              <w:pStyle w:val="OGTabText"/>
            </w:pPr>
            <w:r w:rsidRPr="00774631">
              <w:t>Access to diverse range of supported projects: regional Touring Victoria destinations</w:t>
            </w:r>
          </w:p>
        </w:tc>
        <w:tc>
          <w:tcPr>
            <w:tcW w:w="910" w:type="dxa"/>
            <w:tcBorders>
              <w:top w:val="single" w:sz="6" w:space="0" w:color="auto"/>
              <w:left w:val="nil"/>
              <w:bottom w:val="nil"/>
              <w:right w:val="nil"/>
            </w:tcBorders>
            <w:shd w:val="clear" w:color="auto" w:fill="auto"/>
            <w:noWrap/>
          </w:tcPr>
          <w:p w:rsidR="00A53D7D" w:rsidRPr="00774631" w:rsidRDefault="00A53D7D" w:rsidP="005140B4">
            <w:pPr>
              <w:pStyle w:val="OGUoM"/>
            </w:pPr>
            <w:r w:rsidRPr="00774631">
              <w:t>number</w:t>
            </w:r>
          </w:p>
        </w:tc>
        <w:tc>
          <w:tcPr>
            <w:tcW w:w="910" w:type="dxa"/>
            <w:tcBorders>
              <w:top w:val="single" w:sz="6" w:space="0" w:color="auto"/>
              <w:left w:val="nil"/>
              <w:bottom w:val="nil"/>
              <w:right w:val="nil"/>
            </w:tcBorders>
            <w:shd w:val="clear" w:color="auto" w:fill="D9D9D9"/>
            <w:noWrap/>
          </w:tcPr>
          <w:p w:rsidR="00A53D7D" w:rsidRPr="00774631" w:rsidRDefault="00A53D7D" w:rsidP="005140B4">
            <w:pPr>
              <w:pStyle w:val="OGTableofFigures"/>
            </w:pPr>
            <w:r w:rsidRPr="00774631">
              <w:t>40</w:t>
            </w:r>
          </w:p>
        </w:tc>
        <w:tc>
          <w:tcPr>
            <w:tcW w:w="993" w:type="dxa"/>
            <w:tcBorders>
              <w:top w:val="single" w:sz="6" w:space="0" w:color="auto"/>
              <w:left w:val="nil"/>
              <w:bottom w:val="nil"/>
              <w:right w:val="nil"/>
            </w:tcBorders>
            <w:shd w:val="clear" w:color="auto" w:fill="auto"/>
            <w:noWrap/>
          </w:tcPr>
          <w:p w:rsidR="00A53D7D" w:rsidRPr="00774631" w:rsidRDefault="00A53D7D" w:rsidP="005140B4">
            <w:pPr>
              <w:pStyle w:val="OGTableofFigures"/>
            </w:pPr>
            <w:r w:rsidRPr="00774631">
              <w:t>40</w:t>
            </w:r>
          </w:p>
        </w:tc>
        <w:tc>
          <w:tcPr>
            <w:tcW w:w="910" w:type="dxa"/>
            <w:tcBorders>
              <w:top w:val="single" w:sz="6" w:space="0" w:color="auto"/>
              <w:left w:val="nil"/>
              <w:bottom w:val="nil"/>
              <w:right w:val="nil"/>
            </w:tcBorders>
            <w:shd w:val="clear" w:color="auto" w:fill="auto"/>
            <w:noWrap/>
          </w:tcPr>
          <w:p w:rsidR="00A53D7D" w:rsidRPr="00774631" w:rsidRDefault="00A53D7D" w:rsidP="005140B4">
            <w:pPr>
              <w:pStyle w:val="OGTableofFigures"/>
            </w:pPr>
            <w:r w:rsidRPr="00774631">
              <w:t>40</w:t>
            </w:r>
          </w:p>
        </w:tc>
        <w:tc>
          <w:tcPr>
            <w:tcW w:w="896" w:type="dxa"/>
            <w:tcBorders>
              <w:top w:val="single" w:sz="6" w:space="0" w:color="auto"/>
              <w:left w:val="nil"/>
              <w:bottom w:val="nil"/>
              <w:right w:val="nil"/>
            </w:tcBorders>
            <w:shd w:val="clear" w:color="auto" w:fill="auto"/>
            <w:noWrap/>
          </w:tcPr>
          <w:p w:rsidR="00A53D7D" w:rsidRPr="00774631" w:rsidRDefault="00A53D7D" w:rsidP="005140B4">
            <w:pPr>
              <w:pStyle w:val="OGTableofFigures"/>
            </w:pPr>
            <w:r w:rsidRPr="00774631">
              <w:t>53</w:t>
            </w:r>
          </w:p>
        </w:tc>
      </w:tr>
      <w:tr w:rsidR="00A53D7D" w:rsidRPr="00774631" w:rsidTr="005140B4">
        <w:trPr>
          <w:cantSplit/>
          <w:trHeight w:val="297"/>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Attendances at major performing arts organisations</w:t>
            </w:r>
          </w:p>
        </w:tc>
        <w:tc>
          <w:tcPr>
            <w:tcW w:w="910" w:type="dxa"/>
            <w:tcBorders>
              <w:top w:val="single" w:sz="6" w:space="0" w:color="auto"/>
              <w:left w:val="nil"/>
              <w:right w:val="nil"/>
            </w:tcBorders>
            <w:shd w:val="clear" w:color="auto" w:fill="auto"/>
            <w:noWrap/>
          </w:tcPr>
          <w:p w:rsidR="00A53D7D" w:rsidRDefault="00A53D7D" w:rsidP="005140B4">
            <w:pPr>
              <w:pStyle w:val="OGUoM"/>
              <w:spacing w:after="0"/>
            </w:pPr>
            <w:r>
              <w:t>n</w:t>
            </w:r>
            <w:r w:rsidRPr="00774631">
              <w:t>umber</w:t>
            </w:r>
          </w:p>
          <w:p w:rsidR="00A53D7D" w:rsidRPr="00774631" w:rsidRDefault="00A53D7D" w:rsidP="005140B4">
            <w:pPr>
              <w:pStyle w:val="OGUoM"/>
              <w:spacing w:before="0"/>
            </w:pPr>
            <w:r>
              <w:t>(000)</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1</w:t>
            </w:r>
            <w:r>
              <w:t> </w:t>
            </w:r>
            <w:r w:rsidRPr="00774631">
              <w:t>020</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935</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960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w:t>
            </w:r>
            <w:r>
              <w:t> </w:t>
            </w:r>
            <w:r w:rsidRPr="00774631">
              <w:t>119</w:t>
            </w:r>
          </w:p>
        </w:tc>
      </w:tr>
      <w:tr w:rsidR="00A53D7D" w:rsidRPr="00774631" w:rsidTr="00617E25">
        <w:trPr>
          <w:cantSplit/>
          <w:trHeight w:val="312"/>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The higher 2014</w:t>
            </w:r>
            <w:r>
              <w:noBreakHyphen/>
            </w:r>
            <w:r w:rsidRPr="00774631">
              <w:t xml:space="preserve">15 target reflects funding allocated through the </w:t>
            </w:r>
            <w:r w:rsidRPr="004A4B5A">
              <w:t>2014</w:t>
            </w:r>
            <w:r w:rsidRPr="004A4B5A">
              <w:noBreakHyphen/>
              <w:t>15 State Budget</w:t>
            </w:r>
            <w:r w:rsidRPr="00774631">
              <w:t xml:space="preserve"> for the </w:t>
            </w:r>
            <w:r>
              <w:t xml:space="preserve">Summer in Southbank </w:t>
            </w:r>
            <w:r w:rsidRPr="00774631">
              <w:t>initiative.</w:t>
            </w:r>
          </w:p>
        </w:tc>
      </w:tr>
      <w:tr w:rsidR="00A53D7D" w:rsidRPr="00774631" w:rsidTr="005140B4">
        <w:trPr>
          <w:cantSplit/>
          <w:trHeight w:val="297"/>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Diverse range of product, producers and cultural venues supported: organisations recurrently funded</w:t>
            </w:r>
          </w:p>
        </w:tc>
        <w:tc>
          <w:tcPr>
            <w:tcW w:w="910"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135</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130</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116</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107</w:t>
            </w:r>
          </w:p>
        </w:tc>
      </w:tr>
      <w:tr w:rsidR="00A53D7D" w:rsidRPr="00774631" w:rsidTr="00617E25">
        <w:trPr>
          <w:cantSplit/>
          <w:trHeight w:val="312"/>
        </w:trPr>
        <w:tc>
          <w:tcPr>
            <w:tcW w:w="7769" w:type="dxa"/>
            <w:gridSpan w:val="6"/>
            <w:tcBorders>
              <w:left w:val="nil"/>
              <w:bottom w:val="single" w:sz="4"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as the introduction of the Organisations Investment Program has resulted in more organisations being funded on an ongoing basis. The 2014</w:t>
            </w:r>
            <w:r>
              <w:noBreakHyphen/>
            </w:r>
            <w:r w:rsidRPr="00774631">
              <w:t>15 target has been revised upwards to reflect this.</w:t>
            </w:r>
          </w:p>
        </w:tc>
      </w:tr>
      <w:tr w:rsidR="00A53D7D" w:rsidRPr="00774631" w:rsidTr="005140B4">
        <w:trPr>
          <w:cantSplit/>
          <w:trHeight w:val="297"/>
        </w:trPr>
        <w:tc>
          <w:tcPr>
            <w:tcW w:w="3150" w:type="dxa"/>
            <w:tcBorders>
              <w:top w:val="single" w:sz="4" w:space="0" w:color="auto"/>
              <w:left w:val="nil"/>
              <w:bottom w:val="single" w:sz="6" w:space="0" w:color="auto"/>
              <w:right w:val="nil"/>
            </w:tcBorders>
            <w:shd w:val="clear" w:color="auto" w:fill="auto"/>
          </w:tcPr>
          <w:p w:rsidR="00A53D7D" w:rsidRPr="00774631" w:rsidRDefault="00A53D7D" w:rsidP="005140B4">
            <w:pPr>
              <w:pStyle w:val="OGTabText"/>
            </w:pPr>
            <w:r w:rsidRPr="00774631">
              <w:t>Diverse range of product, producers and cultural venues supported: regionally based organisations recurrently funded</w:t>
            </w:r>
          </w:p>
        </w:tc>
        <w:tc>
          <w:tcPr>
            <w:tcW w:w="910" w:type="dxa"/>
            <w:tcBorders>
              <w:top w:val="single" w:sz="4" w:space="0" w:color="auto"/>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910" w:type="dxa"/>
            <w:tcBorders>
              <w:top w:val="single" w:sz="4"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47</w:t>
            </w:r>
          </w:p>
        </w:tc>
        <w:tc>
          <w:tcPr>
            <w:tcW w:w="993" w:type="dxa"/>
            <w:tcBorders>
              <w:top w:val="single" w:sz="4"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47</w:t>
            </w:r>
          </w:p>
        </w:tc>
        <w:tc>
          <w:tcPr>
            <w:tcW w:w="910" w:type="dxa"/>
            <w:tcBorders>
              <w:top w:val="single" w:sz="4"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47</w:t>
            </w:r>
          </w:p>
        </w:tc>
        <w:tc>
          <w:tcPr>
            <w:tcW w:w="896" w:type="dxa"/>
            <w:tcBorders>
              <w:top w:val="single" w:sz="4"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45</w:t>
            </w:r>
          </w:p>
        </w:tc>
      </w:tr>
      <w:tr w:rsidR="00A53D7D" w:rsidRPr="00774631" w:rsidTr="00617E25">
        <w:trPr>
          <w:cantSplit/>
          <w:trHeight w:val="297"/>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Diverse range of product, producers and cultural venues supported: project companies and artists funded</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350</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350</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350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360</w:t>
            </w:r>
          </w:p>
        </w:tc>
      </w:tr>
      <w:tr w:rsidR="00A53D7D" w:rsidRPr="00774631" w:rsidTr="00617E25">
        <w:trPr>
          <w:cantSplit/>
          <w:trHeight w:val="297"/>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Diverse range of product, producers and cultural venues supported:</w:t>
            </w:r>
            <w:r>
              <w:t xml:space="preserve"> </w:t>
            </w:r>
            <w:r w:rsidRPr="00774631">
              <w:t>project companies and artists funded which are regionally based</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23</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23</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23</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21</w:t>
            </w:r>
          </w:p>
        </w:tc>
      </w:tr>
      <w:tr w:rsidR="00A53D7D" w:rsidRPr="00774631" w:rsidTr="00617E25">
        <w:trPr>
          <w:cantSplit/>
          <w:trHeight w:val="297"/>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Policy briefs prepared</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300</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300</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300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372</w:t>
            </w:r>
          </w:p>
        </w:tc>
      </w:tr>
      <w:tr w:rsidR="00A53D7D" w:rsidRPr="00774631" w:rsidTr="00617E25">
        <w:trPr>
          <w:cantSplit/>
          <w:trHeight w:val="297"/>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Planning and research projects</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t>n</w:t>
            </w:r>
            <w:r w:rsidRPr="00774631">
              <w:t>umber</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13</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13</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13</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14</w:t>
            </w:r>
          </w:p>
        </w:tc>
      </w:tr>
      <w:tr w:rsidR="00A53D7D" w:rsidRPr="00774631" w:rsidTr="00617E25">
        <w:trPr>
          <w:cantSplit/>
          <w:trHeight w:val="312"/>
        </w:trPr>
        <w:tc>
          <w:tcPr>
            <w:tcW w:w="3150" w:type="dxa"/>
            <w:tcBorders>
              <w:top w:val="single" w:sz="6" w:space="0" w:color="auto"/>
              <w:left w:val="nil"/>
              <w:bottom w:val="nil"/>
              <w:right w:val="nil"/>
            </w:tcBorders>
            <w:shd w:val="clear" w:color="auto" w:fill="auto"/>
            <w:hideMark/>
          </w:tcPr>
          <w:p w:rsidR="00A53D7D" w:rsidRPr="00774631" w:rsidRDefault="00A53D7D" w:rsidP="005140B4">
            <w:pPr>
              <w:pStyle w:val="OGTabHead"/>
            </w:pPr>
            <w:r w:rsidRPr="00774631">
              <w:t>Quality</w:t>
            </w:r>
          </w:p>
        </w:tc>
        <w:tc>
          <w:tcPr>
            <w:tcW w:w="910" w:type="dxa"/>
            <w:tcBorders>
              <w:top w:val="single" w:sz="6" w:space="0" w:color="auto"/>
              <w:left w:val="nil"/>
              <w:bottom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bottom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r>
      <w:tr w:rsidR="00A53D7D" w:rsidRPr="00774631" w:rsidTr="00617E25">
        <w:trPr>
          <w:cantSplit/>
          <w:trHeight w:val="297"/>
        </w:trPr>
        <w:tc>
          <w:tcPr>
            <w:tcW w:w="3150" w:type="dxa"/>
            <w:tcBorders>
              <w:left w:val="nil"/>
              <w:bottom w:val="single" w:sz="6" w:space="0" w:color="auto"/>
              <w:right w:val="nil"/>
            </w:tcBorders>
            <w:shd w:val="clear" w:color="auto" w:fill="auto"/>
          </w:tcPr>
          <w:p w:rsidR="00A53D7D" w:rsidRPr="00774631" w:rsidRDefault="00A53D7D" w:rsidP="005140B4">
            <w:pPr>
              <w:pStyle w:val="OGTabText"/>
            </w:pPr>
            <w:r w:rsidRPr="00774631">
              <w:t>Grant recipients who met or exceeded</w:t>
            </w:r>
            <w:r>
              <w:t xml:space="preserve"> </w:t>
            </w:r>
            <w:r w:rsidRPr="00774631">
              <w:t>agreed outcomes</w:t>
            </w:r>
          </w:p>
        </w:tc>
        <w:tc>
          <w:tcPr>
            <w:tcW w:w="910" w:type="dxa"/>
            <w:tcBorders>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left w:val="nil"/>
              <w:bottom w:val="single" w:sz="6" w:space="0" w:color="auto"/>
              <w:right w:val="nil"/>
            </w:tcBorders>
            <w:shd w:val="clear" w:color="auto" w:fill="D9D9D9"/>
            <w:noWrap/>
          </w:tcPr>
          <w:p w:rsidR="00A53D7D" w:rsidRPr="00774631" w:rsidRDefault="00A53D7D" w:rsidP="005140B4">
            <w:pPr>
              <w:pStyle w:val="OGTableofFigures"/>
            </w:pPr>
            <w:r w:rsidRPr="00774631">
              <w:t>85</w:t>
            </w:r>
          </w:p>
        </w:tc>
        <w:tc>
          <w:tcPr>
            <w:tcW w:w="993"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85</w:t>
            </w:r>
          </w:p>
        </w:tc>
        <w:tc>
          <w:tcPr>
            <w:tcW w:w="910"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85</w:t>
            </w:r>
          </w:p>
        </w:tc>
        <w:tc>
          <w:tcPr>
            <w:tcW w:w="896"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85</w:t>
            </w:r>
          </w:p>
        </w:tc>
      </w:tr>
      <w:tr w:rsidR="00A53D7D" w:rsidRPr="00774631" w:rsidTr="00617E25">
        <w:trPr>
          <w:cantSplit/>
          <w:trHeight w:val="297"/>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Public information rated ‘informative’ or ‘very informative’</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90</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90</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96</w:t>
            </w:r>
          </w:p>
        </w:tc>
      </w:tr>
      <w:tr w:rsidR="00A53D7D" w:rsidRPr="00774631" w:rsidTr="00617E25">
        <w:trPr>
          <w:cantSplit/>
          <w:trHeight w:val="297"/>
        </w:trPr>
        <w:tc>
          <w:tcPr>
            <w:tcW w:w="3150" w:type="dxa"/>
            <w:tcBorders>
              <w:top w:val="single" w:sz="6" w:space="0" w:color="auto"/>
              <w:left w:val="nil"/>
              <w:right w:val="nil"/>
            </w:tcBorders>
            <w:shd w:val="clear" w:color="auto" w:fill="auto"/>
          </w:tcPr>
          <w:p w:rsidR="00A53D7D" w:rsidRPr="00774631" w:rsidRDefault="00A53D7D" w:rsidP="005140B4">
            <w:pPr>
              <w:pStyle w:val="OGTabHead"/>
            </w:pPr>
            <w:r w:rsidRPr="00774631">
              <w:t>Timeliness</w:t>
            </w:r>
          </w:p>
        </w:tc>
        <w:tc>
          <w:tcPr>
            <w:tcW w:w="910" w:type="dxa"/>
            <w:tcBorders>
              <w:top w:val="single" w:sz="6" w:space="0" w:color="auto"/>
              <w:left w:val="nil"/>
              <w:right w:val="nil"/>
            </w:tcBorders>
            <w:shd w:val="clear" w:color="auto" w:fill="auto"/>
            <w:noWrap/>
          </w:tcPr>
          <w:p w:rsidR="00A53D7D" w:rsidRPr="00774631" w:rsidRDefault="00A53D7D" w:rsidP="005140B4">
            <w:pPr>
              <w:pStyle w:val="OGUoM"/>
            </w:pP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312"/>
        </w:trPr>
        <w:tc>
          <w:tcPr>
            <w:tcW w:w="3150" w:type="dxa"/>
            <w:tcBorders>
              <w:left w:val="nil"/>
              <w:bottom w:val="nil"/>
              <w:right w:val="nil"/>
            </w:tcBorders>
            <w:shd w:val="clear" w:color="auto" w:fill="auto"/>
          </w:tcPr>
          <w:p w:rsidR="00A53D7D" w:rsidRPr="00774631" w:rsidRDefault="00A53D7D" w:rsidP="005140B4">
            <w:pPr>
              <w:pStyle w:val="OGTabText"/>
            </w:pPr>
            <w:proofErr w:type="spellStart"/>
            <w:r w:rsidRPr="00774631">
              <w:t>VicArts</w:t>
            </w:r>
            <w:proofErr w:type="spellEnd"/>
            <w:r w:rsidRPr="00774631">
              <w:t xml:space="preserve"> Grants applications processed for Ministerial consideration</w:t>
            </w:r>
          </w:p>
        </w:tc>
        <w:tc>
          <w:tcPr>
            <w:tcW w:w="910" w:type="dxa"/>
            <w:tcBorders>
              <w:left w:val="nil"/>
              <w:bottom w:val="nil"/>
              <w:right w:val="nil"/>
            </w:tcBorders>
            <w:shd w:val="clear" w:color="auto" w:fill="auto"/>
            <w:noWrap/>
          </w:tcPr>
          <w:p w:rsidR="00A53D7D" w:rsidRPr="00774631" w:rsidRDefault="00A53D7D" w:rsidP="005140B4">
            <w:pPr>
              <w:pStyle w:val="OGUoM"/>
            </w:pPr>
            <w:r w:rsidRPr="00774631">
              <w:t>days</w:t>
            </w:r>
          </w:p>
        </w:tc>
        <w:tc>
          <w:tcPr>
            <w:tcW w:w="910" w:type="dxa"/>
            <w:tcBorders>
              <w:left w:val="nil"/>
              <w:bottom w:val="nil"/>
              <w:right w:val="nil"/>
            </w:tcBorders>
            <w:shd w:val="clear" w:color="auto" w:fill="D9D9D9"/>
            <w:noWrap/>
          </w:tcPr>
          <w:p w:rsidR="00A53D7D" w:rsidRPr="00774631" w:rsidRDefault="00A53D7D" w:rsidP="005140B4">
            <w:pPr>
              <w:pStyle w:val="OGTableofFigures"/>
            </w:pPr>
            <w:r w:rsidRPr="00774631">
              <w:t>40</w:t>
            </w:r>
          </w:p>
        </w:tc>
        <w:tc>
          <w:tcPr>
            <w:tcW w:w="993" w:type="dxa"/>
            <w:tcBorders>
              <w:left w:val="nil"/>
              <w:bottom w:val="nil"/>
              <w:right w:val="nil"/>
            </w:tcBorders>
            <w:shd w:val="clear" w:color="auto" w:fill="auto"/>
            <w:noWrap/>
          </w:tcPr>
          <w:p w:rsidR="00A53D7D" w:rsidRPr="00774631" w:rsidRDefault="00A53D7D" w:rsidP="005140B4">
            <w:pPr>
              <w:pStyle w:val="OGTableofFigures"/>
            </w:pPr>
            <w:r w:rsidRPr="00774631">
              <w:t>nm</w:t>
            </w:r>
          </w:p>
        </w:tc>
        <w:tc>
          <w:tcPr>
            <w:tcW w:w="910" w:type="dxa"/>
            <w:tcBorders>
              <w:left w:val="nil"/>
              <w:bottom w:val="nil"/>
              <w:right w:val="nil"/>
            </w:tcBorders>
            <w:shd w:val="clear" w:color="auto" w:fill="auto"/>
            <w:noWrap/>
          </w:tcPr>
          <w:p w:rsidR="00A53D7D" w:rsidRPr="00774631" w:rsidRDefault="00A53D7D" w:rsidP="005140B4">
            <w:pPr>
              <w:pStyle w:val="OGTableofFigures"/>
            </w:pPr>
            <w:r w:rsidRPr="00774631">
              <w:t>nm</w:t>
            </w:r>
          </w:p>
        </w:tc>
        <w:tc>
          <w:tcPr>
            <w:tcW w:w="896" w:type="dxa"/>
            <w:tcBorders>
              <w:left w:val="nil"/>
              <w:bottom w:val="nil"/>
              <w:right w:val="nil"/>
            </w:tcBorders>
            <w:shd w:val="clear" w:color="auto" w:fill="auto"/>
            <w:noWrap/>
          </w:tcPr>
          <w:p w:rsidR="00A53D7D" w:rsidRPr="00774631" w:rsidRDefault="00A53D7D" w:rsidP="005140B4">
            <w:pPr>
              <w:pStyle w:val="OGTableofFigures"/>
            </w:pPr>
            <w:r w:rsidRPr="00774631">
              <w:t>nm</w:t>
            </w:r>
          </w:p>
        </w:tc>
      </w:tr>
      <w:tr w:rsidR="00A53D7D" w:rsidRPr="00774631" w:rsidTr="00617E25">
        <w:trPr>
          <w:cantSplit/>
          <w:trHeight w:val="80"/>
        </w:trPr>
        <w:tc>
          <w:tcPr>
            <w:tcW w:w="7769" w:type="dxa"/>
            <w:gridSpan w:val="6"/>
            <w:tcBorders>
              <w:top w:val="nil"/>
              <w:left w:val="nil"/>
              <w:bottom w:val="single" w:sz="6" w:space="0" w:color="auto"/>
              <w:right w:val="nil"/>
            </w:tcBorders>
            <w:shd w:val="clear" w:color="auto" w:fill="auto"/>
          </w:tcPr>
          <w:p w:rsidR="00A53D7D" w:rsidRPr="00774631" w:rsidRDefault="00A53D7D" w:rsidP="005140B4">
            <w:pPr>
              <w:pStyle w:val="OGNotes"/>
            </w:pPr>
            <w:r>
              <w:t>New</w:t>
            </w:r>
            <w:r w:rsidRPr="00774631">
              <w:t xml:space="preserve"> performance measure </w:t>
            </w:r>
            <w:r>
              <w:t>to reflect the remodelling of the Arts Victoria grant programs. This performance measure will replace</w:t>
            </w:r>
            <w:r w:rsidRPr="00774631">
              <w:t xml:space="preserve"> the 2013</w:t>
            </w:r>
            <w:r>
              <w:noBreakHyphen/>
            </w:r>
            <w:r w:rsidRPr="00774631">
              <w:t xml:space="preserve">14 performance measures "Arts Development applications processed for Ministerial consideration" and "All other applications processed </w:t>
            </w:r>
            <w:r>
              <w:t>for Ministerial consideration".</w:t>
            </w:r>
          </w:p>
        </w:tc>
      </w:tr>
      <w:tr w:rsidR="00A53D7D" w:rsidRPr="00774631" w:rsidTr="00617E25">
        <w:trPr>
          <w:cantSplit/>
          <w:trHeight w:val="297"/>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Performance and grant agreements acquitted within timeframes specified in the funding agreement</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t>83</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80</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80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92</w:t>
            </w:r>
          </w:p>
        </w:tc>
      </w:tr>
      <w:tr w:rsidR="00A53D7D" w:rsidRPr="00774631" w:rsidTr="00617E25">
        <w:trPr>
          <w:cantSplit/>
          <w:trHeight w:val="297"/>
        </w:trPr>
        <w:tc>
          <w:tcPr>
            <w:tcW w:w="3150" w:type="dxa"/>
            <w:tcBorders>
              <w:top w:val="single" w:sz="6" w:space="0" w:color="auto"/>
              <w:left w:val="nil"/>
              <w:right w:val="nil"/>
            </w:tcBorders>
            <w:shd w:val="clear" w:color="auto" w:fill="auto"/>
          </w:tcPr>
          <w:p w:rsidR="00A53D7D" w:rsidRPr="00774631" w:rsidRDefault="00A53D7D" w:rsidP="005140B4">
            <w:pPr>
              <w:pStyle w:val="OGTabHead"/>
            </w:pPr>
            <w:r w:rsidRPr="00774631">
              <w:t>Cost</w:t>
            </w:r>
          </w:p>
        </w:tc>
        <w:tc>
          <w:tcPr>
            <w:tcW w:w="910" w:type="dxa"/>
            <w:tcBorders>
              <w:top w:val="single" w:sz="6" w:space="0" w:color="auto"/>
              <w:left w:val="nil"/>
              <w:right w:val="nil"/>
            </w:tcBorders>
            <w:shd w:val="clear" w:color="auto" w:fill="auto"/>
            <w:noWrap/>
          </w:tcPr>
          <w:p w:rsidR="00A53D7D" w:rsidRPr="00774631" w:rsidRDefault="00A53D7D" w:rsidP="005140B4">
            <w:pPr>
              <w:pStyle w:val="OGUoM"/>
            </w:pP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617E25">
        <w:trPr>
          <w:cantSplit/>
          <w:trHeight w:val="312"/>
        </w:trPr>
        <w:tc>
          <w:tcPr>
            <w:tcW w:w="3150" w:type="dxa"/>
            <w:tcBorders>
              <w:left w:val="nil"/>
              <w:bottom w:val="single" w:sz="6" w:space="0" w:color="auto"/>
              <w:right w:val="nil"/>
            </w:tcBorders>
            <w:shd w:val="clear" w:color="auto" w:fill="auto"/>
          </w:tcPr>
          <w:p w:rsidR="00A53D7D" w:rsidRPr="00774631" w:rsidRDefault="00A53D7D" w:rsidP="005140B4">
            <w:pPr>
              <w:pStyle w:val="OGTabText"/>
            </w:pPr>
            <w:r w:rsidRPr="00774631">
              <w:t>Total output cost</w:t>
            </w:r>
          </w:p>
        </w:tc>
        <w:tc>
          <w:tcPr>
            <w:tcW w:w="910" w:type="dxa"/>
            <w:tcBorders>
              <w:left w:val="nil"/>
              <w:bottom w:val="single" w:sz="6" w:space="0" w:color="auto"/>
              <w:right w:val="nil"/>
            </w:tcBorders>
            <w:shd w:val="clear" w:color="auto" w:fill="auto"/>
            <w:noWrap/>
          </w:tcPr>
          <w:p w:rsidR="00A53D7D" w:rsidRPr="00774631" w:rsidRDefault="00A53D7D" w:rsidP="005140B4">
            <w:pPr>
              <w:pStyle w:val="OGUoM"/>
            </w:pPr>
            <w:r w:rsidRPr="00774631">
              <w:t>$ million</w:t>
            </w:r>
          </w:p>
        </w:tc>
        <w:tc>
          <w:tcPr>
            <w:tcW w:w="910" w:type="dxa"/>
            <w:tcBorders>
              <w:left w:val="nil"/>
              <w:bottom w:val="single" w:sz="6" w:space="0" w:color="auto"/>
              <w:right w:val="nil"/>
            </w:tcBorders>
            <w:shd w:val="clear" w:color="auto" w:fill="D9D9D9"/>
            <w:noWrap/>
          </w:tcPr>
          <w:p w:rsidR="00A53D7D" w:rsidRPr="00774631" w:rsidRDefault="00A53D7D" w:rsidP="005140B4">
            <w:pPr>
              <w:pStyle w:val="OGTableofFigures"/>
            </w:pPr>
            <w:r w:rsidRPr="00774631">
              <w:t>61.7</w:t>
            </w:r>
          </w:p>
        </w:tc>
        <w:tc>
          <w:tcPr>
            <w:tcW w:w="993"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59.5</w:t>
            </w:r>
          </w:p>
        </w:tc>
        <w:tc>
          <w:tcPr>
            <w:tcW w:w="910"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61.9</w:t>
            </w:r>
          </w:p>
        </w:tc>
        <w:tc>
          <w:tcPr>
            <w:tcW w:w="896"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58.83</w:t>
            </w:r>
          </w:p>
        </w:tc>
      </w:tr>
      <w:tr w:rsidR="00A53D7D" w:rsidRPr="00774631" w:rsidTr="00617E25">
        <w:trPr>
          <w:cantSplit/>
          <w:trHeight w:val="439"/>
        </w:trPr>
        <w:tc>
          <w:tcPr>
            <w:tcW w:w="7769" w:type="dxa"/>
            <w:gridSpan w:val="6"/>
            <w:tcBorders>
              <w:top w:val="single" w:sz="6" w:space="0" w:color="auto"/>
              <w:left w:val="nil"/>
              <w:bottom w:val="nil"/>
              <w:right w:val="nil"/>
            </w:tcBorders>
            <w:shd w:val="clear" w:color="auto" w:fill="auto"/>
            <w:hideMark/>
          </w:tcPr>
          <w:p w:rsidR="00A53D7D" w:rsidRPr="00774631" w:rsidRDefault="00A53D7D" w:rsidP="005140B4">
            <w:pPr>
              <w:pStyle w:val="OGHeading2"/>
            </w:pPr>
            <w:r w:rsidRPr="00774631">
              <w:t>Cultural Infrastructure and Facilities</w:t>
            </w:r>
          </w:p>
        </w:tc>
      </w:tr>
      <w:tr w:rsidR="00A53D7D" w:rsidRPr="00774631" w:rsidTr="00617E25">
        <w:trPr>
          <w:cantSplit/>
          <w:trHeight w:val="752"/>
        </w:trPr>
        <w:tc>
          <w:tcPr>
            <w:tcW w:w="7769" w:type="dxa"/>
            <w:gridSpan w:val="6"/>
            <w:tcBorders>
              <w:top w:val="nil"/>
              <w:left w:val="nil"/>
              <w:bottom w:val="single" w:sz="6" w:space="0" w:color="auto"/>
              <w:right w:val="nil"/>
            </w:tcBorders>
            <w:shd w:val="clear" w:color="auto" w:fill="auto"/>
            <w:hideMark/>
          </w:tcPr>
          <w:p w:rsidR="00A53D7D" w:rsidRPr="00774631" w:rsidRDefault="00A53D7D" w:rsidP="005140B4">
            <w:pPr>
              <w:pStyle w:val="OGText"/>
            </w:pPr>
            <w:r w:rsidRPr="00774631">
              <w:t>Support Victorian cultural venues and state</w:t>
            </w:r>
            <w:r>
              <w:noBreakHyphen/>
            </w:r>
            <w:r w:rsidRPr="00774631">
              <w:t>owned facilities. Provide strategic assessment and advice on portfolio infrastructure proposals and projects. Consolidate portfolio asset management plans and manage funding programs for maintenance and minor capital works.</w:t>
            </w:r>
          </w:p>
        </w:tc>
      </w:tr>
      <w:tr w:rsidR="00A53D7D" w:rsidRPr="00774631" w:rsidTr="005140B4">
        <w:trPr>
          <w:cantSplit/>
          <w:trHeight w:val="264"/>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Quantity</w:t>
            </w:r>
          </w:p>
        </w:tc>
        <w:tc>
          <w:tcPr>
            <w:tcW w:w="910"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right w:val="nil"/>
            </w:tcBorders>
            <w:shd w:val="clear" w:color="auto" w:fill="D9D9D9"/>
            <w:noWrap/>
            <w:hideMark/>
          </w:tcPr>
          <w:p w:rsidR="00A53D7D" w:rsidRPr="00774631" w:rsidRDefault="00A53D7D" w:rsidP="005140B4">
            <w:pPr>
              <w:pStyle w:val="OGTableofFigures"/>
            </w:pPr>
            <w:r w:rsidRPr="00774631">
              <w:t> </w:t>
            </w:r>
          </w:p>
        </w:tc>
        <w:tc>
          <w:tcPr>
            <w:tcW w:w="993"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910"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617E25">
        <w:trPr>
          <w:cantSplit/>
          <w:trHeight w:val="251"/>
        </w:trPr>
        <w:tc>
          <w:tcPr>
            <w:tcW w:w="3150" w:type="dxa"/>
            <w:tcBorders>
              <w:left w:val="nil"/>
              <w:bottom w:val="single" w:sz="6" w:space="0" w:color="auto"/>
              <w:right w:val="nil"/>
            </w:tcBorders>
            <w:shd w:val="clear" w:color="auto" w:fill="auto"/>
          </w:tcPr>
          <w:p w:rsidR="00A53D7D" w:rsidRPr="00774631" w:rsidRDefault="00A53D7D" w:rsidP="005140B4">
            <w:pPr>
              <w:pStyle w:val="OGTabText"/>
            </w:pPr>
            <w:r w:rsidRPr="00774631">
              <w:t>Infrastructure development projects</w:t>
            </w:r>
          </w:p>
        </w:tc>
        <w:tc>
          <w:tcPr>
            <w:tcW w:w="910" w:type="dxa"/>
            <w:tcBorders>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910" w:type="dxa"/>
            <w:tcBorders>
              <w:left w:val="nil"/>
              <w:bottom w:val="single" w:sz="6" w:space="0" w:color="auto"/>
              <w:right w:val="nil"/>
            </w:tcBorders>
            <w:shd w:val="clear" w:color="auto" w:fill="D9D9D9"/>
            <w:noWrap/>
          </w:tcPr>
          <w:p w:rsidR="00A53D7D" w:rsidRPr="00774631" w:rsidRDefault="00A53D7D" w:rsidP="005140B4">
            <w:pPr>
              <w:pStyle w:val="OGTableofFigures"/>
            </w:pPr>
            <w:r w:rsidRPr="00774631">
              <w:t>4</w:t>
            </w:r>
          </w:p>
        </w:tc>
        <w:tc>
          <w:tcPr>
            <w:tcW w:w="993"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4</w:t>
            </w:r>
          </w:p>
        </w:tc>
        <w:tc>
          <w:tcPr>
            <w:tcW w:w="910"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4</w:t>
            </w:r>
          </w:p>
        </w:tc>
        <w:tc>
          <w:tcPr>
            <w:tcW w:w="896"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4</w:t>
            </w:r>
          </w:p>
        </w:tc>
      </w:tr>
      <w:tr w:rsidR="00A53D7D" w:rsidRPr="00774631" w:rsidTr="005140B4">
        <w:trPr>
          <w:cantSplit/>
          <w:trHeight w:val="264"/>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Risk management projects</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3</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3</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3</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3</w:t>
            </w:r>
          </w:p>
        </w:tc>
      </w:tr>
      <w:tr w:rsidR="00A53D7D" w:rsidRPr="00774631" w:rsidTr="005140B4">
        <w:trPr>
          <w:cantSplit/>
          <w:trHeight w:val="264"/>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State</w:t>
            </w:r>
            <w:r>
              <w:noBreakHyphen/>
            </w:r>
            <w:r w:rsidRPr="00774631">
              <w:t>owned cultural facilities maintained to meet service and statutory standards</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28</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27</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27</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27</w:t>
            </w:r>
          </w:p>
        </w:tc>
      </w:tr>
      <w:tr w:rsidR="00A53D7D" w:rsidRPr="00774631" w:rsidTr="00617E25">
        <w:trPr>
          <w:cantSplit/>
          <w:trHeight w:val="251"/>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Quality</w:t>
            </w:r>
          </w:p>
        </w:tc>
        <w:tc>
          <w:tcPr>
            <w:tcW w:w="910"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251"/>
        </w:trPr>
        <w:tc>
          <w:tcPr>
            <w:tcW w:w="3150" w:type="dxa"/>
            <w:tcBorders>
              <w:left w:val="nil"/>
              <w:bottom w:val="single" w:sz="6" w:space="0" w:color="auto"/>
              <w:right w:val="nil"/>
            </w:tcBorders>
            <w:shd w:val="clear" w:color="auto" w:fill="auto"/>
          </w:tcPr>
          <w:p w:rsidR="00A53D7D" w:rsidRPr="00774631" w:rsidRDefault="00A53D7D" w:rsidP="005140B4">
            <w:pPr>
              <w:pStyle w:val="OGTabText"/>
            </w:pPr>
            <w:r w:rsidRPr="00774631">
              <w:t>Success measures of projects achieved</w:t>
            </w:r>
          </w:p>
        </w:tc>
        <w:tc>
          <w:tcPr>
            <w:tcW w:w="910" w:type="dxa"/>
            <w:tcBorders>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left w:val="nil"/>
              <w:bottom w:val="single" w:sz="6" w:space="0" w:color="auto"/>
              <w:right w:val="nil"/>
            </w:tcBorders>
            <w:shd w:val="clear" w:color="auto" w:fill="D9D9D9"/>
            <w:noWrap/>
          </w:tcPr>
          <w:p w:rsidR="00A53D7D" w:rsidRPr="00774631" w:rsidRDefault="00A53D7D" w:rsidP="005140B4">
            <w:pPr>
              <w:pStyle w:val="OGTableofFigures"/>
            </w:pPr>
            <w:r w:rsidRPr="00774631">
              <w:t>90</w:t>
            </w:r>
          </w:p>
        </w:tc>
        <w:tc>
          <w:tcPr>
            <w:tcW w:w="993"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90</w:t>
            </w:r>
          </w:p>
        </w:tc>
        <w:tc>
          <w:tcPr>
            <w:tcW w:w="910"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90</w:t>
            </w:r>
          </w:p>
        </w:tc>
        <w:tc>
          <w:tcPr>
            <w:tcW w:w="896"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86</w:t>
            </w:r>
          </w:p>
        </w:tc>
      </w:tr>
      <w:tr w:rsidR="00A53D7D" w:rsidRPr="00774631" w:rsidTr="005140B4">
        <w:trPr>
          <w:cantSplit/>
          <w:trHeight w:val="251"/>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Timeliness</w:t>
            </w:r>
          </w:p>
        </w:tc>
        <w:tc>
          <w:tcPr>
            <w:tcW w:w="910"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251"/>
        </w:trPr>
        <w:tc>
          <w:tcPr>
            <w:tcW w:w="3150" w:type="dxa"/>
            <w:tcBorders>
              <w:left w:val="nil"/>
              <w:right w:val="nil"/>
            </w:tcBorders>
            <w:shd w:val="clear" w:color="auto" w:fill="auto"/>
          </w:tcPr>
          <w:p w:rsidR="00A53D7D" w:rsidRPr="00774631" w:rsidRDefault="00A53D7D" w:rsidP="005140B4">
            <w:pPr>
              <w:pStyle w:val="OGTabText"/>
            </w:pPr>
            <w:r w:rsidRPr="00774631">
              <w:t>Performance and grant agreements completed within agreed timeframes</w:t>
            </w:r>
          </w:p>
        </w:tc>
        <w:tc>
          <w:tcPr>
            <w:tcW w:w="910" w:type="dxa"/>
            <w:tcBorders>
              <w:left w:val="nil"/>
              <w:right w:val="nil"/>
            </w:tcBorders>
            <w:shd w:val="clear" w:color="auto" w:fill="auto"/>
            <w:noWrap/>
          </w:tcPr>
          <w:p w:rsidR="00A53D7D" w:rsidRPr="00774631" w:rsidRDefault="00A53D7D" w:rsidP="005140B4">
            <w:pPr>
              <w:pStyle w:val="OGUoM"/>
            </w:pPr>
            <w:r w:rsidRPr="00774631">
              <w:t>per cent</w:t>
            </w:r>
          </w:p>
        </w:tc>
        <w:tc>
          <w:tcPr>
            <w:tcW w:w="910" w:type="dxa"/>
            <w:tcBorders>
              <w:left w:val="nil"/>
              <w:right w:val="nil"/>
            </w:tcBorders>
            <w:shd w:val="clear" w:color="auto" w:fill="D9D9D9"/>
            <w:noWrap/>
          </w:tcPr>
          <w:p w:rsidR="00A53D7D" w:rsidRPr="00774631" w:rsidRDefault="00A53D7D" w:rsidP="005140B4">
            <w:pPr>
              <w:pStyle w:val="OGTableofFigures"/>
            </w:pPr>
            <w:r w:rsidRPr="00774631">
              <w:t>90</w:t>
            </w:r>
          </w:p>
        </w:tc>
        <w:tc>
          <w:tcPr>
            <w:tcW w:w="993" w:type="dxa"/>
            <w:tcBorders>
              <w:left w:val="nil"/>
              <w:right w:val="nil"/>
            </w:tcBorders>
            <w:shd w:val="clear" w:color="auto" w:fill="auto"/>
            <w:noWrap/>
          </w:tcPr>
          <w:p w:rsidR="00A53D7D" w:rsidRPr="00774631" w:rsidRDefault="00A53D7D" w:rsidP="005140B4">
            <w:pPr>
              <w:pStyle w:val="OGTableofFigures"/>
            </w:pPr>
            <w:r w:rsidRPr="00774631">
              <w:t>90</w:t>
            </w:r>
          </w:p>
        </w:tc>
        <w:tc>
          <w:tcPr>
            <w:tcW w:w="910" w:type="dxa"/>
            <w:tcBorders>
              <w:left w:val="nil"/>
              <w:right w:val="nil"/>
            </w:tcBorders>
            <w:shd w:val="clear" w:color="auto" w:fill="auto"/>
            <w:noWrap/>
          </w:tcPr>
          <w:p w:rsidR="00A53D7D" w:rsidRPr="00774631" w:rsidRDefault="00A53D7D" w:rsidP="005140B4">
            <w:pPr>
              <w:pStyle w:val="OGTableofFigures"/>
            </w:pPr>
            <w:r w:rsidRPr="00774631">
              <w:t>90</w:t>
            </w:r>
          </w:p>
        </w:tc>
        <w:tc>
          <w:tcPr>
            <w:tcW w:w="896" w:type="dxa"/>
            <w:tcBorders>
              <w:left w:val="nil"/>
              <w:right w:val="nil"/>
            </w:tcBorders>
            <w:shd w:val="clear" w:color="auto" w:fill="auto"/>
            <w:noWrap/>
          </w:tcPr>
          <w:p w:rsidR="00A53D7D" w:rsidRPr="00774631" w:rsidRDefault="00A53D7D" w:rsidP="005140B4">
            <w:pPr>
              <w:pStyle w:val="OGTableofFigures"/>
            </w:pPr>
            <w:r w:rsidRPr="00774631">
              <w:t>90</w:t>
            </w:r>
          </w:p>
        </w:tc>
      </w:tr>
      <w:tr w:rsidR="00A53D7D" w:rsidRPr="00774631" w:rsidTr="00617E25">
        <w:trPr>
          <w:cantSplit/>
          <w:trHeight w:val="251"/>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Cost</w:t>
            </w:r>
          </w:p>
        </w:tc>
        <w:tc>
          <w:tcPr>
            <w:tcW w:w="910"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264"/>
        </w:trPr>
        <w:tc>
          <w:tcPr>
            <w:tcW w:w="3150" w:type="dxa"/>
            <w:tcBorders>
              <w:top w:val="nil"/>
              <w:left w:val="nil"/>
              <w:bottom w:val="single" w:sz="6" w:space="0" w:color="auto"/>
              <w:right w:val="nil"/>
            </w:tcBorders>
            <w:shd w:val="clear" w:color="auto" w:fill="auto"/>
          </w:tcPr>
          <w:p w:rsidR="00A53D7D" w:rsidRPr="00774631" w:rsidRDefault="00A53D7D" w:rsidP="005140B4">
            <w:pPr>
              <w:pStyle w:val="OGTabText"/>
            </w:pPr>
            <w:r w:rsidRPr="00774631">
              <w:t>Total output cost</w:t>
            </w:r>
          </w:p>
        </w:tc>
        <w:tc>
          <w:tcPr>
            <w:tcW w:w="910" w:type="dxa"/>
            <w:tcBorders>
              <w:top w:val="nil"/>
              <w:left w:val="nil"/>
              <w:bottom w:val="single" w:sz="6" w:space="0" w:color="auto"/>
              <w:right w:val="nil"/>
            </w:tcBorders>
            <w:shd w:val="clear" w:color="auto" w:fill="auto"/>
            <w:noWrap/>
          </w:tcPr>
          <w:p w:rsidR="00A53D7D" w:rsidRPr="00774631" w:rsidRDefault="00A53D7D" w:rsidP="005140B4">
            <w:pPr>
              <w:pStyle w:val="OGUoM"/>
            </w:pPr>
            <w:r w:rsidRPr="00774631">
              <w:t>$ million</w:t>
            </w:r>
          </w:p>
        </w:tc>
        <w:tc>
          <w:tcPr>
            <w:tcW w:w="910" w:type="dxa"/>
            <w:tcBorders>
              <w:top w:val="nil"/>
              <w:left w:val="nil"/>
              <w:bottom w:val="single" w:sz="6" w:space="0" w:color="auto"/>
              <w:right w:val="nil"/>
            </w:tcBorders>
            <w:shd w:val="clear" w:color="auto" w:fill="D9D9D9"/>
            <w:noWrap/>
          </w:tcPr>
          <w:p w:rsidR="00A53D7D" w:rsidRPr="00774631" w:rsidRDefault="00A53D7D" w:rsidP="005140B4">
            <w:pPr>
              <w:pStyle w:val="OGTableofFigures"/>
            </w:pPr>
            <w:r w:rsidRPr="00774631">
              <w:t>101.4</w:t>
            </w:r>
          </w:p>
        </w:tc>
        <w:tc>
          <w:tcPr>
            <w:tcW w:w="993"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101.0</w:t>
            </w:r>
          </w:p>
        </w:tc>
        <w:tc>
          <w:tcPr>
            <w:tcW w:w="910"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99.6</w:t>
            </w:r>
          </w:p>
        </w:tc>
        <w:tc>
          <w:tcPr>
            <w:tcW w:w="896"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99.94</w:t>
            </w:r>
          </w:p>
        </w:tc>
      </w:tr>
      <w:tr w:rsidR="00A53D7D" w:rsidRPr="00774631" w:rsidTr="005140B4">
        <w:trPr>
          <w:cantSplit/>
          <w:trHeight w:val="427"/>
        </w:trPr>
        <w:tc>
          <w:tcPr>
            <w:tcW w:w="7769" w:type="dxa"/>
            <w:gridSpan w:val="6"/>
            <w:tcBorders>
              <w:top w:val="single" w:sz="6" w:space="0" w:color="auto"/>
              <w:left w:val="nil"/>
              <w:bottom w:val="nil"/>
              <w:right w:val="nil"/>
            </w:tcBorders>
            <w:shd w:val="clear" w:color="auto" w:fill="auto"/>
            <w:hideMark/>
          </w:tcPr>
          <w:p w:rsidR="00A53D7D" w:rsidRPr="00774631" w:rsidRDefault="00A53D7D" w:rsidP="005140B4">
            <w:pPr>
              <w:pStyle w:val="OGHeading2"/>
            </w:pPr>
            <w:r w:rsidRPr="00774631">
              <w:t>Arts Portfolio Agencies</w:t>
            </w:r>
          </w:p>
        </w:tc>
      </w:tr>
      <w:tr w:rsidR="00A53D7D" w:rsidRPr="00774631" w:rsidTr="00617E25">
        <w:trPr>
          <w:cantSplit/>
          <w:trHeight w:val="953"/>
        </w:trPr>
        <w:tc>
          <w:tcPr>
            <w:tcW w:w="7769" w:type="dxa"/>
            <w:gridSpan w:val="6"/>
            <w:tcBorders>
              <w:top w:val="nil"/>
              <w:left w:val="nil"/>
              <w:bottom w:val="single" w:sz="6" w:space="0" w:color="auto"/>
              <w:right w:val="nil"/>
            </w:tcBorders>
            <w:shd w:val="clear" w:color="auto" w:fill="auto"/>
            <w:hideMark/>
          </w:tcPr>
          <w:p w:rsidR="00A53D7D" w:rsidRPr="00774631" w:rsidRDefault="00A53D7D" w:rsidP="005140B4">
            <w:pPr>
              <w:pStyle w:val="OGText"/>
              <w:rPr>
                <w:highlight w:val="yellow"/>
              </w:rPr>
            </w:pPr>
            <w:r w:rsidRPr="00774631">
              <w:t xml:space="preserve">Promote, </w:t>
            </w:r>
            <w:proofErr w:type="gramStart"/>
            <w:r w:rsidRPr="00774631">
              <w:t>present</w:t>
            </w:r>
            <w:proofErr w:type="gramEnd"/>
            <w:r w:rsidRPr="00774631">
              <w:t xml:space="preserve"> and preserve our heritage and the arts through Victoria’s cultural agencies: Australian Centre for the Moving Image (ACMI), Geelong Performing Arts Centre, Museum Victoria, National Gallery of Victoria, Public Record Office Victoria (PROV), State Library of Victoria, Melbourne Recital Centre and the Victorian Arts Centre Trust.</w:t>
            </w:r>
          </w:p>
        </w:tc>
      </w:tr>
      <w:tr w:rsidR="00A53D7D" w:rsidRPr="00774631" w:rsidTr="005140B4">
        <w:trPr>
          <w:cantSplit/>
          <w:trHeight w:val="264"/>
        </w:trPr>
        <w:tc>
          <w:tcPr>
            <w:tcW w:w="3150" w:type="dxa"/>
            <w:tcBorders>
              <w:top w:val="single" w:sz="6" w:space="0" w:color="auto"/>
              <w:left w:val="nil"/>
              <w:right w:val="nil"/>
            </w:tcBorders>
            <w:shd w:val="clear" w:color="auto" w:fill="auto"/>
          </w:tcPr>
          <w:p w:rsidR="00A53D7D" w:rsidRPr="00774631" w:rsidRDefault="00A53D7D" w:rsidP="005140B4">
            <w:pPr>
              <w:pStyle w:val="OGTabHead"/>
            </w:pPr>
            <w:r w:rsidRPr="00774631">
              <w:t>Quantity</w:t>
            </w:r>
          </w:p>
        </w:tc>
        <w:tc>
          <w:tcPr>
            <w:tcW w:w="910" w:type="dxa"/>
            <w:tcBorders>
              <w:top w:val="single" w:sz="6" w:space="0" w:color="auto"/>
              <w:left w:val="nil"/>
              <w:right w:val="nil"/>
            </w:tcBorders>
            <w:shd w:val="clear" w:color="auto" w:fill="auto"/>
            <w:noWrap/>
          </w:tcPr>
          <w:p w:rsidR="00A53D7D" w:rsidRPr="00774631" w:rsidRDefault="00A53D7D" w:rsidP="005140B4">
            <w:pPr>
              <w:pStyle w:val="OGUoM"/>
            </w:pP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359"/>
        </w:trPr>
        <w:tc>
          <w:tcPr>
            <w:tcW w:w="3150" w:type="dxa"/>
            <w:tcBorders>
              <w:left w:val="nil"/>
              <w:right w:val="nil"/>
            </w:tcBorders>
            <w:shd w:val="clear" w:color="auto" w:fill="auto"/>
          </w:tcPr>
          <w:p w:rsidR="00A53D7D" w:rsidRPr="00774631" w:rsidRDefault="00A53D7D" w:rsidP="005140B4">
            <w:pPr>
              <w:pStyle w:val="OGTabText"/>
            </w:pPr>
            <w:r w:rsidRPr="00774631">
              <w:t>Access: agency website visitation</w:t>
            </w:r>
          </w:p>
        </w:tc>
        <w:tc>
          <w:tcPr>
            <w:tcW w:w="910" w:type="dxa"/>
            <w:tcBorders>
              <w:left w:val="nil"/>
              <w:right w:val="nil"/>
            </w:tcBorders>
            <w:shd w:val="clear" w:color="auto" w:fill="auto"/>
            <w:noWrap/>
          </w:tcPr>
          <w:p w:rsidR="00A53D7D" w:rsidRDefault="00A53D7D" w:rsidP="005140B4">
            <w:pPr>
              <w:pStyle w:val="OGUoM"/>
              <w:spacing w:after="0"/>
            </w:pPr>
            <w:r>
              <w:t>n</w:t>
            </w:r>
            <w:r w:rsidRPr="00774631">
              <w:t>umber</w:t>
            </w:r>
          </w:p>
          <w:p w:rsidR="00A53D7D" w:rsidRPr="00774631" w:rsidRDefault="00A53D7D" w:rsidP="005140B4">
            <w:pPr>
              <w:pStyle w:val="OGUoM"/>
              <w:spacing w:before="0" w:after="0"/>
            </w:pPr>
            <w:r>
              <w:t>(000)</w:t>
            </w:r>
          </w:p>
        </w:tc>
        <w:tc>
          <w:tcPr>
            <w:tcW w:w="910" w:type="dxa"/>
            <w:tcBorders>
              <w:left w:val="nil"/>
              <w:right w:val="nil"/>
            </w:tcBorders>
            <w:shd w:val="clear" w:color="auto" w:fill="D9D9D9"/>
            <w:noWrap/>
          </w:tcPr>
          <w:p w:rsidR="00A53D7D" w:rsidRPr="00774631" w:rsidRDefault="00A53D7D" w:rsidP="005140B4">
            <w:pPr>
              <w:pStyle w:val="OGTableofFigures"/>
            </w:pPr>
            <w:r>
              <w:t>14 0</w:t>
            </w:r>
            <w:r w:rsidRPr="00774631">
              <w:t>00</w:t>
            </w:r>
          </w:p>
        </w:tc>
        <w:tc>
          <w:tcPr>
            <w:tcW w:w="993" w:type="dxa"/>
            <w:tcBorders>
              <w:left w:val="nil"/>
              <w:right w:val="nil"/>
            </w:tcBorders>
            <w:shd w:val="clear" w:color="auto" w:fill="auto"/>
            <w:noWrap/>
          </w:tcPr>
          <w:p w:rsidR="00A53D7D" w:rsidRPr="00774631" w:rsidRDefault="00A53D7D" w:rsidP="005140B4">
            <w:pPr>
              <w:pStyle w:val="OGTableofFigures"/>
            </w:pPr>
            <w:r>
              <w:t>15 </w:t>
            </w:r>
            <w:r w:rsidRPr="00774631">
              <w:t>070</w:t>
            </w:r>
          </w:p>
        </w:tc>
        <w:tc>
          <w:tcPr>
            <w:tcW w:w="910" w:type="dxa"/>
            <w:tcBorders>
              <w:left w:val="nil"/>
              <w:right w:val="nil"/>
            </w:tcBorders>
            <w:shd w:val="clear" w:color="auto" w:fill="auto"/>
            <w:noWrap/>
          </w:tcPr>
          <w:p w:rsidR="00A53D7D" w:rsidRPr="00774631" w:rsidRDefault="00A53D7D" w:rsidP="005140B4">
            <w:pPr>
              <w:pStyle w:val="OGTableofFigures"/>
            </w:pPr>
            <w:r w:rsidRPr="00774631">
              <w:t>13</w:t>
            </w:r>
            <w:r>
              <w:t> </w:t>
            </w:r>
            <w:r w:rsidRPr="00774631">
              <w:t>200</w:t>
            </w:r>
          </w:p>
        </w:tc>
        <w:tc>
          <w:tcPr>
            <w:tcW w:w="896" w:type="dxa"/>
            <w:tcBorders>
              <w:left w:val="nil"/>
              <w:right w:val="nil"/>
            </w:tcBorders>
            <w:shd w:val="clear" w:color="auto" w:fill="auto"/>
            <w:noWrap/>
          </w:tcPr>
          <w:p w:rsidR="00A53D7D" w:rsidRPr="00774631" w:rsidRDefault="00A53D7D" w:rsidP="005140B4">
            <w:pPr>
              <w:pStyle w:val="OGTableofFigures"/>
            </w:pPr>
            <w:r w:rsidRPr="00774631">
              <w:t>15</w:t>
            </w:r>
            <w:r>
              <w:t> </w:t>
            </w:r>
            <w:r w:rsidRPr="00774631">
              <w:t>589</w:t>
            </w:r>
          </w:p>
        </w:tc>
      </w:tr>
      <w:tr w:rsidR="00A53D7D" w:rsidRPr="00774631" w:rsidTr="005140B4">
        <w:trPr>
          <w:cantSplit/>
          <w:trHeight w:val="251"/>
        </w:trPr>
        <w:tc>
          <w:tcPr>
            <w:tcW w:w="7769" w:type="dxa"/>
            <w:gridSpan w:val="6"/>
            <w:tcBorders>
              <w:left w:val="nil"/>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 xml:space="preserve">14 target in part due to successful exhibitions which had substantial integrated online content. A strong uptake of online sales, </w:t>
            </w:r>
            <w:proofErr w:type="gramStart"/>
            <w:r w:rsidRPr="00774631">
              <w:t>resources</w:t>
            </w:r>
            <w:proofErr w:type="gramEnd"/>
            <w:r w:rsidRPr="00774631">
              <w:t xml:space="preserve"> and services across many agencies is also reflected in the strong visitation levels.</w:t>
            </w:r>
            <w:r>
              <w:t xml:space="preserve"> The 2014</w:t>
            </w:r>
            <w:r>
              <w:noBreakHyphen/>
              <w:t>15 target has been revised upwards to reflect this.</w:t>
            </w:r>
          </w:p>
        </w:tc>
      </w:tr>
      <w:tr w:rsidR="00A53D7D" w:rsidRPr="00774631" w:rsidTr="005140B4">
        <w:trPr>
          <w:cantSplit/>
          <w:trHeight w:val="251"/>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Access: users/attendances at all agencies</w:t>
            </w:r>
          </w:p>
        </w:tc>
        <w:tc>
          <w:tcPr>
            <w:tcW w:w="910" w:type="dxa"/>
            <w:tcBorders>
              <w:top w:val="single" w:sz="6" w:space="0" w:color="auto"/>
              <w:left w:val="nil"/>
              <w:right w:val="nil"/>
            </w:tcBorders>
            <w:shd w:val="clear" w:color="auto" w:fill="auto"/>
            <w:noWrap/>
          </w:tcPr>
          <w:p w:rsidR="00A53D7D" w:rsidRDefault="00A53D7D" w:rsidP="005140B4">
            <w:pPr>
              <w:pStyle w:val="OGUoM"/>
              <w:spacing w:after="0"/>
            </w:pPr>
            <w:r>
              <w:t>n</w:t>
            </w:r>
            <w:r w:rsidRPr="00774631">
              <w:t>umber</w:t>
            </w:r>
          </w:p>
          <w:p w:rsidR="00A53D7D" w:rsidRPr="00774631" w:rsidRDefault="00A53D7D" w:rsidP="005140B4">
            <w:pPr>
              <w:pStyle w:val="OGUoM"/>
            </w:pPr>
            <w:r>
              <w:t>(000)</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8</w:t>
            </w:r>
            <w:r>
              <w:t> 60</w:t>
            </w:r>
            <w:r w:rsidRPr="00774631">
              <w:t>0</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w:t>
            </w:r>
            <w:r>
              <w:t> </w:t>
            </w:r>
            <w:r w:rsidRPr="00774631">
              <w:t>045</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8</w:t>
            </w:r>
            <w:r>
              <w:t> </w:t>
            </w:r>
            <w:r w:rsidRPr="00774631">
              <w:t>400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6023EB">
              <w:t>9</w:t>
            </w:r>
            <w:r>
              <w:t> </w:t>
            </w:r>
            <w:r w:rsidRPr="006023EB">
              <w:t>615</w:t>
            </w:r>
          </w:p>
        </w:tc>
      </w:tr>
      <w:tr w:rsidR="00A53D7D" w:rsidRPr="00774631" w:rsidTr="005140B4">
        <w:trPr>
          <w:cantSplit/>
          <w:trHeight w:val="264"/>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as a result of strong attendance due to the successful major exhibitions, as well as agencies continuing to engage new and existing audiences through diverse programming and service offerings. The 2014</w:t>
            </w:r>
            <w:r>
              <w:noBreakHyphen/>
            </w:r>
            <w:r w:rsidRPr="00774631">
              <w:t>15 target has been revised upwards to reflect this.</w:t>
            </w:r>
          </w:p>
        </w:tc>
      </w:tr>
      <w:tr w:rsidR="00A53D7D" w:rsidRPr="00774631" w:rsidTr="005140B4">
        <w:trPr>
          <w:cantSplit/>
          <w:trHeight w:val="251"/>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Agency service agreements in place</w:t>
            </w:r>
          </w:p>
        </w:tc>
        <w:tc>
          <w:tcPr>
            <w:tcW w:w="910"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7</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7</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6</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6</w:t>
            </w:r>
          </w:p>
        </w:tc>
      </w:tr>
      <w:tr w:rsidR="00A53D7D" w:rsidRPr="00774631" w:rsidTr="005140B4">
        <w:trPr>
          <w:cantSplit/>
          <w:trHeight w:val="251"/>
        </w:trPr>
        <w:tc>
          <w:tcPr>
            <w:tcW w:w="7769" w:type="dxa"/>
            <w:gridSpan w:val="6"/>
            <w:tcBorders>
              <w:left w:val="nil"/>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as a result of the service agreement with the Melbourne Recital Centre. The 2014</w:t>
            </w:r>
            <w:r>
              <w:noBreakHyphen/>
            </w:r>
            <w:r w:rsidRPr="00774631">
              <w:t>15 target has been revised upwards to reflect this.</w:t>
            </w:r>
          </w:p>
        </w:tc>
      </w:tr>
      <w:tr w:rsidR="00A53D7D" w:rsidRPr="00774631" w:rsidTr="005140B4">
        <w:trPr>
          <w:cantSplit/>
          <w:trHeight w:val="251"/>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Community engagement: members and friends of agencies</w:t>
            </w:r>
          </w:p>
        </w:tc>
        <w:tc>
          <w:tcPr>
            <w:tcW w:w="910"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Text"/>
            </w:pPr>
            <w:r>
              <w:t>42 </w:t>
            </w:r>
            <w:r w:rsidRPr="00774631">
              <w:t>000</w:t>
            </w:r>
          </w:p>
        </w:tc>
        <w:tc>
          <w:tcPr>
            <w:tcW w:w="993" w:type="dxa"/>
            <w:tcBorders>
              <w:top w:val="single" w:sz="6" w:space="0" w:color="auto"/>
              <w:left w:val="nil"/>
              <w:right w:val="nil"/>
            </w:tcBorders>
            <w:shd w:val="clear" w:color="auto" w:fill="auto"/>
            <w:noWrap/>
          </w:tcPr>
          <w:p w:rsidR="00A53D7D" w:rsidRPr="00774631" w:rsidRDefault="00A53D7D" w:rsidP="005140B4">
            <w:pPr>
              <w:pStyle w:val="OGTabText"/>
            </w:pPr>
            <w:r w:rsidRPr="00774631">
              <w:t>44</w:t>
            </w:r>
            <w:r>
              <w:t> </w:t>
            </w:r>
            <w:r w:rsidRPr="00774631">
              <w:t>210</w:t>
            </w:r>
          </w:p>
        </w:tc>
        <w:tc>
          <w:tcPr>
            <w:tcW w:w="910" w:type="dxa"/>
            <w:tcBorders>
              <w:top w:val="single" w:sz="6" w:space="0" w:color="auto"/>
              <w:left w:val="nil"/>
              <w:right w:val="nil"/>
            </w:tcBorders>
            <w:shd w:val="clear" w:color="auto" w:fill="auto"/>
            <w:noWrap/>
          </w:tcPr>
          <w:p w:rsidR="00A53D7D" w:rsidRPr="00774631" w:rsidRDefault="00A53D7D" w:rsidP="005140B4">
            <w:pPr>
              <w:pStyle w:val="OGTabText"/>
            </w:pPr>
            <w:r w:rsidRPr="00774631">
              <w:t>40</w:t>
            </w:r>
            <w:r>
              <w:t> </w:t>
            </w:r>
            <w:r w:rsidRPr="00774631">
              <w:t>000</w:t>
            </w:r>
          </w:p>
        </w:tc>
        <w:tc>
          <w:tcPr>
            <w:tcW w:w="896" w:type="dxa"/>
            <w:tcBorders>
              <w:top w:val="single" w:sz="6" w:space="0" w:color="auto"/>
              <w:left w:val="nil"/>
              <w:right w:val="nil"/>
            </w:tcBorders>
            <w:shd w:val="clear" w:color="auto" w:fill="auto"/>
            <w:noWrap/>
          </w:tcPr>
          <w:p w:rsidR="00A53D7D" w:rsidRPr="00774631" w:rsidRDefault="00A53D7D" w:rsidP="005140B4">
            <w:pPr>
              <w:pStyle w:val="OGTabText"/>
            </w:pPr>
            <w:r w:rsidRPr="00774631">
              <w:t>44</w:t>
            </w:r>
            <w:r>
              <w:t> </w:t>
            </w:r>
            <w:r w:rsidRPr="00774631">
              <w:t>951</w:t>
            </w:r>
          </w:p>
        </w:tc>
      </w:tr>
      <w:tr w:rsidR="00A53D7D" w:rsidRPr="00774631" w:rsidTr="005140B4">
        <w:trPr>
          <w:cantSplit/>
          <w:trHeight w:val="251"/>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as memberships are higher than anticipated due to some agencies increasing engagement through successful major exhibitions, and others increasing the provision of diverse programming and services, which increases their audience bases.</w:t>
            </w:r>
            <w:r>
              <w:t xml:space="preserve"> The 2014</w:t>
            </w:r>
            <w:r>
              <w:noBreakHyphen/>
              <w:t>15 target has been revised upwards to reflect this.</w:t>
            </w:r>
          </w:p>
        </w:tc>
      </w:tr>
      <w:tr w:rsidR="00A53D7D" w:rsidRPr="00774631" w:rsidTr="005140B4">
        <w:trPr>
          <w:cantSplit/>
          <w:trHeight w:val="251"/>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Community engagement: volunteer hours</w:t>
            </w:r>
          </w:p>
        </w:tc>
        <w:tc>
          <w:tcPr>
            <w:tcW w:w="910"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r>
              <w:t>105 </w:t>
            </w:r>
            <w:r w:rsidRPr="00774631">
              <w:t>000</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t>113 </w:t>
            </w:r>
            <w:r w:rsidRPr="00774631">
              <w:t>850</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t>100 </w:t>
            </w:r>
            <w:r w:rsidRPr="00774631">
              <w:t>000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t>121 </w:t>
            </w:r>
            <w:r w:rsidRPr="00774631">
              <w:t>305</w:t>
            </w:r>
          </w:p>
        </w:tc>
      </w:tr>
      <w:tr w:rsidR="00A53D7D" w:rsidRPr="00774631" w:rsidTr="005140B4">
        <w:trPr>
          <w:cantSplit/>
          <w:trHeight w:val="251"/>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 xml:space="preserve">14 target as agencies continue to broaden community engagement through the use of volunteers in a variety of roles, from exhibition tours to cataloguing as well as for specific initiatives such as 'Open House' at various venues. </w:t>
            </w:r>
            <w:r>
              <w:t>The 2014</w:t>
            </w:r>
            <w:r>
              <w:noBreakHyphen/>
              <w:t>15 target has been revised upwards to reflect this.</w:t>
            </w:r>
          </w:p>
        </w:tc>
      </w:tr>
      <w:tr w:rsidR="00A53D7D" w:rsidRPr="00774631" w:rsidTr="005140B4">
        <w:trPr>
          <w:cantSplit/>
          <w:trHeight w:val="251"/>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Education: students participating in agency education programs</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500</w:t>
            </w:r>
            <w:r>
              <w:t> </w:t>
            </w:r>
            <w:r w:rsidRPr="00774631">
              <w:t>000</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483</w:t>
            </w:r>
            <w:r>
              <w:t> </w:t>
            </w:r>
            <w:r w:rsidRPr="00774631">
              <w:t>157</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t>500 </w:t>
            </w:r>
            <w:r w:rsidRPr="00774631">
              <w:t>000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t>508 </w:t>
            </w:r>
            <w:r w:rsidRPr="00774631">
              <w:t>572</w:t>
            </w:r>
          </w:p>
        </w:tc>
      </w:tr>
      <w:tr w:rsidR="00A53D7D" w:rsidRPr="00774631" w:rsidTr="005140B4">
        <w:trPr>
          <w:cantSplit/>
          <w:trHeight w:val="251"/>
        </w:trPr>
        <w:tc>
          <w:tcPr>
            <w:tcW w:w="3150" w:type="dxa"/>
            <w:tcBorders>
              <w:top w:val="single" w:sz="6" w:space="0" w:color="auto"/>
              <w:left w:val="nil"/>
              <w:right w:val="nil"/>
            </w:tcBorders>
            <w:shd w:val="clear" w:color="auto" w:fill="auto"/>
          </w:tcPr>
          <w:p w:rsidR="00A53D7D" w:rsidRPr="00774631" w:rsidRDefault="00A53D7D" w:rsidP="005140B4">
            <w:pPr>
              <w:pStyle w:val="OGTabText"/>
              <w:keepNext/>
            </w:pPr>
            <w:r w:rsidRPr="00774631">
              <w:t>Public Records Office Victoria: digital records preserved</w:t>
            </w:r>
          </w:p>
        </w:tc>
        <w:tc>
          <w:tcPr>
            <w:tcW w:w="910" w:type="dxa"/>
            <w:tcBorders>
              <w:top w:val="single" w:sz="6" w:space="0" w:color="auto"/>
              <w:left w:val="nil"/>
              <w:right w:val="nil"/>
            </w:tcBorders>
            <w:shd w:val="clear" w:color="auto" w:fill="auto"/>
            <w:noWrap/>
          </w:tcPr>
          <w:p w:rsidR="00A53D7D" w:rsidRPr="00774631" w:rsidRDefault="00A53D7D" w:rsidP="005140B4">
            <w:pPr>
              <w:pStyle w:val="OGUoM"/>
              <w:keepNext/>
            </w:pPr>
            <w:r w:rsidRPr="00774631">
              <w:t>number</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keepNext/>
            </w:pPr>
            <w:r>
              <w:t>200 000</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keepNext/>
            </w:pPr>
            <w:r>
              <w:t>200 000</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keepNext/>
            </w:pPr>
            <w:r>
              <w:t>150 000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keepNext/>
            </w:pPr>
            <w:r>
              <w:t>178 278</w:t>
            </w:r>
          </w:p>
        </w:tc>
      </w:tr>
      <w:tr w:rsidR="00A53D7D" w:rsidRPr="00774631" w:rsidTr="005140B4">
        <w:trPr>
          <w:cantSplit/>
          <w:trHeight w:val="251"/>
        </w:trPr>
        <w:tc>
          <w:tcPr>
            <w:tcW w:w="7769" w:type="dxa"/>
            <w:gridSpan w:val="6"/>
            <w:tcBorders>
              <w:left w:val="nil"/>
              <w:bottom w:val="single" w:sz="4"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due to upgrades to the digital archive infrastructure which allow an increasing number of records to be preserved. The 2014</w:t>
            </w:r>
            <w:r>
              <w:noBreakHyphen/>
            </w:r>
            <w:r w:rsidRPr="00774631">
              <w:t>15 target has been revised upwards to reflect this.</w:t>
            </w:r>
          </w:p>
        </w:tc>
      </w:tr>
      <w:tr w:rsidR="00A53D7D" w:rsidRPr="00774631" w:rsidTr="005140B4">
        <w:trPr>
          <w:cantSplit/>
          <w:trHeight w:val="251"/>
        </w:trPr>
        <w:tc>
          <w:tcPr>
            <w:tcW w:w="3150" w:type="dxa"/>
            <w:tcBorders>
              <w:top w:val="single" w:sz="4" w:space="0" w:color="auto"/>
              <w:left w:val="nil"/>
              <w:right w:val="nil"/>
            </w:tcBorders>
            <w:shd w:val="clear" w:color="auto" w:fill="auto"/>
          </w:tcPr>
          <w:p w:rsidR="00A53D7D" w:rsidRPr="00774631" w:rsidRDefault="00A53D7D" w:rsidP="005140B4">
            <w:pPr>
              <w:pStyle w:val="OGTabText"/>
            </w:pPr>
            <w:r w:rsidRPr="00774631">
              <w:t>Public Records Office Victoria: Records transferred</w:t>
            </w:r>
          </w:p>
        </w:tc>
        <w:tc>
          <w:tcPr>
            <w:tcW w:w="910" w:type="dxa"/>
            <w:tcBorders>
              <w:top w:val="single" w:sz="4" w:space="0" w:color="auto"/>
              <w:left w:val="nil"/>
              <w:right w:val="nil"/>
            </w:tcBorders>
            <w:shd w:val="clear" w:color="auto" w:fill="auto"/>
            <w:noWrap/>
          </w:tcPr>
          <w:p w:rsidR="00A53D7D" w:rsidRPr="00774631" w:rsidRDefault="00A53D7D" w:rsidP="005140B4">
            <w:pPr>
              <w:pStyle w:val="OGUoM"/>
            </w:pPr>
            <w:r w:rsidRPr="00774631">
              <w:t>shelf metres</w:t>
            </w:r>
          </w:p>
        </w:tc>
        <w:tc>
          <w:tcPr>
            <w:tcW w:w="910" w:type="dxa"/>
            <w:tcBorders>
              <w:top w:val="single" w:sz="4" w:space="0" w:color="auto"/>
              <w:left w:val="nil"/>
              <w:right w:val="nil"/>
            </w:tcBorders>
            <w:shd w:val="clear" w:color="auto" w:fill="D9D9D9"/>
            <w:noWrap/>
          </w:tcPr>
          <w:p w:rsidR="00A53D7D" w:rsidRPr="00774631" w:rsidRDefault="00A53D7D" w:rsidP="005140B4">
            <w:pPr>
              <w:pStyle w:val="OGTableofFigures"/>
            </w:pPr>
            <w:r>
              <w:t>2 0</w:t>
            </w:r>
            <w:r w:rsidRPr="00774631">
              <w:t>00</w:t>
            </w:r>
          </w:p>
        </w:tc>
        <w:tc>
          <w:tcPr>
            <w:tcW w:w="993" w:type="dxa"/>
            <w:tcBorders>
              <w:top w:val="single" w:sz="4" w:space="0" w:color="auto"/>
              <w:left w:val="nil"/>
              <w:right w:val="nil"/>
            </w:tcBorders>
            <w:shd w:val="clear" w:color="auto" w:fill="auto"/>
            <w:noWrap/>
          </w:tcPr>
          <w:p w:rsidR="00A53D7D" w:rsidRPr="00774631" w:rsidRDefault="00A53D7D" w:rsidP="005140B4">
            <w:pPr>
              <w:pStyle w:val="OGTableofFigures"/>
            </w:pPr>
            <w:r w:rsidRPr="00774631">
              <w:t>2</w:t>
            </w:r>
            <w:r>
              <w:t> </w:t>
            </w:r>
            <w:r w:rsidRPr="00774631">
              <w:t>500</w:t>
            </w:r>
          </w:p>
        </w:tc>
        <w:tc>
          <w:tcPr>
            <w:tcW w:w="910" w:type="dxa"/>
            <w:tcBorders>
              <w:top w:val="single" w:sz="4" w:space="0" w:color="auto"/>
              <w:left w:val="nil"/>
              <w:right w:val="nil"/>
            </w:tcBorders>
            <w:shd w:val="clear" w:color="auto" w:fill="auto"/>
            <w:noWrap/>
          </w:tcPr>
          <w:p w:rsidR="00A53D7D" w:rsidRPr="00774631" w:rsidRDefault="00A53D7D" w:rsidP="005140B4">
            <w:pPr>
              <w:pStyle w:val="OGTableofFigures"/>
            </w:pPr>
            <w:r w:rsidRPr="00774631">
              <w:t>1</w:t>
            </w:r>
            <w:r>
              <w:t> </w:t>
            </w:r>
            <w:r w:rsidRPr="00774631">
              <w:t>500</w:t>
            </w:r>
          </w:p>
        </w:tc>
        <w:tc>
          <w:tcPr>
            <w:tcW w:w="896" w:type="dxa"/>
            <w:tcBorders>
              <w:top w:val="single" w:sz="4" w:space="0" w:color="auto"/>
              <w:left w:val="nil"/>
              <w:right w:val="nil"/>
            </w:tcBorders>
            <w:shd w:val="clear" w:color="auto" w:fill="auto"/>
            <w:noWrap/>
          </w:tcPr>
          <w:p w:rsidR="00A53D7D" w:rsidRPr="00774631" w:rsidRDefault="00A53D7D" w:rsidP="005140B4">
            <w:pPr>
              <w:pStyle w:val="OGTableofFigures"/>
            </w:pPr>
            <w:r>
              <w:t>2 </w:t>
            </w:r>
            <w:r w:rsidRPr="00774631">
              <w:t>103</w:t>
            </w:r>
          </w:p>
        </w:tc>
      </w:tr>
      <w:tr w:rsidR="00A53D7D" w:rsidRPr="00774631" w:rsidTr="005140B4">
        <w:trPr>
          <w:cantSplit/>
          <w:trHeight w:val="251"/>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 xml:space="preserve">14 target as </w:t>
            </w:r>
            <w:r>
              <w:t xml:space="preserve">the </w:t>
            </w:r>
            <w:r w:rsidRPr="00774631">
              <w:t>P</w:t>
            </w:r>
            <w:r>
              <w:t xml:space="preserve">ublic Records </w:t>
            </w:r>
            <w:r w:rsidRPr="00774631">
              <w:t>O</w:t>
            </w:r>
            <w:r>
              <w:t xml:space="preserve">ffice </w:t>
            </w:r>
            <w:r w:rsidRPr="00774631">
              <w:t>V</w:t>
            </w:r>
            <w:r>
              <w:t>ictoria</w:t>
            </w:r>
            <w:r w:rsidRPr="00774631">
              <w:t xml:space="preserve"> experienced a greater than expected number of transfer projects completed by agencies in the first half of the year. The 2014</w:t>
            </w:r>
            <w:r>
              <w:noBreakHyphen/>
            </w:r>
            <w:r w:rsidRPr="00774631">
              <w:t>15 target has been revised upwards to reflect this.</w:t>
            </w:r>
          </w:p>
        </w:tc>
      </w:tr>
      <w:tr w:rsidR="00A53D7D" w:rsidRPr="00774631" w:rsidTr="005140B4">
        <w:trPr>
          <w:cantSplit/>
          <w:trHeight w:val="251"/>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Public Record Office Victoria: significant Victorian Electronic Records Strategy (VERS) projects completed</w:t>
            </w:r>
          </w:p>
        </w:tc>
        <w:tc>
          <w:tcPr>
            <w:tcW w:w="910"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5</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5</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5</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5</w:t>
            </w:r>
          </w:p>
        </w:tc>
      </w:tr>
      <w:tr w:rsidR="00A53D7D" w:rsidRPr="00774631" w:rsidTr="005140B4">
        <w:trPr>
          <w:cantSplit/>
          <w:trHeight w:val="264"/>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Quality</w:t>
            </w:r>
          </w:p>
        </w:tc>
        <w:tc>
          <w:tcPr>
            <w:tcW w:w="910"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251"/>
        </w:trPr>
        <w:tc>
          <w:tcPr>
            <w:tcW w:w="3150" w:type="dxa"/>
            <w:tcBorders>
              <w:left w:val="nil"/>
              <w:bottom w:val="single" w:sz="6" w:space="0" w:color="auto"/>
              <w:right w:val="nil"/>
            </w:tcBorders>
            <w:shd w:val="clear" w:color="auto" w:fill="auto"/>
          </w:tcPr>
          <w:p w:rsidR="00A53D7D" w:rsidRPr="00774631" w:rsidRDefault="00A53D7D" w:rsidP="005140B4">
            <w:pPr>
              <w:pStyle w:val="OGTabText"/>
            </w:pPr>
            <w:r w:rsidRPr="00774631">
              <w:t>Agency collections storage meeting industry standard</w:t>
            </w:r>
          </w:p>
        </w:tc>
        <w:tc>
          <w:tcPr>
            <w:tcW w:w="910" w:type="dxa"/>
            <w:tcBorders>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left w:val="nil"/>
              <w:bottom w:val="single" w:sz="6" w:space="0" w:color="auto"/>
              <w:right w:val="nil"/>
            </w:tcBorders>
            <w:shd w:val="clear" w:color="auto" w:fill="D9D9D9"/>
            <w:noWrap/>
          </w:tcPr>
          <w:p w:rsidR="00A53D7D" w:rsidRPr="00774631" w:rsidRDefault="00A53D7D" w:rsidP="005140B4">
            <w:pPr>
              <w:pStyle w:val="OGTableofFigures"/>
            </w:pPr>
            <w:r w:rsidRPr="00774631">
              <w:t>90</w:t>
            </w:r>
          </w:p>
        </w:tc>
        <w:tc>
          <w:tcPr>
            <w:tcW w:w="993"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90</w:t>
            </w:r>
          </w:p>
        </w:tc>
        <w:tc>
          <w:tcPr>
            <w:tcW w:w="910"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90</w:t>
            </w:r>
          </w:p>
        </w:tc>
        <w:tc>
          <w:tcPr>
            <w:tcW w:w="896" w:type="dxa"/>
            <w:tcBorders>
              <w:left w:val="nil"/>
              <w:bottom w:val="single" w:sz="6" w:space="0" w:color="auto"/>
              <w:right w:val="nil"/>
            </w:tcBorders>
            <w:shd w:val="clear" w:color="auto" w:fill="auto"/>
            <w:noWrap/>
          </w:tcPr>
          <w:p w:rsidR="00A53D7D" w:rsidRPr="00774631" w:rsidRDefault="00A53D7D" w:rsidP="005140B4">
            <w:pPr>
              <w:pStyle w:val="OGTableofFigures"/>
            </w:pPr>
            <w:r w:rsidRPr="00774631">
              <w:t>nm</w:t>
            </w:r>
          </w:p>
        </w:tc>
      </w:tr>
      <w:tr w:rsidR="00A53D7D" w:rsidRPr="00774631" w:rsidTr="005140B4">
        <w:trPr>
          <w:cantSplit/>
          <w:trHeight w:val="251"/>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Visitors satisfied with visit: Australian Centre for the Moving Image</w:t>
            </w:r>
          </w:p>
        </w:tc>
        <w:tc>
          <w:tcPr>
            <w:tcW w:w="910" w:type="dxa"/>
            <w:tcBorders>
              <w:top w:val="single" w:sz="6" w:space="0" w:color="auto"/>
              <w:left w:val="nil"/>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92</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95</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96</w:t>
            </w:r>
          </w:p>
        </w:tc>
      </w:tr>
      <w:tr w:rsidR="00A53D7D" w:rsidRPr="00774631" w:rsidTr="005140B4">
        <w:trPr>
          <w:cantSplit/>
          <w:trHeight w:val="251"/>
        </w:trPr>
        <w:tc>
          <w:tcPr>
            <w:tcW w:w="7769" w:type="dxa"/>
            <w:gridSpan w:val="6"/>
            <w:tcBorders>
              <w:left w:val="nil"/>
              <w:right w:val="nil"/>
            </w:tcBorders>
            <w:shd w:val="clear" w:color="auto" w:fill="auto"/>
          </w:tcPr>
          <w:p w:rsidR="00A53D7D" w:rsidRPr="00774631" w:rsidRDefault="00A53D7D" w:rsidP="005140B4">
            <w:pPr>
              <w:pStyle w:val="OGNotes"/>
            </w:pPr>
            <w:r w:rsidRPr="00774631">
              <w:t>The higher 2013</w:t>
            </w:r>
            <w:r>
              <w:noBreakHyphen/>
            </w:r>
            <w:r w:rsidRPr="00774631">
              <w:t>14 expected outcome can be largely attributed to the success of the Hollywood Costume exhibition and the popularity of the permanent exhibition Screen Worlds. The 2014</w:t>
            </w:r>
            <w:r>
              <w:noBreakHyphen/>
            </w:r>
            <w:r w:rsidRPr="00774631">
              <w:t>15 target has been revised upwards to reflect this.</w:t>
            </w:r>
          </w:p>
        </w:tc>
      </w:tr>
      <w:tr w:rsidR="00A53D7D" w:rsidRPr="00774631" w:rsidTr="005140B4">
        <w:trPr>
          <w:cantSplit/>
          <w:trHeight w:val="264"/>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Visitors satisfied with visit: Geelong Performing Arts Centre</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98</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98</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98</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99</w:t>
            </w:r>
          </w:p>
        </w:tc>
      </w:tr>
      <w:tr w:rsidR="00A53D7D" w:rsidRPr="00774631" w:rsidTr="005140B4">
        <w:trPr>
          <w:cantSplit/>
          <w:trHeight w:val="251"/>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Visitors satisfied with visit: Melbourne Recital Centre</w:t>
            </w:r>
          </w:p>
        </w:tc>
        <w:tc>
          <w:tcPr>
            <w:tcW w:w="910" w:type="dxa"/>
            <w:tcBorders>
              <w:top w:val="single" w:sz="6" w:space="0" w:color="auto"/>
              <w:left w:val="nil"/>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92</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95</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95</w:t>
            </w:r>
          </w:p>
        </w:tc>
      </w:tr>
      <w:tr w:rsidR="00A53D7D" w:rsidRPr="00774631" w:rsidTr="005140B4">
        <w:trPr>
          <w:cantSplit/>
          <w:trHeight w:val="251"/>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as a result of the quality of both facilities and programming. The 2014</w:t>
            </w:r>
            <w:r>
              <w:noBreakHyphen/>
            </w:r>
            <w:r w:rsidRPr="00774631">
              <w:t>15 target has been revised upwards to reflect this.</w:t>
            </w:r>
          </w:p>
        </w:tc>
      </w:tr>
      <w:tr w:rsidR="00A53D7D" w:rsidRPr="00774631" w:rsidTr="005140B4">
        <w:trPr>
          <w:cantSplit/>
          <w:trHeight w:val="251"/>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Visitors satisfied with visit: Museum Victoria</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90</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90</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93</w:t>
            </w:r>
          </w:p>
        </w:tc>
      </w:tr>
      <w:tr w:rsidR="00A53D7D" w:rsidRPr="00774631" w:rsidTr="005140B4">
        <w:trPr>
          <w:cantSplit/>
          <w:trHeight w:val="251"/>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Visitors satisfied with visit: National Gallery of Victoria</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95</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95</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95</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96</w:t>
            </w:r>
          </w:p>
        </w:tc>
      </w:tr>
      <w:tr w:rsidR="00A53D7D" w:rsidRPr="00774631" w:rsidTr="005140B4">
        <w:trPr>
          <w:cantSplit/>
          <w:trHeight w:val="251"/>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Visitors satisfied with visit: Public Record Office Victoria</w:t>
            </w:r>
          </w:p>
        </w:tc>
        <w:tc>
          <w:tcPr>
            <w:tcW w:w="910" w:type="dxa"/>
            <w:tcBorders>
              <w:top w:val="single" w:sz="6" w:space="0" w:color="auto"/>
              <w:left w:val="nil"/>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95</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97</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97</w:t>
            </w:r>
          </w:p>
        </w:tc>
      </w:tr>
      <w:tr w:rsidR="00A53D7D" w:rsidRPr="00774631" w:rsidTr="005140B4">
        <w:trPr>
          <w:cantSplit/>
          <w:trHeight w:val="251"/>
        </w:trPr>
        <w:tc>
          <w:tcPr>
            <w:tcW w:w="7769" w:type="dxa"/>
            <w:gridSpan w:val="6"/>
            <w:tcBorders>
              <w:left w:val="nil"/>
              <w:bottom w:val="single" w:sz="4"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2014</w:t>
            </w:r>
            <w:r>
              <w:noBreakHyphen/>
            </w:r>
            <w:r w:rsidRPr="00774631">
              <w:t>15 target due to the provision of client</w:t>
            </w:r>
            <w:r>
              <w:noBreakHyphen/>
            </w:r>
            <w:r w:rsidRPr="00774631">
              <w:t>facing services by experienced staff. The 2014</w:t>
            </w:r>
            <w:r>
              <w:noBreakHyphen/>
            </w:r>
            <w:r w:rsidRPr="00774631">
              <w:t>15 target has been revised upwards to reflect this.</w:t>
            </w:r>
          </w:p>
        </w:tc>
      </w:tr>
      <w:tr w:rsidR="00A53D7D" w:rsidRPr="00774631" w:rsidTr="005140B4">
        <w:trPr>
          <w:cantSplit/>
          <w:trHeight w:val="251"/>
        </w:trPr>
        <w:tc>
          <w:tcPr>
            <w:tcW w:w="3150" w:type="dxa"/>
            <w:tcBorders>
              <w:top w:val="single" w:sz="4" w:space="0" w:color="auto"/>
              <w:left w:val="nil"/>
              <w:bottom w:val="single" w:sz="6" w:space="0" w:color="auto"/>
              <w:right w:val="nil"/>
            </w:tcBorders>
            <w:shd w:val="clear" w:color="auto" w:fill="auto"/>
          </w:tcPr>
          <w:p w:rsidR="00A53D7D" w:rsidRPr="00774631" w:rsidRDefault="00A53D7D" w:rsidP="005140B4">
            <w:pPr>
              <w:pStyle w:val="OGTabText"/>
            </w:pPr>
            <w:r w:rsidRPr="00774631">
              <w:t>Visitors satisfied with visit:</w:t>
            </w:r>
            <w:r>
              <w:t xml:space="preserve"> </w:t>
            </w:r>
            <w:r w:rsidRPr="00774631">
              <w:t>State Library of Victoria</w:t>
            </w:r>
          </w:p>
        </w:tc>
        <w:tc>
          <w:tcPr>
            <w:tcW w:w="910" w:type="dxa"/>
            <w:tcBorders>
              <w:top w:val="single" w:sz="4"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4"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90</w:t>
            </w:r>
          </w:p>
        </w:tc>
        <w:tc>
          <w:tcPr>
            <w:tcW w:w="993" w:type="dxa"/>
            <w:tcBorders>
              <w:top w:val="single" w:sz="4"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90</w:t>
            </w:r>
          </w:p>
        </w:tc>
        <w:tc>
          <w:tcPr>
            <w:tcW w:w="910" w:type="dxa"/>
            <w:tcBorders>
              <w:top w:val="single" w:sz="4"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90</w:t>
            </w:r>
          </w:p>
        </w:tc>
        <w:tc>
          <w:tcPr>
            <w:tcW w:w="896" w:type="dxa"/>
            <w:tcBorders>
              <w:top w:val="single" w:sz="4"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87</w:t>
            </w:r>
          </w:p>
        </w:tc>
      </w:tr>
      <w:tr w:rsidR="00A53D7D" w:rsidRPr="00774631" w:rsidTr="005140B4">
        <w:trPr>
          <w:cantSplit/>
          <w:trHeight w:val="251"/>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Visitors satisfied with visit:</w:t>
            </w:r>
            <w:r>
              <w:t xml:space="preserve"> </w:t>
            </w:r>
            <w:r w:rsidRPr="00774631">
              <w:t>Victorian Arts Centre</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95</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t>92</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95</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87</w:t>
            </w:r>
          </w:p>
        </w:tc>
      </w:tr>
      <w:tr w:rsidR="00A53D7D" w:rsidRPr="00774631" w:rsidTr="005140B4">
        <w:trPr>
          <w:cantSplit/>
          <w:trHeight w:val="251"/>
        </w:trPr>
        <w:tc>
          <w:tcPr>
            <w:tcW w:w="3150" w:type="dxa"/>
            <w:tcBorders>
              <w:top w:val="single" w:sz="6" w:space="0" w:color="auto"/>
              <w:left w:val="nil"/>
              <w:bottom w:val="nil"/>
              <w:right w:val="nil"/>
            </w:tcBorders>
            <w:shd w:val="clear" w:color="auto" w:fill="auto"/>
            <w:hideMark/>
          </w:tcPr>
          <w:p w:rsidR="00A53D7D" w:rsidRPr="00774631" w:rsidRDefault="00A53D7D" w:rsidP="00E646BF">
            <w:pPr>
              <w:pStyle w:val="OGTabHead"/>
            </w:pPr>
            <w:r w:rsidRPr="00774631">
              <w:t>Timeliness</w:t>
            </w:r>
          </w:p>
        </w:tc>
        <w:tc>
          <w:tcPr>
            <w:tcW w:w="910" w:type="dxa"/>
            <w:tcBorders>
              <w:top w:val="single" w:sz="6" w:space="0" w:color="auto"/>
              <w:left w:val="nil"/>
              <w:bottom w:val="nil"/>
              <w:right w:val="nil"/>
            </w:tcBorders>
            <w:shd w:val="clear" w:color="auto" w:fill="auto"/>
            <w:noWrap/>
            <w:hideMark/>
          </w:tcPr>
          <w:p w:rsidR="00A53D7D" w:rsidRPr="00774631" w:rsidRDefault="00A53D7D" w:rsidP="00E646BF">
            <w:pPr>
              <w:pStyle w:val="OGUoM"/>
              <w:keepNext/>
            </w:pPr>
            <w:r w:rsidRPr="00774631">
              <w:t> </w:t>
            </w:r>
          </w:p>
        </w:tc>
        <w:tc>
          <w:tcPr>
            <w:tcW w:w="910" w:type="dxa"/>
            <w:tcBorders>
              <w:top w:val="single" w:sz="6" w:space="0" w:color="auto"/>
              <w:left w:val="nil"/>
              <w:bottom w:val="nil"/>
              <w:right w:val="nil"/>
            </w:tcBorders>
            <w:shd w:val="clear" w:color="auto" w:fill="D9D9D9"/>
            <w:noWrap/>
          </w:tcPr>
          <w:p w:rsidR="00A53D7D" w:rsidRPr="00774631" w:rsidRDefault="00A53D7D" w:rsidP="00E646BF">
            <w:pPr>
              <w:pStyle w:val="OGTableofFigures"/>
              <w:keepNext/>
            </w:pPr>
          </w:p>
        </w:tc>
        <w:tc>
          <w:tcPr>
            <w:tcW w:w="993" w:type="dxa"/>
            <w:tcBorders>
              <w:top w:val="single" w:sz="6" w:space="0" w:color="auto"/>
              <w:left w:val="nil"/>
              <w:bottom w:val="nil"/>
              <w:right w:val="nil"/>
            </w:tcBorders>
            <w:shd w:val="clear" w:color="auto" w:fill="auto"/>
            <w:noWrap/>
          </w:tcPr>
          <w:p w:rsidR="00A53D7D" w:rsidRPr="00774631" w:rsidRDefault="00A53D7D" w:rsidP="00E646BF">
            <w:pPr>
              <w:pStyle w:val="OGTableofFigures"/>
              <w:keepNext/>
            </w:pPr>
          </w:p>
        </w:tc>
        <w:tc>
          <w:tcPr>
            <w:tcW w:w="910" w:type="dxa"/>
            <w:tcBorders>
              <w:top w:val="single" w:sz="6" w:space="0" w:color="auto"/>
              <w:left w:val="nil"/>
              <w:bottom w:val="nil"/>
              <w:right w:val="nil"/>
            </w:tcBorders>
            <w:shd w:val="clear" w:color="auto" w:fill="auto"/>
            <w:noWrap/>
          </w:tcPr>
          <w:p w:rsidR="00A53D7D" w:rsidRPr="00774631" w:rsidRDefault="00A53D7D" w:rsidP="00E646BF">
            <w:pPr>
              <w:pStyle w:val="OGTableofFigures"/>
              <w:keepNext/>
            </w:pPr>
          </w:p>
        </w:tc>
        <w:tc>
          <w:tcPr>
            <w:tcW w:w="896" w:type="dxa"/>
            <w:tcBorders>
              <w:top w:val="single" w:sz="6" w:space="0" w:color="auto"/>
              <w:left w:val="nil"/>
              <w:bottom w:val="nil"/>
              <w:right w:val="nil"/>
            </w:tcBorders>
            <w:shd w:val="clear" w:color="auto" w:fill="auto"/>
            <w:noWrap/>
          </w:tcPr>
          <w:p w:rsidR="00A53D7D" w:rsidRPr="00774631" w:rsidRDefault="00A53D7D" w:rsidP="00E646BF">
            <w:pPr>
              <w:pStyle w:val="OGTableofFigures"/>
              <w:keepNext/>
            </w:pPr>
          </w:p>
        </w:tc>
      </w:tr>
      <w:tr w:rsidR="00A53D7D" w:rsidRPr="00774631" w:rsidTr="005140B4">
        <w:trPr>
          <w:cantSplit/>
          <w:trHeight w:val="264"/>
        </w:trPr>
        <w:tc>
          <w:tcPr>
            <w:tcW w:w="3150" w:type="dxa"/>
            <w:tcBorders>
              <w:left w:val="nil"/>
              <w:bottom w:val="single" w:sz="6" w:space="0" w:color="auto"/>
              <w:right w:val="nil"/>
            </w:tcBorders>
            <w:shd w:val="clear" w:color="auto" w:fill="auto"/>
          </w:tcPr>
          <w:p w:rsidR="00A53D7D" w:rsidRPr="00774631" w:rsidRDefault="00A53D7D" w:rsidP="00E646BF">
            <w:pPr>
              <w:pStyle w:val="OGTabText"/>
              <w:keepNext/>
            </w:pPr>
            <w:r w:rsidRPr="00774631">
              <w:t>Arts portfolio public body annual reports tabled in Parliament by the required statutory dates</w:t>
            </w:r>
          </w:p>
        </w:tc>
        <w:tc>
          <w:tcPr>
            <w:tcW w:w="910" w:type="dxa"/>
            <w:tcBorders>
              <w:left w:val="nil"/>
              <w:bottom w:val="single" w:sz="6" w:space="0" w:color="auto"/>
              <w:right w:val="nil"/>
            </w:tcBorders>
            <w:shd w:val="clear" w:color="auto" w:fill="auto"/>
            <w:noWrap/>
          </w:tcPr>
          <w:p w:rsidR="00A53D7D" w:rsidRPr="00774631" w:rsidRDefault="00A53D7D" w:rsidP="00E646BF">
            <w:pPr>
              <w:pStyle w:val="OGUoM"/>
              <w:keepNext/>
            </w:pPr>
            <w:r w:rsidRPr="00774631">
              <w:t>per cent</w:t>
            </w:r>
          </w:p>
        </w:tc>
        <w:tc>
          <w:tcPr>
            <w:tcW w:w="910" w:type="dxa"/>
            <w:tcBorders>
              <w:left w:val="nil"/>
              <w:bottom w:val="single" w:sz="6" w:space="0" w:color="auto"/>
              <w:right w:val="nil"/>
            </w:tcBorders>
            <w:shd w:val="clear" w:color="auto" w:fill="D9D9D9"/>
            <w:noWrap/>
          </w:tcPr>
          <w:p w:rsidR="00A53D7D" w:rsidRPr="00774631" w:rsidRDefault="00A53D7D" w:rsidP="00E646BF">
            <w:pPr>
              <w:pStyle w:val="OGTableofFigures"/>
              <w:keepNext/>
            </w:pPr>
            <w:r w:rsidRPr="00774631">
              <w:t>100</w:t>
            </w:r>
          </w:p>
        </w:tc>
        <w:tc>
          <w:tcPr>
            <w:tcW w:w="993" w:type="dxa"/>
            <w:tcBorders>
              <w:left w:val="nil"/>
              <w:bottom w:val="single" w:sz="6" w:space="0" w:color="auto"/>
              <w:right w:val="nil"/>
            </w:tcBorders>
            <w:shd w:val="clear" w:color="auto" w:fill="auto"/>
            <w:noWrap/>
          </w:tcPr>
          <w:p w:rsidR="00A53D7D" w:rsidRPr="00774631" w:rsidRDefault="00A53D7D" w:rsidP="00E646BF">
            <w:pPr>
              <w:pStyle w:val="OGTableofFigures"/>
              <w:keepNext/>
            </w:pPr>
            <w:r w:rsidRPr="00774631">
              <w:t>100</w:t>
            </w:r>
          </w:p>
        </w:tc>
        <w:tc>
          <w:tcPr>
            <w:tcW w:w="910" w:type="dxa"/>
            <w:tcBorders>
              <w:left w:val="nil"/>
              <w:bottom w:val="single" w:sz="6" w:space="0" w:color="auto"/>
              <w:right w:val="nil"/>
            </w:tcBorders>
            <w:shd w:val="clear" w:color="auto" w:fill="auto"/>
            <w:noWrap/>
          </w:tcPr>
          <w:p w:rsidR="00A53D7D" w:rsidRPr="00774631" w:rsidRDefault="00A53D7D" w:rsidP="00E646BF">
            <w:pPr>
              <w:pStyle w:val="OGTableofFigures"/>
              <w:keepNext/>
            </w:pPr>
            <w:r w:rsidRPr="00774631">
              <w:t>100</w:t>
            </w:r>
          </w:p>
        </w:tc>
        <w:tc>
          <w:tcPr>
            <w:tcW w:w="896" w:type="dxa"/>
            <w:tcBorders>
              <w:left w:val="nil"/>
              <w:bottom w:val="single" w:sz="6" w:space="0" w:color="auto"/>
              <w:right w:val="nil"/>
            </w:tcBorders>
            <w:shd w:val="clear" w:color="auto" w:fill="auto"/>
            <w:noWrap/>
          </w:tcPr>
          <w:p w:rsidR="00A53D7D" w:rsidRPr="00774631" w:rsidRDefault="00A53D7D" w:rsidP="00E646BF">
            <w:pPr>
              <w:pStyle w:val="OGTableofFigures"/>
              <w:keepNext/>
            </w:pPr>
            <w:r w:rsidRPr="00774631">
              <w:t>100</w:t>
            </w:r>
          </w:p>
        </w:tc>
      </w:tr>
      <w:tr w:rsidR="00A53D7D" w:rsidRPr="00774631" w:rsidTr="005140B4">
        <w:trPr>
          <w:cantSplit/>
          <w:trHeight w:val="264"/>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Public Record Office Victoria records issued within specified timeframes</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910"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95</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95</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95</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95</w:t>
            </w:r>
          </w:p>
        </w:tc>
      </w:tr>
      <w:tr w:rsidR="00A53D7D" w:rsidRPr="00774631" w:rsidTr="005140B4">
        <w:trPr>
          <w:cantSplit/>
          <w:trHeight w:val="251"/>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Cost</w:t>
            </w:r>
          </w:p>
        </w:tc>
        <w:tc>
          <w:tcPr>
            <w:tcW w:w="910"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910" w:type="dxa"/>
            <w:tcBorders>
              <w:top w:val="single" w:sz="6" w:space="0" w:color="auto"/>
              <w:left w:val="nil"/>
              <w:right w:val="nil"/>
            </w:tcBorders>
            <w:shd w:val="clear" w:color="auto" w:fill="D9D9D9"/>
            <w:noWrap/>
            <w:hideMark/>
          </w:tcPr>
          <w:p w:rsidR="00A53D7D" w:rsidRPr="00774631" w:rsidRDefault="00A53D7D" w:rsidP="005140B4">
            <w:pPr>
              <w:pStyle w:val="OGTableofFigures"/>
            </w:pPr>
            <w:r w:rsidRPr="00774631">
              <w:t> </w:t>
            </w:r>
          </w:p>
        </w:tc>
        <w:tc>
          <w:tcPr>
            <w:tcW w:w="993"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910"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5140B4">
        <w:trPr>
          <w:cantSplit/>
          <w:trHeight w:val="251"/>
        </w:trPr>
        <w:tc>
          <w:tcPr>
            <w:tcW w:w="3150" w:type="dxa"/>
            <w:tcBorders>
              <w:top w:val="nil"/>
              <w:left w:val="nil"/>
              <w:bottom w:val="single" w:sz="12" w:space="0" w:color="auto"/>
              <w:right w:val="nil"/>
            </w:tcBorders>
            <w:shd w:val="clear" w:color="auto" w:fill="auto"/>
          </w:tcPr>
          <w:p w:rsidR="00A53D7D" w:rsidRPr="00774631" w:rsidRDefault="00A53D7D" w:rsidP="005140B4">
            <w:pPr>
              <w:pStyle w:val="OGTabText"/>
            </w:pPr>
            <w:r w:rsidRPr="00774631">
              <w:t>Total output cost</w:t>
            </w:r>
          </w:p>
        </w:tc>
        <w:tc>
          <w:tcPr>
            <w:tcW w:w="910" w:type="dxa"/>
            <w:tcBorders>
              <w:top w:val="nil"/>
              <w:left w:val="nil"/>
              <w:bottom w:val="single" w:sz="12" w:space="0" w:color="auto"/>
              <w:right w:val="nil"/>
            </w:tcBorders>
            <w:shd w:val="clear" w:color="auto" w:fill="auto"/>
            <w:noWrap/>
          </w:tcPr>
          <w:p w:rsidR="00A53D7D" w:rsidRPr="00774631" w:rsidRDefault="00A53D7D" w:rsidP="005140B4">
            <w:pPr>
              <w:pStyle w:val="OGUoM"/>
            </w:pPr>
            <w:r w:rsidRPr="00774631">
              <w:t>$ million</w:t>
            </w:r>
          </w:p>
        </w:tc>
        <w:tc>
          <w:tcPr>
            <w:tcW w:w="910" w:type="dxa"/>
            <w:tcBorders>
              <w:top w:val="nil"/>
              <w:left w:val="nil"/>
              <w:bottom w:val="single" w:sz="12" w:space="0" w:color="auto"/>
              <w:right w:val="nil"/>
            </w:tcBorders>
            <w:shd w:val="clear" w:color="auto" w:fill="D9D9D9"/>
            <w:noWrap/>
          </w:tcPr>
          <w:p w:rsidR="00A53D7D" w:rsidRPr="00774631" w:rsidRDefault="00A53D7D" w:rsidP="005140B4">
            <w:pPr>
              <w:pStyle w:val="OGTableofFigures"/>
            </w:pPr>
            <w:r w:rsidRPr="00774631">
              <w:t>325.1</w:t>
            </w:r>
          </w:p>
        </w:tc>
        <w:tc>
          <w:tcPr>
            <w:tcW w:w="993" w:type="dxa"/>
            <w:tcBorders>
              <w:top w:val="nil"/>
              <w:left w:val="nil"/>
              <w:bottom w:val="single" w:sz="12" w:space="0" w:color="auto"/>
              <w:right w:val="nil"/>
            </w:tcBorders>
            <w:shd w:val="clear" w:color="auto" w:fill="auto"/>
            <w:noWrap/>
          </w:tcPr>
          <w:p w:rsidR="00A53D7D" w:rsidRPr="00774631" w:rsidRDefault="00A53D7D" w:rsidP="005140B4">
            <w:pPr>
              <w:pStyle w:val="OGTableofFigures"/>
            </w:pPr>
            <w:r w:rsidRPr="00774631">
              <w:t>315.6</w:t>
            </w:r>
          </w:p>
        </w:tc>
        <w:tc>
          <w:tcPr>
            <w:tcW w:w="910" w:type="dxa"/>
            <w:tcBorders>
              <w:top w:val="nil"/>
              <w:left w:val="nil"/>
              <w:bottom w:val="single" w:sz="12" w:space="0" w:color="auto"/>
              <w:right w:val="nil"/>
            </w:tcBorders>
            <w:shd w:val="clear" w:color="auto" w:fill="auto"/>
            <w:noWrap/>
          </w:tcPr>
          <w:p w:rsidR="00A53D7D" w:rsidRPr="00774631" w:rsidRDefault="00A53D7D" w:rsidP="005140B4">
            <w:pPr>
              <w:pStyle w:val="OGTableofFigures"/>
            </w:pPr>
            <w:r w:rsidRPr="00774631">
              <w:t>319.1</w:t>
            </w:r>
          </w:p>
        </w:tc>
        <w:tc>
          <w:tcPr>
            <w:tcW w:w="896" w:type="dxa"/>
            <w:tcBorders>
              <w:top w:val="nil"/>
              <w:left w:val="nil"/>
              <w:bottom w:val="single" w:sz="12" w:space="0" w:color="auto"/>
              <w:right w:val="nil"/>
            </w:tcBorders>
            <w:shd w:val="clear" w:color="auto" w:fill="auto"/>
            <w:noWrap/>
          </w:tcPr>
          <w:p w:rsidR="00A53D7D" w:rsidRPr="00774631" w:rsidRDefault="00A53D7D" w:rsidP="005140B4">
            <w:pPr>
              <w:pStyle w:val="OGTableofFigures"/>
            </w:pPr>
            <w:r w:rsidRPr="00774631">
              <w:t>338.17</w:t>
            </w:r>
          </w:p>
        </w:tc>
      </w:tr>
    </w:tbl>
    <w:p w:rsidR="00A53D7D" w:rsidRPr="00774631" w:rsidRDefault="00A53D7D" w:rsidP="005140B4">
      <w:pPr>
        <w:pStyle w:val="Source"/>
      </w:pPr>
      <w:r w:rsidRPr="00774631">
        <w:t>Sources: Departments of Premier and Cabinet and Treasury and Finance</w:t>
      </w:r>
      <w:r>
        <w:t>.</w:t>
      </w:r>
      <w:r>
        <w:fldChar w:fldCharType="begin"/>
      </w:r>
      <w:r>
        <w:instrText xml:space="preserve"> XE "</w:instrText>
      </w:r>
      <w:r w:rsidRPr="00FD58D4">
        <w:instrText>Department of Premier and Cabinet:Arts and Cultural Development</w:instrText>
      </w:r>
      <w:r>
        <w:instrText xml:space="preserve">" \r "BP3DPCArtsandCultDvlpmnt" </w:instrText>
      </w:r>
      <w:r>
        <w:fldChar w:fldCharType="end"/>
      </w:r>
      <w:r>
        <w:fldChar w:fldCharType="begin"/>
      </w:r>
      <w:r>
        <w:instrText xml:space="preserve"> XE "</w:instrText>
      </w:r>
      <w:r w:rsidRPr="008F564C">
        <w:instrText>Arts and Cultural Development</w:instrText>
      </w:r>
      <w:r>
        <w:instrText xml:space="preserve">" \r "BP3DPCArtsandCultDvlpmnt" </w:instrText>
      </w:r>
      <w:r>
        <w:fldChar w:fldCharType="end"/>
      </w:r>
    </w:p>
    <w:bookmarkEnd w:id="123"/>
    <w:p w:rsidR="00A53D7D" w:rsidRDefault="00A53D7D">
      <w:pPr>
        <w:spacing w:after="0"/>
      </w:pPr>
      <w:r>
        <w:br w:type="page"/>
      </w:r>
    </w:p>
    <w:p w:rsidR="00A53D7D" w:rsidRPr="00774631" w:rsidRDefault="00A53D7D" w:rsidP="005140B4">
      <w:pPr>
        <w:pStyle w:val="OGHeading1"/>
      </w:pPr>
      <w:bookmarkStart w:id="124" w:name="BP3DPCSuppandStrengthComm"/>
      <w:r w:rsidRPr="00774631">
        <w:t>Supporting and Strengthening Communities</w:t>
      </w:r>
    </w:p>
    <w:p w:rsidR="00A53D7D" w:rsidRPr="00774631" w:rsidRDefault="00A53D7D" w:rsidP="005140B4">
      <w:pPr>
        <w:pStyle w:val="OGText"/>
      </w:pPr>
      <w:r w:rsidRPr="00774631">
        <w:t xml:space="preserve">These outputs relate to the coordination and provision of services and support to culturally, </w:t>
      </w:r>
      <w:proofErr w:type="gramStart"/>
      <w:r w:rsidRPr="00774631">
        <w:t>linguistically</w:t>
      </w:r>
      <w:proofErr w:type="gramEnd"/>
      <w:r w:rsidRPr="00774631">
        <w:t xml:space="preserve"> and religiously diverse communities, Aboriginal Victorians and Veterans. They promote social cohesion, enhanced </w:t>
      </w:r>
      <w:proofErr w:type="gramStart"/>
      <w:r w:rsidRPr="00774631">
        <w:t>engagement</w:t>
      </w:r>
      <w:proofErr w:type="gramEnd"/>
      <w:r w:rsidRPr="00774631">
        <w:t xml:space="preserve"> and greater opportunities for participation and contribution to the social, cultural and economic life of Victoria.</w:t>
      </w:r>
    </w:p>
    <w:p w:rsidR="00A53D7D" w:rsidRPr="00774631" w:rsidRDefault="00A53D7D" w:rsidP="005140B4">
      <w:pPr>
        <w:pStyle w:val="OGText"/>
      </w:pPr>
      <w:r w:rsidRPr="00774631">
        <w:t>These outputs contribute to the departmental objective of supporting and promoting full participation in strong and vibrant communities.</w:t>
      </w:r>
    </w:p>
    <w:tbl>
      <w:tblPr>
        <w:tblW w:w="7769" w:type="dxa"/>
        <w:tblInd w:w="29" w:type="dxa"/>
        <w:tblLayout w:type="fixed"/>
        <w:tblCellMar>
          <w:left w:w="43" w:type="dxa"/>
          <w:right w:w="43" w:type="dxa"/>
        </w:tblCellMar>
        <w:tblLook w:val="04A0" w:firstRow="1" w:lastRow="0" w:firstColumn="1" w:lastColumn="0" w:noHBand="0" w:noVBand="1"/>
      </w:tblPr>
      <w:tblGrid>
        <w:gridCol w:w="3150"/>
        <w:gridCol w:w="924"/>
        <w:gridCol w:w="896"/>
        <w:gridCol w:w="993"/>
        <w:gridCol w:w="910"/>
        <w:gridCol w:w="896"/>
      </w:tblGrid>
      <w:tr w:rsidR="00A53D7D" w:rsidRPr="00774631" w:rsidTr="005140B4">
        <w:trPr>
          <w:cantSplit/>
          <w:trHeight w:val="780"/>
          <w:tblHeader/>
        </w:trPr>
        <w:tc>
          <w:tcPr>
            <w:tcW w:w="3150" w:type="dxa"/>
            <w:tcBorders>
              <w:top w:val="single" w:sz="4" w:space="0" w:color="auto"/>
              <w:left w:val="single" w:sz="4" w:space="0" w:color="auto"/>
              <w:bottom w:val="single" w:sz="4" w:space="0" w:color="auto"/>
              <w:right w:val="nil"/>
            </w:tcBorders>
            <w:shd w:val="clear" w:color="auto" w:fill="000000"/>
            <w:vAlign w:val="bottom"/>
          </w:tcPr>
          <w:p w:rsidR="00A53D7D" w:rsidRPr="00774631" w:rsidRDefault="00A53D7D" w:rsidP="005140B4">
            <w:pPr>
              <w:pStyle w:val="TabletextheadingLeft0"/>
            </w:pPr>
            <w:r w:rsidRPr="00871A9E">
              <w:rPr>
                <w:b/>
                <w:i w:val="0"/>
              </w:rPr>
              <w:t>Major Outputs/Deliverables</w:t>
            </w:r>
            <w:r w:rsidRPr="00871A9E">
              <w:rPr>
                <w:b/>
                <w:i w:val="0"/>
              </w:rPr>
              <w:br/>
            </w:r>
            <w:r w:rsidRPr="00774631">
              <w:t>Performance measures</w:t>
            </w:r>
          </w:p>
        </w:tc>
        <w:tc>
          <w:tcPr>
            <w:tcW w:w="924"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 xml:space="preserve">Unit of </w:t>
            </w:r>
            <w:r w:rsidRPr="00774631">
              <w:br/>
            </w:r>
            <w:r>
              <w:t>m</w:t>
            </w:r>
            <w:r w:rsidRPr="00774631">
              <w:t>easure</w:t>
            </w:r>
          </w:p>
        </w:tc>
        <w:tc>
          <w:tcPr>
            <w:tcW w:w="896"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2014</w:t>
            </w:r>
            <w:r>
              <w:noBreakHyphen/>
            </w:r>
            <w:r w:rsidRPr="00774631">
              <w:t>15 Target</w:t>
            </w:r>
          </w:p>
        </w:tc>
        <w:tc>
          <w:tcPr>
            <w:tcW w:w="993"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2013</w:t>
            </w:r>
            <w:r>
              <w:noBreakHyphen/>
            </w:r>
            <w:r w:rsidRPr="00774631">
              <w:t>14 Expected Outcome</w:t>
            </w:r>
          </w:p>
        </w:tc>
        <w:tc>
          <w:tcPr>
            <w:tcW w:w="910"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2013</w:t>
            </w:r>
            <w:r>
              <w:noBreakHyphen/>
            </w:r>
            <w:r w:rsidRPr="00774631">
              <w:t>14 Target</w:t>
            </w:r>
          </w:p>
        </w:tc>
        <w:tc>
          <w:tcPr>
            <w:tcW w:w="896" w:type="dxa"/>
            <w:tcBorders>
              <w:top w:val="single" w:sz="4" w:space="0" w:color="auto"/>
              <w:left w:val="nil"/>
              <w:bottom w:val="single" w:sz="4" w:space="0" w:color="auto"/>
              <w:right w:val="single" w:sz="4" w:space="0" w:color="auto"/>
            </w:tcBorders>
            <w:shd w:val="clear" w:color="auto" w:fill="000000"/>
            <w:noWrap/>
            <w:vAlign w:val="bottom"/>
            <w:hideMark/>
          </w:tcPr>
          <w:p w:rsidR="00A53D7D" w:rsidRPr="00774631" w:rsidRDefault="00A53D7D" w:rsidP="005140B4">
            <w:pPr>
              <w:pStyle w:val="Tabletextheading"/>
            </w:pPr>
            <w:r w:rsidRPr="00774631">
              <w:t>2012</w:t>
            </w:r>
            <w:r>
              <w:noBreakHyphen/>
            </w:r>
            <w:r w:rsidRPr="00774631">
              <w:t>13 Actual</w:t>
            </w:r>
          </w:p>
        </w:tc>
      </w:tr>
      <w:tr w:rsidR="00A53D7D" w:rsidRPr="00774631" w:rsidTr="005140B4">
        <w:trPr>
          <w:cantSplit/>
          <w:trHeight w:val="525"/>
        </w:trPr>
        <w:tc>
          <w:tcPr>
            <w:tcW w:w="7769" w:type="dxa"/>
            <w:gridSpan w:val="6"/>
            <w:tcBorders>
              <w:top w:val="nil"/>
              <w:left w:val="nil"/>
              <w:bottom w:val="nil"/>
              <w:right w:val="nil"/>
            </w:tcBorders>
            <w:shd w:val="clear" w:color="auto" w:fill="auto"/>
            <w:hideMark/>
          </w:tcPr>
          <w:p w:rsidR="00A53D7D" w:rsidRPr="00774631" w:rsidRDefault="00A53D7D" w:rsidP="005140B4">
            <w:pPr>
              <w:pStyle w:val="OGHeading2"/>
            </w:pPr>
            <w:r w:rsidRPr="00774631">
              <w:t>Multicultural Affairs and Citizenship</w:t>
            </w:r>
          </w:p>
        </w:tc>
      </w:tr>
      <w:tr w:rsidR="00A53D7D" w:rsidRPr="00774631" w:rsidTr="005140B4">
        <w:trPr>
          <w:cantSplit/>
          <w:trHeight w:val="1380"/>
        </w:trPr>
        <w:tc>
          <w:tcPr>
            <w:tcW w:w="7769" w:type="dxa"/>
            <w:gridSpan w:val="6"/>
            <w:tcBorders>
              <w:top w:val="nil"/>
              <w:left w:val="nil"/>
              <w:bottom w:val="single" w:sz="6" w:space="0" w:color="auto"/>
              <w:right w:val="nil"/>
            </w:tcBorders>
            <w:shd w:val="clear" w:color="auto" w:fill="auto"/>
            <w:hideMark/>
          </w:tcPr>
          <w:p w:rsidR="00A53D7D" w:rsidRPr="00774631" w:rsidRDefault="00A53D7D" w:rsidP="005140B4">
            <w:pPr>
              <w:pStyle w:val="OGText"/>
            </w:pPr>
            <w:r w:rsidRPr="00774631">
              <w:t>Oversee the provision of policy advice on Multicultural Affairs and Citizenship, settlement coordination for newly arrived migrants and refugees and deliver programs to support Victoria’s whole of government approach to multiculturalism. Coordinate the monitoring of government departments’ responsiveness to Victorians from culturally, linguistically and religiously diverse backgrounds.</w:t>
            </w:r>
          </w:p>
        </w:tc>
      </w:tr>
      <w:tr w:rsidR="00A53D7D" w:rsidRPr="00774631" w:rsidTr="005140B4">
        <w:trPr>
          <w:cantSplit/>
          <w:trHeight w:val="300"/>
        </w:trPr>
        <w:tc>
          <w:tcPr>
            <w:tcW w:w="3150" w:type="dxa"/>
            <w:tcBorders>
              <w:top w:val="single" w:sz="6" w:space="0" w:color="auto"/>
              <w:left w:val="nil"/>
              <w:bottom w:val="nil"/>
              <w:right w:val="nil"/>
            </w:tcBorders>
            <w:shd w:val="clear" w:color="auto" w:fill="auto"/>
            <w:hideMark/>
          </w:tcPr>
          <w:p w:rsidR="00A53D7D" w:rsidRPr="00774631" w:rsidRDefault="00A53D7D" w:rsidP="005140B4">
            <w:pPr>
              <w:pStyle w:val="OGTabHead"/>
            </w:pPr>
            <w:r w:rsidRPr="00774631">
              <w:t>Quantity</w:t>
            </w:r>
          </w:p>
        </w:tc>
        <w:tc>
          <w:tcPr>
            <w:tcW w:w="924" w:type="dxa"/>
            <w:tcBorders>
              <w:top w:val="single" w:sz="6" w:space="0" w:color="auto"/>
              <w:left w:val="nil"/>
              <w:bottom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bottom w:val="nil"/>
              <w:right w:val="nil"/>
            </w:tcBorders>
            <w:shd w:val="clear" w:color="auto" w:fill="D9D9D9"/>
            <w:noWrap/>
            <w:hideMark/>
          </w:tcPr>
          <w:p w:rsidR="00A53D7D" w:rsidRPr="00774631" w:rsidRDefault="00A53D7D" w:rsidP="005140B4">
            <w:pPr>
              <w:pStyle w:val="OGTableofFigures"/>
            </w:pPr>
            <w:r w:rsidRPr="00774631">
              <w:t> </w:t>
            </w:r>
          </w:p>
        </w:tc>
        <w:tc>
          <w:tcPr>
            <w:tcW w:w="993"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c>
          <w:tcPr>
            <w:tcW w:w="910"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5140B4">
        <w:trPr>
          <w:cantSplit/>
          <w:trHeight w:val="272"/>
        </w:trPr>
        <w:tc>
          <w:tcPr>
            <w:tcW w:w="3150" w:type="dxa"/>
            <w:tcBorders>
              <w:top w:val="nil"/>
              <w:left w:val="nil"/>
              <w:right w:val="nil"/>
            </w:tcBorders>
            <w:shd w:val="clear" w:color="auto" w:fill="auto"/>
          </w:tcPr>
          <w:p w:rsidR="00A53D7D" w:rsidRPr="00774631" w:rsidRDefault="00A53D7D" w:rsidP="005140B4">
            <w:pPr>
              <w:pStyle w:val="OGTabText"/>
            </w:pPr>
            <w:r w:rsidRPr="00774631">
              <w:t>Active refugee support service agreements</w:t>
            </w:r>
          </w:p>
        </w:tc>
        <w:tc>
          <w:tcPr>
            <w:tcW w:w="924" w:type="dxa"/>
            <w:tcBorders>
              <w:top w:val="nil"/>
              <w:left w:val="nil"/>
              <w:right w:val="nil"/>
            </w:tcBorders>
            <w:shd w:val="clear" w:color="auto" w:fill="auto"/>
            <w:noWrap/>
          </w:tcPr>
          <w:p w:rsidR="00A53D7D" w:rsidRPr="00774631" w:rsidRDefault="00A53D7D" w:rsidP="005140B4">
            <w:pPr>
              <w:pStyle w:val="OGUoM"/>
            </w:pPr>
            <w:r w:rsidRPr="00774631">
              <w:t>number</w:t>
            </w:r>
          </w:p>
        </w:tc>
        <w:tc>
          <w:tcPr>
            <w:tcW w:w="896" w:type="dxa"/>
            <w:tcBorders>
              <w:top w:val="nil"/>
              <w:left w:val="nil"/>
              <w:right w:val="nil"/>
            </w:tcBorders>
            <w:shd w:val="clear" w:color="auto" w:fill="D9D9D9"/>
            <w:noWrap/>
          </w:tcPr>
          <w:p w:rsidR="00A53D7D" w:rsidRPr="00774631" w:rsidRDefault="00A53D7D" w:rsidP="005140B4">
            <w:pPr>
              <w:pStyle w:val="OGTableofFigures"/>
            </w:pPr>
            <w:r w:rsidRPr="00774631">
              <w:t>11</w:t>
            </w:r>
          </w:p>
        </w:tc>
        <w:tc>
          <w:tcPr>
            <w:tcW w:w="993" w:type="dxa"/>
            <w:tcBorders>
              <w:top w:val="nil"/>
              <w:left w:val="nil"/>
              <w:right w:val="nil"/>
            </w:tcBorders>
            <w:shd w:val="clear" w:color="auto" w:fill="auto"/>
            <w:noWrap/>
          </w:tcPr>
          <w:p w:rsidR="00A53D7D" w:rsidRPr="00774631" w:rsidRDefault="00A53D7D" w:rsidP="005140B4">
            <w:pPr>
              <w:pStyle w:val="OGTableofFigures"/>
            </w:pPr>
            <w:r w:rsidRPr="00774631">
              <w:t>10</w:t>
            </w:r>
          </w:p>
        </w:tc>
        <w:tc>
          <w:tcPr>
            <w:tcW w:w="910" w:type="dxa"/>
            <w:tcBorders>
              <w:top w:val="nil"/>
              <w:left w:val="nil"/>
              <w:right w:val="nil"/>
            </w:tcBorders>
            <w:shd w:val="clear" w:color="auto" w:fill="auto"/>
            <w:noWrap/>
          </w:tcPr>
          <w:p w:rsidR="00A53D7D" w:rsidRPr="00774631" w:rsidRDefault="00A53D7D" w:rsidP="005140B4">
            <w:pPr>
              <w:pStyle w:val="OGTableofFigures"/>
            </w:pPr>
            <w:r w:rsidRPr="00774631">
              <w:t>10</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9</w:t>
            </w:r>
          </w:p>
        </w:tc>
      </w:tr>
      <w:tr w:rsidR="00A53D7D" w:rsidRPr="00774631" w:rsidTr="005140B4">
        <w:trPr>
          <w:cantSplit/>
          <w:trHeight w:val="301"/>
        </w:trPr>
        <w:tc>
          <w:tcPr>
            <w:tcW w:w="7769" w:type="dxa"/>
            <w:gridSpan w:val="6"/>
            <w:tcBorders>
              <w:left w:val="nil"/>
              <w:right w:val="nil"/>
            </w:tcBorders>
            <w:shd w:val="clear" w:color="auto" w:fill="auto"/>
          </w:tcPr>
          <w:p w:rsidR="00A53D7D" w:rsidRPr="00774631" w:rsidRDefault="00A53D7D" w:rsidP="005140B4">
            <w:pPr>
              <w:pStyle w:val="OGNotes"/>
            </w:pPr>
            <w:r w:rsidRPr="00774631">
              <w:t>The higher 2014</w:t>
            </w:r>
            <w:r>
              <w:noBreakHyphen/>
            </w:r>
            <w:r w:rsidRPr="00774631">
              <w:t>15 target reflects funding allocated through the 2014</w:t>
            </w:r>
            <w:r>
              <w:noBreakHyphen/>
            </w:r>
            <w:r w:rsidRPr="00774631">
              <w:t>15 State Budget for the New and Emerging Communities Leadership Program.</w:t>
            </w:r>
          </w:p>
        </w:tc>
      </w:tr>
      <w:tr w:rsidR="00A53D7D" w:rsidRPr="00774631" w:rsidTr="005140B4">
        <w:trPr>
          <w:cantSplit/>
          <w:trHeight w:val="516"/>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Consultations with culturally and linguistically diverse (CALD) communities</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896"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60</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60</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60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112</w:t>
            </w:r>
          </w:p>
        </w:tc>
      </w:tr>
      <w:tr w:rsidR="00A53D7D" w:rsidRPr="00774631" w:rsidTr="005140B4">
        <w:trPr>
          <w:cantSplit/>
          <w:trHeight w:val="510"/>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Cultural Diversity Week events supported by the Victorian Multicultural Commission</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r>
              <w:t>300</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349</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200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298</w:t>
            </w:r>
          </w:p>
        </w:tc>
      </w:tr>
      <w:tr w:rsidR="00A53D7D" w:rsidRPr="00774631" w:rsidTr="005140B4">
        <w:trPr>
          <w:cantSplit/>
          <w:trHeight w:val="144"/>
        </w:trPr>
        <w:tc>
          <w:tcPr>
            <w:tcW w:w="7769" w:type="dxa"/>
            <w:gridSpan w:val="6"/>
            <w:tcBorders>
              <w:left w:val="nil"/>
              <w:bottom w:val="single" w:sz="4"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as community interest was higher than expected due to greater community</w:t>
            </w:r>
            <w:r>
              <w:t xml:space="preserve"> awareness</w:t>
            </w:r>
            <w:r w:rsidRPr="00774631">
              <w:t>. The 2014</w:t>
            </w:r>
            <w:r>
              <w:noBreakHyphen/>
            </w:r>
            <w:r w:rsidRPr="00774631">
              <w:t>15 target has been revised upwards to reflect this.</w:t>
            </w:r>
          </w:p>
        </w:tc>
      </w:tr>
      <w:tr w:rsidR="00A53D7D" w:rsidRPr="00774631" w:rsidTr="005B2F28">
        <w:trPr>
          <w:cantSplit/>
          <w:trHeight w:val="300"/>
        </w:trPr>
        <w:tc>
          <w:tcPr>
            <w:tcW w:w="3150" w:type="dxa"/>
            <w:tcBorders>
              <w:top w:val="single" w:sz="2" w:space="0" w:color="auto"/>
              <w:left w:val="nil"/>
              <w:bottom w:val="single" w:sz="6" w:space="0" w:color="auto"/>
              <w:right w:val="nil"/>
            </w:tcBorders>
            <w:shd w:val="clear" w:color="auto" w:fill="auto"/>
          </w:tcPr>
          <w:p w:rsidR="00A53D7D" w:rsidRPr="00774631" w:rsidRDefault="00A53D7D" w:rsidP="005140B4">
            <w:pPr>
              <w:pStyle w:val="OGTabText"/>
            </w:pPr>
            <w:r w:rsidRPr="00774631">
              <w:t>Grants approved</w:t>
            </w:r>
          </w:p>
        </w:tc>
        <w:tc>
          <w:tcPr>
            <w:tcW w:w="924" w:type="dxa"/>
            <w:tcBorders>
              <w:top w:val="single" w:sz="2" w:space="0" w:color="auto"/>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896" w:type="dxa"/>
            <w:tcBorders>
              <w:top w:val="single" w:sz="2" w:space="0" w:color="auto"/>
              <w:left w:val="nil"/>
              <w:bottom w:val="single" w:sz="6" w:space="0" w:color="auto"/>
              <w:right w:val="nil"/>
            </w:tcBorders>
            <w:shd w:val="clear" w:color="auto" w:fill="D9D9D9"/>
            <w:noWrap/>
          </w:tcPr>
          <w:p w:rsidR="00A53D7D" w:rsidRPr="00774631" w:rsidRDefault="00A53D7D" w:rsidP="005140B4">
            <w:pPr>
              <w:pStyle w:val="OGTableofFigures"/>
            </w:pPr>
            <w:r>
              <w:t>2 </w:t>
            </w:r>
            <w:r w:rsidRPr="00774631">
              <w:t>300</w:t>
            </w:r>
          </w:p>
        </w:tc>
        <w:tc>
          <w:tcPr>
            <w:tcW w:w="993" w:type="dxa"/>
            <w:tcBorders>
              <w:top w:val="single" w:sz="2"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2</w:t>
            </w:r>
            <w:r>
              <w:t> </w:t>
            </w:r>
            <w:r w:rsidRPr="00774631">
              <w:t>300</w:t>
            </w:r>
          </w:p>
        </w:tc>
        <w:tc>
          <w:tcPr>
            <w:tcW w:w="910" w:type="dxa"/>
            <w:tcBorders>
              <w:top w:val="single" w:sz="2"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2</w:t>
            </w:r>
            <w:r>
              <w:t> </w:t>
            </w:r>
            <w:r w:rsidRPr="00774631">
              <w:t>300</w:t>
            </w:r>
          </w:p>
        </w:tc>
        <w:tc>
          <w:tcPr>
            <w:tcW w:w="896" w:type="dxa"/>
            <w:tcBorders>
              <w:top w:val="single" w:sz="2"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2</w:t>
            </w:r>
            <w:r>
              <w:t> </w:t>
            </w:r>
            <w:r w:rsidRPr="00774631">
              <w:t>400</w:t>
            </w:r>
          </w:p>
        </w:tc>
      </w:tr>
      <w:tr w:rsidR="00A53D7D" w:rsidRPr="00774631" w:rsidTr="005B2F28">
        <w:trPr>
          <w:cantSplit/>
          <w:trHeight w:val="335"/>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Language services projects implemented</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896"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15</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15</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15</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15</w:t>
            </w:r>
          </w:p>
        </w:tc>
      </w:tr>
      <w:tr w:rsidR="00A53D7D" w:rsidRPr="00774631" w:rsidTr="005B2F28">
        <w:trPr>
          <w:cantSplit/>
          <w:trHeight w:val="795"/>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Proportion of grants approved which are provided to organisations in regional/rural areas</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per cent</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15</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12.5</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15</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14</w:t>
            </w:r>
          </w:p>
        </w:tc>
      </w:tr>
      <w:tr w:rsidR="00A53D7D" w:rsidRPr="00774631" w:rsidTr="005140B4">
        <w:trPr>
          <w:cantSplit/>
          <w:trHeight w:val="301"/>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lower than the 2013</w:t>
            </w:r>
            <w:r>
              <w:noBreakHyphen/>
            </w:r>
            <w:r w:rsidRPr="00774631">
              <w:t>14 target as fewer than anticipated applications were received.</w:t>
            </w:r>
          </w:p>
        </w:tc>
      </w:tr>
      <w:tr w:rsidR="00A53D7D" w:rsidRPr="00774631" w:rsidTr="005140B4">
        <w:trPr>
          <w:cantSplit/>
          <w:trHeight w:val="795"/>
        </w:trPr>
        <w:tc>
          <w:tcPr>
            <w:tcW w:w="3150" w:type="dxa"/>
            <w:tcBorders>
              <w:top w:val="single" w:sz="6" w:space="0" w:color="auto"/>
              <w:left w:val="nil"/>
              <w:right w:val="nil"/>
            </w:tcBorders>
            <w:shd w:val="clear" w:color="auto" w:fill="auto"/>
          </w:tcPr>
          <w:p w:rsidR="00A53D7D" w:rsidRPr="00774631" w:rsidRDefault="00A53D7D" w:rsidP="005140B4">
            <w:pPr>
              <w:pStyle w:val="OGTabText"/>
              <w:keepNext/>
            </w:pPr>
            <w:r w:rsidRPr="00774631">
              <w:t>Seminars delivered under the Migrant and Refugee Rights and Responsibilities Seminar Program</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keepNext/>
            </w:pPr>
            <w:r w:rsidRPr="00774631">
              <w:t>number</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keepNext/>
            </w:pPr>
            <w:r w:rsidRPr="00774631">
              <w:t>90</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keepNext/>
            </w:pPr>
            <w:r w:rsidRPr="00774631">
              <w:t>93</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keepNext/>
            </w:pPr>
            <w:r w:rsidRPr="00774631">
              <w:t>55</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keepNext/>
            </w:pPr>
            <w:r w:rsidRPr="00774631">
              <w:t>64</w:t>
            </w:r>
          </w:p>
        </w:tc>
      </w:tr>
      <w:tr w:rsidR="00A53D7D" w:rsidRPr="00774631" w:rsidTr="005140B4">
        <w:trPr>
          <w:cantSplit/>
          <w:trHeight w:val="144"/>
        </w:trPr>
        <w:tc>
          <w:tcPr>
            <w:tcW w:w="7769" w:type="dxa"/>
            <w:gridSpan w:val="6"/>
            <w:tcBorders>
              <w:left w:val="nil"/>
              <w:bottom w:val="single" w:sz="4"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due to the incorporation of the Rights and Responsibilities Seminars into the Refugee Action Program in January 2013 and the transfer from the Department of Justice to the Office of Multicultural Affairs and Citizenship of an education progra</w:t>
            </w:r>
            <w:r>
              <w:t>m for newly arrived communities</w:t>
            </w:r>
            <w:r w:rsidRPr="00774631">
              <w:t>. The 2014</w:t>
            </w:r>
            <w:r>
              <w:noBreakHyphen/>
            </w:r>
            <w:r w:rsidRPr="00774631">
              <w:t>15 target has been revised upwards to reflect this.</w:t>
            </w:r>
          </w:p>
        </w:tc>
      </w:tr>
      <w:tr w:rsidR="00A53D7D" w:rsidRPr="00774631" w:rsidTr="005140B4">
        <w:trPr>
          <w:cantSplit/>
          <w:trHeight w:val="144"/>
        </w:trPr>
        <w:tc>
          <w:tcPr>
            <w:tcW w:w="3150" w:type="dxa"/>
            <w:tcBorders>
              <w:top w:val="single" w:sz="4" w:space="0" w:color="auto"/>
              <w:left w:val="nil"/>
              <w:bottom w:val="nil"/>
              <w:right w:val="nil"/>
            </w:tcBorders>
            <w:shd w:val="clear" w:color="auto" w:fill="auto"/>
            <w:hideMark/>
          </w:tcPr>
          <w:p w:rsidR="00A53D7D" w:rsidRPr="00774631" w:rsidRDefault="00A53D7D" w:rsidP="005140B4">
            <w:pPr>
              <w:pStyle w:val="OGTabHead"/>
            </w:pPr>
            <w:r w:rsidRPr="00774631">
              <w:t>Quality</w:t>
            </w:r>
          </w:p>
        </w:tc>
        <w:tc>
          <w:tcPr>
            <w:tcW w:w="924" w:type="dxa"/>
            <w:tcBorders>
              <w:top w:val="single" w:sz="4" w:space="0" w:color="auto"/>
              <w:left w:val="nil"/>
              <w:bottom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4" w:space="0" w:color="auto"/>
              <w:left w:val="nil"/>
              <w:bottom w:val="nil"/>
              <w:right w:val="nil"/>
            </w:tcBorders>
            <w:shd w:val="clear" w:color="auto" w:fill="D9D9D9"/>
            <w:noWrap/>
          </w:tcPr>
          <w:p w:rsidR="00A53D7D" w:rsidRPr="00774631" w:rsidRDefault="00A53D7D" w:rsidP="005140B4">
            <w:pPr>
              <w:pStyle w:val="OGTableofFigures"/>
            </w:pPr>
          </w:p>
        </w:tc>
        <w:tc>
          <w:tcPr>
            <w:tcW w:w="993" w:type="dxa"/>
            <w:tcBorders>
              <w:top w:val="single" w:sz="4" w:space="0" w:color="auto"/>
              <w:left w:val="nil"/>
              <w:bottom w:val="nil"/>
              <w:right w:val="nil"/>
            </w:tcBorders>
            <w:shd w:val="clear" w:color="auto" w:fill="auto"/>
            <w:noWrap/>
          </w:tcPr>
          <w:p w:rsidR="00A53D7D" w:rsidRPr="00774631" w:rsidRDefault="00A53D7D" w:rsidP="005140B4">
            <w:pPr>
              <w:pStyle w:val="OGTableofFigures"/>
            </w:pPr>
          </w:p>
        </w:tc>
        <w:tc>
          <w:tcPr>
            <w:tcW w:w="910" w:type="dxa"/>
            <w:tcBorders>
              <w:top w:val="single" w:sz="4" w:space="0" w:color="auto"/>
              <w:left w:val="nil"/>
              <w:bottom w:val="nil"/>
              <w:right w:val="nil"/>
            </w:tcBorders>
            <w:shd w:val="clear" w:color="auto" w:fill="auto"/>
            <w:noWrap/>
          </w:tcPr>
          <w:p w:rsidR="00A53D7D" w:rsidRPr="00774631" w:rsidRDefault="00A53D7D" w:rsidP="005140B4">
            <w:pPr>
              <w:pStyle w:val="OGTableofFigures"/>
            </w:pPr>
          </w:p>
        </w:tc>
        <w:tc>
          <w:tcPr>
            <w:tcW w:w="896" w:type="dxa"/>
            <w:tcBorders>
              <w:top w:val="single" w:sz="4" w:space="0" w:color="auto"/>
              <w:left w:val="nil"/>
              <w:bottom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144"/>
        </w:trPr>
        <w:tc>
          <w:tcPr>
            <w:tcW w:w="3150" w:type="dxa"/>
            <w:tcBorders>
              <w:top w:val="nil"/>
              <w:left w:val="nil"/>
              <w:bottom w:val="nil"/>
              <w:right w:val="nil"/>
            </w:tcBorders>
            <w:shd w:val="clear" w:color="auto" w:fill="auto"/>
          </w:tcPr>
          <w:p w:rsidR="00A53D7D" w:rsidRPr="00774631" w:rsidRDefault="00A53D7D" w:rsidP="005140B4">
            <w:pPr>
              <w:pStyle w:val="OGTabText"/>
            </w:pPr>
            <w:r w:rsidRPr="00774631">
              <w:t>Attendance at Cultural Diversity Week flagship event, Viva Victoria</w:t>
            </w:r>
          </w:p>
        </w:tc>
        <w:tc>
          <w:tcPr>
            <w:tcW w:w="924" w:type="dxa"/>
            <w:tcBorders>
              <w:top w:val="nil"/>
              <w:left w:val="nil"/>
              <w:bottom w:val="nil"/>
              <w:right w:val="nil"/>
            </w:tcBorders>
            <w:shd w:val="clear" w:color="auto" w:fill="auto"/>
            <w:noWrap/>
          </w:tcPr>
          <w:p w:rsidR="00A53D7D" w:rsidRPr="00774631" w:rsidRDefault="00A53D7D" w:rsidP="005140B4">
            <w:pPr>
              <w:pStyle w:val="OGUoM"/>
            </w:pPr>
            <w:r w:rsidRPr="00774631">
              <w:t>number</w:t>
            </w:r>
          </w:p>
        </w:tc>
        <w:tc>
          <w:tcPr>
            <w:tcW w:w="896" w:type="dxa"/>
            <w:tcBorders>
              <w:top w:val="nil"/>
              <w:left w:val="nil"/>
              <w:bottom w:val="nil"/>
              <w:right w:val="nil"/>
            </w:tcBorders>
            <w:shd w:val="clear" w:color="auto" w:fill="D9D9D9"/>
            <w:noWrap/>
          </w:tcPr>
          <w:p w:rsidR="00A53D7D" w:rsidRPr="00774631" w:rsidRDefault="00A53D7D" w:rsidP="005140B4">
            <w:pPr>
              <w:pStyle w:val="OGTableofFigures"/>
            </w:pPr>
            <w:r w:rsidRPr="00774631">
              <w:t>45</w:t>
            </w:r>
            <w:r>
              <w:t> </w:t>
            </w:r>
            <w:r w:rsidRPr="00774631">
              <w:t>000</w:t>
            </w:r>
          </w:p>
        </w:tc>
        <w:tc>
          <w:tcPr>
            <w:tcW w:w="993" w:type="dxa"/>
            <w:tcBorders>
              <w:top w:val="nil"/>
              <w:left w:val="nil"/>
              <w:bottom w:val="nil"/>
              <w:right w:val="nil"/>
            </w:tcBorders>
            <w:shd w:val="clear" w:color="auto" w:fill="auto"/>
            <w:noWrap/>
          </w:tcPr>
          <w:p w:rsidR="00A53D7D" w:rsidRPr="00774631" w:rsidRDefault="00A53D7D" w:rsidP="005140B4">
            <w:pPr>
              <w:pStyle w:val="OGTableofFigures"/>
            </w:pPr>
            <w:r>
              <w:t>43 </w:t>
            </w:r>
            <w:r w:rsidRPr="00774631">
              <w:t>802</w:t>
            </w:r>
          </w:p>
        </w:tc>
        <w:tc>
          <w:tcPr>
            <w:tcW w:w="910" w:type="dxa"/>
            <w:tcBorders>
              <w:top w:val="nil"/>
              <w:left w:val="nil"/>
              <w:bottom w:val="nil"/>
              <w:right w:val="nil"/>
            </w:tcBorders>
            <w:shd w:val="clear" w:color="auto" w:fill="auto"/>
            <w:noWrap/>
          </w:tcPr>
          <w:p w:rsidR="00A53D7D" w:rsidRPr="00774631" w:rsidRDefault="00A53D7D" w:rsidP="005140B4">
            <w:pPr>
              <w:pStyle w:val="OGTableofFigures"/>
            </w:pPr>
            <w:r w:rsidRPr="00774631">
              <w:t>45</w:t>
            </w:r>
            <w:r>
              <w:t> </w:t>
            </w:r>
            <w:r w:rsidRPr="00774631">
              <w:t>000</w:t>
            </w:r>
          </w:p>
        </w:tc>
        <w:tc>
          <w:tcPr>
            <w:tcW w:w="896" w:type="dxa"/>
            <w:tcBorders>
              <w:top w:val="nil"/>
              <w:left w:val="nil"/>
              <w:bottom w:val="nil"/>
              <w:right w:val="nil"/>
            </w:tcBorders>
            <w:shd w:val="clear" w:color="auto" w:fill="auto"/>
            <w:noWrap/>
          </w:tcPr>
          <w:p w:rsidR="00A53D7D" w:rsidRPr="00774631" w:rsidRDefault="00A53D7D" w:rsidP="005140B4">
            <w:pPr>
              <w:pStyle w:val="OGTableofFigures"/>
            </w:pPr>
            <w:r w:rsidRPr="00774631">
              <w:t>45</w:t>
            </w:r>
            <w:r>
              <w:t> </w:t>
            </w:r>
            <w:r w:rsidRPr="00774631">
              <w:t>000</w:t>
            </w:r>
          </w:p>
        </w:tc>
      </w:tr>
      <w:tr w:rsidR="00A53D7D" w:rsidRPr="00774631" w:rsidTr="005140B4">
        <w:trPr>
          <w:cantSplit/>
          <w:trHeight w:val="144"/>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Cultural precinct enhancement grants paid in line with funding agreement milestones</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100</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r>
      <w:tr w:rsidR="00A53D7D" w:rsidRPr="00774631" w:rsidTr="005140B4">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Local refugee communities and refugee support partner organisations developing local plans</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per cent</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100</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100</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100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100</w:t>
            </w:r>
          </w:p>
        </w:tc>
      </w:tr>
      <w:tr w:rsidR="00A53D7D" w:rsidRPr="00774631" w:rsidTr="005140B4">
        <w:trPr>
          <w:cantSplit/>
          <w:trHeight w:val="144"/>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Victorian community grants paid in line with of funding agreement milestones</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100</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r>
      <w:tr w:rsidR="00A53D7D" w:rsidRPr="00774631" w:rsidTr="005140B4">
        <w:trPr>
          <w:cantSplit/>
          <w:trHeight w:val="144"/>
        </w:trPr>
        <w:tc>
          <w:tcPr>
            <w:tcW w:w="3150" w:type="dxa"/>
            <w:tcBorders>
              <w:top w:val="single" w:sz="6" w:space="0" w:color="auto"/>
              <w:left w:val="nil"/>
              <w:bottom w:val="nil"/>
              <w:right w:val="nil"/>
            </w:tcBorders>
            <w:shd w:val="clear" w:color="auto" w:fill="auto"/>
            <w:hideMark/>
          </w:tcPr>
          <w:p w:rsidR="00A53D7D" w:rsidRPr="00774631" w:rsidRDefault="00A53D7D" w:rsidP="005140B4">
            <w:pPr>
              <w:pStyle w:val="OGTabHead"/>
            </w:pPr>
            <w:r w:rsidRPr="00774631">
              <w:t>Timeliness</w:t>
            </w:r>
          </w:p>
        </w:tc>
        <w:tc>
          <w:tcPr>
            <w:tcW w:w="924" w:type="dxa"/>
            <w:tcBorders>
              <w:top w:val="single" w:sz="6" w:space="0" w:color="auto"/>
              <w:left w:val="nil"/>
              <w:bottom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bottom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144"/>
        </w:trPr>
        <w:tc>
          <w:tcPr>
            <w:tcW w:w="3150" w:type="dxa"/>
            <w:tcBorders>
              <w:top w:val="nil"/>
              <w:left w:val="nil"/>
              <w:bottom w:val="single" w:sz="6" w:space="0" w:color="auto"/>
              <w:right w:val="nil"/>
            </w:tcBorders>
            <w:shd w:val="clear" w:color="auto" w:fill="auto"/>
          </w:tcPr>
          <w:p w:rsidR="00A53D7D" w:rsidRPr="00774631" w:rsidRDefault="00A53D7D" w:rsidP="005140B4">
            <w:pPr>
              <w:pStyle w:val="OGTabText"/>
            </w:pPr>
            <w:r w:rsidRPr="00774631">
              <w:t>Event briefs completed within the required timeframe</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nil"/>
              <w:left w:val="nil"/>
              <w:bottom w:val="single" w:sz="6" w:space="0" w:color="auto"/>
              <w:right w:val="nil"/>
            </w:tcBorders>
            <w:shd w:val="clear" w:color="auto" w:fill="D9D9D9"/>
            <w:noWrap/>
          </w:tcPr>
          <w:p w:rsidR="00A53D7D" w:rsidRPr="00774631" w:rsidRDefault="00A53D7D" w:rsidP="005140B4">
            <w:pPr>
              <w:pStyle w:val="OGTableofFigures"/>
            </w:pPr>
            <w:r w:rsidRPr="00774631">
              <w:t>100</w:t>
            </w:r>
          </w:p>
        </w:tc>
        <w:tc>
          <w:tcPr>
            <w:tcW w:w="993"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910"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896"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r>
      <w:tr w:rsidR="00A53D7D" w:rsidRPr="00774631" w:rsidTr="005140B4">
        <w:trPr>
          <w:cantSplit/>
          <w:trHeight w:val="144"/>
        </w:trPr>
        <w:tc>
          <w:tcPr>
            <w:tcW w:w="3150" w:type="dxa"/>
            <w:tcBorders>
              <w:top w:val="single" w:sz="6" w:space="0" w:color="auto"/>
              <w:left w:val="nil"/>
              <w:bottom w:val="nil"/>
              <w:right w:val="nil"/>
            </w:tcBorders>
            <w:shd w:val="clear" w:color="auto" w:fill="auto"/>
            <w:hideMark/>
          </w:tcPr>
          <w:p w:rsidR="00A53D7D" w:rsidRPr="00774631" w:rsidRDefault="00A53D7D" w:rsidP="005140B4">
            <w:pPr>
              <w:pStyle w:val="OGTabHead"/>
            </w:pPr>
            <w:r w:rsidRPr="00774631">
              <w:t>Cost</w:t>
            </w:r>
          </w:p>
        </w:tc>
        <w:tc>
          <w:tcPr>
            <w:tcW w:w="924" w:type="dxa"/>
            <w:tcBorders>
              <w:top w:val="single" w:sz="6" w:space="0" w:color="auto"/>
              <w:left w:val="nil"/>
              <w:bottom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bottom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144"/>
        </w:trPr>
        <w:tc>
          <w:tcPr>
            <w:tcW w:w="3150" w:type="dxa"/>
            <w:tcBorders>
              <w:top w:val="nil"/>
              <w:left w:val="nil"/>
              <w:right w:val="nil"/>
            </w:tcBorders>
            <w:shd w:val="clear" w:color="auto" w:fill="auto"/>
          </w:tcPr>
          <w:p w:rsidR="00A53D7D" w:rsidRPr="00774631" w:rsidRDefault="00A53D7D" w:rsidP="005140B4">
            <w:pPr>
              <w:pStyle w:val="OGTabText"/>
            </w:pPr>
            <w:r w:rsidRPr="00774631">
              <w:t>Total output cost</w:t>
            </w:r>
          </w:p>
        </w:tc>
        <w:tc>
          <w:tcPr>
            <w:tcW w:w="924" w:type="dxa"/>
            <w:tcBorders>
              <w:top w:val="nil"/>
              <w:left w:val="nil"/>
              <w:right w:val="nil"/>
            </w:tcBorders>
            <w:shd w:val="clear" w:color="auto" w:fill="auto"/>
            <w:noWrap/>
          </w:tcPr>
          <w:p w:rsidR="00A53D7D" w:rsidRPr="00774631" w:rsidRDefault="00A53D7D" w:rsidP="005140B4">
            <w:pPr>
              <w:pStyle w:val="OGUoM"/>
            </w:pPr>
            <w:r w:rsidRPr="00774631">
              <w:t>$ million</w:t>
            </w:r>
          </w:p>
        </w:tc>
        <w:tc>
          <w:tcPr>
            <w:tcW w:w="896" w:type="dxa"/>
            <w:tcBorders>
              <w:top w:val="nil"/>
              <w:left w:val="nil"/>
              <w:right w:val="nil"/>
            </w:tcBorders>
            <w:shd w:val="clear" w:color="auto" w:fill="D9D9D9"/>
            <w:noWrap/>
          </w:tcPr>
          <w:p w:rsidR="00A53D7D" w:rsidRPr="00774631" w:rsidRDefault="00A53D7D" w:rsidP="005140B4">
            <w:pPr>
              <w:pStyle w:val="OGTableofFigures"/>
              <w:rPr>
                <w:highlight w:val="yellow"/>
              </w:rPr>
            </w:pPr>
            <w:r w:rsidRPr="00774631">
              <w:t>24.4</w:t>
            </w:r>
          </w:p>
        </w:tc>
        <w:tc>
          <w:tcPr>
            <w:tcW w:w="993" w:type="dxa"/>
            <w:tcBorders>
              <w:top w:val="nil"/>
              <w:left w:val="nil"/>
              <w:right w:val="nil"/>
            </w:tcBorders>
            <w:shd w:val="clear" w:color="auto" w:fill="auto"/>
            <w:noWrap/>
          </w:tcPr>
          <w:p w:rsidR="00A53D7D" w:rsidRPr="00774631" w:rsidRDefault="00A53D7D" w:rsidP="005140B4">
            <w:pPr>
              <w:pStyle w:val="OGTableofFigures"/>
              <w:rPr>
                <w:highlight w:val="yellow"/>
              </w:rPr>
            </w:pPr>
            <w:r w:rsidRPr="00774631">
              <w:t>22.0</w:t>
            </w:r>
          </w:p>
        </w:tc>
        <w:tc>
          <w:tcPr>
            <w:tcW w:w="910" w:type="dxa"/>
            <w:tcBorders>
              <w:top w:val="nil"/>
              <w:left w:val="nil"/>
              <w:right w:val="nil"/>
            </w:tcBorders>
            <w:shd w:val="clear" w:color="auto" w:fill="auto"/>
            <w:noWrap/>
          </w:tcPr>
          <w:p w:rsidR="00A53D7D" w:rsidRPr="00774631" w:rsidRDefault="00A53D7D" w:rsidP="005140B4">
            <w:pPr>
              <w:pStyle w:val="OGTableofFigures"/>
            </w:pPr>
            <w:r w:rsidRPr="00774631">
              <w:t>25.9</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18.04</w:t>
            </w:r>
          </w:p>
        </w:tc>
      </w:tr>
      <w:tr w:rsidR="00A53D7D" w:rsidRPr="00774631" w:rsidTr="005140B4">
        <w:trPr>
          <w:cantSplit/>
          <w:trHeight w:val="144"/>
        </w:trPr>
        <w:tc>
          <w:tcPr>
            <w:tcW w:w="7769" w:type="dxa"/>
            <w:gridSpan w:val="6"/>
            <w:tcBorders>
              <w:left w:val="nil"/>
              <w:bottom w:val="single" w:sz="4" w:space="0" w:color="auto"/>
              <w:right w:val="nil"/>
            </w:tcBorders>
            <w:shd w:val="clear" w:color="auto" w:fill="auto"/>
          </w:tcPr>
          <w:p w:rsidR="00A53D7D" w:rsidRPr="00774631" w:rsidRDefault="00A53D7D" w:rsidP="005140B4">
            <w:pPr>
              <w:pStyle w:val="OGNotes"/>
              <w:spacing w:after="0"/>
              <w:ind w:left="357" w:right="113"/>
            </w:pPr>
            <w:r w:rsidRPr="00774631">
              <w:t>The lower 2014</w:t>
            </w:r>
            <w:r>
              <w:noBreakHyphen/>
            </w:r>
            <w:r w:rsidRPr="00774631">
              <w:t>15 target output cost is due to a reduction in carryover in comparison to the previous year.</w:t>
            </w:r>
          </w:p>
          <w:p w:rsidR="00A53D7D" w:rsidRPr="00774631" w:rsidRDefault="00A53D7D" w:rsidP="005140B4">
            <w:pPr>
              <w:pStyle w:val="OGNotes"/>
            </w:pPr>
            <w:r w:rsidRPr="00774631">
              <w:t>The 2013</w:t>
            </w:r>
            <w:r>
              <w:noBreakHyphen/>
            </w:r>
            <w:r w:rsidRPr="00774631">
              <w:t>14 expected outcome is lower than the 2013</w:t>
            </w:r>
            <w:r>
              <w:noBreakHyphen/>
            </w:r>
            <w:r w:rsidRPr="00774631">
              <w:t>14 Target as a result of funds carried over to 2014</w:t>
            </w:r>
            <w:r>
              <w:noBreakHyphen/>
            </w:r>
            <w:r w:rsidRPr="00774631">
              <w:t>15.</w:t>
            </w:r>
          </w:p>
        </w:tc>
      </w:tr>
      <w:tr w:rsidR="00A53D7D" w:rsidRPr="00774631" w:rsidTr="005140B4">
        <w:trPr>
          <w:cantSplit/>
          <w:trHeight w:val="144"/>
        </w:trPr>
        <w:tc>
          <w:tcPr>
            <w:tcW w:w="7769" w:type="dxa"/>
            <w:gridSpan w:val="6"/>
            <w:tcBorders>
              <w:top w:val="single" w:sz="6" w:space="0" w:color="auto"/>
              <w:left w:val="nil"/>
              <w:right w:val="nil"/>
            </w:tcBorders>
            <w:shd w:val="clear" w:color="auto" w:fill="auto"/>
          </w:tcPr>
          <w:p w:rsidR="00A53D7D" w:rsidRPr="00774631" w:rsidRDefault="00A53D7D" w:rsidP="005140B4">
            <w:pPr>
              <w:pStyle w:val="OGHeading2"/>
            </w:pPr>
            <w:r w:rsidRPr="00774631">
              <w:t>Aboriginal Affairs</w:t>
            </w:r>
            <w:r>
              <w:fldChar w:fldCharType="begin"/>
            </w:r>
            <w:r>
              <w:instrText xml:space="preserve"> XE "</w:instrText>
            </w:r>
            <w:r w:rsidRPr="00EE1C3F">
              <w:instrText>Aboriginal Affairs</w:instrText>
            </w:r>
            <w:r>
              <w:instrText xml:space="preserve">" </w:instrText>
            </w:r>
            <w:r>
              <w:fldChar w:fldCharType="end"/>
            </w:r>
          </w:p>
        </w:tc>
      </w:tr>
      <w:tr w:rsidR="00A53D7D" w:rsidRPr="00774631" w:rsidTr="005140B4">
        <w:trPr>
          <w:cantSplit/>
          <w:trHeight w:val="144"/>
        </w:trPr>
        <w:tc>
          <w:tcPr>
            <w:tcW w:w="7769" w:type="dxa"/>
            <w:gridSpan w:val="6"/>
            <w:tcBorders>
              <w:top w:val="nil"/>
              <w:left w:val="nil"/>
              <w:bottom w:val="single" w:sz="6" w:space="0" w:color="auto"/>
              <w:right w:val="nil"/>
            </w:tcBorders>
            <w:shd w:val="clear" w:color="auto" w:fill="auto"/>
          </w:tcPr>
          <w:p w:rsidR="00A53D7D" w:rsidRPr="00774631" w:rsidRDefault="00A53D7D" w:rsidP="005140B4">
            <w:pPr>
              <w:pStyle w:val="OGText"/>
            </w:pPr>
            <w:r w:rsidRPr="00774631">
              <w:t>Work in partnership with Aboriginal Victorians, other tiers of government and the private and community sectors to: coordinate the delivery of whole of government priorities; protect and manage Aboriginal cultural heritage; strengthen Aboriginal community organisations; and build community engagement to improve the long</w:t>
            </w:r>
            <w:r>
              <w:noBreakHyphen/>
            </w:r>
            <w:r w:rsidRPr="00774631">
              <w:t>term social and economic outcomes for Aboriginal Victorians.</w:t>
            </w:r>
          </w:p>
        </w:tc>
      </w:tr>
      <w:tr w:rsidR="00A53D7D" w:rsidRPr="00774631" w:rsidTr="005140B4">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Head"/>
            </w:pPr>
            <w:r w:rsidRPr="00774631">
              <w:t>Quantity</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144"/>
        </w:trPr>
        <w:tc>
          <w:tcPr>
            <w:tcW w:w="3150" w:type="dxa"/>
            <w:tcBorders>
              <w:top w:val="nil"/>
              <w:left w:val="nil"/>
              <w:bottom w:val="single" w:sz="4" w:space="0" w:color="auto"/>
              <w:right w:val="nil"/>
            </w:tcBorders>
            <w:shd w:val="clear" w:color="auto" w:fill="auto"/>
          </w:tcPr>
          <w:p w:rsidR="00A53D7D" w:rsidRPr="00774631" w:rsidRDefault="00A53D7D" w:rsidP="005140B4">
            <w:pPr>
              <w:pStyle w:val="OGTabText"/>
            </w:pPr>
            <w:r w:rsidRPr="00774631">
              <w:t>Award Ceremonies held: Victorian Indigenous Honour Roll</w:t>
            </w:r>
          </w:p>
        </w:tc>
        <w:tc>
          <w:tcPr>
            <w:tcW w:w="924" w:type="dxa"/>
            <w:tcBorders>
              <w:top w:val="nil"/>
              <w:left w:val="nil"/>
              <w:bottom w:val="single" w:sz="4" w:space="0" w:color="auto"/>
              <w:right w:val="nil"/>
            </w:tcBorders>
            <w:shd w:val="clear" w:color="auto" w:fill="auto"/>
            <w:noWrap/>
          </w:tcPr>
          <w:p w:rsidR="00A53D7D" w:rsidRPr="00774631" w:rsidRDefault="00A53D7D" w:rsidP="005140B4">
            <w:pPr>
              <w:pStyle w:val="OGUoM"/>
            </w:pPr>
            <w:r w:rsidRPr="00774631">
              <w:t>number</w:t>
            </w:r>
          </w:p>
        </w:tc>
        <w:tc>
          <w:tcPr>
            <w:tcW w:w="896" w:type="dxa"/>
            <w:tcBorders>
              <w:top w:val="nil"/>
              <w:left w:val="nil"/>
              <w:bottom w:val="single" w:sz="4" w:space="0" w:color="auto"/>
              <w:right w:val="nil"/>
            </w:tcBorders>
            <w:shd w:val="clear" w:color="auto" w:fill="D9D9D9"/>
            <w:noWrap/>
          </w:tcPr>
          <w:p w:rsidR="00A53D7D" w:rsidRPr="00774631" w:rsidRDefault="00A53D7D" w:rsidP="005140B4">
            <w:pPr>
              <w:pStyle w:val="OGTableofFigures"/>
            </w:pPr>
            <w:r w:rsidRPr="00774631">
              <w:t>1</w:t>
            </w:r>
          </w:p>
        </w:tc>
        <w:tc>
          <w:tcPr>
            <w:tcW w:w="993" w:type="dxa"/>
            <w:tcBorders>
              <w:top w:val="nil"/>
              <w:left w:val="nil"/>
              <w:bottom w:val="single" w:sz="4" w:space="0" w:color="auto"/>
              <w:right w:val="nil"/>
            </w:tcBorders>
            <w:shd w:val="clear" w:color="auto" w:fill="auto"/>
            <w:noWrap/>
          </w:tcPr>
          <w:p w:rsidR="00A53D7D" w:rsidRPr="00774631" w:rsidRDefault="00A53D7D" w:rsidP="005140B4">
            <w:pPr>
              <w:pStyle w:val="OGTableofFigures"/>
            </w:pPr>
            <w:r w:rsidRPr="00774631">
              <w:t>1</w:t>
            </w:r>
          </w:p>
        </w:tc>
        <w:tc>
          <w:tcPr>
            <w:tcW w:w="910" w:type="dxa"/>
            <w:tcBorders>
              <w:top w:val="nil"/>
              <w:left w:val="nil"/>
              <w:bottom w:val="single" w:sz="4" w:space="0" w:color="auto"/>
              <w:right w:val="nil"/>
            </w:tcBorders>
            <w:shd w:val="clear" w:color="auto" w:fill="auto"/>
            <w:noWrap/>
          </w:tcPr>
          <w:p w:rsidR="00A53D7D" w:rsidRPr="00774631" w:rsidRDefault="00A53D7D" w:rsidP="005140B4">
            <w:pPr>
              <w:pStyle w:val="OGTableofFigures"/>
            </w:pPr>
            <w:r w:rsidRPr="00774631">
              <w:t>1</w:t>
            </w:r>
          </w:p>
        </w:tc>
        <w:tc>
          <w:tcPr>
            <w:tcW w:w="896" w:type="dxa"/>
            <w:tcBorders>
              <w:top w:val="nil"/>
              <w:left w:val="nil"/>
              <w:bottom w:val="single" w:sz="4" w:space="0" w:color="auto"/>
              <w:right w:val="nil"/>
            </w:tcBorders>
            <w:shd w:val="clear" w:color="auto" w:fill="auto"/>
            <w:noWrap/>
          </w:tcPr>
          <w:p w:rsidR="00A53D7D" w:rsidRPr="00774631" w:rsidRDefault="00A53D7D" w:rsidP="005140B4">
            <w:pPr>
              <w:pStyle w:val="OGTableofFigures"/>
            </w:pPr>
            <w:r w:rsidRPr="00774631">
              <w:t>1</w:t>
            </w:r>
          </w:p>
        </w:tc>
      </w:tr>
      <w:tr w:rsidR="00A53D7D" w:rsidRPr="00774631" w:rsidTr="005140B4">
        <w:trPr>
          <w:cantSplit/>
          <w:trHeight w:val="144"/>
        </w:trPr>
        <w:tc>
          <w:tcPr>
            <w:tcW w:w="3150" w:type="dxa"/>
            <w:tcBorders>
              <w:top w:val="single" w:sz="4" w:space="0" w:color="auto"/>
              <w:left w:val="nil"/>
              <w:right w:val="nil"/>
            </w:tcBorders>
            <w:shd w:val="clear" w:color="auto" w:fill="auto"/>
          </w:tcPr>
          <w:p w:rsidR="00A53D7D" w:rsidRPr="00774631" w:rsidRDefault="00A53D7D" w:rsidP="005140B4">
            <w:pPr>
              <w:pStyle w:val="OGTabText"/>
              <w:keepNext/>
            </w:pPr>
            <w:r w:rsidRPr="00774631">
              <w:t>Capacity building activities undertaken with Traditional Owner groups: cultural heritage management</w:t>
            </w:r>
          </w:p>
        </w:tc>
        <w:tc>
          <w:tcPr>
            <w:tcW w:w="924" w:type="dxa"/>
            <w:tcBorders>
              <w:top w:val="single" w:sz="4" w:space="0" w:color="auto"/>
              <w:left w:val="nil"/>
              <w:right w:val="nil"/>
            </w:tcBorders>
            <w:shd w:val="clear" w:color="auto" w:fill="auto"/>
            <w:noWrap/>
          </w:tcPr>
          <w:p w:rsidR="00A53D7D" w:rsidRPr="00774631" w:rsidRDefault="00A53D7D" w:rsidP="005140B4">
            <w:pPr>
              <w:pStyle w:val="OGUoM"/>
              <w:keepNext/>
            </w:pPr>
            <w:r w:rsidRPr="00774631">
              <w:t>number</w:t>
            </w:r>
          </w:p>
        </w:tc>
        <w:tc>
          <w:tcPr>
            <w:tcW w:w="896" w:type="dxa"/>
            <w:tcBorders>
              <w:top w:val="single" w:sz="4" w:space="0" w:color="auto"/>
              <w:left w:val="nil"/>
              <w:right w:val="nil"/>
            </w:tcBorders>
            <w:shd w:val="clear" w:color="auto" w:fill="D9D9D9"/>
            <w:noWrap/>
          </w:tcPr>
          <w:p w:rsidR="00A53D7D" w:rsidRPr="00774631" w:rsidRDefault="00A53D7D" w:rsidP="005140B4">
            <w:pPr>
              <w:pStyle w:val="OGTableofFigures"/>
              <w:keepNext/>
            </w:pPr>
            <w:r w:rsidRPr="00774631">
              <w:t>16</w:t>
            </w:r>
          </w:p>
        </w:tc>
        <w:tc>
          <w:tcPr>
            <w:tcW w:w="993" w:type="dxa"/>
            <w:tcBorders>
              <w:top w:val="single" w:sz="4" w:space="0" w:color="auto"/>
              <w:left w:val="nil"/>
              <w:right w:val="nil"/>
            </w:tcBorders>
            <w:shd w:val="clear" w:color="auto" w:fill="auto"/>
            <w:noWrap/>
          </w:tcPr>
          <w:p w:rsidR="00A53D7D" w:rsidRPr="00774631" w:rsidRDefault="00A53D7D" w:rsidP="005140B4">
            <w:pPr>
              <w:pStyle w:val="OGTableofFigures"/>
              <w:keepNext/>
            </w:pPr>
            <w:r w:rsidRPr="00774631">
              <w:t>16</w:t>
            </w:r>
          </w:p>
        </w:tc>
        <w:tc>
          <w:tcPr>
            <w:tcW w:w="910" w:type="dxa"/>
            <w:tcBorders>
              <w:top w:val="single" w:sz="4" w:space="0" w:color="auto"/>
              <w:left w:val="nil"/>
              <w:right w:val="nil"/>
            </w:tcBorders>
            <w:shd w:val="clear" w:color="auto" w:fill="auto"/>
            <w:noWrap/>
          </w:tcPr>
          <w:p w:rsidR="00A53D7D" w:rsidRPr="00774631" w:rsidRDefault="00A53D7D" w:rsidP="005140B4">
            <w:pPr>
              <w:pStyle w:val="OGTableofFigures"/>
              <w:keepNext/>
            </w:pPr>
            <w:r w:rsidRPr="00774631">
              <w:t>16</w:t>
            </w:r>
          </w:p>
        </w:tc>
        <w:tc>
          <w:tcPr>
            <w:tcW w:w="896" w:type="dxa"/>
            <w:tcBorders>
              <w:top w:val="single" w:sz="4" w:space="0" w:color="auto"/>
              <w:left w:val="nil"/>
              <w:right w:val="nil"/>
            </w:tcBorders>
            <w:shd w:val="clear" w:color="auto" w:fill="auto"/>
            <w:noWrap/>
          </w:tcPr>
          <w:p w:rsidR="00A53D7D" w:rsidRPr="00774631" w:rsidRDefault="00A53D7D" w:rsidP="005140B4">
            <w:pPr>
              <w:pStyle w:val="OGTableofFigures"/>
              <w:keepNext/>
            </w:pPr>
            <w:r w:rsidRPr="00774631">
              <w:t>16</w:t>
            </w:r>
          </w:p>
        </w:tc>
      </w:tr>
      <w:tr w:rsidR="00A53D7D" w:rsidRPr="00774631" w:rsidTr="005140B4">
        <w:trPr>
          <w:cantSplit/>
          <w:trHeight w:val="144"/>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0243A6">
              <w:t>This performance renames the 2013</w:t>
            </w:r>
            <w:r>
              <w:noBreakHyphen/>
            </w:r>
            <w:r w:rsidRPr="000243A6">
              <w:t>14 measure "Capacity building activities undertaken with community groups: cultural heritage management".</w:t>
            </w:r>
          </w:p>
        </w:tc>
      </w:tr>
      <w:tr w:rsidR="00A53D7D" w:rsidRPr="00774631" w:rsidTr="005140B4">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Governance training programs implemented</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2</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5</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5</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6</w:t>
            </w:r>
          </w:p>
        </w:tc>
      </w:tr>
      <w:tr w:rsidR="00A53D7D" w:rsidRPr="00774631" w:rsidTr="005140B4">
        <w:trPr>
          <w:cantSplit/>
          <w:trHeight w:val="144"/>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The lower 2014</w:t>
            </w:r>
            <w:r>
              <w:noBreakHyphen/>
            </w:r>
            <w:r w:rsidRPr="00774631">
              <w:t xml:space="preserve">15 target reflects </w:t>
            </w:r>
            <w:r>
              <w:t xml:space="preserve">specific funding associated with Cultural Heritage Management and </w:t>
            </w:r>
            <w:r w:rsidRPr="00774631">
              <w:t>the Victorian Aboriginal Economic Strategy 2013</w:t>
            </w:r>
            <w:r>
              <w:noBreakHyphen/>
            </w:r>
            <w:r w:rsidRPr="00774631">
              <w:t>2020.</w:t>
            </w:r>
          </w:p>
        </w:tc>
      </w:tr>
      <w:tr w:rsidR="00A53D7D" w:rsidRPr="00774631" w:rsidTr="005B2F28">
        <w:trPr>
          <w:cantSplit/>
          <w:trHeight w:val="144"/>
        </w:trPr>
        <w:tc>
          <w:tcPr>
            <w:tcW w:w="3150" w:type="dxa"/>
            <w:tcBorders>
              <w:top w:val="single" w:sz="4" w:space="0" w:color="auto"/>
              <w:left w:val="nil"/>
              <w:right w:val="nil"/>
            </w:tcBorders>
            <w:shd w:val="clear" w:color="auto" w:fill="auto"/>
          </w:tcPr>
          <w:p w:rsidR="00A53D7D" w:rsidRPr="00774631" w:rsidRDefault="00A53D7D" w:rsidP="005140B4">
            <w:pPr>
              <w:pStyle w:val="OGTabText"/>
              <w:keepNext/>
            </w:pPr>
            <w:r w:rsidRPr="00774631">
              <w:t>Client service contacts for members of the Stolen Generations with Connecting Home Limited</w:t>
            </w:r>
          </w:p>
        </w:tc>
        <w:tc>
          <w:tcPr>
            <w:tcW w:w="924" w:type="dxa"/>
            <w:tcBorders>
              <w:top w:val="single" w:sz="4" w:space="0" w:color="auto"/>
              <w:left w:val="nil"/>
              <w:right w:val="nil"/>
            </w:tcBorders>
            <w:shd w:val="clear" w:color="auto" w:fill="auto"/>
            <w:noWrap/>
          </w:tcPr>
          <w:p w:rsidR="00A53D7D" w:rsidRPr="00774631" w:rsidRDefault="00A53D7D" w:rsidP="005140B4">
            <w:pPr>
              <w:pStyle w:val="OGUoM"/>
              <w:keepNext/>
            </w:pPr>
            <w:r w:rsidRPr="00774631">
              <w:t>number</w:t>
            </w:r>
          </w:p>
        </w:tc>
        <w:tc>
          <w:tcPr>
            <w:tcW w:w="896" w:type="dxa"/>
            <w:tcBorders>
              <w:top w:val="single" w:sz="4" w:space="0" w:color="auto"/>
              <w:left w:val="nil"/>
              <w:right w:val="nil"/>
            </w:tcBorders>
            <w:shd w:val="clear" w:color="auto" w:fill="D9D9D9"/>
            <w:noWrap/>
          </w:tcPr>
          <w:p w:rsidR="00A53D7D" w:rsidRPr="00774631" w:rsidRDefault="00A53D7D" w:rsidP="005140B4">
            <w:pPr>
              <w:pStyle w:val="OGTableofFigures"/>
              <w:keepNext/>
            </w:pPr>
            <w:r w:rsidRPr="00774631">
              <w:t>126</w:t>
            </w:r>
          </w:p>
        </w:tc>
        <w:tc>
          <w:tcPr>
            <w:tcW w:w="993" w:type="dxa"/>
            <w:tcBorders>
              <w:top w:val="single" w:sz="4" w:space="0" w:color="auto"/>
              <w:left w:val="nil"/>
              <w:right w:val="nil"/>
            </w:tcBorders>
            <w:shd w:val="clear" w:color="auto" w:fill="auto"/>
            <w:noWrap/>
          </w:tcPr>
          <w:p w:rsidR="00A53D7D" w:rsidRPr="00774631" w:rsidRDefault="00A53D7D" w:rsidP="005140B4">
            <w:pPr>
              <w:pStyle w:val="OGTableofFigures"/>
              <w:keepNext/>
            </w:pPr>
            <w:r w:rsidRPr="00774631">
              <w:t>120</w:t>
            </w:r>
          </w:p>
        </w:tc>
        <w:tc>
          <w:tcPr>
            <w:tcW w:w="910" w:type="dxa"/>
            <w:tcBorders>
              <w:top w:val="single" w:sz="4" w:space="0" w:color="auto"/>
              <w:left w:val="nil"/>
              <w:right w:val="nil"/>
            </w:tcBorders>
            <w:shd w:val="clear" w:color="auto" w:fill="auto"/>
            <w:noWrap/>
          </w:tcPr>
          <w:p w:rsidR="00A53D7D" w:rsidRPr="00774631" w:rsidRDefault="00A53D7D" w:rsidP="005140B4">
            <w:pPr>
              <w:pStyle w:val="OGTableofFigures"/>
              <w:keepNext/>
            </w:pPr>
            <w:r w:rsidRPr="00774631">
              <w:t>90</w:t>
            </w:r>
          </w:p>
        </w:tc>
        <w:tc>
          <w:tcPr>
            <w:tcW w:w="896" w:type="dxa"/>
            <w:tcBorders>
              <w:top w:val="single" w:sz="4" w:space="0" w:color="auto"/>
              <w:left w:val="nil"/>
              <w:right w:val="nil"/>
            </w:tcBorders>
            <w:shd w:val="clear" w:color="auto" w:fill="auto"/>
            <w:noWrap/>
          </w:tcPr>
          <w:p w:rsidR="00A53D7D" w:rsidRPr="00774631" w:rsidRDefault="00A53D7D" w:rsidP="005140B4">
            <w:pPr>
              <w:pStyle w:val="OGTableofFigures"/>
              <w:keepNext/>
            </w:pPr>
            <w:r w:rsidRPr="00774631">
              <w:t>80</w:t>
            </w:r>
          </w:p>
        </w:tc>
      </w:tr>
      <w:tr w:rsidR="00A53D7D" w:rsidRPr="00774631" w:rsidTr="005B2F28">
        <w:trPr>
          <w:cantSplit/>
          <w:trHeight w:val="144"/>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due to the nature of the service, which is seeing more clients presenting as a result of the inter</w:t>
            </w:r>
            <w:r>
              <w:noBreakHyphen/>
            </w:r>
            <w:r w:rsidRPr="00774631">
              <w:t>generational effects of removal. The 2014</w:t>
            </w:r>
            <w:r>
              <w:noBreakHyphen/>
            </w:r>
            <w:r w:rsidRPr="00774631">
              <w:t>15 target has been revised upwards to reflect this.</w:t>
            </w:r>
          </w:p>
        </w:tc>
      </w:tr>
      <w:tr w:rsidR="00A53D7D" w:rsidRPr="00774631" w:rsidTr="005B2F28">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 xml:space="preserve">Client service contacts for members of the Stolen Generations with the Victorian </w:t>
            </w:r>
            <w:proofErr w:type="spellStart"/>
            <w:r w:rsidRPr="00774631">
              <w:t>Koorie</w:t>
            </w:r>
            <w:proofErr w:type="spellEnd"/>
            <w:r w:rsidRPr="00774631">
              <w:t xml:space="preserve"> Family History Service</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Text"/>
              <w:jc w:val="right"/>
            </w:pPr>
            <w:r w:rsidRPr="00774631">
              <w:t>147</w:t>
            </w:r>
          </w:p>
        </w:tc>
        <w:tc>
          <w:tcPr>
            <w:tcW w:w="993" w:type="dxa"/>
            <w:tcBorders>
              <w:top w:val="single" w:sz="6" w:space="0" w:color="auto"/>
              <w:left w:val="nil"/>
              <w:right w:val="nil"/>
            </w:tcBorders>
            <w:shd w:val="clear" w:color="auto" w:fill="auto"/>
            <w:noWrap/>
          </w:tcPr>
          <w:p w:rsidR="00A53D7D" w:rsidRPr="00774631" w:rsidRDefault="00A53D7D" w:rsidP="005140B4">
            <w:pPr>
              <w:pStyle w:val="OGTabText"/>
              <w:jc w:val="right"/>
            </w:pPr>
            <w:r w:rsidRPr="00774631">
              <w:t>140</w:t>
            </w:r>
          </w:p>
        </w:tc>
        <w:tc>
          <w:tcPr>
            <w:tcW w:w="910" w:type="dxa"/>
            <w:tcBorders>
              <w:top w:val="single" w:sz="6" w:space="0" w:color="auto"/>
              <w:left w:val="nil"/>
              <w:right w:val="nil"/>
            </w:tcBorders>
            <w:shd w:val="clear" w:color="auto" w:fill="auto"/>
            <w:noWrap/>
          </w:tcPr>
          <w:p w:rsidR="00A53D7D" w:rsidRPr="00774631" w:rsidRDefault="00A53D7D" w:rsidP="005140B4">
            <w:pPr>
              <w:pStyle w:val="OGTabText"/>
              <w:jc w:val="right"/>
            </w:pPr>
            <w:r w:rsidRPr="00774631">
              <w:t>126</w:t>
            </w:r>
          </w:p>
        </w:tc>
        <w:tc>
          <w:tcPr>
            <w:tcW w:w="896" w:type="dxa"/>
            <w:tcBorders>
              <w:top w:val="single" w:sz="6" w:space="0" w:color="auto"/>
              <w:left w:val="nil"/>
              <w:right w:val="nil"/>
            </w:tcBorders>
            <w:shd w:val="clear" w:color="auto" w:fill="auto"/>
            <w:noWrap/>
          </w:tcPr>
          <w:p w:rsidR="00A53D7D" w:rsidRPr="00774631" w:rsidRDefault="00A53D7D" w:rsidP="005140B4">
            <w:pPr>
              <w:pStyle w:val="OGTabText"/>
              <w:jc w:val="right"/>
            </w:pPr>
            <w:r w:rsidRPr="00774631">
              <w:t>nm</w:t>
            </w:r>
          </w:p>
        </w:tc>
      </w:tr>
      <w:tr w:rsidR="00A53D7D" w:rsidRPr="00774631" w:rsidTr="005B2F28">
        <w:trPr>
          <w:cantSplit/>
          <w:trHeight w:val="144"/>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due to the nature of the service, which is seeing more clients presenting as a result of the inter</w:t>
            </w:r>
            <w:r>
              <w:noBreakHyphen/>
            </w:r>
            <w:r w:rsidRPr="00774631">
              <w:t>generational effects of removal. The 2014</w:t>
            </w:r>
            <w:r>
              <w:noBreakHyphen/>
            </w:r>
            <w:r w:rsidRPr="00774631">
              <w:t>15 target has been revised upwards to reflect this.</w:t>
            </w:r>
          </w:p>
        </w:tc>
      </w:tr>
      <w:tr w:rsidR="00A53D7D" w:rsidRPr="00774631" w:rsidTr="005B2F28">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Participants who undertake governance training</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40</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85</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85</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96</w:t>
            </w:r>
          </w:p>
        </w:tc>
      </w:tr>
      <w:tr w:rsidR="00A53D7D" w:rsidRPr="00774631" w:rsidTr="005B2F28">
        <w:trPr>
          <w:cantSplit/>
          <w:trHeight w:val="144"/>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The lower 2014</w:t>
            </w:r>
            <w:r>
              <w:noBreakHyphen/>
              <w:t>15 target reflects specific funding</w:t>
            </w:r>
            <w:r w:rsidRPr="00774631">
              <w:t xml:space="preserve"> </w:t>
            </w:r>
            <w:r>
              <w:t xml:space="preserve">associated with Cultural Heritage Management and </w:t>
            </w:r>
            <w:r w:rsidRPr="00774631">
              <w:t>the Victorian Aboriginal Economic Strategy 2013</w:t>
            </w:r>
            <w:r>
              <w:noBreakHyphen/>
              <w:t>2020</w:t>
            </w:r>
            <w:r w:rsidRPr="00774631">
              <w:t>.</w:t>
            </w:r>
          </w:p>
        </w:tc>
      </w:tr>
      <w:tr w:rsidR="00A53D7D" w:rsidRPr="00774631" w:rsidTr="005B2F28">
        <w:trPr>
          <w:cantSplit/>
          <w:trHeight w:val="144"/>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Registered Aboriginal Parties funded to build their effectiveness in performing their cultural heritage management responsibilities</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896"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8</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8</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t>8</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nm</w:t>
            </w:r>
          </w:p>
        </w:tc>
      </w:tr>
      <w:tr w:rsidR="00A53D7D" w:rsidRPr="00774631" w:rsidTr="005B2F28">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Text"/>
            </w:pPr>
            <w:r>
              <w:t>Number of places available in the Certificate IV in Aboriginal Cultural Heritage Management</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r>
              <w:t>23</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nm</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nm</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nm</w:t>
            </w:r>
          </w:p>
        </w:tc>
      </w:tr>
      <w:tr w:rsidR="00A53D7D" w:rsidRPr="00774631" w:rsidTr="005B2F28">
        <w:trPr>
          <w:cantSplit/>
          <w:trHeight w:val="144"/>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New performance measure for 2014</w:t>
            </w:r>
            <w:r>
              <w:noBreakHyphen/>
            </w:r>
            <w:r w:rsidRPr="00774631">
              <w:t xml:space="preserve">15 to reflect funding allocated through the </w:t>
            </w:r>
            <w:r w:rsidRPr="00C0361D">
              <w:rPr>
                <w:i w:val="0"/>
              </w:rPr>
              <w:t>2014</w:t>
            </w:r>
            <w:r w:rsidRPr="00C0361D">
              <w:rPr>
                <w:i w:val="0"/>
              </w:rPr>
              <w:noBreakHyphen/>
              <w:t xml:space="preserve">15 State Budget </w:t>
            </w:r>
            <w:r w:rsidRPr="00774631">
              <w:t>for the Victorian Aboriginal Cultural Heritage Strategy</w:t>
            </w:r>
            <w:r>
              <w:t>.</w:t>
            </w:r>
          </w:p>
        </w:tc>
      </w:tr>
      <w:tr w:rsidR="00A53D7D" w:rsidRPr="00774631" w:rsidTr="005B2F28">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Total number of Industry Agreements and Landmark Projects facilitated</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3</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nm</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nm</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nm</w:t>
            </w:r>
          </w:p>
        </w:tc>
      </w:tr>
      <w:tr w:rsidR="00A53D7D" w:rsidRPr="00774631" w:rsidTr="005B2F28">
        <w:trPr>
          <w:cantSplit/>
          <w:trHeight w:val="144"/>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New performance measure for 2014</w:t>
            </w:r>
            <w:r>
              <w:noBreakHyphen/>
            </w:r>
            <w:r w:rsidRPr="00774631">
              <w:t xml:space="preserve">15 to reflect funding allocated through the </w:t>
            </w:r>
            <w:r w:rsidRPr="00C0361D">
              <w:rPr>
                <w:i w:val="0"/>
              </w:rPr>
              <w:t>2014</w:t>
            </w:r>
            <w:r w:rsidRPr="00C0361D">
              <w:rPr>
                <w:i w:val="0"/>
              </w:rPr>
              <w:noBreakHyphen/>
              <w:t>15 State Budget</w:t>
            </w:r>
            <w:r w:rsidRPr="00774631">
              <w:t xml:space="preserve"> for the Victorian Aboriginal Economic Strategy.</w:t>
            </w:r>
          </w:p>
        </w:tc>
      </w:tr>
      <w:tr w:rsidR="00A53D7D" w:rsidRPr="00774631" w:rsidTr="005B2F28">
        <w:trPr>
          <w:cantSplit/>
          <w:trHeight w:val="144"/>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Quality</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TabText"/>
            </w:pPr>
            <w:r w:rsidRPr="00774631">
              <w:t> </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144"/>
        </w:trPr>
        <w:tc>
          <w:tcPr>
            <w:tcW w:w="3150" w:type="dxa"/>
            <w:tcBorders>
              <w:left w:val="nil"/>
              <w:right w:val="nil"/>
            </w:tcBorders>
            <w:shd w:val="clear" w:color="auto" w:fill="auto"/>
          </w:tcPr>
          <w:p w:rsidR="00A53D7D" w:rsidRPr="00774631" w:rsidRDefault="00A53D7D" w:rsidP="005140B4">
            <w:pPr>
              <w:pStyle w:val="OGTabText"/>
            </w:pPr>
            <w:r w:rsidRPr="00774631">
              <w:t>Funded registered Aboriginal parties able to fulfil their statutory duties in relation to the assessment of cultural heritage management plans</w:t>
            </w:r>
          </w:p>
        </w:tc>
        <w:tc>
          <w:tcPr>
            <w:tcW w:w="924" w:type="dxa"/>
            <w:tcBorders>
              <w:left w:val="nil"/>
              <w:right w:val="nil"/>
            </w:tcBorders>
            <w:shd w:val="clear" w:color="auto" w:fill="auto"/>
            <w:noWrap/>
          </w:tcPr>
          <w:p w:rsidR="00A53D7D" w:rsidRPr="00774631" w:rsidRDefault="00A53D7D" w:rsidP="005140B4">
            <w:pPr>
              <w:pStyle w:val="OGUoM"/>
            </w:pPr>
            <w:r w:rsidRPr="00774631">
              <w:t>per cent</w:t>
            </w:r>
          </w:p>
        </w:tc>
        <w:tc>
          <w:tcPr>
            <w:tcW w:w="896" w:type="dxa"/>
            <w:tcBorders>
              <w:left w:val="nil"/>
              <w:right w:val="nil"/>
            </w:tcBorders>
            <w:shd w:val="clear" w:color="auto" w:fill="D9D9D9"/>
            <w:noWrap/>
          </w:tcPr>
          <w:p w:rsidR="00A53D7D" w:rsidRPr="00774631" w:rsidRDefault="00A53D7D" w:rsidP="005140B4">
            <w:pPr>
              <w:pStyle w:val="OGTableofFigures"/>
            </w:pPr>
            <w:r>
              <w:t>100</w:t>
            </w:r>
          </w:p>
        </w:tc>
        <w:tc>
          <w:tcPr>
            <w:tcW w:w="993" w:type="dxa"/>
            <w:tcBorders>
              <w:left w:val="nil"/>
              <w:right w:val="nil"/>
            </w:tcBorders>
            <w:shd w:val="clear" w:color="auto" w:fill="auto"/>
            <w:noWrap/>
          </w:tcPr>
          <w:p w:rsidR="00A53D7D" w:rsidRPr="00774631" w:rsidRDefault="00A53D7D" w:rsidP="005140B4">
            <w:pPr>
              <w:pStyle w:val="OGTableofFigures"/>
            </w:pPr>
            <w:r w:rsidRPr="00774631">
              <w:t>100</w:t>
            </w:r>
          </w:p>
        </w:tc>
        <w:tc>
          <w:tcPr>
            <w:tcW w:w="910" w:type="dxa"/>
            <w:tcBorders>
              <w:left w:val="nil"/>
              <w:right w:val="nil"/>
            </w:tcBorders>
            <w:shd w:val="clear" w:color="auto" w:fill="auto"/>
            <w:noWrap/>
          </w:tcPr>
          <w:p w:rsidR="00A53D7D" w:rsidRPr="00774631" w:rsidRDefault="00A53D7D" w:rsidP="005140B4">
            <w:pPr>
              <w:pStyle w:val="OGTableofFigures"/>
            </w:pPr>
            <w:r w:rsidRPr="00774631">
              <w:t>95</w:t>
            </w:r>
          </w:p>
        </w:tc>
        <w:tc>
          <w:tcPr>
            <w:tcW w:w="896" w:type="dxa"/>
            <w:tcBorders>
              <w:left w:val="nil"/>
              <w:right w:val="nil"/>
            </w:tcBorders>
            <w:shd w:val="clear" w:color="auto" w:fill="auto"/>
            <w:noWrap/>
          </w:tcPr>
          <w:p w:rsidR="00A53D7D" w:rsidRPr="00774631" w:rsidRDefault="00A53D7D" w:rsidP="005140B4">
            <w:pPr>
              <w:pStyle w:val="OGTableofFigures"/>
            </w:pPr>
            <w:r w:rsidRPr="00774631">
              <w:t>100</w:t>
            </w:r>
          </w:p>
        </w:tc>
      </w:tr>
      <w:tr w:rsidR="00A53D7D" w:rsidRPr="00774631" w:rsidTr="005B2F28">
        <w:trPr>
          <w:cantSplit/>
          <w:trHeight w:val="144"/>
        </w:trPr>
        <w:tc>
          <w:tcPr>
            <w:tcW w:w="7769" w:type="dxa"/>
            <w:gridSpan w:val="6"/>
            <w:tcBorders>
              <w:left w:val="nil"/>
              <w:bottom w:val="single" w:sz="4"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as Registered Aboriginal Parties have been well supported to perform their statutory duties in relation to the assessment of cultural heritage management plans.</w:t>
            </w:r>
            <w:r>
              <w:t xml:space="preserve"> The 2014</w:t>
            </w:r>
            <w:r>
              <w:noBreakHyphen/>
              <w:t>15 target has been revised upwards to reflect this.</w:t>
            </w:r>
          </w:p>
        </w:tc>
      </w:tr>
      <w:tr w:rsidR="00A53D7D" w:rsidRPr="00774631" w:rsidTr="005140B4">
        <w:trPr>
          <w:cantSplit/>
          <w:trHeight w:val="144"/>
        </w:trPr>
        <w:tc>
          <w:tcPr>
            <w:tcW w:w="3150" w:type="dxa"/>
            <w:tcBorders>
              <w:top w:val="single" w:sz="4" w:space="0" w:color="auto"/>
              <w:left w:val="nil"/>
              <w:bottom w:val="single" w:sz="6" w:space="0" w:color="auto"/>
              <w:right w:val="nil"/>
            </w:tcBorders>
            <w:shd w:val="clear" w:color="auto" w:fill="auto"/>
          </w:tcPr>
          <w:p w:rsidR="00A53D7D" w:rsidRPr="00774631" w:rsidRDefault="00A53D7D" w:rsidP="005140B4">
            <w:pPr>
              <w:pStyle w:val="OGTabText"/>
            </w:pPr>
            <w:r w:rsidRPr="00774631">
              <w:t>Governance training initiatives participant completion rate</w:t>
            </w:r>
          </w:p>
        </w:tc>
        <w:tc>
          <w:tcPr>
            <w:tcW w:w="924" w:type="dxa"/>
            <w:tcBorders>
              <w:top w:val="single" w:sz="4"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single" w:sz="4"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80</w:t>
            </w:r>
          </w:p>
        </w:tc>
        <w:tc>
          <w:tcPr>
            <w:tcW w:w="993" w:type="dxa"/>
            <w:tcBorders>
              <w:top w:val="single" w:sz="4"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80</w:t>
            </w:r>
          </w:p>
        </w:tc>
        <w:tc>
          <w:tcPr>
            <w:tcW w:w="910" w:type="dxa"/>
            <w:tcBorders>
              <w:top w:val="single" w:sz="4"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80</w:t>
            </w:r>
          </w:p>
        </w:tc>
        <w:tc>
          <w:tcPr>
            <w:tcW w:w="896" w:type="dxa"/>
            <w:tcBorders>
              <w:top w:val="single" w:sz="4"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82</w:t>
            </w:r>
          </w:p>
        </w:tc>
      </w:tr>
      <w:tr w:rsidR="00A53D7D" w:rsidRPr="00774631" w:rsidTr="005140B4">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Text"/>
              <w:keepNext/>
            </w:pPr>
            <w:r w:rsidRPr="00774631">
              <w:t>Participation of Aboriginal people in Local Indigenous Networks</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keepNext/>
            </w:pPr>
            <w:r w:rsidRPr="00774631">
              <w:t>number</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keepNext/>
            </w:pPr>
            <w:r w:rsidRPr="00774631">
              <w:t>2</w:t>
            </w:r>
            <w:r>
              <w:t> </w:t>
            </w:r>
            <w:r w:rsidRPr="00774631">
              <w:t>100</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keepNext/>
            </w:pPr>
            <w:r w:rsidRPr="00774631">
              <w:t>2</w:t>
            </w:r>
            <w:r>
              <w:t> </w:t>
            </w:r>
            <w:r w:rsidRPr="00774631">
              <w:t>100</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keepNext/>
            </w:pPr>
            <w:r w:rsidRPr="00774631">
              <w:t>2</w:t>
            </w:r>
            <w:r>
              <w:t> </w:t>
            </w:r>
            <w:r w:rsidRPr="00774631">
              <w:t>000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keepNext/>
            </w:pPr>
            <w:r w:rsidRPr="00774631">
              <w:t>1</w:t>
            </w:r>
            <w:r>
              <w:t> </w:t>
            </w:r>
            <w:r w:rsidRPr="00774631">
              <w:t>866</w:t>
            </w:r>
          </w:p>
        </w:tc>
      </w:tr>
      <w:tr w:rsidR="00A53D7D" w:rsidRPr="00774631" w:rsidTr="005140B4">
        <w:trPr>
          <w:cantSplit/>
          <w:trHeight w:val="144"/>
        </w:trPr>
        <w:tc>
          <w:tcPr>
            <w:tcW w:w="7769" w:type="dxa"/>
            <w:gridSpan w:val="6"/>
            <w:tcBorders>
              <w:left w:val="nil"/>
              <w:bottom w:val="single" w:sz="4"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due to a locally</w:t>
            </w:r>
            <w:r>
              <w:noBreakHyphen/>
            </w:r>
            <w:r w:rsidRPr="00774631">
              <w:t>based participant drive and the establishment of the 39th Local Indigenous Network. The 2014</w:t>
            </w:r>
            <w:r>
              <w:noBreakHyphen/>
            </w:r>
            <w:r w:rsidRPr="00774631">
              <w:t>15 target has been revised upwards to reflect this.</w:t>
            </w:r>
          </w:p>
        </w:tc>
      </w:tr>
      <w:tr w:rsidR="00A53D7D" w:rsidRPr="00774631" w:rsidTr="005140B4">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Head"/>
            </w:pPr>
            <w:r w:rsidRPr="00774631">
              <w:t>Timeliness</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144"/>
        </w:trPr>
        <w:tc>
          <w:tcPr>
            <w:tcW w:w="3150" w:type="dxa"/>
            <w:tcBorders>
              <w:top w:val="nil"/>
              <w:left w:val="nil"/>
              <w:right w:val="nil"/>
            </w:tcBorders>
            <w:shd w:val="clear" w:color="auto" w:fill="auto"/>
          </w:tcPr>
          <w:p w:rsidR="00A53D7D" w:rsidRPr="00774631" w:rsidRDefault="00A53D7D" w:rsidP="005140B4">
            <w:pPr>
              <w:pStyle w:val="OGTabText"/>
            </w:pPr>
            <w:r w:rsidRPr="00774631">
              <w:t>Assessments completed by Office of Aboriginal Affairs Victoria (OAAV) within legislative timeframe: cultural heritage management plans</w:t>
            </w:r>
          </w:p>
        </w:tc>
        <w:tc>
          <w:tcPr>
            <w:tcW w:w="924" w:type="dxa"/>
            <w:tcBorders>
              <w:top w:val="nil"/>
              <w:left w:val="nil"/>
              <w:right w:val="nil"/>
            </w:tcBorders>
            <w:shd w:val="clear" w:color="auto" w:fill="auto"/>
            <w:noWrap/>
          </w:tcPr>
          <w:p w:rsidR="00A53D7D" w:rsidRPr="00774631" w:rsidRDefault="00A53D7D" w:rsidP="005140B4">
            <w:pPr>
              <w:pStyle w:val="OGUoM"/>
            </w:pPr>
            <w:r w:rsidRPr="00774631">
              <w:t>per cent</w:t>
            </w:r>
          </w:p>
        </w:tc>
        <w:tc>
          <w:tcPr>
            <w:tcW w:w="896" w:type="dxa"/>
            <w:tcBorders>
              <w:top w:val="nil"/>
              <w:left w:val="nil"/>
              <w:right w:val="nil"/>
            </w:tcBorders>
            <w:shd w:val="clear" w:color="auto" w:fill="D9D9D9"/>
            <w:noWrap/>
          </w:tcPr>
          <w:p w:rsidR="00A53D7D" w:rsidRPr="00774631" w:rsidRDefault="00A53D7D" w:rsidP="005140B4">
            <w:pPr>
              <w:pStyle w:val="OGTableofFigures"/>
            </w:pPr>
            <w:r w:rsidRPr="00774631">
              <w:t>100</w:t>
            </w:r>
          </w:p>
        </w:tc>
        <w:tc>
          <w:tcPr>
            <w:tcW w:w="993" w:type="dxa"/>
            <w:tcBorders>
              <w:top w:val="nil"/>
              <w:left w:val="nil"/>
              <w:right w:val="nil"/>
            </w:tcBorders>
            <w:shd w:val="clear" w:color="auto" w:fill="auto"/>
            <w:noWrap/>
          </w:tcPr>
          <w:p w:rsidR="00A53D7D" w:rsidRPr="00774631" w:rsidRDefault="00A53D7D" w:rsidP="005140B4">
            <w:pPr>
              <w:pStyle w:val="OGTableofFigures"/>
            </w:pPr>
            <w:r w:rsidRPr="00774631">
              <w:t>100</w:t>
            </w:r>
          </w:p>
        </w:tc>
        <w:tc>
          <w:tcPr>
            <w:tcW w:w="910" w:type="dxa"/>
            <w:tcBorders>
              <w:top w:val="nil"/>
              <w:left w:val="nil"/>
              <w:right w:val="nil"/>
            </w:tcBorders>
            <w:shd w:val="clear" w:color="auto" w:fill="auto"/>
            <w:noWrap/>
          </w:tcPr>
          <w:p w:rsidR="00A53D7D" w:rsidRPr="00774631" w:rsidRDefault="00A53D7D" w:rsidP="005140B4">
            <w:pPr>
              <w:pStyle w:val="OGTableofFigures"/>
            </w:pPr>
            <w:r w:rsidRPr="00774631">
              <w:t>100</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97</w:t>
            </w:r>
          </w:p>
        </w:tc>
      </w:tr>
      <w:tr w:rsidR="00A53D7D" w:rsidRPr="00774631" w:rsidTr="005140B4">
        <w:trPr>
          <w:cantSplit/>
          <w:trHeight w:val="144"/>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Payments made to funding recipient on completion of milestone activities in funding agreement: Reconciliation Victoria</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100</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r>
      <w:tr w:rsidR="00A53D7D" w:rsidRPr="00774631" w:rsidTr="005140B4">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 xml:space="preserve">Payments made to funding recipient on completion of milestone activities in funding agreement: </w:t>
            </w:r>
            <w:proofErr w:type="spellStart"/>
            <w:r w:rsidRPr="00774631">
              <w:t>Koorie</w:t>
            </w:r>
            <w:proofErr w:type="spellEnd"/>
            <w:r w:rsidRPr="00774631">
              <w:t xml:space="preserve"> Youth Council</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per cent</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100</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100</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100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100</w:t>
            </w:r>
          </w:p>
        </w:tc>
      </w:tr>
      <w:tr w:rsidR="00A53D7D" w:rsidRPr="00774631" w:rsidTr="005140B4">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Head"/>
            </w:pPr>
            <w:r w:rsidRPr="00774631">
              <w:t>Cost</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144"/>
        </w:trPr>
        <w:tc>
          <w:tcPr>
            <w:tcW w:w="3150" w:type="dxa"/>
            <w:tcBorders>
              <w:top w:val="nil"/>
              <w:left w:val="nil"/>
              <w:right w:val="nil"/>
            </w:tcBorders>
            <w:shd w:val="clear" w:color="auto" w:fill="auto"/>
          </w:tcPr>
          <w:p w:rsidR="00A53D7D" w:rsidRPr="00774631" w:rsidRDefault="00A53D7D" w:rsidP="005140B4">
            <w:pPr>
              <w:pStyle w:val="OGTabText"/>
            </w:pPr>
            <w:r w:rsidRPr="00774631">
              <w:t>Total output cost</w:t>
            </w:r>
          </w:p>
        </w:tc>
        <w:tc>
          <w:tcPr>
            <w:tcW w:w="924" w:type="dxa"/>
            <w:tcBorders>
              <w:top w:val="nil"/>
              <w:left w:val="nil"/>
              <w:right w:val="nil"/>
            </w:tcBorders>
            <w:shd w:val="clear" w:color="auto" w:fill="auto"/>
            <w:noWrap/>
          </w:tcPr>
          <w:p w:rsidR="00A53D7D" w:rsidRPr="00774631" w:rsidRDefault="00A53D7D" w:rsidP="005140B4">
            <w:pPr>
              <w:pStyle w:val="OGUoM"/>
            </w:pPr>
            <w:r w:rsidRPr="00774631">
              <w:t>$ million</w:t>
            </w:r>
          </w:p>
        </w:tc>
        <w:tc>
          <w:tcPr>
            <w:tcW w:w="896" w:type="dxa"/>
            <w:tcBorders>
              <w:top w:val="nil"/>
              <w:left w:val="nil"/>
              <w:right w:val="nil"/>
            </w:tcBorders>
            <w:shd w:val="clear" w:color="auto" w:fill="D9D9D9"/>
            <w:noWrap/>
          </w:tcPr>
          <w:p w:rsidR="00A53D7D" w:rsidRPr="00774631" w:rsidRDefault="00A53D7D" w:rsidP="005140B4">
            <w:pPr>
              <w:pStyle w:val="OGTableofFigures"/>
            </w:pPr>
            <w:r w:rsidRPr="00774631">
              <w:t>17.3</w:t>
            </w:r>
          </w:p>
        </w:tc>
        <w:tc>
          <w:tcPr>
            <w:tcW w:w="993" w:type="dxa"/>
            <w:tcBorders>
              <w:top w:val="nil"/>
              <w:left w:val="nil"/>
              <w:right w:val="nil"/>
            </w:tcBorders>
            <w:shd w:val="clear" w:color="auto" w:fill="auto"/>
            <w:noWrap/>
          </w:tcPr>
          <w:p w:rsidR="00A53D7D" w:rsidRPr="00774631" w:rsidRDefault="00A53D7D" w:rsidP="005140B4">
            <w:pPr>
              <w:pStyle w:val="OGTableofFigures"/>
            </w:pPr>
            <w:r w:rsidRPr="00774631">
              <w:t>18.9</w:t>
            </w:r>
          </w:p>
        </w:tc>
        <w:tc>
          <w:tcPr>
            <w:tcW w:w="910" w:type="dxa"/>
            <w:tcBorders>
              <w:top w:val="nil"/>
              <w:left w:val="nil"/>
              <w:right w:val="nil"/>
            </w:tcBorders>
            <w:shd w:val="clear" w:color="auto" w:fill="auto"/>
            <w:noWrap/>
          </w:tcPr>
          <w:p w:rsidR="00A53D7D" w:rsidRPr="00774631" w:rsidRDefault="00A53D7D" w:rsidP="005140B4">
            <w:pPr>
              <w:pStyle w:val="OGTableofFigures"/>
            </w:pPr>
            <w:r w:rsidRPr="00774631">
              <w:t>18.9</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22.1</w:t>
            </w:r>
          </w:p>
        </w:tc>
      </w:tr>
      <w:tr w:rsidR="00A53D7D" w:rsidRPr="00774631" w:rsidTr="005140B4">
        <w:trPr>
          <w:cantSplit/>
          <w:trHeight w:val="144"/>
        </w:trPr>
        <w:tc>
          <w:tcPr>
            <w:tcW w:w="7769" w:type="dxa"/>
            <w:gridSpan w:val="6"/>
            <w:tcBorders>
              <w:left w:val="nil"/>
              <w:bottom w:val="single" w:sz="4" w:space="0" w:color="auto"/>
              <w:right w:val="nil"/>
            </w:tcBorders>
            <w:shd w:val="clear" w:color="auto" w:fill="auto"/>
          </w:tcPr>
          <w:p w:rsidR="00A53D7D" w:rsidRPr="00774631" w:rsidRDefault="00A53D7D" w:rsidP="005140B4">
            <w:pPr>
              <w:pStyle w:val="OGNotes"/>
            </w:pPr>
            <w:r w:rsidRPr="00774631">
              <w:t>The lower 2014</w:t>
            </w:r>
            <w:r>
              <w:noBreakHyphen/>
            </w:r>
            <w:r w:rsidRPr="00774631">
              <w:t xml:space="preserve">15 target output cost reflects </w:t>
            </w:r>
            <w:r>
              <w:t>funding in line with specific training associated with Cultural Heritage Management and the</w:t>
            </w:r>
            <w:r w:rsidRPr="00774631">
              <w:t xml:space="preserve"> Victorian Aboriginal Economic Strategy 2013</w:t>
            </w:r>
            <w:r>
              <w:noBreakHyphen/>
            </w:r>
            <w:r w:rsidRPr="00774631">
              <w:t>2020.</w:t>
            </w:r>
          </w:p>
        </w:tc>
      </w:tr>
      <w:tr w:rsidR="00A53D7D" w:rsidRPr="00774631" w:rsidTr="005140B4">
        <w:trPr>
          <w:cantSplit/>
          <w:trHeight w:val="144"/>
        </w:trPr>
        <w:tc>
          <w:tcPr>
            <w:tcW w:w="7769" w:type="dxa"/>
            <w:gridSpan w:val="6"/>
            <w:tcBorders>
              <w:top w:val="single" w:sz="6" w:space="0" w:color="auto"/>
              <w:left w:val="nil"/>
              <w:right w:val="nil"/>
            </w:tcBorders>
            <w:shd w:val="clear" w:color="auto" w:fill="auto"/>
          </w:tcPr>
          <w:p w:rsidR="00A53D7D" w:rsidRPr="00774631" w:rsidRDefault="00A53D7D" w:rsidP="005140B4">
            <w:pPr>
              <w:pStyle w:val="OGHeading2"/>
            </w:pPr>
            <w:r w:rsidRPr="00774631">
              <w:t>Veterans’ Affairs</w:t>
            </w:r>
          </w:p>
        </w:tc>
      </w:tr>
      <w:tr w:rsidR="00A53D7D" w:rsidRPr="00774631" w:rsidTr="005140B4">
        <w:trPr>
          <w:cantSplit/>
          <w:trHeight w:val="144"/>
        </w:trPr>
        <w:tc>
          <w:tcPr>
            <w:tcW w:w="7769" w:type="dxa"/>
            <w:gridSpan w:val="6"/>
            <w:tcBorders>
              <w:top w:val="nil"/>
              <w:left w:val="nil"/>
              <w:bottom w:val="single" w:sz="6" w:space="0" w:color="auto"/>
              <w:right w:val="nil"/>
            </w:tcBorders>
            <w:shd w:val="clear" w:color="auto" w:fill="auto"/>
          </w:tcPr>
          <w:p w:rsidR="00A53D7D" w:rsidRPr="00774631" w:rsidRDefault="00A53D7D" w:rsidP="005140B4">
            <w:pPr>
              <w:pStyle w:val="OGText"/>
            </w:pPr>
            <w:r w:rsidRPr="00774631">
              <w:t xml:space="preserve">Coordinate veteran related issues at a State level, especially in relation to preparations for and delivery of the Centenary of Anzac. Oversee commemoration, veteran </w:t>
            </w:r>
            <w:proofErr w:type="gramStart"/>
            <w:r w:rsidRPr="00774631">
              <w:t>welfare</w:t>
            </w:r>
            <w:proofErr w:type="gramEnd"/>
            <w:r w:rsidRPr="00774631">
              <w:t xml:space="preserve"> and education programs. Support the Shrine of Remembrance and the Victorian Veterans Council.</w:t>
            </w:r>
          </w:p>
        </w:tc>
      </w:tr>
      <w:tr w:rsidR="00A53D7D" w:rsidRPr="00774631" w:rsidTr="005140B4">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Head"/>
            </w:pPr>
            <w:r w:rsidRPr="00774631">
              <w:t>Quantity</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keepNext/>
            </w:pP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keepNext/>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keepNext/>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keepNext/>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keepNext/>
            </w:pPr>
          </w:p>
        </w:tc>
      </w:tr>
      <w:tr w:rsidR="00A53D7D" w:rsidRPr="00774631" w:rsidTr="005140B4">
        <w:trPr>
          <w:cantSplit/>
          <w:trHeight w:val="144"/>
        </w:trPr>
        <w:tc>
          <w:tcPr>
            <w:tcW w:w="3150" w:type="dxa"/>
            <w:tcBorders>
              <w:top w:val="nil"/>
              <w:left w:val="nil"/>
              <w:right w:val="nil"/>
            </w:tcBorders>
            <w:shd w:val="clear" w:color="auto" w:fill="auto"/>
          </w:tcPr>
          <w:p w:rsidR="00A53D7D" w:rsidRPr="00774631" w:rsidRDefault="00A53D7D" w:rsidP="005140B4">
            <w:pPr>
              <w:pStyle w:val="OGTabText"/>
              <w:keepNext/>
            </w:pPr>
            <w:r w:rsidRPr="00774631">
              <w:t>Entries received: Premiers’ Spirit of Anzac prize</w:t>
            </w:r>
          </w:p>
        </w:tc>
        <w:tc>
          <w:tcPr>
            <w:tcW w:w="924" w:type="dxa"/>
            <w:tcBorders>
              <w:top w:val="nil"/>
              <w:left w:val="nil"/>
              <w:right w:val="nil"/>
            </w:tcBorders>
            <w:shd w:val="clear" w:color="auto" w:fill="auto"/>
            <w:noWrap/>
          </w:tcPr>
          <w:p w:rsidR="00A53D7D" w:rsidRPr="00774631" w:rsidRDefault="00A53D7D" w:rsidP="005140B4">
            <w:pPr>
              <w:pStyle w:val="OGUoM"/>
              <w:keepNext/>
            </w:pPr>
            <w:r w:rsidRPr="00774631">
              <w:t>number</w:t>
            </w:r>
          </w:p>
        </w:tc>
        <w:tc>
          <w:tcPr>
            <w:tcW w:w="896" w:type="dxa"/>
            <w:tcBorders>
              <w:top w:val="nil"/>
              <w:left w:val="nil"/>
              <w:right w:val="nil"/>
            </w:tcBorders>
            <w:shd w:val="clear" w:color="auto" w:fill="D9D9D9"/>
            <w:noWrap/>
          </w:tcPr>
          <w:p w:rsidR="00A53D7D" w:rsidRPr="00774631" w:rsidRDefault="00A53D7D" w:rsidP="005140B4">
            <w:pPr>
              <w:pStyle w:val="OGTableofFigures"/>
              <w:keepNext/>
            </w:pPr>
            <w:r>
              <w:t>3</w:t>
            </w:r>
            <w:r w:rsidRPr="00774631">
              <w:t>00</w:t>
            </w:r>
          </w:p>
        </w:tc>
        <w:tc>
          <w:tcPr>
            <w:tcW w:w="993" w:type="dxa"/>
            <w:tcBorders>
              <w:top w:val="nil"/>
              <w:left w:val="nil"/>
              <w:right w:val="nil"/>
            </w:tcBorders>
            <w:shd w:val="clear" w:color="auto" w:fill="auto"/>
            <w:noWrap/>
          </w:tcPr>
          <w:p w:rsidR="00A53D7D" w:rsidRPr="00774631" w:rsidRDefault="00A53D7D" w:rsidP="005140B4">
            <w:pPr>
              <w:pStyle w:val="OGTableofFigures"/>
              <w:keepNext/>
            </w:pPr>
            <w:r w:rsidRPr="00774631">
              <w:t>472</w:t>
            </w:r>
          </w:p>
        </w:tc>
        <w:tc>
          <w:tcPr>
            <w:tcW w:w="910" w:type="dxa"/>
            <w:tcBorders>
              <w:top w:val="nil"/>
              <w:left w:val="nil"/>
              <w:right w:val="nil"/>
            </w:tcBorders>
            <w:shd w:val="clear" w:color="auto" w:fill="auto"/>
            <w:noWrap/>
          </w:tcPr>
          <w:p w:rsidR="00A53D7D" w:rsidRPr="00774631" w:rsidRDefault="00A53D7D" w:rsidP="005140B4">
            <w:pPr>
              <w:pStyle w:val="OGTableofFigures"/>
              <w:keepNext/>
            </w:pPr>
            <w:r w:rsidRPr="00774631">
              <w:t>&gt;</w:t>
            </w:r>
            <w:r>
              <w:t xml:space="preserve"> </w:t>
            </w:r>
            <w:r w:rsidRPr="00774631">
              <w:t>170</w:t>
            </w:r>
          </w:p>
        </w:tc>
        <w:tc>
          <w:tcPr>
            <w:tcW w:w="896" w:type="dxa"/>
            <w:tcBorders>
              <w:top w:val="nil"/>
              <w:left w:val="nil"/>
              <w:right w:val="nil"/>
            </w:tcBorders>
            <w:shd w:val="clear" w:color="auto" w:fill="auto"/>
            <w:noWrap/>
          </w:tcPr>
          <w:p w:rsidR="00A53D7D" w:rsidRPr="00774631" w:rsidRDefault="00A53D7D" w:rsidP="005140B4">
            <w:pPr>
              <w:pStyle w:val="OGTableofFigures"/>
              <w:keepNext/>
            </w:pPr>
            <w:r w:rsidRPr="00774631">
              <w:t>320</w:t>
            </w:r>
          </w:p>
        </w:tc>
      </w:tr>
      <w:tr w:rsidR="00A53D7D" w:rsidRPr="00774631" w:rsidTr="005140B4">
        <w:trPr>
          <w:cantSplit/>
          <w:trHeight w:val="144"/>
        </w:trPr>
        <w:tc>
          <w:tcPr>
            <w:tcW w:w="7769" w:type="dxa"/>
            <w:gridSpan w:val="6"/>
            <w:tcBorders>
              <w:top w:val="nil"/>
              <w:left w:val="nil"/>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due to a targeted and sustained promotional campaign, which has seen an increase in the number of teachers supporting the Prize and student awareness of the offering growing significantly. The 2014</w:t>
            </w:r>
            <w:r>
              <w:noBreakHyphen/>
            </w:r>
            <w:r w:rsidRPr="00774631">
              <w:t>15 target has been revised upwards to reflect this.</w:t>
            </w:r>
          </w:p>
        </w:tc>
      </w:tr>
      <w:tr w:rsidR="00A53D7D" w:rsidRPr="00774631" w:rsidTr="005140B4">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Event attendance: Student participation in Shrine of Remembrance programs</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number</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&gt;</w:t>
            </w:r>
            <w:r>
              <w:t xml:space="preserve"> </w:t>
            </w:r>
            <w:r w:rsidRPr="00774631">
              <w:t>60</w:t>
            </w:r>
            <w:r>
              <w:t> </w:t>
            </w:r>
            <w:r w:rsidRPr="00774631">
              <w:t>000</w:t>
            </w: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50</w:t>
            </w:r>
            <w:r>
              <w:t> </w:t>
            </w:r>
            <w:r w:rsidRPr="00774631">
              <w:t>000</w:t>
            </w: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&gt;</w:t>
            </w:r>
            <w:r>
              <w:t xml:space="preserve"> </w:t>
            </w:r>
            <w:r w:rsidRPr="00774631">
              <w:t>40</w:t>
            </w:r>
            <w:r>
              <w:t> </w:t>
            </w:r>
            <w:r w:rsidRPr="00774631">
              <w:t>000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52</w:t>
            </w:r>
            <w:r>
              <w:t> </w:t>
            </w:r>
            <w:r w:rsidRPr="00774631">
              <w:t>800</w:t>
            </w:r>
          </w:p>
        </w:tc>
      </w:tr>
      <w:tr w:rsidR="00A53D7D" w:rsidRPr="00774631" w:rsidTr="005140B4">
        <w:trPr>
          <w:cantSplit/>
          <w:trHeight w:val="144"/>
        </w:trPr>
        <w:tc>
          <w:tcPr>
            <w:tcW w:w="7769" w:type="dxa"/>
            <w:gridSpan w:val="6"/>
            <w:tcBorders>
              <w:top w:val="nil"/>
              <w:left w:val="nil"/>
              <w:bottom w:val="single" w:sz="6" w:space="0" w:color="auto"/>
              <w:right w:val="nil"/>
            </w:tcBorders>
            <w:shd w:val="clear" w:color="auto" w:fill="auto"/>
          </w:tcPr>
          <w:p w:rsidR="00A53D7D" w:rsidRPr="00774631" w:rsidRDefault="00A53D7D" w:rsidP="005140B4">
            <w:pPr>
              <w:pStyle w:val="OGNotes"/>
            </w:pPr>
            <w:r w:rsidRPr="00774631">
              <w:t>The higher 2014</w:t>
            </w:r>
            <w:r>
              <w:noBreakHyphen/>
            </w:r>
            <w:r w:rsidRPr="00774631">
              <w:t>15 target reflects funding allocated through the 2014</w:t>
            </w:r>
            <w:r>
              <w:noBreakHyphen/>
            </w:r>
            <w:r w:rsidRPr="00774631">
              <w:t>15 State Budget for World War I commemorative activities.</w:t>
            </w:r>
          </w:p>
        </w:tc>
      </w:tr>
      <w:tr w:rsidR="00A53D7D" w:rsidRPr="00774631" w:rsidTr="005140B4">
        <w:trPr>
          <w:cantSplit/>
          <w:trHeight w:val="144"/>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Restoring community war memorial grants: projects approved</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896"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&gt;</w:t>
            </w:r>
            <w:r>
              <w:t xml:space="preserve"> </w:t>
            </w:r>
            <w:r w:rsidRPr="00774631">
              <w:t>40</w:t>
            </w:r>
          </w:p>
        </w:tc>
        <w:tc>
          <w:tcPr>
            <w:tcW w:w="993"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40</w:t>
            </w:r>
          </w:p>
        </w:tc>
        <w:tc>
          <w:tcPr>
            <w:tcW w:w="910"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&gt;</w:t>
            </w:r>
            <w:r>
              <w:t xml:space="preserve"> </w:t>
            </w:r>
            <w:r w:rsidRPr="00774631">
              <w:t>40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39</w:t>
            </w:r>
          </w:p>
        </w:tc>
      </w:tr>
      <w:tr w:rsidR="00A53D7D" w:rsidRPr="00774631" w:rsidTr="005140B4">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Head"/>
            </w:pPr>
            <w:r w:rsidRPr="00774631">
              <w:t>Quality</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144"/>
        </w:trPr>
        <w:tc>
          <w:tcPr>
            <w:tcW w:w="3150" w:type="dxa"/>
            <w:tcBorders>
              <w:top w:val="nil"/>
              <w:left w:val="nil"/>
              <w:bottom w:val="single" w:sz="6" w:space="0" w:color="auto"/>
              <w:right w:val="nil"/>
            </w:tcBorders>
            <w:shd w:val="clear" w:color="auto" w:fill="auto"/>
          </w:tcPr>
          <w:p w:rsidR="00A53D7D" w:rsidRPr="00774631" w:rsidRDefault="00A53D7D" w:rsidP="005140B4">
            <w:pPr>
              <w:pStyle w:val="OGTabText"/>
            </w:pPr>
            <w:r w:rsidRPr="00774631">
              <w:t>Commemorative and educative projects meet agreed project objectives</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nil"/>
              <w:left w:val="nil"/>
              <w:bottom w:val="single" w:sz="6" w:space="0" w:color="auto"/>
              <w:right w:val="nil"/>
            </w:tcBorders>
            <w:shd w:val="clear" w:color="auto" w:fill="D9D9D9"/>
            <w:noWrap/>
          </w:tcPr>
          <w:p w:rsidR="00A53D7D" w:rsidRPr="00774631" w:rsidRDefault="00A53D7D" w:rsidP="005140B4">
            <w:pPr>
              <w:pStyle w:val="OGTableofFigures"/>
            </w:pPr>
            <w:r w:rsidRPr="00774631">
              <w:t>100</w:t>
            </w:r>
          </w:p>
        </w:tc>
        <w:tc>
          <w:tcPr>
            <w:tcW w:w="993"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910"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896"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r>
      <w:tr w:rsidR="00A53D7D" w:rsidRPr="00774631" w:rsidTr="005140B4">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Head"/>
            </w:pPr>
            <w:r w:rsidRPr="00774631">
              <w:t>Timeliness</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144"/>
        </w:trPr>
        <w:tc>
          <w:tcPr>
            <w:tcW w:w="3150" w:type="dxa"/>
            <w:tcBorders>
              <w:top w:val="nil"/>
              <w:left w:val="nil"/>
              <w:bottom w:val="single" w:sz="6" w:space="0" w:color="auto"/>
              <w:right w:val="nil"/>
            </w:tcBorders>
            <w:shd w:val="clear" w:color="auto" w:fill="auto"/>
          </w:tcPr>
          <w:p w:rsidR="00A53D7D" w:rsidRPr="00774631" w:rsidRDefault="00A53D7D" w:rsidP="005140B4">
            <w:pPr>
              <w:pStyle w:val="OGTabText"/>
            </w:pPr>
            <w:r w:rsidRPr="00774631">
              <w:t>Commemorative and Education program: Grants acquitted within the timeframe specified in the terms and conditions of the funding agreement</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nil"/>
              <w:left w:val="nil"/>
              <w:bottom w:val="single" w:sz="6" w:space="0" w:color="auto"/>
              <w:right w:val="nil"/>
            </w:tcBorders>
            <w:shd w:val="clear" w:color="auto" w:fill="D9D9D9"/>
            <w:noWrap/>
          </w:tcPr>
          <w:p w:rsidR="00A53D7D" w:rsidRPr="00774631" w:rsidRDefault="00A53D7D" w:rsidP="005140B4">
            <w:pPr>
              <w:pStyle w:val="OGTableofFigures"/>
            </w:pPr>
            <w:r w:rsidRPr="00774631">
              <w:t>100</w:t>
            </w:r>
          </w:p>
        </w:tc>
        <w:tc>
          <w:tcPr>
            <w:tcW w:w="993"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910"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896"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r>
      <w:tr w:rsidR="00A53D7D" w:rsidRPr="00774631" w:rsidTr="005140B4">
        <w:trPr>
          <w:cantSplit/>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Head"/>
            </w:pPr>
            <w:r w:rsidRPr="00774631">
              <w:t>Cost</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93"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10"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cantSplit/>
          <w:trHeight w:val="144"/>
        </w:trPr>
        <w:tc>
          <w:tcPr>
            <w:tcW w:w="3150" w:type="dxa"/>
            <w:tcBorders>
              <w:top w:val="nil"/>
              <w:left w:val="nil"/>
              <w:right w:val="nil"/>
            </w:tcBorders>
            <w:shd w:val="clear" w:color="auto" w:fill="auto"/>
          </w:tcPr>
          <w:p w:rsidR="00A53D7D" w:rsidRPr="00774631" w:rsidRDefault="00A53D7D" w:rsidP="005140B4">
            <w:pPr>
              <w:pStyle w:val="OGTabText"/>
            </w:pPr>
            <w:r w:rsidRPr="00774631">
              <w:t>Total output cost</w:t>
            </w:r>
          </w:p>
        </w:tc>
        <w:tc>
          <w:tcPr>
            <w:tcW w:w="924" w:type="dxa"/>
            <w:tcBorders>
              <w:top w:val="nil"/>
              <w:left w:val="nil"/>
              <w:right w:val="nil"/>
            </w:tcBorders>
            <w:shd w:val="clear" w:color="auto" w:fill="auto"/>
            <w:noWrap/>
          </w:tcPr>
          <w:p w:rsidR="00A53D7D" w:rsidRPr="00774631" w:rsidRDefault="00A53D7D" w:rsidP="005140B4">
            <w:pPr>
              <w:pStyle w:val="OGUoM"/>
            </w:pPr>
            <w:r w:rsidRPr="00774631">
              <w:t>$ million</w:t>
            </w:r>
          </w:p>
        </w:tc>
        <w:tc>
          <w:tcPr>
            <w:tcW w:w="896" w:type="dxa"/>
            <w:tcBorders>
              <w:top w:val="nil"/>
              <w:left w:val="nil"/>
              <w:right w:val="nil"/>
            </w:tcBorders>
            <w:shd w:val="clear" w:color="auto" w:fill="D9D9D9"/>
            <w:noWrap/>
          </w:tcPr>
          <w:p w:rsidR="00A53D7D" w:rsidRPr="00774631" w:rsidRDefault="00A53D7D" w:rsidP="005140B4">
            <w:pPr>
              <w:pStyle w:val="OGTableofFigures"/>
              <w:rPr>
                <w:highlight w:val="yellow"/>
              </w:rPr>
            </w:pPr>
            <w:r w:rsidRPr="00774631">
              <w:t>8.2</w:t>
            </w:r>
          </w:p>
        </w:tc>
        <w:tc>
          <w:tcPr>
            <w:tcW w:w="993" w:type="dxa"/>
            <w:tcBorders>
              <w:top w:val="nil"/>
              <w:left w:val="nil"/>
              <w:right w:val="nil"/>
            </w:tcBorders>
            <w:shd w:val="clear" w:color="auto" w:fill="auto"/>
            <w:noWrap/>
          </w:tcPr>
          <w:p w:rsidR="00A53D7D" w:rsidRPr="00774631" w:rsidRDefault="00A53D7D" w:rsidP="005140B4">
            <w:pPr>
              <w:pStyle w:val="OGTableofFigures"/>
              <w:rPr>
                <w:highlight w:val="yellow"/>
              </w:rPr>
            </w:pPr>
            <w:r w:rsidRPr="00774631">
              <w:t>4.5</w:t>
            </w:r>
          </w:p>
        </w:tc>
        <w:tc>
          <w:tcPr>
            <w:tcW w:w="910" w:type="dxa"/>
            <w:tcBorders>
              <w:top w:val="nil"/>
              <w:left w:val="nil"/>
              <w:right w:val="nil"/>
            </w:tcBorders>
            <w:shd w:val="clear" w:color="auto" w:fill="auto"/>
            <w:noWrap/>
          </w:tcPr>
          <w:p w:rsidR="00A53D7D" w:rsidRPr="00774631" w:rsidRDefault="00A53D7D" w:rsidP="005140B4">
            <w:pPr>
              <w:pStyle w:val="OGTableofFigures"/>
            </w:pPr>
            <w:r w:rsidRPr="00774631">
              <w:t>4.8</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5.1</w:t>
            </w:r>
          </w:p>
        </w:tc>
      </w:tr>
      <w:tr w:rsidR="00A53D7D" w:rsidRPr="00774631" w:rsidTr="005140B4">
        <w:trPr>
          <w:cantSplit/>
          <w:trHeight w:val="144"/>
        </w:trPr>
        <w:tc>
          <w:tcPr>
            <w:tcW w:w="7769" w:type="dxa"/>
            <w:gridSpan w:val="6"/>
            <w:tcBorders>
              <w:left w:val="nil"/>
              <w:bottom w:val="single" w:sz="12" w:space="0" w:color="auto"/>
              <w:right w:val="nil"/>
            </w:tcBorders>
            <w:shd w:val="clear" w:color="auto" w:fill="auto"/>
          </w:tcPr>
          <w:p w:rsidR="00A53D7D" w:rsidRPr="00774631" w:rsidRDefault="00A53D7D" w:rsidP="005140B4">
            <w:pPr>
              <w:pStyle w:val="OGNotes"/>
              <w:spacing w:after="0"/>
              <w:ind w:left="357" w:right="113"/>
            </w:pPr>
            <w:r w:rsidRPr="00774631">
              <w:t>The higher 201</w:t>
            </w:r>
            <w:r>
              <w:t>4</w:t>
            </w:r>
            <w:r>
              <w:noBreakHyphen/>
            </w:r>
            <w:r w:rsidRPr="00774631">
              <w:t>1</w:t>
            </w:r>
            <w:r>
              <w:t>5</w:t>
            </w:r>
            <w:r w:rsidRPr="00774631">
              <w:t xml:space="preserve"> target output cost reflects funding allocated through the 2014</w:t>
            </w:r>
            <w:r>
              <w:noBreakHyphen/>
            </w:r>
            <w:r w:rsidRPr="00774631">
              <w:t>15 State Budget for World War I commemorative activities.</w:t>
            </w:r>
          </w:p>
          <w:p w:rsidR="00A53D7D" w:rsidRPr="00774631" w:rsidRDefault="00A53D7D" w:rsidP="005140B4">
            <w:pPr>
              <w:pStyle w:val="OGNotes"/>
            </w:pPr>
            <w:r w:rsidRPr="00774631">
              <w:t>The 2013</w:t>
            </w:r>
            <w:r>
              <w:noBreakHyphen/>
            </w:r>
            <w:r w:rsidRPr="00774631">
              <w:t>14 expected outcome is lower than the 2013</w:t>
            </w:r>
            <w:r>
              <w:noBreakHyphen/>
            </w:r>
            <w:r w:rsidRPr="00774631">
              <w:t>14 Target as a result of funds carried over to 2014</w:t>
            </w:r>
            <w:r>
              <w:noBreakHyphen/>
            </w:r>
            <w:r w:rsidRPr="00774631">
              <w:t>15.</w:t>
            </w:r>
          </w:p>
        </w:tc>
      </w:tr>
    </w:tbl>
    <w:p w:rsidR="00A53D7D" w:rsidRDefault="00A53D7D" w:rsidP="005140B4">
      <w:pPr>
        <w:pStyle w:val="Source"/>
      </w:pPr>
      <w:r w:rsidRPr="00774631">
        <w:t>Sources: Departments of Premier and Cabinet and Treasury and Finance</w:t>
      </w:r>
      <w:r>
        <w:fldChar w:fldCharType="begin"/>
      </w:r>
      <w:r>
        <w:instrText xml:space="preserve"> XE "</w:instrText>
      </w:r>
      <w:r w:rsidRPr="007D5516">
        <w:instrText>Department of Premier and Cabinet:Supporting and Strengthening Communities</w:instrText>
      </w:r>
      <w:r>
        <w:instrText xml:space="preserve">" \r "BP3DPCSuppandStrengthComm" </w:instrText>
      </w:r>
      <w:r>
        <w:fldChar w:fldCharType="end"/>
      </w:r>
      <w:r>
        <w:fldChar w:fldCharType="begin"/>
      </w:r>
      <w:r>
        <w:instrText xml:space="preserve"> XE "</w:instrText>
      </w:r>
      <w:r w:rsidRPr="00131CE4">
        <w:instrText>Communities:Supporting and Strengthening Communities</w:instrText>
      </w:r>
      <w:r>
        <w:instrText xml:space="preserve">" \r "BP3DPCSuppandStrengthComm" </w:instrText>
      </w:r>
      <w:r>
        <w:fldChar w:fldCharType="end"/>
      </w:r>
      <w:r>
        <w:t xml:space="preserve">  </w:t>
      </w:r>
      <w:bookmarkEnd w:id="124"/>
    </w:p>
    <w:p w:rsidR="00A53D7D" w:rsidRDefault="00A53D7D">
      <w:pPr>
        <w:spacing w:after="0"/>
        <w:rPr>
          <w:rFonts w:ascii="Calibri" w:hAnsi="Calibri"/>
          <w:i/>
          <w:sz w:val="15"/>
        </w:rPr>
      </w:pPr>
      <w:r>
        <w:br w:type="page"/>
      </w:r>
    </w:p>
    <w:p w:rsidR="00A53D7D" w:rsidRPr="00E25303" w:rsidRDefault="00A53D7D" w:rsidP="005140B4">
      <w:pPr>
        <w:pStyle w:val="OGHeading1"/>
      </w:pPr>
      <w:bookmarkStart w:id="125" w:name="BP3DPCPubSectMgmtGovandSupp"/>
      <w:r w:rsidRPr="00E25303">
        <w:t>Public S</w:t>
      </w:r>
      <w:r w:rsidRPr="005B2F28">
        <w:rPr>
          <w:rStyle w:val="OGHeading1Char"/>
          <w:b/>
        </w:rPr>
        <w:t>e</w:t>
      </w:r>
      <w:r w:rsidRPr="00E25303">
        <w:t xml:space="preserve">ctor Management, </w:t>
      </w:r>
      <w:proofErr w:type="gramStart"/>
      <w:r w:rsidRPr="00E25303">
        <w:t>Governance</w:t>
      </w:r>
      <w:proofErr w:type="gramEnd"/>
      <w:r w:rsidRPr="00E25303">
        <w:t xml:space="preserve"> and Support</w:t>
      </w:r>
    </w:p>
    <w:p w:rsidR="00A53D7D" w:rsidRPr="00774631" w:rsidRDefault="00A53D7D" w:rsidP="005140B4">
      <w:pPr>
        <w:pStyle w:val="OGText"/>
      </w:pPr>
      <w:r w:rsidRPr="00774631">
        <w:t xml:space="preserve">These outputs relate to the provision of independent services and aim to ensure effective management, </w:t>
      </w:r>
      <w:proofErr w:type="gramStart"/>
      <w:r w:rsidRPr="00774631">
        <w:t>governance</w:t>
      </w:r>
      <w:proofErr w:type="gramEnd"/>
      <w:r w:rsidRPr="00774631">
        <w:t xml:space="preserve"> and support of the public sector. </w:t>
      </w:r>
    </w:p>
    <w:p w:rsidR="00A53D7D" w:rsidRPr="00774631" w:rsidRDefault="00A53D7D" w:rsidP="005140B4">
      <w:pPr>
        <w:pStyle w:val="OGText"/>
      </w:pPr>
      <w:r w:rsidRPr="00774631">
        <w:t xml:space="preserve">These outputs contribute to the departmental objective of promoting an effective, </w:t>
      </w:r>
      <w:proofErr w:type="gramStart"/>
      <w:r w:rsidRPr="00774631">
        <w:t>accountable</w:t>
      </w:r>
      <w:proofErr w:type="gramEnd"/>
      <w:r w:rsidRPr="00774631">
        <w:t xml:space="preserve"> and professional public administration.</w:t>
      </w:r>
    </w:p>
    <w:tbl>
      <w:tblPr>
        <w:tblW w:w="7769" w:type="dxa"/>
        <w:tblInd w:w="29" w:type="dxa"/>
        <w:tblLayout w:type="fixed"/>
        <w:tblCellMar>
          <w:left w:w="43" w:type="dxa"/>
          <w:right w:w="43" w:type="dxa"/>
        </w:tblCellMar>
        <w:tblLook w:val="04A0" w:firstRow="1" w:lastRow="0" w:firstColumn="1" w:lastColumn="0" w:noHBand="0" w:noVBand="1"/>
      </w:tblPr>
      <w:tblGrid>
        <w:gridCol w:w="3150"/>
        <w:gridCol w:w="924"/>
        <w:gridCol w:w="896"/>
        <w:gridCol w:w="979"/>
        <w:gridCol w:w="924"/>
        <w:gridCol w:w="896"/>
      </w:tblGrid>
      <w:tr w:rsidR="00A53D7D" w:rsidRPr="00774631" w:rsidTr="005140B4">
        <w:trPr>
          <w:trHeight w:val="797"/>
          <w:tblHeader/>
        </w:trPr>
        <w:tc>
          <w:tcPr>
            <w:tcW w:w="3150" w:type="dxa"/>
            <w:tcBorders>
              <w:top w:val="single" w:sz="4" w:space="0" w:color="auto"/>
              <w:left w:val="single" w:sz="4" w:space="0" w:color="auto"/>
              <w:bottom w:val="single" w:sz="4" w:space="0" w:color="auto"/>
              <w:right w:val="nil"/>
            </w:tcBorders>
            <w:shd w:val="clear" w:color="auto" w:fill="000000"/>
            <w:vAlign w:val="bottom"/>
          </w:tcPr>
          <w:p w:rsidR="00A53D7D" w:rsidRPr="00774631" w:rsidRDefault="00A53D7D" w:rsidP="005140B4">
            <w:pPr>
              <w:pStyle w:val="TabletextheadingLeft0"/>
            </w:pPr>
            <w:r w:rsidRPr="00871A9E">
              <w:rPr>
                <w:b/>
                <w:i w:val="0"/>
              </w:rPr>
              <w:t>Major Outputs/Deliverables</w:t>
            </w:r>
            <w:r w:rsidRPr="00774631">
              <w:br/>
              <w:t>Performance measures</w:t>
            </w:r>
          </w:p>
        </w:tc>
        <w:tc>
          <w:tcPr>
            <w:tcW w:w="924"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 xml:space="preserve">Unit of </w:t>
            </w:r>
            <w:r w:rsidRPr="00774631">
              <w:br/>
            </w:r>
            <w:r>
              <w:t>m</w:t>
            </w:r>
            <w:r w:rsidRPr="00774631">
              <w:t>easure</w:t>
            </w:r>
          </w:p>
        </w:tc>
        <w:tc>
          <w:tcPr>
            <w:tcW w:w="896"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2014</w:t>
            </w:r>
            <w:r>
              <w:noBreakHyphen/>
            </w:r>
            <w:r w:rsidRPr="00774631">
              <w:t>15 Target</w:t>
            </w:r>
          </w:p>
        </w:tc>
        <w:tc>
          <w:tcPr>
            <w:tcW w:w="979"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2013</w:t>
            </w:r>
            <w:r>
              <w:noBreakHyphen/>
            </w:r>
            <w:r w:rsidRPr="00774631">
              <w:t>14 Expected Outcome</w:t>
            </w:r>
          </w:p>
        </w:tc>
        <w:tc>
          <w:tcPr>
            <w:tcW w:w="924" w:type="dxa"/>
            <w:tcBorders>
              <w:top w:val="single" w:sz="4" w:space="0" w:color="auto"/>
              <w:left w:val="nil"/>
              <w:bottom w:val="single" w:sz="4" w:space="0" w:color="auto"/>
              <w:right w:val="nil"/>
            </w:tcBorders>
            <w:shd w:val="clear" w:color="auto" w:fill="000000"/>
            <w:noWrap/>
            <w:vAlign w:val="bottom"/>
            <w:hideMark/>
          </w:tcPr>
          <w:p w:rsidR="00A53D7D" w:rsidRPr="00774631" w:rsidRDefault="00A53D7D" w:rsidP="005140B4">
            <w:pPr>
              <w:pStyle w:val="Tabletextheading"/>
            </w:pPr>
            <w:r w:rsidRPr="00774631">
              <w:t>2013</w:t>
            </w:r>
            <w:r>
              <w:noBreakHyphen/>
            </w:r>
            <w:r w:rsidRPr="00774631">
              <w:t>14 Target</w:t>
            </w:r>
          </w:p>
        </w:tc>
        <w:tc>
          <w:tcPr>
            <w:tcW w:w="896" w:type="dxa"/>
            <w:tcBorders>
              <w:top w:val="single" w:sz="4" w:space="0" w:color="auto"/>
              <w:left w:val="nil"/>
              <w:bottom w:val="single" w:sz="4" w:space="0" w:color="auto"/>
              <w:right w:val="single" w:sz="4" w:space="0" w:color="auto"/>
            </w:tcBorders>
            <w:shd w:val="clear" w:color="auto" w:fill="000000"/>
            <w:noWrap/>
            <w:vAlign w:val="bottom"/>
            <w:hideMark/>
          </w:tcPr>
          <w:p w:rsidR="00A53D7D" w:rsidRPr="00774631" w:rsidRDefault="00A53D7D" w:rsidP="005140B4">
            <w:pPr>
              <w:pStyle w:val="Tabletextheading"/>
            </w:pPr>
            <w:r w:rsidRPr="00774631">
              <w:t>2012</w:t>
            </w:r>
            <w:r>
              <w:noBreakHyphen/>
            </w:r>
            <w:r w:rsidRPr="00774631">
              <w:t>13 Actual</w:t>
            </w:r>
          </w:p>
        </w:tc>
      </w:tr>
      <w:tr w:rsidR="00A53D7D" w:rsidRPr="00774631" w:rsidTr="005140B4">
        <w:trPr>
          <w:trHeight w:val="511"/>
        </w:trPr>
        <w:tc>
          <w:tcPr>
            <w:tcW w:w="7769" w:type="dxa"/>
            <w:gridSpan w:val="6"/>
            <w:tcBorders>
              <w:top w:val="nil"/>
              <w:left w:val="nil"/>
              <w:bottom w:val="nil"/>
              <w:right w:val="nil"/>
            </w:tcBorders>
            <w:shd w:val="clear" w:color="auto" w:fill="auto"/>
            <w:hideMark/>
          </w:tcPr>
          <w:p w:rsidR="00A53D7D" w:rsidRPr="00774631" w:rsidRDefault="00A53D7D" w:rsidP="005140B4">
            <w:pPr>
              <w:pStyle w:val="OGHeading2"/>
            </w:pPr>
            <w:r w:rsidRPr="00774631">
              <w:t>Advice and Support to the Governor</w:t>
            </w:r>
          </w:p>
        </w:tc>
      </w:tr>
      <w:tr w:rsidR="00A53D7D" w:rsidRPr="00774631" w:rsidTr="005140B4">
        <w:trPr>
          <w:trHeight w:val="647"/>
        </w:trPr>
        <w:tc>
          <w:tcPr>
            <w:tcW w:w="7769" w:type="dxa"/>
            <w:gridSpan w:val="6"/>
            <w:tcBorders>
              <w:top w:val="nil"/>
              <w:left w:val="nil"/>
              <w:bottom w:val="single" w:sz="6" w:space="0" w:color="auto"/>
              <w:right w:val="nil"/>
            </w:tcBorders>
            <w:shd w:val="clear" w:color="auto" w:fill="auto"/>
            <w:hideMark/>
          </w:tcPr>
          <w:p w:rsidR="00A53D7D" w:rsidRPr="00774631" w:rsidRDefault="00A53D7D" w:rsidP="005140B4">
            <w:pPr>
              <w:pStyle w:val="OGText"/>
            </w:pPr>
            <w:r w:rsidRPr="00774631">
              <w:t>Provide advice and support to the Governor, and maintain Government House and its collections as a heritage asset of national importance.</w:t>
            </w:r>
          </w:p>
        </w:tc>
      </w:tr>
      <w:tr w:rsidR="00A53D7D" w:rsidRPr="00774631" w:rsidTr="005140B4">
        <w:trPr>
          <w:trHeight w:val="301"/>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Quantity</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right w:val="nil"/>
            </w:tcBorders>
            <w:shd w:val="clear" w:color="auto" w:fill="D9D9D9"/>
            <w:noWrap/>
            <w:hideMark/>
          </w:tcPr>
          <w:p w:rsidR="00A53D7D" w:rsidRPr="00774631" w:rsidRDefault="00A53D7D" w:rsidP="005140B4">
            <w:pPr>
              <w:pStyle w:val="OGTableofFigures"/>
            </w:pPr>
            <w:r w:rsidRPr="00774631">
              <w:t> </w:t>
            </w:r>
          </w:p>
        </w:tc>
        <w:tc>
          <w:tcPr>
            <w:tcW w:w="979"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5140B4">
        <w:trPr>
          <w:trHeight w:val="505"/>
        </w:trPr>
        <w:tc>
          <w:tcPr>
            <w:tcW w:w="3150" w:type="dxa"/>
            <w:tcBorders>
              <w:top w:val="nil"/>
              <w:left w:val="nil"/>
              <w:right w:val="nil"/>
            </w:tcBorders>
            <w:shd w:val="clear" w:color="auto" w:fill="auto"/>
          </w:tcPr>
          <w:p w:rsidR="00A53D7D" w:rsidRPr="00774631" w:rsidRDefault="00A53D7D" w:rsidP="005140B4">
            <w:pPr>
              <w:pStyle w:val="OGTabText"/>
            </w:pPr>
            <w:r w:rsidRPr="00774631">
              <w:t>Events and services arranged in response to requests by the Governor</w:t>
            </w:r>
          </w:p>
        </w:tc>
        <w:tc>
          <w:tcPr>
            <w:tcW w:w="924" w:type="dxa"/>
            <w:tcBorders>
              <w:top w:val="nil"/>
              <w:left w:val="nil"/>
              <w:right w:val="nil"/>
            </w:tcBorders>
            <w:shd w:val="clear" w:color="auto" w:fill="auto"/>
            <w:noWrap/>
          </w:tcPr>
          <w:p w:rsidR="00A53D7D" w:rsidRPr="00774631" w:rsidRDefault="00A53D7D" w:rsidP="005140B4">
            <w:pPr>
              <w:pStyle w:val="OGUoM"/>
            </w:pPr>
            <w:r w:rsidRPr="00774631">
              <w:t>number</w:t>
            </w:r>
          </w:p>
        </w:tc>
        <w:tc>
          <w:tcPr>
            <w:tcW w:w="896" w:type="dxa"/>
            <w:tcBorders>
              <w:top w:val="nil"/>
              <w:left w:val="nil"/>
              <w:right w:val="nil"/>
            </w:tcBorders>
            <w:shd w:val="clear" w:color="auto" w:fill="D9D9D9"/>
            <w:noWrap/>
          </w:tcPr>
          <w:p w:rsidR="00A53D7D" w:rsidRPr="00774631" w:rsidRDefault="00A53D7D" w:rsidP="005140B4">
            <w:pPr>
              <w:pStyle w:val="OGTableofFigures"/>
            </w:pPr>
            <w:r w:rsidRPr="00774631">
              <w:t>150</w:t>
            </w:r>
          </w:p>
        </w:tc>
        <w:tc>
          <w:tcPr>
            <w:tcW w:w="979" w:type="dxa"/>
            <w:tcBorders>
              <w:top w:val="nil"/>
              <w:left w:val="nil"/>
              <w:right w:val="nil"/>
            </w:tcBorders>
            <w:shd w:val="clear" w:color="auto" w:fill="auto"/>
            <w:noWrap/>
          </w:tcPr>
          <w:p w:rsidR="00A53D7D" w:rsidRPr="00774631" w:rsidRDefault="00A53D7D" w:rsidP="005140B4">
            <w:pPr>
              <w:pStyle w:val="OGTableofFigures"/>
            </w:pPr>
            <w:r w:rsidRPr="00774631">
              <w:t>nm</w:t>
            </w:r>
          </w:p>
        </w:tc>
        <w:tc>
          <w:tcPr>
            <w:tcW w:w="924" w:type="dxa"/>
            <w:tcBorders>
              <w:top w:val="nil"/>
              <w:left w:val="nil"/>
              <w:right w:val="nil"/>
            </w:tcBorders>
            <w:shd w:val="clear" w:color="auto" w:fill="auto"/>
            <w:noWrap/>
          </w:tcPr>
          <w:p w:rsidR="00A53D7D" w:rsidRPr="00774631" w:rsidRDefault="00A53D7D" w:rsidP="005140B4">
            <w:pPr>
              <w:pStyle w:val="OGTableofFigures"/>
            </w:pPr>
            <w:r w:rsidRPr="00774631">
              <w:t>nm</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nm</w:t>
            </w:r>
          </w:p>
        </w:tc>
      </w:tr>
      <w:tr w:rsidR="00A53D7D" w:rsidRPr="00774631" w:rsidTr="005140B4">
        <w:trPr>
          <w:trHeight w:val="144"/>
        </w:trPr>
        <w:tc>
          <w:tcPr>
            <w:tcW w:w="7769" w:type="dxa"/>
            <w:gridSpan w:val="6"/>
            <w:tcBorders>
              <w:left w:val="nil"/>
              <w:right w:val="nil"/>
            </w:tcBorders>
            <w:shd w:val="clear" w:color="auto" w:fill="auto"/>
          </w:tcPr>
          <w:p w:rsidR="00A53D7D" w:rsidRPr="00774631" w:rsidRDefault="00A53D7D" w:rsidP="005140B4">
            <w:pPr>
              <w:pStyle w:val="OGNotes"/>
            </w:pPr>
            <w:r w:rsidRPr="00774631">
              <w:t>This performance measure is proposed to replace the 2013</w:t>
            </w:r>
            <w:r>
              <w:noBreakHyphen/>
            </w:r>
            <w:r w:rsidRPr="00774631">
              <w:t xml:space="preserve">14 performance measure </w:t>
            </w:r>
            <w:r>
              <w:t>‘</w:t>
            </w:r>
            <w:r w:rsidRPr="00774631">
              <w:t>Events and services arranged in response to requests by the Governor and the Premier</w:t>
            </w:r>
            <w:r>
              <w:t>’</w:t>
            </w:r>
            <w:r w:rsidRPr="00774631">
              <w:t xml:space="preserve">. </w:t>
            </w:r>
            <w:r>
              <w:t>This amendment aligns with the measurement approach in Question 11(a) of PAEC’s 2012</w:t>
            </w:r>
            <w:r>
              <w:noBreakHyphen/>
              <w:t>13 Financial and Performance Outcomes – Entity</w:t>
            </w:r>
            <w:r>
              <w:noBreakHyphen/>
              <w:t>Specific Questionnaire.</w:t>
            </w:r>
          </w:p>
        </w:tc>
      </w:tr>
      <w:tr w:rsidR="00A53D7D" w:rsidRPr="00774631" w:rsidTr="005140B4">
        <w:trPr>
          <w:trHeight w:val="316"/>
        </w:trPr>
        <w:tc>
          <w:tcPr>
            <w:tcW w:w="3150" w:type="dxa"/>
            <w:tcBorders>
              <w:top w:val="single" w:sz="6" w:space="0" w:color="auto"/>
              <w:left w:val="nil"/>
              <w:bottom w:val="nil"/>
              <w:right w:val="nil"/>
            </w:tcBorders>
            <w:shd w:val="clear" w:color="auto" w:fill="auto"/>
            <w:hideMark/>
          </w:tcPr>
          <w:p w:rsidR="00A53D7D" w:rsidRPr="00774631" w:rsidRDefault="00A53D7D" w:rsidP="005140B4">
            <w:pPr>
              <w:pStyle w:val="OGTabHead"/>
            </w:pPr>
            <w:r w:rsidRPr="00774631">
              <w:t>Quality</w:t>
            </w:r>
          </w:p>
        </w:tc>
        <w:tc>
          <w:tcPr>
            <w:tcW w:w="924" w:type="dxa"/>
            <w:tcBorders>
              <w:top w:val="single" w:sz="6" w:space="0" w:color="auto"/>
              <w:left w:val="nil"/>
              <w:bottom w:val="nil"/>
              <w:right w:val="nil"/>
            </w:tcBorders>
            <w:shd w:val="clear" w:color="auto" w:fill="auto"/>
            <w:noWrap/>
          </w:tcPr>
          <w:p w:rsidR="00A53D7D" w:rsidRPr="00774631" w:rsidRDefault="00A53D7D" w:rsidP="005140B4">
            <w:pPr>
              <w:pStyle w:val="OGUoM"/>
            </w:pPr>
          </w:p>
        </w:tc>
        <w:tc>
          <w:tcPr>
            <w:tcW w:w="896" w:type="dxa"/>
            <w:tcBorders>
              <w:top w:val="single" w:sz="6" w:space="0" w:color="auto"/>
              <w:left w:val="nil"/>
              <w:bottom w:val="nil"/>
              <w:right w:val="nil"/>
            </w:tcBorders>
            <w:shd w:val="clear" w:color="auto" w:fill="D9D9D9"/>
            <w:noWrap/>
          </w:tcPr>
          <w:p w:rsidR="00A53D7D" w:rsidRPr="00774631" w:rsidRDefault="00A53D7D" w:rsidP="005140B4">
            <w:pPr>
              <w:pStyle w:val="OGTableofFigures"/>
            </w:pPr>
          </w:p>
        </w:tc>
        <w:tc>
          <w:tcPr>
            <w:tcW w:w="979"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c>
          <w:tcPr>
            <w:tcW w:w="924"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r>
      <w:tr w:rsidR="00A53D7D" w:rsidRPr="00774631" w:rsidTr="005140B4">
        <w:trPr>
          <w:trHeight w:val="475"/>
        </w:trPr>
        <w:tc>
          <w:tcPr>
            <w:tcW w:w="3150" w:type="dxa"/>
            <w:tcBorders>
              <w:top w:val="nil"/>
              <w:left w:val="nil"/>
              <w:bottom w:val="single" w:sz="6" w:space="0" w:color="auto"/>
              <w:right w:val="nil"/>
            </w:tcBorders>
            <w:shd w:val="clear" w:color="auto" w:fill="auto"/>
          </w:tcPr>
          <w:p w:rsidR="00A53D7D" w:rsidRPr="00774631" w:rsidRDefault="00A53D7D" w:rsidP="005140B4">
            <w:pPr>
              <w:pStyle w:val="OGTabText"/>
            </w:pPr>
            <w:r w:rsidRPr="00774631">
              <w:t>Maintenance of assets in accordance with asset management strategy</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nil"/>
              <w:left w:val="nil"/>
              <w:bottom w:val="single" w:sz="6" w:space="0" w:color="auto"/>
              <w:right w:val="nil"/>
            </w:tcBorders>
            <w:shd w:val="clear" w:color="auto" w:fill="D9D9D9"/>
            <w:noWrap/>
          </w:tcPr>
          <w:p w:rsidR="00A53D7D" w:rsidRPr="00774631" w:rsidRDefault="00A53D7D" w:rsidP="005140B4">
            <w:pPr>
              <w:pStyle w:val="OGTableofFigures"/>
            </w:pPr>
            <w:r w:rsidRPr="00774631">
              <w:t>100</w:t>
            </w:r>
          </w:p>
        </w:tc>
        <w:tc>
          <w:tcPr>
            <w:tcW w:w="979"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896"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r>
      <w:tr w:rsidR="00A53D7D" w:rsidRPr="00774631" w:rsidTr="005140B4">
        <w:trPr>
          <w:trHeight w:val="797"/>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Management of the program of events and services meets the expectations of the Governor</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95</w:t>
            </w:r>
          </w:p>
        </w:tc>
        <w:tc>
          <w:tcPr>
            <w:tcW w:w="979"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95</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95</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95</w:t>
            </w:r>
          </w:p>
        </w:tc>
      </w:tr>
      <w:tr w:rsidR="00A53D7D" w:rsidRPr="00774631" w:rsidTr="005140B4">
        <w:trPr>
          <w:trHeight w:val="948"/>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Standard, physical appearance and security of Government House, the gardens and grounds meet appropriate standards as per the asset management strategy</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95</w:t>
            </w:r>
          </w:p>
        </w:tc>
        <w:tc>
          <w:tcPr>
            <w:tcW w:w="979"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95</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95</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95</w:t>
            </w:r>
          </w:p>
        </w:tc>
      </w:tr>
      <w:tr w:rsidR="00A53D7D" w:rsidRPr="00774631" w:rsidTr="005B2F28">
        <w:trPr>
          <w:trHeight w:val="301"/>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Timeliness</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79"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24"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B2F28">
        <w:trPr>
          <w:trHeight w:val="301"/>
        </w:trPr>
        <w:tc>
          <w:tcPr>
            <w:tcW w:w="3150" w:type="dxa"/>
            <w:tcBorders>
              <w:top w:val="nil"/>
              <w:left w:val="nil"/>
              <w:bottom w:val="single" w:sz="6" w:space="0" w:color="auto"/>
              <w:right w:val="nil"/>
            </w:tcBorders>
            <w:shd w:val="clear" w:color="auto" w:fill="auto"/>
          </w:tcPr>
          <w:p w:rsidR="00A53D7D" w:rsidRPr="00774631" w:rsidRDefault="00A53D7D" w:rsidP="005140B4">
            <w:pPr>
              <w:pStyle w:val="OGTabText"/>
            </w:pPr>
            <w:r w:rsidRPr="00774631">
              <w:t>Contract milestones are met</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nil"/>
              <w:left w:val="nil"/>
              <w:bottom w:val="single" w:sz="6" w:space="0" w:color="auto"/>
              <w:right w:val="nil"/>
            </w:tcBorders>
            <w:shd w:val="clear" w:color="auto" w:fill="D9D9D9"/>
            <w:noWrap/>
          </w:tcPr>
          <w:p w:rsidR="00A53D7D" w:rsidRPr="00774631" w:rsidRDefault="00A53D7D" w:rsidP="005140B4">
            <w:pPr>
              <w:pStyle w:val="OGTableofFigures"/>
            </w:pPr>
            <w:r w:rsidRPr="00774631">
              <w:t>100</w:t>
            </w:r>
          </w:p>
        </w:tc>
        <w:tc>
          <w:tcPr>
            <w:tcW w:w="979"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896"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r>
      <w:tr w:rsidR="00A53D7D" w:rsidRPr="00774631" w:rsidTr="005B2F28">
        <w:trPr>
          <w:trHeight w:val="259"/>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Timely arrangement of events and services</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100</w:t>
            </w:r>
          </w:p>
        </w:tc>
        <w:tc>
          <w:tcPr>
            <w:tcW w:w="979"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100</w:t>
            </w:r>
          </w:p>
        </w:tc>
      </w:tr>
      <w:tr w:rsidR="00A53D7D" w:rsidRPr="00774631" w:rsidTr="005140B4">
        <w:trPr>
          <w:trHeight w:val="301"/>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Cost</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right w:val="nil"/>
            </w:tcBorders>
            <w:shd w:val="clear" w:color="auto" w:fill="D9D9D9"/>
            <w:noWrap/>
            <w:hideMark/>
          </w:tcPr>
          <w:p w:rsidR="00A53D7D" w:rsidRPr="00774631" w:rsidRDefault="00A53D7D" w:rsidP="005140B4">
            <w:pPr>
              <w:pStyle w:val="OGTableofFigures"/>
            </w:pPr>
            <w:r w:rsidRPr="00774631">
              <w:t> </w:t>
            </w:r>
          </w:p>
        </w:tc>
        <w:tc>
          <w:tcPr>
            <w:tcW w:w="979"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5140B4">
        <w:trPr>
          <w:trHeight w:val="63"/>
        </w:trPr>
        <w:tc>
          <w:tcPr>
            <w:tcW w:w="3150" w:type="dxa"/>
            <w:tcBorders>
              <w:top w:val="nil"/>
              <w:left w:val="nil"/>
              <w:bottom w:val="single" w:sz="6" w:space="0" w:color="auto"/>
              <w:right w:val="nil"/>
            </w:tcBorders>
            <w:shd w:val="clear" w:color="auto" w:fill="auto"/>
          </w:tcPr>
          <w:p w:rsidR="00A53D7D" w:rsidRPr="00774631" w:rsidRDefault="00A53D7D" w:rsidP="005140B4">
            <w:pPr>
              <w:pStyle w:val="OGTabText"/>
            </w:pPr>
            <w:r w:rsidRPr="00774631">
              <w:t>Total output cost</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UoM"/>
            </w:pPr>
            <w:r w:rsidRPr="00774631">
              <w:t>$ million</w:t>
            </w:r>
          </w:p>
        </w:tc>
        <w:tc>
          <w:tcPr>
            <w:tcW w:w="896" w:type="dxa"/>
            <w:tcBorders>
              <w:top w:val="nil"/>
              <w:left w:val="nil"/>
              <w:bottom w:val="single" w:sz="6" w:space="0" w:color="auto"/>
              <w:right w:val="nil"/>
            </w:tcBorders>
            <w:shd w:val="clear" w:color="auto" w:fill="D9D9D9"/>
            <w:noWrap/>
          </w:tcPr>
          <w:p w:rsidR="00A53D7D" w:rsidRPr="00774631" w:rsidRDefault="00A53D7D" w:rsidP="005140B4">
            <w:pPr>
              <w:pStyle w:val="OGTableofFigures"/>
            </w:pPr>
            <w:r w:rsidRPr="00774631">
              <w:t>10.1</w:t>
            </w:r>
          </w:p>
        </w:tc>
        <w:tc>
          <w:tcPr>
            <w:tcW w:w="979"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t>10.2</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9.9</w:t>
            </w:r>
          </w:p>
        </w:tc>
        <w:tc>
          <w:tcPr>
            <w:tcW w:w="896"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t>9.</w:t>
            </w:r>
            <w:r w:rsidRPr="00774631">
              <w:t>8</w:t>
            </w:r>
          </w:p>
        </w:tc>
      </w:tr>
      <w:tr w:rsidR="00A53D7D" w:rsidRPr="00774631" w:rsidTr="005140B4">
        <w:trPr>
          <w:trHeight w:val="511"/>
        </w:trPr>
        <w:tc>
          <w:tcPr>
            <w:tcW w:w="7769" w:type="dxa"/>
            <w:gridSpan w:val="6"/>
            <w:tcBorders>
              <w:top w:val="single" w:sz="6" w:space="0" w:color="auto"/>
              <w:left w:val="nil"/>
              <w:bottom w:val="nil"/>
              <w:right w:val="nil"/>
            </w:tcBorders>
            <w:shd w:val="clear" w:color="auto" w:fill="auto"/>
            <w:hideMark/>
          </w:tcPr>
          <w:p w:rsidR="00A53D7D" w:rsidRPr="00774631" w:rsidRDefault="00A53D7D" w:rsidP="005140B4">
            <w:pPr>
              <w:pStyle w:val="OGHeading2"/>
            </w:pPr>
            <w:r w:rsidRPr="00774631">
              <w:t>Public Administration Advice and Support</w:t>
            </w:r>
          </w:p>
        </w:tc>
      </w:tr>
      <w:tr w:rsidR="00A53D7D" w:rsidRPr="00774631" w:rsidTr="005140B4">
        <w:trPr>
          <w:trHeight w:val="406"/>
        </w:trPr>
        <w:tc>
          <w:tcPr>
            <w:tcW w:w="7769" w:type="dxa"/>
            <w:gridSpan w:val="6"/>
            <w:tcBorders>
              <w:top w:val="nil"/>
              <w:left w:val="nil"/>
              <w:bottom w:val="single" w:sz="6" w:space="0" w:color="auto"/>
              <w:right w:val="nil"/>
            </w:tcBorders>
            <w:shd w:val="clear" w:color="auto" w:fill="auto"/>
          </w:tcPr>
          <w:p w:rsidR="00A53D7D" w:rsidRPr="00774631" w:rsidRDefault="00A53D7D" w:rsidP="005140B4">
            <w:pPr>
              <w:pStyle w:val="OGText"/>
            </w:pPr>
            <w:r w:rsidRPr="00774631">
              <w:t xml:space="preserve">Through the Victorian Public Sector Commission, provide advice and support on issues relevant to public administration, governance, service </w:t>
            </w:r>
            <w:proofErr w:type="gramStart"/>
            <w:r w:rsidRPr="00774631">
              <w:t>delivery</w:t>
            </w:r>
            <w:proofErr w:type="gramEnd"/>
            <w:r w:rsidRPr="00774631">
              <w:t xml:space="preserve"> and workforce matters; undertake related research, data collection, reporting and dissemination of information</w:t>
            </w:r>
            <w:r>
              <w:t xml:space="preserve">. </w:t>
            </w:r>
            <w:r w:rsidRPr="00774631">
              <w:t xml:space="preserve">Advocate for an apolitical and professional public sector; monitor compliance with the public sector values, employment principles, </w:t>
            </w:r>
            <w:proofErr w:type="gramStart"/>
            <w:r w:rsidRPr="00774631">
              <w:t>codes</w:t>
            </w:r>
            <w:proofErr w:type="gramEnd"/>
            <w:r w:rsidRPr="00774631">
              <w:t xml:space="preserve"> and standards; conduct related reviews and make recommendations to public sector body heads</w:t>
            </w:r>
            <w:r>
              <w:t>.</w:t>
            </w:r>
          </w:p>
        </w:tc>
      </w:tr>
      <w:tr w:rsidR="00A53D7D" w:rsidRPr="00774631" w:rsidTr="005140B4">
        <w:trPr>
          <w:trHeight w:val="301"/>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Quantity</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right w:val="nil"/>
            </w:tcBorders>
            <w:shd w:val="clear" w:color="auto" w:fill="D9D9D9"/>
            <w:noWrap/>
            <w:hideMark/>
          </w:tcPr>
          <w:p w:rsidR="00A53D7D" w:rsidRPr="00774631" w:rsidRDefault="00A53D7D" w:rsidP="005140B4">
            <w:pPr>
              <w:pStyle w:val="OGTableofFigures"/>
            </w:pPr>
            <w:r w:rsidRPr="00774631">
              <w:t> </w:t>
            </w:r>
          </w:p>
        </w:tc>
        <w:tc>
          <w:tcPr>
            <w:tcW w:w="979"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5140B4">
        <w:trPr>
          <w:trHeight w:val="505"/>
        </w:trPr>
        <w:tc>
          <w:tcPr>
            <w:tcW w:w="3150" w:type="dxa"/>
            <w:tcBorders>
              <w:top w:val="nil"/>
              <w:left w:val="nil"/>
              <w:right w:val="nil"/>
            </w:tcBorders>
            <w:shd w:val="clear" w:color="auto" w:fill="auto"/>
          </w:tcPr>
          <w:p w:rsidR="00A53D7D" w:rsidRPr="00774631" w:rsidRDefault="00A53D7D" w:rsidP="005140B4">
            <w:pPr>
              <w:pStyle w:val="OGTabText"/>
            </w:pPr>
            <w:r w:rsidRPr="00774631">
              <w:t>Advice and support provided to the public sector on relevant issues</w:t>
            </w:r>
          </w:p>
        </w:tc>
        <w:tc>
          <w:tcPr>
            <w:tcW w:w="924" w:type="dxa"/>
            <w:tcBorders>
              <w:top w:val="nil"/>
              <w:left w:val="nil"/>
              <w:right w:val="nil"/>
            </w:tcBorders>
            <w:shd w:val="clear" w:color="auto" w:fill="auto"/>
            <w:noWrap/>
          </w:tcPr>
          <w:p w:rsidR="00A53D7D" w:rsidRPr="00774631" w:rsidRDefault="00A53D7D" w:rsidP="005140B4">
            <w:pPr>
              <w:pStyle w:val="OGUoM"/>
            </w:pPr>
            <w:r w:rsidRPr="00774631">
              <w:t>number</w:t>
            </w:r>
          </w:p>
        </w:tc>
        <w:tc>
          <w:tcPr>
            <w:tcW w:w="896" w:type="dxa"/>
            <w:tcBorders>
              <w:top w:val="nil"/>
              <w:left w:val="nil"/>
              <w:right w:val="nil"/>
            </w:tcBorders>
            <w:shd w:val="clear" w:color="auto" w:fill="D9D9D9"/>
            <w:noWrap/>
          </w:tcPr>
          <w:p w:rsidR="00A53D7D" w:rsidRPr="00774631" w:rsidRDefault="00A53D7D" w:rsidP="005140B4">
            <w:pPr>
              <w:pStyle w:val="OGTableofFigures"/>
            </w:pPr>
            <w:r w:rsidRPr="00774631">
              <w:t>80</w:t>
            </w:r>
          </w:p>
        </w:tc>
        <w:tc>
          <w:tcPr>
            <w:tcW w:w="979" w:type="dxa"/>
            <w:tcBorders>
              <w:top w:val="nil"/>
              <w:left w:val="nil"/>
              <w:right w:val="nil"/>
            </w:tcBorders>
            <w:shd w:val="clear" w:color="auto" w:fill="auto"/>
            <w:noWrap/>
          </w:tcPr>
          <w:p w:rsidR="00A53D7D" w:rsidRPr="00774631" w:rsidRDefault="00A53D7D" w:rsidP="005140B4">
            <w:pPr>
              <w:pStyle w:val="OGTableofFigures"/>
            </w:pPr>
            <w:r w:rsidRPr="00774631">
              <w:t>nm</w:t>
            </w:r>
          </w:p>
        </w:tc>
        <w:tc>
          <w:tcPr>
            <w:tcW w:w="924" w:type="dxa"/>
            <w:tcBorders>
              <w:top w:val="nil"/>
              <w:left w:val="nil"/>
              <w:right w:val="nil"/>
            </w:tcBorders>
            <w:shd w:val="clear" w:color="auto" w:fill="auto"/>
            <w:noWrap/>
          </w:tcPr>
          <w:p w:rsidR="00A53D7D" w:rsidRPr="00774631" w:rsidRDefault="00A53D7D" w:rsidP="005140B4">
            <w:pPr>
              <w:pStyle w:val="OGTableofFigures"/>
            </w:pPr>
            <w:r w:rsidRPr="00774631">
              <w:t>nm</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nm</w:t>
            </w:r>
          </w:p>
        </w:tc>
      </w:tr>
      <w:tr w:rsidR="00A53D7D" w:rsidRPr="00774631" w:rsidTr="005140B4">
        <w:trPr>
          <w:trHeight w:val="144"/>
        </w:trPr>
        <w:tc>
          <w:tcPr>
            <w:tcW w:w="7769" w:type="dxa"/>
            <w:gridSpan w:val="6"/>
            <w:tcBorders>
              <w:left w:val="nil"/>
              <w:bottom w:val="single" w:sz="4" w:space="0" w:color="auto"/>
              <w:right w:val="nil"/>
            </w:tcBorders>
            <w:shd w:val="clear" w:color="auto" w:fill="auto"/>
          </w:tcPr>
          <w:p w:rsidR="00A53D7D" w:rsidRPr="00774631" w:rsidRDefault="00A53D7D" w:rsidP="005140B4">
            <w:pPr>
              <w:pStyle w:val="OGNotes"/>
            </w:pPr>
            <w:r w:rsidRPr="00774631">
              <w:t>New performance measure for 2014</w:t>
            </w:r>
            <w:r>
              <w:noBreakHyphen/>
            </w:r>
            <w:r w:rsidRPr="00774631">
              <w:t>15 to reflect the activities of the new Victorian Public Sector Commission.</w:t>
            </w:r>
          </w:p>
        </w:tc>
      </w:tr>
      <w:tr w:rsidR="00A53D7D" w:rsidRPr="00774631" w:rsidTr="005140B4">
        <w:trPr>
          <w:trHeight w:val="316"/>
        </w:trPr>
        <w:tc>
          <w:tcPr>
            <w:tcW w:w="3150" w:type="dxa"/>
            <w:tcBorders>
              <w:top w:val="single" w:sz="6" w:space="0" w:color="auto"/>
              <w:left w:val="nil"/>
              <w:bottom w:val="nil"/>
              <w:right w:val="nil"/>
            </w:tcBorders>
            <w:shd w:val="clear" w:color="auto" w:fill="auto"/>
            <w:hideMark/>
          </w:tcPr>
          <w:p w:rsidR="00A53D7D" w:rsidRPr="00774631" w:rsidRDefault="00A53D7D" w:rsidP="005140B4">
            <w:pPr>
              <w:pStyle w:val="OGTabHead"/>
            </w:pPr>
            <w:r w:rsidRPr="00774631">
              <w:t>Quality</w:t>
            </w:r>
          </w:p>
        </w:tc>
        <w:tc>
          <w:tcPr>
            <w:tcW w:w="924" w:type="dxa"/>
            <w:tcBorders>
              <w:top w:val="single" w:sz="6" w:space="0" w:color="auto"/>
              <w:left w:val="nil"/>
              <w:bottom w:val="nil"/>
              <w:right w:val="nil"/>
            </w:tcBorders>
            <w:shd w:val="clear" w:color="auto" w:fill="auto"/>
            <w:noWrap/>
          </w:tcPr>
          <w:p w:rsidR="00A53D7D" w:rsidRPr="00774631" w:rsidRDefault="00A53D7D" w:rsidP="005140B4">
            <w:pPr>
              <w:pStyle w:val="OGUoM"/>
            </w:pPr>
          </w:p>
        </w:tc>
        <w:tc>
          <w:tcPr>
            <w:tcW w:w="896" w:type="dxa"/>
            <w:tcBorders>
              <w:top w:val="single" w:sz="6" w:space="0" w:color="auto"/>
              <w:left w:val="nil"/>
              <w:bottom w:val="nil"/>
              <w:right w:val="nil"/>
            </w:tcBorders>
            <w:shd w:val="clear" w:color="auto" w:fill="D9D9D9"/>
            <w:noWrap/>
          </w:tcPr>
          <w:p w:rsidR="00A53D7D" w:rsidRPr="00774631" w:rsidRDefault="00A53D7D" w:rsidP="005140B4">
            <w:pPr>
              <w:pStyle w:val="OGTableofFigures"/>
            </w:pPr>
          </w:p>
        </w:tc>
        <w:tc>
          <w:tcPr>
            <w:tcW w:w="979"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c>
          <w:tcPr>
            <w:tcW w:w="924"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bottom w:val="nil"/>
              <w:right w:val="nil"/>
            </w:tcBorders>
            <w:shd w:val="clear" w:color="auto" w:fill="auto"/>
            <w:noWrap/>
          </w:tcPr>
          <w:p w:rsidR="00A53D7D" w:rsidRPr="00774631" w:rsidRDefault="00A53D7D" w:rsidP="005140B4">
            <w:pPr>
              <w:pStyle w:val="OGTableofFigures"/>
            </w:pPr>
          </w:p>
        </w:tc>
      </w:tr>
      <w:tr w:rsidR="00A53D7D" w:rsidRPr="00774631" w:rsidTr="005140B4">
        <w:trPr>
          <w:trHeight w:val="475"/>
        </w:trPr>
        <w:tc>
          <w:tcPr>
            <w:tcW w:w="3150" w:type="dxa"/>
            <w:tcBorders>
              <w:top w:val="nil"/>
              <w:left w:val="nil"/>
              <w:right w:val="nil"/>
            </w:tcBorders>
            <w:shd w:val="clear" w:color="auto" w:fill="auto"/>
          </w:tcPr>
          <w:p w:rsidR="00A53D7D" w:rsidRPr="00774631" w:rsidRDefault="00A53D7D" w:rsidP="005140B4">
            <w:pPr>
              <w:pStyle w:val="OGTabText"/>
            </w:pPr>
            <w:r w:rsidRPr="00774631">
              <w:t>Recommendations arising from reviews of actions (Section 64) implemented by the public service</w:t>
            </w:r>
          </w:p>
        </w:tc>
        <w:tc>
          <w:tcPr>
            <w:tcW w:w="924" w:type="dxa"/>
            <w:tcBorders>
              <w:top w:val="nil"/>
              <w:left w:val="nil"/>
              <w:right w:val="nil"/>
            </w:tcBorders>
            <w:shd w:val="clear" w:color="auto" w:fill="auto"/>
            <w:noWrap/>
          </w:tcPr>
          <w:p w:rsidR="00A53D7D" w:rsidRPr="00774631" w:rsidRDefault="00A53D7D" w:rsidP="005140B4">
            <w:pPr>
              <w:pStyle w:val="OGUoM"/>
            </w:pPr>
            <w:r w:rsidRPr="00774631">
              <w:t>per cent</w:t>
            </w:r>
          </w:p>
        </w:tc>
        <w:tc>
          <w:tcPr>
            <w:tcW w:w="896" w:type="dxa"/>
            <w:tcBorders>
              <w:top w:val="nil"/>
              <w:left w:val="nil"/>
              <w:right w:val="nil"/>
            </w:tcBorders>
            <w:shd w:val="clear" w:color="auto" w:fill="D9D9D9"/>
            <w:noWrap/>
          </w:tcPr>
          <w:p w:rsidR="00A53D7D" w:rsidRPr="00774631" w:rsidRDefault="00A53D7D" w:rsidP="005140B4">
            <w:pPr>
              <w:pStyle w:val="OGTableofFigures"/>
            </w:pPr>
            <w:r w:rsidRPr="00774631">
              <w:t>100</w:t>
            </w:r>
          </w:p>
        </w:tc>
        <w:tc>
          <w:tcPr>
            <w:tcW w:w="979" w:type="dxa"/>
            <w:tcBorders>
              <w:top w:val="nil"/>
              <w:left w:val="nil"/>
              <w:right w:val="nil"/>
            </w:tcBorders>
            <w:shd w:val="clear" w:color="auto" w:fill="auto"/>
            <w:noWrap/>
          </w:tcPr>
          <w:p w:rsidR="00A53D7D" w:rsidRPr="00774631" w:rsidRDefault="00A53D7D" w:rsidP="005140B4">
            <w:pPr>
              <w:pStyle w:val="OGTableofFigures"/>
            </w:pPr>
            <w:r w:rsidRPr="00774631">
              <w:t>nm</w:t>
            </w:r>
          </w:p>
        </w:tc>
        <w:tc>
          <w:tcPr>
            <w:tcW w:w="924" w:type="dxa"/>
            <w:tcBorders>
              <w:top w:val="nil"/>
              <w:left w:val="nil"/>
              <w:right w:val="nil"/>
            </w:tcBorders>
            <w:shd w:val="clear" w:color="auto" w:fill="auto"/>
            <w:noWrap/>
          </w:tcPr>
          <w:p w:rsidR="00A53D7D" w:rsidRPr="00774631" w:rsidRDefault="00A53D7D" w:rsidP="005140B4">
            <w:pPr>
              <w:pStyle w:val="OGTableofFigures"/>
            </w:pPr>
            <w:r w:rsidRPr="00774631">
              <w:t>nm</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nm</w:t>
            </w:r>
          </w:p>
        </w:tc>
      </w:tr>
      <w:tr w:rsidR="00A53D7D" w:rsidRPr="00774631" w:rsidTr="005140B4">
        <w:trPr>
          <w:trHeight w:val="144"/>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New performance measure for 2014</w:t>
            </w:r>
            <w:r>
              <w:noBreakHyphen/>
            </w:r>
            <w:r w:rsidRPr="00774631">
              <w:t>15 to reflect the activities of the new Victorian Public Sector Commission.</w:t>
            </w:r>
          </w:p>
        </w:tc>
      </w:tr>
      <w:tr w:rsidR="00A53D7D" w:rsidRPr="00774631" w:rsidTr="005140B4">
        <w:trPr>
          <w:trHeight w:val="301"/>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Timeliness</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79"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24"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B2F28">
        <w:trPr>
          <w:trHeight w:val="301"/>
        </w:trPr>
        <w:tc>
          <w:tcPr>
            <w:tcW w:w="3150" w:type="dxa"/>
            <w:tcBorders>
              <w:top w:val="nil"/>
              <w:left w:val="nil"/>
              <w:right w:val="nil"/>
            </w:tcBorders>
            <w:shd w:val="clear" w:color="auto" w:fill="auto"/>
          </w:tcPr>
          <w:p w:rsidR="00A53D7D" w:rsidRPr="00774631" w:rsidRDefault="00A53D7D" w:rsidP="005140B4">
            <w:pPr>
              <w:pStyle w:val="OGTabText"/>
            </w:pPr>
            <w:r w:rsidRPr="00774631">
              <w:t>Proportion of data collection and reporting activities completed within target timeframes</w:t>
            </w:r>
          </w:p>
        </w:tc>
        <w:tc>
          <w:tcPr>
            <w:tcW w:w="924" w:type="dxa"/>
            <w:tcBorders>
              <w:top w:val="nil"/>
              <w:left w:val="nil"/>
              <w:right w:val="nil"/>
            </w:tcBorders>
            <w:shd w:val="clear" w:color="auto" w:fill="auto"/>
            <w:noWrap/>
          </w:tcPr>
          <w:p w:rsidR="00A53D7D" w:rsidRPr="00774631" w:rsidRDefault="00A53D7D" w:rsidP="005140B4">
            <w:pPr>
              <w:pStyle w:val="OGUoM"/>
            </w:pPr>
            <w:r w:rsidRPr="00774631">
              <w:t>per cent</w:t>
            </w:r>
          </w:p>
        </w:tc>
        <w:tc>
          <w:tcPr>
            <w:tcW w:w="896" w:type="dxa"/>
            <w:tcBorders>
              <w:top w:val="nil"/>
              <w:left w:val="nil"/>
              <w:right w:val="nil"/>
            </w:tcBorders>
            <w:shd w:val="clear" w:color="auto" w:fill="D9D9D9"/>
            <w:noWrap/>
          </w:tcPr>
          <w:p w:rsidR="00A53D7D" w:rsidRPr="00774631" w:rsidRDefault="00A53D7D" w:rsidP="005140B4">
            <w:pPr>
              <w:pStyle w:val="OGTableofFigures"/>
            </w:pPr>
            <w:r w:rsidRPr="00774631">
              <w:t>90</w:t>
            </w:r>
          </w:p>
        </w:tc>
        <w:tc>
          <w:tcPr>
            <w:tcW w:w="979" w:type="dxa"/>
            <w:tcBorders>
              <w:top w:val="nil"/>
              <w:left w:val="nil"/>
              <w:right w:val="nil"/>
            </w:tcBorders>
            <w:shd w:val="clear" w:color="auto" w:fill="auto"/>
            <w:noWrap/>
          </w:tcPr>
          <w:p w:rsidR="00A53D7D" w:rsidRPr="00774631" w:rsidRDefault="00A53D7D" w:rsidP="005140B4">
            <w:pPr>
              <w:pStyle w:val="OGTableofFigures"/>
            </w:pPr>
            <w:r w:rsidRPr="00774631">
              <w:t>nm</w:t>
            </w:r>
          </w:p>
        </w:tc>
        <w:tc>
          <w:tcPr>
            <w:tcW w:w="924" w:type="dxa"/>
            <w:tcBorders>
              <w:top w:val="nil"/>
              <w:left w:val="nil"/>
              <w:right w:val="nil"/>
            </w:tcBorders>
            <w:shd w:val="clear" w:color="auto" w:fill="auto"/>
            <w:noWrap/>
          </w:tcPr>
          <w:p w:rsidR="00A53D7D" w:rsidRPr="00774631" w:rsidRDefault="00A53D7D" w:rsidP="005140B4">
            <w:pPr>
              <w:pStyle w:val="OGTableofFigures"/>
            </w:pPr>
            <w:r w:rsidRPr="00774631">
              <w:t>nm</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nm</w:t>
            </w:r>
          </w:p>
        </w:tc>
      </w:tr>
      <w:tr w:rsidR="00A53D7D" w:rsidRPr="00774631" w:rsidTr="005B2F28">
        <w:trPr>
          <w:trHeight w:val="144"/>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New performance measure for 2014</w:t>
            </w:r>
            <w:r>
              <w:noBreakHyphen/>
            </w:r>
            <w:r w:rsidRPr="00774631">
              <w:t>15 to reflect the activities of the new Victorian Public Sector Commission.</w:t>
            </w:r>
          </w:p>
        </w:tc>
      </w:tr>
      <w:tr w:rsidR="00A53D7D" w:rsidRPr="00774631" w:rsidTr="005B2F28">
        <w:trPr>
          <w:trHeight w:val="259"/>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Proportion of research projects completed in agreed timelines</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r>
              <w:t>9</w:t>
            </w:r>
            <w:r w:rsidRPr="00774631">
              <w:t>0</w:t>
            </w:r>
          </w:p>
        </w:tc>
        <w:tc>
          <w:tcPr>
            <w:tcW w:w="979"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nm</w:t>
            </w:r>
          </w:p>
        </w:tc>
        <w:tc>
          <w:tcPr>
            <w:tcW w:w="924"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nm</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nm</w:t>
            </w:r>
          </w:p>
        </w:tc>
      </w:tr>
      <w:tr w:rsidR="00A53D7D" w:rsidRPr="00774631" w:rsidTr="005140B4">
        <w:trPr>
          <w:trHeight w:val="144"/>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New performance measure for 2014</w:t>
            </w:r>
            <w:r>
              <w:noBreakHyphen/>
            </w:r>
            <w:r w:rsidRPr="00774631">
              <w:t>15 to reflect the activities of the new Victorian Public Sector Commission.</w:t>
            </w:r>
          </w:p>
        </w:tc>
      </w:tr>
      <w:tr w:rsidR="00A53D7D" w:rsidRPr="00774631" w:rsidTr="0020764E">
        <w:trPr>
          <w:trHeight w:val="301"/>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Cost</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right w:val="nil"/>
            </w:tcBorders>
            <w:shd w:val="clear" w:color="auto" w:fill="D9D9D9"/>
            <w:noWrap/>
            <w:hideMark/>
          </w:tcPr>
          <w:p w:rsidR="00A53D7D" w:rsidRPr="00774631" w:rsidRDefault="00A53D7D" w:rsidP="005140B4">
            <w:pPr>
              <w:pStyle w:val="OGTableofFigures"/>
            </w:pPr>
            <w:r w:rsidRPr="00774631">
              <w:t> </w:t>
            </w:r>
          </w:p>
        </w:tc>
        <w:tc>
          <w:tcPr>
            <w:tcW w:w="979"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20764E">
        <w:trPr>
          <w:trHeight w:val="316"/>
        </w:trPr>
        <w:tc>
          <w:tcPr>
            <w:tcW w:w="3150" w:type="dxa"/>
            <w:tcBorders>
              <w:top w:val="nil"/>
              <w:left w:val="nil"/>
              <w:bottom w:val="single" w:sz="6" w:space="0" w:color="auto"/>
              <w:right w:val="nil"/>
            </w:tcBorders>
            <w:shd w:val="clear" w:color="auto" w:fill="auto"/>
          </w:tcPr>
          <w:p w:rsidR="00A53D7D" w:rsidRPr="00774631" w:rsidRDefault="00A53D7D" w:rsidP="005140B4">
            <w:pPr>
              <w:pStyle w:val="OGTabText"/>
            </w:pPr>
            <w:r w:rsidRPr="00774631">
              <w:t>Total output cost</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UoM"/>
            </w:pPr>
            <w:r w:rsidRPr="00774631">
              <w:t>$ million</w:t>
            </w:r>
          </w:p>
        </w:tc>
        <w:tc>
          <w:tcPr>
            <w:tcW w:w="896" w:type="dxa"/>
            <w:tcBorders>
              <w:top w:val="nil"/>
              <w:left w:val="nil"/>
              <w:bottom w:val="single" w:sz="6" w:space="0" w:color="auto"/>
              <w:right w:val="nil"/>
            </w:tcBorders>
            <w:shd w:val="clear" w:color="auto" w:fill="D9D9D9"/>
            <w:noWrap/>
          </w:tcPr>
          <w:p w:rsidR="00A53D7D" w:rsidRPr="00774631" w:rsidRDefault="00A53D7D" w:rsidP="005140B4">
            <w:pPr>
              <w:pStyle w:val="OGTableofFigures"/>
            </w:pPr>
            <w:r w:rsidRPr="00774631">
              <w:t>6.3</w:t>
            </w:r>
          </w:p>
        </w:tc>
        <w:tc>
          <w:tcPr>
            <w:tcW w:w="979"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nm</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nm</w:t>
            </w:r>
          </w:p>
        </w:tc>
        <w:tc>
          <w:tcPr>
            <w:tcW w:w="896"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nm</w:t>
            </w:r>
          </w:p>
        </w:tc>
      </w:tr>
      <w:tr w:rsidR="00A53D7D" w:rsidRPr="00774631" w:rsidTr="0020764E">
        <w:trPr>
          <w:trHeight w:val="144"/>
        </w:trPr>
        <w:tc>
          <w:tcPr>
            <w:tcW w:w="7769" w:type="dxa"/>
            <w:gridSpan w:val="6"/>
            <w:tcBorders>
              <w:top w:val="single" w:sz="6" w:space="0" w:color="auto"/>
              <w:left w:val="nil"/>
              <w:bottom w:val="nil"/>
              <w:right w:val="nil"/>
            </w:tcBorders>
            <w:shd w:val="clear" w:color="auto" w:fill="auto"/>
            <w:hideMark/>
          </w:tcPr>
          <w:p w:rsidR="00A53D7D" w:rsidRPr="00774631" w:rsidRDefault="00A53D7D" w:rsidP="005140B4">
            <w:pPr>
              <w:pStyle w:val="OGHeading2"/>
            </w:pPr>
            <w:r w:rsidRPr="00774631">
              <w:t>Ombudsman Services</w:t>
            </w:r>
          </w:p>
        </w:tc>
      </w:tr>
      <w:tr w:rsidR="00A53D7D" w:rsidRPr="00774631" w:rsidTr="005140B4">
        <w:trPr>
          <w:trHeight w:val="144"/>
        </w:trPr>
        <w:tc>
          <w:tcPr>
            <w:tcW w:w="7769" w:type="dxa"/>
            <w:gridSpan w:val="6"/>
            <w:tcBorders>
              <w:top w:val="nil"/>
              <w:left w:val="nil"/>
              <w:bottom w:val="single" w:sz="6" w:space="0" w:color="auto"/>
              <w:right w:val="nil"/>
            </w:tcBorders>
            <w:shd w:val="clear" w:color="auto" w:fill="auto"/>
            <w:hideMark/>
          </w:tcPr>
          <w:p w:rsidR="00A53D7D" w:rsidRPr="00774631" w:rsidRDefault="00A53D7D" w:rsidP="005140B4">
            <w:pPr>
              <w:pStyle w:val="OGText"/>
            </w:pPr>
            <w:r w:rsidRPr="00774631">
              <w:t>Responsible for independent investigation of: complaints concerning administrative actions taken in Government departments, statutory bodies, or by officers and employees of municipal councils; corrupt conduct referred to the Ombudsman by the Independent Broad</w:t>
            </w:r>
            <w:r>
              <w:noBreakHyphen/>
            </w:r>
            <w:r w:rsidRPr="00774631">
              <w:t>based Anti</w:t>
            </w:r>
            <w:r>
              <w:noBreakHyphen/>
            </w:r>
            <w:r w:rsidRPr="00774631">
              <w:t>corruption Commission, including protected disclosures.</w:t>
            </w:r>
          </w:p>
        </w:tc>
      </w:tr>
      <w:tr w:rsidR="00A53D7D" w:rsidRPr="00774631" w:rsidTr="005140B4">
        <w:trPr>
          <w:trHeight w:val="144"/>
        </w:trPr>
        <w:tc>
          <w:tcPr>
            <w:tcW w:w="3150" w:type="dxa"/>
            <w:tcBorders>
              <w:top w:val="single" w:sz="6" w:space="0" w:color="auto"/>
              <w:left w:val="nil"/>
              <w:bottom w:val="nil"/>
              <w:right w:val="nil"/>
            </w:tcBorders>
            <w:shd w:val="clear" w:color="auto" w:fill="auto"/>
            <w:hideMark/>
          </w:tcPr>
          <w:p w:rsidR="00A53D7D" w:rsidRPr="00774631" w:rsidRDefault="00A53D7D" w:rsidP="005140B4">
            <w:pPr>
              <w:pStyle w:val="OGTabHead"/>
            </w:pPr>
            <w:r w:rsidRPr="00774631">
              <w:t>Quantity</w:t>
            </w:r>
          </w:p>
        </w:tc>
        <w:tc>
          <w:tcPr>
            <w:tcW w:w="924" w:type="dxa"/>
            <w:tcBorders>
              <w:top w:val="single" w:sz="6" w:space="0" w:color="auto"/>
              <w:left w:val="nil"/>
              <w:bottom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bottom w:val="nil"/>
              <w:right w:val="nil"/>
            </w:tcBorders>
            <w:shd w:val="clear" w:color="auto" w:fill="D9D9D9"/>
            <w:noWrap/>
            <w:hideMark/>
          </w:tcPr>
          <w:p w:rsidR="00A53D7D" w:rsidRPr="00774631" w:rsidRDefault="00A53D7D" w:rsidP="005140B4">
            <w:pPr>
              <w:pStyle w:val="OGTableofFigures"/>
            </w:pPr>
            <w:r w:rsidRPr="00774631">
              <w:t> </w:t>
            </w:r>
          </w:p>
        </w:tc>
        <w:tc>
          <w:tcPr>
            <w:tcW w:w="979"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c>
          <w:tcPr>
            <w:tcW w:w="924"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5140B4">
        <w:trPr>
          <w:trHeight w:val="330"/>
        </w:trPr>
        <w:tc>
          <w:tcPr>
            <w:tcW w:w="3150" w:type="dxa"/>
            <w:tcBorders>
              <w:left w:val="nil"/>
              <w:right w:val="nil"/>
            </w:tcBorders>
            <w:shd w:val="clear" w:color="auto" w:fill="auto"/>
          </w:tcPr>
          <w:p w:rsidR="00A53D7D" w:rsidRPr="00774631" w:rsidRDefault="00A53D7D" w:rsidP="005140B4">
            <w:pPr>
              <w:pStyle w:val="OGTabText"/>
            </w:pPr>
            <w:r w:rsidRPr="00774631">
              <w:t>Jurisdictional complaints finalised</w:t>
            </w:r>
          </w:p>
        </w:tc>
        <w:tc>
          <w:tcPr>
            <w:tcW w:w="924" w:type="dxa"/>
            <w:tcBorders>
              <w:left w:val="nil"/>
              <w:right w:val="nil"/>
            </w:tcBorders>
            <w:shd w:val="clear" w:color="auto" w:fill="auto"/>
            <w:noWrap/>
          </w:tcPr>
          <w:p w:rsidR="00A53D7D" w:rsidRPr="00774631" w:rsidRDefault="00A53D7D" w:rsidP="005140B4">
            <w:pPr>
              <w:pStyle w:val="OGUoM"/>
            </w:pPr>
            <w:r w:rsidRPr="00774631">
              <w:t>number</w:t>
            </w:r>
          </w:p>
        </w:tc>
        <w:tc>
          <w:tcPr>
            <w:tcW w:w="896" w:type="dxa"/>
            <w:tcBorders>
              <w:left w:val="nil"/>
              <w:right w:val="nil"/>
            </w:tcBorders>
            <w:shd w:val="clear" w:color="auto" w:fill="D9D9D9"/>
            <w:noWrap/>
          </w:tcPr>
          <w:p w:rsidR="00A53D7D" w:rsidRPr="00774631" w:rsidRDefault="00A53D7D" w:rsidP="005140B4">
            <w:pPr>
              <w:pStyle w:val="OGTableofFigures"/>
            </w:pPr>
            <w:r w:rsidRPr="00774631">
              <w:t>14</w:t>
            </w:r>
            <w:r>
              <w:t> </w:t>
            </w:r>
            <w:r w:rsidRPr="00774631">
              <w:t>000</w:t>
            </w:r>
          </w:p>
        </w:tc>
        <w:tc>
          <w:tcPr>
            <w:tcW w:w="979" w:type="dxa"/>
            <w:tcBorders>
              <w:left w:val="nil"/>
              <w:right w:val="nil"/>
            </w:tcBorders>
            <w:shd w:val="clear" w:color="auto" w:fill="auto"/>
            <w:noWrap/>
          </w:tcPr>
          <w:p w:rsidR="00A53D7D" w:rsidRPr="00774631" w:rsidRDefault="00A53D7D" w:rsidP="005140B4">
            <w:pPr>
              <w:pStyle w:val="OGTableofFigures"/>
            </w:pPr>
            <w:r>
              <w:t>14 </w:t>
            </w:r>
            <w:r w:rsidRPr="00774631">
              <w:t>000</w:t>
            </w:r>
          </w:p>
        </w:tc>
        <w:tc>
          <w:tcPr>
            <w:tcW w:w="924" w:type="dxa"/>
            <w:tcBorders>
              <w:left w:val="nil"/>
              <w:right w:val="nil"/>
            </w:tcBorders>
            <w:shd w:val="clear" w:color="auto" w:fill="auto"/>
            <w:noWrap/>
          </w:tcPr>
          <w:p w:rsidR="00A53D7D" w:rsidRPr="00774631" w:rsidRDefault="00A53D7D" w:rsidP="005140B4">
            <w:pPr>
              <w:pStyle w:val="OGTableofFigures"/>
            </w:pPr>
            <w:r>
              <w:t>14 </w:t>
            </w:r>
            <w:r w:rsidRPr="00774631">
              <w:t>000</w:t>
            </w:r>
          </w:p>
        </w:tc>
        <w:tc>
          <w:tcPr>
            <w:tcW w:w="896" w:type="dxa"/>
            <w:tcBorders>
              <w:left w:val="nil"/>
              <w:right w:val="nil"/>
            </w:tcBorders>
            <w:shd w:val="clear" w:color="auto" w:fill="auto"/>
            <w:noWrap/>
          </w:tcPr>
          <w:p w:rsidR="00A53D7D" w:rsidRPr="00774631" w:rsidRDefault="00A53D7D" w:rsidP="005140B4">
            <w:pPr>
              <w:pStyle w:val="OGTableofFigures"/>
            </w:pPr>
            <w:r>
              <w:t>14 </w:t>
            </w:r>
            <w:r w:rsidRPr="00774631">
              <w:t>154</w:t>
            </w:r>
          </w:p>
        </w:tc>
      </w:tr>
      <w:tr w:rsidR="00A53D7D" w:rsidRPr="00774631" w:rsidTr="005140B4">
        <w:trPr>
          <w:trHeight w:val="144"/>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774631">
              <w:t>This performance measure renames the 2013</w:t>
            </w:r>
            <w:r>
              <w:noBreakHyphen/>
            </w:r>
            <w:r w:rsidRPr="00774631">
              <w:t xml:space="preserve">14 performance measure </w:t>
            </w:r>
            <w:r>
              <w:t>‘</w:t>
            </w:r>
            <w:r w:rsidRPr="00774631">
              <w:t xml:space="preserve">Jurisdictional complaints finalised, including general, Freedom of Information and </w:t>
            </w:r>
            <w:proofErr w:type="spellStart"/>
            <w:r w:rsidRPr="00774631">
              <w:t>Whistleblower</w:t>
            </w:r>
            <w:proofErr w:type="spellEnd"/>
            <w:r w:rsidRPr="00774631">
              <w:t xml:space="preserve"> complaints</w:t>
            </w:r>
            <w:r>
              <w:t>’</w:t>
            </w:r>
            <w:r w:rsidRPr="00774631">
              <w:t>. The measure reports on the same activity as the previous measure however has bee</w:t>
            </w:r>
            <w:r>
              <w:t>n amended for increased clarity.</w:t>
            </w:r>
          </w:p>
        </w:tc>
      </w:tr>
      <w:tr w:rsidR="00A53D7D" w:rsidRPr="00774631" w:rsidTr="005140B4">
        <w:trPr>
          <w:trHeight w:val="144"/>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Reports tabled in Parliament</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896"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10</w:t>
            </w:r>
          </w:p>
        </w:tc>
        <w:tc>
          <w:tcPr>
            <w:tcW w:w="979"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10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w:t>
            </w:r>
          </w:p>
        </w:tc>
      </w:tr>
      <w:tr w:rsidR="00A53D7D" w:rsidRPr="00774631" w:rsidTr="005140B4">
        <w:trPr>
          <w:trHeight w:val="144"/>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Quality</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UoM"/>
              <w:keepNext/>
            </w:pPr>
            <w:r w:rsidRPr="00774631">
              <w:t> </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keepNext/>
            </w:pPr>
          </w:p>
        </w:tc>
        <w:tc>
          <w:tcPr>
            <w:tcW w:w="979" w:type="dxa"/>
            <w:tcBorders>
              <w:top w:val="single" w:sz="6" w:space="0" w:color="auto"/>
              <w:left w:val="nil"/>
              <w:right w:val="nil"/>
            </w:tcBorders>
            <w:shd w:val="clear" w:color="auto" w:fill="auto"/>
            <w:noWrap/>
          </w:tcPr>
          <w:p w:rsidR="00A53D7D" w:rsidRPr="00774631" w:rsidRDefault="00A53D7D" w:rsidP="005140B4">
            <w:pPr>
              <w:pStyle w:val="OGTableofFigures"/>
              <w:keepNext/>
            </w:pPr>
          </w:p>
        </w:tc>
        <w:tc>
          <w:tcPr>
            <w:tcW w:w="924" w:type="dxa"/>
            <w:tcBorders>
              <w:top w:val="single" w:sz="6" w:space="0" w:color="auto"/>
              <w:left w:val="nil"/>
              <w:right w:val="nil"/>
            </w:tcBorders>
            <w:shd w:val="clear" w:color="auto" w:fill="auto"/>
            <w:noWrap/>
          </w:tcPr>
          <w:p w:rsidR="00A53D7D" w:rsidRPr="00774631" w:rsidRDefault="00A53D7D" w:rsidP="005140B4">
            <w:pPr>
              <w:pStyle w:val="OGTableofFigures"/>
              <w:keepNext/>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keepNext/>
            </w:pPr>
          </w:p>
        </w:tc>
      </w:tr>
      <w:tr w:rsidR="00A53D7D" w:rsidRPr="00774631" w:rsidTr="005140B4">
        <w:trPr>
          <w:trHeight w:val="144"/>
        </w:trPr>
        <w:tc>
          <w:tcPr>
            <w:tcW w:w="3150" w:type="dxa"/>
            <w:tcBorders>
              <w:top w:val="nil"/>
              <w:left w:val="nil"/>
              <w:right w:val="nil"/>
            </w:tcBorders>
            <w:shd w:val="clear" w:color="auto" w:fill="auto"/>
          </w:tcPr>
          <w:p w:rsidR="00A53D7D" w:rsidRPr="00774631" w:rsidRDefault="00A53D7D" w:rsidP="005140B4">
            <w:pPr>
              <w:pStyle w:val="OGTabText"/>
              <w:keepNext/>
            </w:pPr>
            <w:r w:rsidRPr="00774631">
              <w:t>Proportion of jurisdictional complaints where the original outcome is set aside by a review undertaken in accordance with the Ombudsman's internal review policy</w:t>
            </w:r>
          </w:p>
        </w:tc>
        <w:tc>
          <w:tcPr>
            <w:tcW w:w="924" w:type="dxa"/>
            <w:tcBorders>
              <w:top w:val="nil"/>
              <w:left w:val="nil"/>
              <w:right w:val="nil"/>
            </w:tcBorders>
            <w:shd w:val="clear" w:color="auto" w:fill="auto"/>
            <w:noWrap/>
          </w:tcPr>
          <w:p w:rsidR="00A53D7D" w:rsidRPr="00774631" w:rsidRDefault="00A53D7D" w:rsidP="005140B4">
            <w:pPr>
              <w:pStyle w:val="OGUoM"/>
              <w:keepNext/>
            </w:pPr>
            <w:r w:rsidRPr="00774631">
              <w:t>per cent</w:t>
            </w:r>
          </w:p>
        </w:tc>
        <w:tc>
          <w:tcPr>
            <w:tcW w:w="896" w:type="dxa"/>
            <w:tcBorders>
              <w:top w:val="nil"/>
              <w:left w:val="nil"/>
              <w:right w:val="nil"/>
            </w:tcBorders>
            <w:shd w:val="clear" w:color="auto" w:fill="D9D9D9"/>
            <w:noWrap/>
          </w:tcPr>
          <w:p w:rsidR="00A53D7D" w:rsidRPr="00774631" w:rsidRDefault="00A53D7D" w:rsidP="005140B4">
            <w:pPr>
              <w:pStyle w:val="OGTableofFigures"/>
              <w:keepNext/>
            </w:pPr>
            <w:r w:rsidRPr="00774631">
              <w:t>&lt;</w:t>
            </w:r>
            <w:r w:rsidR="004E7A50">
              <w:t xml:space="preserve"> </w:t>
            </w:r>
            <w:r w:rsidRPr="00774631">
              <w:t>1.5</w:t>
            </w:r>
          </w:p>
        </w:tc>
        <w:tc>
          <w:tcPr>
            <w:tcW w:w="979" w:type="dxa"/>
            <w:tcBorders>
              <w:top w:val="nil"/>
              <w:left w:val="nil"/>
              <w:right w:val="nil"/>
            </w:tcBorders>
            <w:shd w:val="clear" w:color="auto" w:fill="auto"/>
            <w:noWrap/>
          </w:tcPr>
          <w:p w:rsidR="00A53D7D" w:rsidRPr="00774631" w:rsidRDefault="00A53D7D" w:rsidP="005140B4">
            <w:pPr>
              <w:pStyle w:val="OGTableofFigures"/>
              <w:keepNext/>
            </w:pPr>
            <w:r w:rsidRPr="00774631">
              <w:t>nm</w:t>
            </w:r>
          </w:p>
        </w:tc>
        <w:tc>
          <w:tcPr>
            <w:tcW w:w="924" w:type="dxa"/>
            <w:tcBorders>
              <w:top w:val="nil"/>
              <w:left w:val="nil"/>
              <w:right w:val="nil"/>
            </w:tcBorders>
            <w:shd w:val="clear" w:color="auto" w:fill="auto"/>
            <w:noWrap/>
          </w:tcPr>
          <w:p w:rsidR="00A53D7D" w:rsidRPr="00774631" w:rsidRDefault="00A53D7D" w:rsidP="005140B4">
            <w:pPr>
              <w:pStyle w:val="OGTableofFigures"/>
              <w:keepNext/>
            </w:pPr>
            <w:r w:rsidRPr="00774631">
              <w:t>nm</w:t>
            </w:r>
          </w:p>
        </w:tc>
        <w:tc>
          <w:tcPr>
            <w:tcW w:w="896" w:type="dxa"/>
            <w:tcBorders>
              <w:top w:val="nil"/>
              <w:left w:val="nil"/>
              <w:right w:val="nil"/>
            </w:tcBorders>
            <w:shd w:val="clear" w:color="auto" w:fill="auto"/>
            <w:noWrap/>
          </w:tcPr>
          <w:p w:rsidR="00A53D7D" w:rsidRPr="00774631" w:rsidRDefault="00A53D7D" w:rsidP="005140B4">
            <w:pPr>
              <w:pStyle w:val="OGTableofFigures"/>
              <w:keepNext/>
            </w:pPr>
            <w:r w:rsidRPr="00774631">
              <w:t>nm</w:t>
            </w:r>
          </w:p>
        </w:tc>
      </w:tr>
      <w:tr w:rsidR="00A53D7D" w:rsidRPr="00774631" w:rsidTr="005140B4">
        <w:trPr>
          <w:trHeight w:val="144"/>
        </w:trPr>
        <w:tc>
          <w:tcPr>
            <w:tcW w:w="7769" w:type="dxa"/>
            <w:gridSpan w:val="6"/>
            <w:tcBorders>
              <w:top w:val="nil"/>
              <w:left w:val="nil"/>
              <w:bottom w:val="single" w:sz="6" w:space="0" w:color="auto"/>
              <w:right w:val="nil"/>
            </w:tcBorders>
            <w:shd w:val="clear" w:color="auto" w:fill="auto"/>
          </w:tcPr>
          <w:p w:rsidR="00A53D7D" w:rsidRPr="00774631" w:rsidRDefault="00A53D7D" w:rsidP="005140B4">
            <w:pPr>
              <w:pStyle w:val="OGNotes"/>
            </w:pPr>
            <w:r w:rsidRPr="00774631">
              <w:t>This performance measure is proposed to replace the 2013</w:t>
            </w:r>
            <w:r>
              <w:noBreakHyphen/>
            </w:r>
            <w:r w:rsidRPr="00774631">
              <w:t xml:space="preserve">14 performance measures </w:t>
            </w:r>
            <w:r>
              <w:t>‘</w:t>
            </w:r>
            <w:r w:rsidRPr="00774631">
              <w:t>Internal reviews of complaint investigations conducted at the request of the complainant</w:t>
            </w:r>
            <w:r>
              <w:t>’</w:t>
            </w:r>
            <w:r w:rsidRPr="00774631">
              <w:t xml:space="preserve"> and </w:t>
            </w:r>
            <w:r>
              <w:t>‘</w:t>
            </w:r>
            <w:r w:rsidRPr="00774631">
              <w:t>Proportion of complaint investigations reviewed at the request of complainants (by a fresh, senior investigator) where the original findings were found to be sound and well founded</w:t>
            </w:r>
            <w:r>
              <w:t>’</w:t>
            </w:r>
            <w:r w:rsidRPr="00774631">
              <w:t>. They have been replaced to more accurately reflect this activity.</w:t>
            </w:r>
          </w:p>
        </w:tc>
      </w:tr>
      <w:tr w:rsidR="00A53D7D" w:rsidRPr="00774631" w:rsidTr="005140B4">
        <w:trPr>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Text"/>
            </w:pPr>
            <w:r w:rsidRPr="00774631">
              <w:t xml:space="preserve">Recommendations accepted by agencies upon completion of investigations </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pPr>
            <w:r w:rsidRPr="00774631">
              <w:t>per cent</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r w:rsidRPr="00774631">
              <w:t>90</w:t>
            </w:r>
          </w:p>
        </w:tc>
        <w:tc>
          <w:tcPr>
            <w:tcW w:w="979"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82</w:t>
            </w:r>
          </w:p>
        </w:tc>
        <w:tc>
          <w:tcPr>
            <w:tcW w:w="924"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80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r w:rsidRPr="00774631">
              <w:t>99</w:t>
            </w:r>
          </w:p>
        </w:tc>
      </w:tr>
      <w:tr w:rsidR="00A53D7D" w:rsidRPr="00774631" w:rsidTr="005140B4">
        <w:trPr>
          <w:trHeight w:val="144"/>
        </w:trPr>
        <w:tc>
          <w:tcPr>
            <w:tcW w:w="7769" w:type="dxa"/>
            <w:gridSpan w:val="6"/>
            <w:tcBorders>
              <w:left w:val="nil"/>
              <w:right w:val="nil"/>
            </w:tcBorders>
            <w:shd w:val="clear" w:color="auto" w:fill="auto"/>
          </w:tcPr>
          <w:p w:rsidR="00A53D7D" w:rsidRPr="00774631" w:rsidRDefault="00A53D7D" w:rsidP="005140B4">
            <w:pPr>
              <w:pStyle w:val="OGNotes"/>
            </w:pPr>
            <w:r w:rsidRPr="00774631">
              <w:t>This performance measure renames the 2013</w:t>
            </w:r>
            <w:r>
              <w:noBreakHyphen/>
            </w:r>
            <w:r w:rsidRPr="00774631">
              <w:t>14 performance measure "Recommendations made in jurisdictional complaint investigations that are accepted by respondent agencies". The measure reports on the same activity as the previous measure however has been amended for increased clarity.</w:t>
            </w:r>
          </w:p>
          <w:p w:rsidR="00A53D7D" w:rsidRPr="00774631" w:rsidRDefault="00A53D7D" w:rsidP="005140B4">
            <w:pPr>
              <w:pStyle w:val="OGNotes"/>
            </w:pPr>
            <w:r w:rsidRPr="00774631">
              <w:t>The higher 2014</w:t>
            </w:r>
            <w:r>
              <w:noBreakHyphen/>
            </w:r>
            <w:r w:rsidRPr="00774631">
              <w:t xml:space="preserve">15 target reflects the Ombudsman's historical achievement </w:t>
            </w:r>
            <w:r>
              <w:t>and is consistent with PAEC’s recommendation from the 118</w:t>
            </w:r>
            <w:r w:rsidRPr="00570338">
              <w:rPr>
                <w:vertAlign w:val="superscript"/>
              </w:rPr>
              <w:t>th</w:t>
            </w:r>
            <w:r>
              <w:t xml:space="preserve"> Report to Parliament – Review of the Performance Measurement and Reporting System, March 2014.</w:t>
            </w:r>
          </w:p>
        </w:tc>
      </w:tr>
      <w:tr w:rsidR="00A53D7D" w:rsidRPr="00774631" w:rsidTr="005140B4">
        <w:trPr>
          <w:trHeight w:val="144"/>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Timeliness</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79"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24"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trHeight w:val="144"/>
        </w:trPr>
        <w:tc>
          <w:tcPr>
            <w:tcW w:w="3150" w:type="dxa"/>
            <w:tcBorders>
              <w:top w:val="nil"/>
              <w:left w:val="nil"/>
              <w:right w:val="nil"/>
            </w:tcBorders>
            <w:shd w:val="clear" w:color="auto" w:fill="auto"/>
          </w:tcPr>
          <w:p w:rsidR="00A53D7D" w:rsidRPr="00774631" w:rsidRDefault="00A53D7D" w:rsidP="004E7A50">
            <w:pPr>
              <w:pStyle w:val="OGTabText"/>
            </w:pPr>
            <w:r w:rsidRPr="00774631">
              <w:t>Complaints resolved within 30</w:t>
            </w:r>
            <w:r w:rsidR="004E7A50">
              <w:t> </w:t>
            </w:r>
            <w:r w:rsidRPr="00774631">
              <w:t>calendar days of receipt</w:t>
            </w:r>
          </w:p>
        </w:tc>
        <w:tc>
          <w:tcPr>
            <w:tcW w:w="924" w:type="dxa"/>
            <w:tcBorders>
              <w:top w:val="nil"/>
              <w:left w:val="nil"/>
              <w:right w:val="nil"/>
            </w:tcBorders>
            <w:shd w:val="clear" w:color="auto" w:fill="auto"/>
            <w:noWrap/>
          </w:tcPr>
          <w:p w:rsidR="00A53D7D" w:rsidRPr="00774631" w:rsidRDefault="00A53D7D" w:rsidP="005140B4">
            <w:pPr>
              <w:pStyle w:val="OGUoM"/>
            </w:pPr>
            <w:r w:rsidRPr="00774631">
              <w:t>per cent</w:t>
            </w:r>
          </w:p>
        </w:tc>
        <w:tc>
          <w:tcPr>
            <w:tcW w:w="896" w:type="dxa"/>
            <w:tcBorders>
              <w:top w:val="nil"/>
              <w:left w:val="nil"/>
              <w:right w:val="nil"/>
            </w:tcBorders>
            <w:shd w:val="clear" w:color="auto" w:fill="D9D9D9"/>
            <w:noWrap/>
          </w:tcPr>
          <w:p w:rsidR="00A53D7D" w:rsidRPr="00774631" w:rsidRDefault="00A53D7D" w:rsidP="005140B4">
            <w:pPr>
              <w:pStyle w:val="OGTableofFigures"/>
            </w:pPr>
            <w:r w:rsidRPr="00774631">
              <w:t>95</w:t>
            </w:r>
          </w:p>
        </w:tc>
        <w:tc>
          <w:tcPr>
            <w:tcW w:w="979" w:type="dxa"/>
            <w:tcBorders>
              <w:top w:val="nil"/>
              <w:left w:val="nil"/>
              <w:right w:val="nil"/>
            </w:tcBorders>
            <w:shd w:val="clear" w:color="auto" w:fill="auto"/>
            <w:noWrap/>
          </w:tcPr>
          <w:p w:rsidR="00A53D7D" w:rsidRPr="00774631" w:rsidRDefault="00A53D7D" w:rsidP="005140B4">
            <w:pPr>
              <w:pStyle w:val="OGTableofFigures"/>
            </w:pPr>
            <w:r w:rsidRPr="00774631">
              <w:t>91</w:t>
            </w:r>
          </w:p>
        </w:tc>
        <w:tc>
          <w:tcPr>
            <w:tcW w:w="924" w:type="dxa"/>
            <w:tcBorders>
              <w:top w:val="nil"/>
              <w:left w:val="nil"/>
              <w:right w:val="nil"/>
            </w:tcBorders>
            <w:shd w:val="clear" w:color="auto" w:fill="auto"/>
            <w:noWrap/>
          </w:tcPr>
          <w:p w:rsidR="00A53D7D" w:rsidRPr="00774631" w:rsidRDefault="00A53D7D" w:rsidP="005140B4">
            <w:pPr>
              <w:pStyle w:val="OGTableofFigures"/>
            </w:pPr>
            <w:r w:rsidRPr="00774631">
              <w:t>95</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95</w:t>
            </w:r>
          </w:p>
        </w:tc>
      </w:tr>
      <w:tr w:rsidR="00A53D7D" w:rsidRPr="00774631" w:rsidTr="005140B4">
        <w:trPr>
          <w:trHeight w:val="144"/>
        </w:trPr>
        <w:tc>
          <w:tcPr>
            <w:tcW w:w="7769" w:type="dxa"/>
            <w:gridSpan w:val="6"/>
            <w:tcBorders>
              <w:top w:val="nil"/>
              <w:left w:val="nil"/>
              <w:bottom w:val="single" w:sz="6" w:space="0" w:color="auto"/>
              <w:right w:val="nil"/>
            </w:tcBorders>
            <w:shd w:val="clear" w:color="auto" w:fill="auto"/>
          </w:tcPr>
          <w:p w:rsidR="00A53D7D" w:rsidRPr="00774631" w:rsidRDefault="00A53D7D" w:rsidP="005140B4">
            <w:pPr>
              <w:pStyle w:val="OGNotes"/>
            </w:pPr>
            <w:r w:rsidRPr="00774631">
              <w:t>This performance measure edits the 2013</w:t>
            </w:r>
            <w:r>
              <w:noBreakHyphen/>
            </w:r>
            <w:r w:rsidRPr="00774631">
              <w:t xml:space="preserve">14 performance measure </w:t>
            </w:r>
            <w:r>
              <w:t>‘</w:t>
            </w:r>
            <w:r w:rsidRPr="00774631">
              <w:t>Complaints resolved within required timelines</w:t>
            </w:r>
            <w:r>
              <w:t>’</w:t>
            </w:r>
            <w:r w:rsidRPr="00774631">
              <w:t>. The measure reports on the same activity as the previous measure however has been amended for increased clarity.</w:t>
            </w:r>
          </w:p>
        </w:tc>
      </w:tr>
      <w:tr w:rsidR="00A53D7D" w:rsidRPr="00774631" w:rsidTr="005140B4">
        <w:trPr>
          <w:trHeight w:val="144"/>
        </w:trPr>
        <w:tc>
          <w:tcPr>
            <w:tcW w:w="3150" w:type="dxa"/>
            <w:tcBorders>
              <w:top w:val="nil"/>
              <w:left w:val="nil"/>
              <w:right w:val="nil"/>
            </w:tcBorders>
            <w:shd w:val="clear" w:color="auto" w:fill="auto"/>
          </w:tcPr>
          <w:p w:rsidR="00A53D7D" w:rsidRPr="00774631" w:rsidRDefault="00A53D7D" w:rsidP="005140B4">
            <w:pPr>
              <w:pStyle w:val="OGTabHead"/>
            </w:pPr>
            <w:r w:rsidRPr="00774631">
              <w:t>Cost</w:t>
            </w:r>
          </w:p>
        </w:tc>
        <w:tc>
          <w:tcPr>
            <w:tcW w:w="924" w:type="dxa"/>
            <w:tcBorders>
              <w:top w:val="nil"/>
              <w:left w:val="nil"/>
              <w:right w:val="nil"/>
            </w:tcBorders>
            <w:shd w:val="clear" w:color="auto" w:fill="auto"/>
            <w:noWrap/>
          </w:tcPr>
          <w:p w:rsidR="00A53D7D" w:rsidRPr="00774631" w:rsidRDefault="00A53D7D" w:rsidP="005140B4">
            <w:pPr>
              <w:pStyle w:val="OGUoM"/>
            </w:pPr>
          </w:p>
        </w:tc>
        <w:tc>
          <w:tcPr>
            <w:tcW w:w="896" w:type="dxa"/>
            <w:tcBorders>
              <w:top w:val="nil"/>
              <w:left w:val="nil"/>
              <w:right w:val="nil"/>
            </w:tcBorders>
            <w:shd w:val="clear" w:color="auto" w:fill="D9D9D9"/>
            <w:noWrap/>
          </w:tcPr>
          <w:p w:rsidR="00A53D7D" w:rsidRPr="00774631" w:rsidRDefault="00A53D7D" w:rsidP="005140B4">
            <w:pPr>
              <w:pStyle w:val="OGTableofFigures"/>
            </w:pPr>
          </w:p>
        </w:tc>
        <w:tc>
          <w:tcPr>
            <w:tcW w:w="979" w:type="dxa"/>
            <w:tcBorders>
              <w:top w:val="nil"/>
              <w:left w:val="nil"/>
              <w:right w:val="nil"/>
            </w:tcBorders>
            <w:shd w:val="clear" w:color="auto" w:fill="auto"/>
            <w:noWrap/>
          </w:tcPr>
          <w:p w:rsidR="00A53D7D" w:rsidRPr="00774631" w:rsidRDefault="00A53D7D" w:rsidP="005140B4">
            <w:pPr>
              <w:pStyle w:val="OGTableofFigures"/>
            </w:pPr>
          </w:p>
        </w:tc>
        <w:tc>
          <w:tcPr>
            <w:tcW w:w="924" w:type="dxa"/>
            <w:tcBorders>
              <w:top w:val="nil"/>
              <w:left w:val="nil"/>
              <w:right w:val="nil"/>
            </w:tcBorders>
            <w:shd w:val="clear" w:color="auto" w:fill="auto"/>
            <w:noWrap/>
          </w:tcPr>
          <w:p w:rsidR="00A53D7D" w:rsidRPr="00774631" w:rsidRDefault="00A53D7D" w:rsidP="005140B4">
            <w:pPr>
              <w:pStyle w:val="OGTableofFigures"/>
            </w:pPr>
          </w:p>
        </w:tc>
        <w:tc>
          <w:tcPr>
            <w:tcW w:w="896" w:type="dxa"/>
            <w:tcBorders>
              <w:top w:val="nil"/>
              <w:left w:val="nil"/>
              <w:right w:val="nil"/>
            </w:tcBorders>
            <w:shd w:val="clear" w:color="auto" w:fill="auto"/>
            <w:noWrap/>
          </w:tcPr>
          <w:p w:rsidR="00A53D7D" w:rsidRPr="00774631" w:rsidRDefault="00A53D7D" w:rsidP="005140B4">
            <w:pPr>
              <w:pStyle w:val="OGTableofFigures"/>
            </w:pPr>
          </w:p>
        </w:tc>
      </w:tr>
      <w:tr w:rsidR="00A53D7D" w:rsidRPr="00774631" w:rsidTr="005140B4">
        <w:trPr>
          <w:trHeight w:val="339"/>
        </w:trPr>
        <w:tc>
          <w:tcPr>
            <w:tcW w:w="3150" w:type="dxa"/>
            <w:tcBorders>
              <w:top w:val="nil"/>
              <w:left w:val="nil"/>
              <w:right w:val="nil"/>
            </w:tcBorders>
            <w:shd w:val="clear" w:color="auto" w:fill="auto"/>
          </w:tcPr>
          <w:p w:rsidR="00A53D7D" w:rsidRPr="00774631" w:rsidRDefault="00A53D7D" w:rsidP="005140B4">
            <w:pPr>
              <w:pStyle w:val="OGTabText"/>
            </w:pPr>
            <w:r w:rsidRPr="00774631">
              <w:t>Total output cost</w:t>
            </w:r>
          </w:p>
        </w:tc>
        <w:tc>
          <w:tcPr>
            <w:tcW w:w="924" w:type="dxa"/>
            <w:tcBorders>
              <w:top w:val="nil"/>
              <w:left w:val="nil"/>
              <w:right w:val="nil"/>
            </w:tcBorders>
            <w:shd w:val="clear" w:color="auto" w:fill="auto"/>
            <w:noWrap/>
          </w:tcPr>
          <w:p w:rsidR="00A53D7D" w:rsidRPr="00774631" w:rsidRDefault="00A53D7D" w:rsidP="005140B4">
            <w:pPr>
              <w:pStyle w:val="OGUoM"/>
            </w:pPr>
            <w:r w:rsidRPr="00774631">
              <w:t>$ million</w:t>
            </w:r>
          </w:p>
        </w:tc>
        <w:tc>
          <w:tcPr>
            <w:tcW w:w="896" w:type="dxa"/>
            <w:tcBorders>
              <w:top w:val="nil"/>
              <w:left w:val="nil"/>
              <w:right w:val="nil"/>
            </w:tcBorders>
            <w:shd w:val="clear" w:color="auto" w:fill="D9D9D9"/>
            <w:noWrap/>
          </w:tcPr>
          <w:p w:rsidR="00A53D7D" w:rsidRPr="00774631" w:rsidRDefault="00A53D7D" w:rsidP="005140B4">
            <w:pPr>
              <w:pStyle w:val="OGTableofFigures"/>
            </w:pPr>
            <w:r w:rsidRPr="00774631">
              <w:t>11.0</w:t>
            </w:r>
          </w:p>
        </w:tc>
        <w:tc>
          <w:tcPr>
            <w:tcW w:w="979" w:type="dxa"/>
            <w:tcBorders>
              <w:top w:val="nil"/>
              <w:left w:val="nil"/>
              <w:right w:val="nil"/>
            </w:tcBorders>
            <w:shd w:val="clear" w:color="auto" w:fill="auto"/>
            <w:noWrap/>
          </w:tcPr>
          <w:p w:rsidR="00A53D7D" w:rsidRPr="00774631" w:rsidRDefault="00A53D7D" w:rsidP="005140B4">
            <w:pPr>
              <w:pStyle w:val="OGTableofFigures"/>
            </w:pPr>
            <w:r w:rsidRPr="00774631">
              <w:t>10.7</w:t>
            </w:r>
          </w:p>
        </w:tc>
        <w:tc>
          <w:tcPr>
            <w:tcW w:w="924" w:type="dxa"/>
            <w:tcBorders>
              <w:top w:val="nil"/>
              <w:left w:val="nil"/>
              <w:right w:val="nil"/>
            </w:tcBorders>
            <w:shd w:val="clear" w:color="auto" w:fill="auto"/>
            <w:noWrap/>
          </w:tcPr>
          <w:p w:rsidR="00A53D7D" w:rsidRPr="00774631" w:rsidRDefault="00A53D7D" w:rsidP="005140B4">
            <w:pPr>
              <w:pStyle w:val="OGTableofFigures"/>
            </w:pPr>
            <w:r w:rsidRPr="00774631">
              <w:t>10.5</w:t>
            </w:r>
          </w:p>
        </w:tc>
        <w:tc>
          <w:tcPr>
            <w:tcW w:w="896" w:type="dxa"/>
            <w:tcBorders>
              <w:top w:val="nil"/>
              <w:left w:val="nil"/>
              <w:right w:val="nil"/>
            </w:tcBorders>
            <w:shd w:val="clear" w:color="auto" w:fill="auto"/>
            <w:noWrap/>
          </w:tcPr>
          <w:p w:rsidR="00A53D7D" w:rsidRPr="00774631" w:rsidRDefault="00A53D7D" w:rsidP="005140B4">
            <w:pPr>
              <w:pStyle w:val="OGTableofFigures"/>
            </w:pPr>
            <w:r w:rsidRPr="00774631">
              <w:t>10.51</w:t>
            </w:r>
          </w:p>
        </w:tc>
      </w:tr>
      <w:tr w:rsidR="00A53D7D" w:rsidRPr="00774631" w:rsidTr="005140B4">
        <w:trPr>
          <w:trHeight w:val="144"/>
        </w:trPr>
        <w:tc>
          <w:tcPr>
            <w:tcW w:w="7769" w:type="dxa"/>
            <w:gridSpan w:val="6"/>
            <w:tcBorders>
              <w:top w:val="single" w:sz="4" w:space="0" w:color="auto"/>
              <w:left w:val="nil"/>
              <w:bottom w:val="nil"/>
              <w:right w:val="nil"/>
            </w:tcBorders>
            <w:shd w:val="clear" w:color="auto" w:fill="auto"/>
            <w:hideMark/>
          </w:tcPr>
          <w:p w:rsidR="00A53D7D" w:rsidRPr="00774631" w:rsidRDefault="00A53D7D" w:rsidP="005140B4">
            <w:pPr>
              <w:pStyle w:val="OGHeading2"/>
            </w:pPr>
            <w:r w:rsidRPr="00774631">
              <w:t>Chief Parliamentary Counsel Services</w:t>
            </w:r>
          </w:p>
        </w:tc>
      </w:tr>
      <w:tr w:rsidR="00A53D7D" w:rsidRPr="00774631" w:rsidTr="005140B4">
        <w:trPr>
          <w:trHeight w:val="144"/>
        </w:trPr>
        <w:tc>
          <w:tcPr>
            <w:tcW w:w="7769" w:type="dxa"/>
            <w:gridSpan w:val="6"/>
            <w:tcBorders>
              <w:top w:val="nil"/>
              <w:left w:val="nil"/>
              <w:bottom w:val="single" w:sz="6" w:space="0" w:color="auto"/>
              <w:right w:val="nil"/>
            </w:tcBorders>
            <w:shd w:val="clear" w:color="auto" w:fill="auto"/>
            <w:hideMark/>
          </w:tcPr>
          <w:p w:rsidR="00A53D7D" w:rsidRPr="00774631" w:rsidRDefault="00A53D7D" w:rsidP="005140B4">
            <w:pPr>
              <w:pStyle w:val="OGText"/>
            </w:pPr>
            <w:r w:rsidRPr="00774631">
              <w:t>Preparation of Bills for introduction in Parliament, including: provision of advice on proposed Statutory Rules and other subordinate legislation; publishing and reprinting of Acts and Statutory Rules; and the maintenance of a database of Victorian legislation.</w:t>
            </w:r>
          </w:p>
        </w:tc>
      </w:tr>
      <w:tr w:rsidR="00A53D7D" w:rsidRPr="00774631" w:rsidTr="005140B4">
        <w:trPr>
          <w:trHeight w:val="144"/>
        </w:trPr>
        <w:tc>
          <w:tcPr>
            <w:tcW w:w="3150" w:type="dxa"/>
            <w:tcBorders>
              <w:top w:val="single" w:sz="6" w:space="0" w:color="auto"/>
              <w:left w:val="nil"/>
              <w:bottom w:val="nil"/>
              <w:right w:val="nil"/>
            </w:tcBorders>
            <w:shd w:val="clear" w:color="auto" w:fill="auto"/>
            <w:hideMark/>
          </w:tcPr>
          <w:p w:rsidR="00A53D7D" w:rsidRPr="00774631" w:rsidRDefault="00A53D7D" w:rsidP="005140B4">
            <w:pPr>
              <w:pStyle w:val="OGTabHead"/>
            </w:pPr>
            <w:r w:rsidRPr="00774631">
              <w:t>Quantity</w:t>
            </w:r>
          </w:p>
        </w:tc>
        <w:tc>
          <w:tcPr>
            <w:tcW w:w="924" w:type="dxa"/>
            <w:tcBorders>
              <w:top w:val="single" w:sz="6" w:space="0" w:color="auto"/>
              <w:left w:val="nil"/>
              <w:bottom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bottom w:val="nil"/>
              <w:right w:val="nil"/>
            </w:tcBorders>
            <w:shd w:val="clear" w:color="auto" w:fill="D9D9D9"/>
            <w:noWrap/>
            <w:hideMark/>
          </w:tcPr>
          <w:p w:rsidR="00A53D7D" w:rsidRPr="00774631" w:rsidRDefault="00A53D7D" w:rsidP="005140B4">
            <w:pPr>
              <w:pStyle w:val="OGTableofFigures"/>
            </w:pPr>
            <w:r w:rsidRPr="00774631">
              <w:t> </w:t>
            </w:r>
          </w:p>
        </w:tc>
        <w:tc>
          <w:tcPr>
            <w:tcW w:w="979"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c>
          <w:tcPr>
            <w:tcW w:w="924"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5140B4">
        <w:trPr>
          <w:trHeight w:val="144"/>
        </w:trPr>
        <w:tc>
          <w:tcPr>
            <w:tcW w:w="3150" w:type="dxa"/>
            <w:tcBorders>
              <w:top w:val="nil"/>
              <w:left w:val="nil"/>
              <w:bottom w:val="single" w:sz="6" w:space="0" w:color="auto"/>
              <w:right w:val="nil"/>
            </w:tcBorders>
            <w:shd w:val="clear" w:color="auto" w:fill="auto"/>
          </w:tcPr>
          <w:p w:rsidR="00A53D7D" w:rsidRPr="00774631" w:rsidRDefault="00A53D7D" w:rsidP="005140B4">
            <w:pPr>
              <w:pStyle w:val="OGTabText"/>
            </w:pPr>
            <w:r w:rsidRPr="00774631">
              <w:t>Advice given on legislation in response to written requests</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nil"/>
              <w:left w:val="nil"/>
              <w:bottom w:val="single" w:sz="6" w:space="0" w:color="auto"/>
              <w:right w:val="nil"/>
            </w:tcBorders>
            <w:shd w:val="clear" w:color="auto" w:fill="D9D9D9"/>
            <w:noWrap/>
          </w:tcPr>
          <w:p w:rsidR="00A53D7D" w:rsidRPr="00774631" w:rsidRDefault="00A53D7D" w:rsidP="005140B4">
            <w:pPr>
              <w:pStyle w:val="OGTableofFigures"/>
            </w:pPr>
            <w:r w:rsidRPr="00774631">
              <w:t>96</w:t>
            </w:r>
          </w:p>
        </w:tc>
        <w:tc>
          <w:tcPr>
            <w:tcW w:w="979"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96</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96</w:t>
            </w:r>
          </w:p>
        </w:tc>
        <w:tc>
          <w:tcPr>
            <w:tcW w:w="896"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99</w:t>
            </w:r>
          </w:p>
        </w:tc>
      </w:tr>
      <w:tr w:rsidR="00A53D7D" w:rsidRPr="00774631" w:rsidTr="005140B4">
        <w:trPr>
          <w:trHeight w:val="144"/>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 xml:space="preserve">Statutory Rules made and </w:t>
            </w:r>
            <w:r>
              <w:t>B</w:t>
            </w:r>
            <w:r w:rsidRPr="00774631">
              <w:t>ills prepared and introduced into Parliament</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number</w:t>
            </w:r>
          </w:p>
        </w:tc>
        <w:tc>
          <w:tcPr>
            <w:tcW w:w="896"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290</w:t>
            </w:r>
          </w:p>
        </w:tc>
        <w:tc>
          <w:tcPr>
            <w:tcW w:w="979"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290</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290</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274</w:t>
            </w:r>
          </w:p>
        </w:tc>
      </w:tr>
      <w:tr w:rsidR="00A53D7D" w:rsidRPr="00774631" w:rsidTr="005140B4">
        <w:trPr>
          <w:trHeight w:val="144"/>
        </w:trPr>
        <w:tc>
          <w:tcPr>
            <w:tcW w:w="3150" w:type="dxa"/>
            <w:tcBorders>
              <w:top w:val="single" w:sz="6" w:space="0" w:color="auto"/>
              <w:left w:val="nil"/>
              <w:right w:val="nil"/>
            </w:tcBorders>
            <w:shd w:val="clear" w:color="auto" w:fill="auto"/>
          </w:tcPr>
          <w:p w:rsidR="00A53D7D" w:rsidRPr="00774631" w:rsidRDefault="00A53D7D" w:rsidP="005140B4">
            <w:pPr>
              <w:pStyle w:val="OGTabText"/>
              <w:keepNext/>
            </w:pPr>
            <w:r w:rsidRPr="00774631">
              <w:t>Versions of Acts and Statutory Rules published electronically</w:t>
            </w:r>
          </w:p>
        </w:tc>
        <w:tc>
          <w:tcPr>
            <w:tcW w:w="924" w:type="dxa"/>
            <w:tcBorders>
              <w:top w:val="single" w:sz="6" w:space="0" w:color="auto"/>
              <w:left w:val="nil"/>
              <w:right w:val="nil"/>
            </w:tcBorders>
            <w:shd w:val="clear" w:color="auto" w:fill="auto"/>
            <w:noWrap/>
          </w:tcPr>
          <w:p w:rsidR="00A53D7D" w:rsidRPr="00774631" w:rsidRDefault="00A53D7D" w:rsidP="005140B4">
            <w:pPr>
              <w:pStyle w:val="OGUoM"/>
              <w:keepNext/>
            </w:pPr>
            <w:r w:rsidRPr="00774631">
              <w:t>number</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keepNext/>
            </w:pPr>
            <w:r w:rsidRPr="00774631">
              <w:t>800</w:t>
            </w:r>
          </w:p>
        </w:tc>
        <w:tc>
          <w:tcPr>
            <w:tcW w:w="979" w:type="dxa"/>
            <w:tcBorders>
              <w:top w:val="single" w:sz="6" w:space="0" w:color="auto"/>
              <w:left w:val="nil"/>
              <w:right w:val="nil"/>
            </w:tcBorders>
            <w:shd w:val="clear" w:color="auto" w:fill="auto"/>
            <w:noWrap/>
          </w:tcPr>
          <w:p w:rsidR="00A53D7D" w:rsidRPr="00774631" w:rsidRDefault="00A53D7D" w:rsidP="005140B4">
            <w:pPr>
              <w:pStyle w:val="OGTableofFigures"/>
              <w:keepNext/>
            </w:pPr>
            <w:r w:rsidRPr="00774631">
              <w:t>900</w:t>
            </w:r>
          </w:p>
        </w:tc>
        <w:tc>
          <w:tcPr>
            <w:tcW w:w="924" w:type="dxa"/>
            <w:tcBorders>
              <w:top w:val="single" w:sz="6" w:space="0" w:color="auto"/>
              <w:left w:val="nil"/>
              <w:right w:val="nil"/>
            </w:tcBorders>
            <w:shd w:val="clear" w:color="auto" w:fill="auto"/>
            <w:noWrap/>
          </w:tcPr>
          <w:p w:rsidR="00A53D7D" w:rsidRPr="00774631" w:rsidRDefault="00A53D7D" w:rsidP="005140B4">
            <w:pPr>
              <w:pStyle w:val="OGTableofFigures"/>
              <w:keepNext/>
            </w:pPr>
            <w:r w:rsidRPr="00774631">
              <w:t>800</w:t>
            </w: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keepNext/>
            </w:pPr>
            <w:r>
              <w:t>1 </w:t>
            </w:r>
            <w:r w:rsidRPr="00774631">
              <w:t>207</w:t>
            </w:r>
          </w:p>
        </w:tc>
      </w:tr>
      <w:tr w:rsidR="00A53D7D" w:rsidRPr="00774631" w:rsidTr="005140B4">
        <w:trPr>
          <w:trHeight w:val="144"/>
        </w:trPr>
        <w:tc>
          <w:tcPr>
            <w:tcW w:w="7769" w:type="dxa"/>
            <w:gridSpan w:val="6"/>
            <w:tcBorders>
              <w:left w:val="nil"/>
              <w:bottom w:val="single" w:sz="6" w:space="0" w:color="auto"/>
              <w:right w:val="nil"/>
            </w:tcBorders>
            <w:shd w:val="clear" w:color="auto" w:fill="auto"/>
          </w:tcPr>
          <w:p w:rsidR="00A53D7D" w:rsidRPr="00774631" w:rsidRDefault="00A53D7D" w:rsidP="005140B4">
            <w:pPr>
              <w:pStyle w:val="OGNotes"/>
            </w:pPr>
            <w:r w:rsidRPr="00352C60">
              <w:t>The 2013</w:t>
            </w:r>
            <w:r>
              <w:noBreakHyphen/>
            </w:r>
            <w:r w:rsidRPr="00352C60">
              <w:t>14 expected outcome is higher than the 2013</w:t>
            </w:r>
            <w:r>
              <w:noBreakHyphen/>
            </w:r>
            <w:r w:rsidRPr="00352C60">
              <w:t>14 target due to anticipated legislation which will require large numbers of versions as a result of amendments.</w:t>
            </w:r>
          </w:p>
        </w:tc>
      </w:tr>
      <w:tr w:rsidR="00A53D7D" w:rsidRPr="00774631" w:rsidTr="005140B4">
        <w:trPr>
          <w:trHeight w:val="144"/>
        </w:trPr>
        <w:tc>
          <w:tcPr>
            <w:tcW w:w="3150" w:type="dxa"/>
            <w:tcBorders>
              <w:top w:val="single" w:sz="6" w:space="0" w:color="auto"/>
              <w:left w:val="nil"/>
              <w:bottom w:val="nil"/>
              <w:right w:val="nil"/>
            </w:tcBorders>
            <w:shd w:val="clear" w:color="auto" w:fill="auto"/>
            <w:hideMark/>
          </w:tcPr>
          <w:p w:rsidR="00A53D7D" w:rsidRPr="00774631" w:rsidRDefault="00A53D7D" w:rsidP="005140B4">
            <w:pPr>
              <w:pStyle w:val="OGTabHead"/>
            </w:pPr>
            <w:r w:rsidRPr="00774631">
              <w:t>Quality</w:t>
            </w:r>
          </w:p>
        </w:tc>
        <w:tc>
          <w:tcPr>
            <w:tcW w:w="924" w:type="dxa"/>
            <w:tcBorders>
              <w:top w:val="single" w:sz="6" w:space="0" w:color="auto"/>
              <w:left w:val="nil"/>
              <w:bottom w:val="nil"/>
              <w:right w:val="nil"/>
            </w:tcBorders>
            <w:shd w:val="clear" w:color="auto" w:fill="auto"/>
            <w:noWrap/>
            <w:hideMark/>
          </w:tcPr>
          <w:p w:rsidR="00A53D7D" w:rsidRPr="00774631" w:rsidRDefault="00A53D7D" w:rsidP="005140B4">
            <w:pPr>
              <w:pStyle w:val="OGUoM"/>
              <w:keepNext/>
            </w:pPr>
            <w:r w:rsidRPr="00774631">
              <w:t> </w:t>
            </w:r>
          </w:p>
        </w:tc>
        <w:tc>
          <w:tcPr>
            <w:tcW w:w="896" w:type="dxa"/>
            <w:tcBorders>
              <w:top w:val="single" w:sz="6" w:space="0" w:color="auto"/>
              <w:left w:val="nil"/>
              <w:bottom w:val="nil"/>
              <w:right w:val="nil"/>
            </w:tcBorders>
            <w:shd w:val="clear" w:color="auto" w:fill="D9D9D9"/>
            <w:noWrap/>
          </w:tcPr>
          <w:p w:rsidR="00A53D7D" w:rsidRPr="00774631" w:rsidRDefault="00A53D7D" w:rsidP="005140B4">
            <w:pPr>
              <w:pStyle w:val="OGTableofFigures"/>
              <w:keepNext/>
            </w:pPr>
          </w:p>
        </w:tc>
        <w:tc>
          <w:tcPr>
            <w:tcW w:w="979" w:type="dxa"/>
            <w:tcBorders>
              <w:top w:val="single" w:sz="6" w:space="0" w:color="auto"/>
              <w:left w:val="nil"/>
              <w:bottom w:val="nil"/>
              <w:right w:val="nil"/>
            </w:tcBorders>
            <w:shd w:val="clear" w:color="auto" w:fill="auto"/>
            <w:noWrap/>
          </w:tcPr>
          <w:p w:rsidR="00A53D7D" w:rsidRPr="00774631" w:rsidRDefault="00A53D7D" w:rsidP="005140B4">
            <w:pPr>
              <w:pStyle w:val="OGTableofFigures"/>
              <w:keepNext/>
            </w:pPr>
          </w:p>
        </w:tc>
        <w:tc>
          <w:tcPr>
            <w:tcW w:w="924" w:type="dxa"/>
            <w:tcBorders>
              <w:top w:val="single" w:sz="6" w:space="0" w:color="auto"/>
              <w:left w:val="nil"/>
              <w:bottom w:val="nil"/>
              <w:right w:val="nil"/>
            </w:tcBorders>
            <w:shd w:val="clear" w:color="auto" w:fill="auto"/>
            <w:noWrap/>
          </w:tcPr>
          <w:p w:rsidR="00A53D7D" w:rsidRPr="00774631" w:rsidRDefault="00A53D7D" w:rsidP="005140B4">
            <w:pPr>
              <w:pStyle w:val="OGTableofFigures"/>
              <w:keepNext/>
            </w:pPr>
          </w:p>
        </w:tc>
        <w:tc>
          <w:tcPr>
            <w:tcW w:w="896" w:type="dxa"/>
            <w:tcBorders>
              <w:top w:val="single" w:sz="6" w:space="0" w:color="auto"/>
              <w:left w:val="nil"/>
              <w:bottom w:val="nil"/>
              <w:right w:val="nil"/>
            </w:tcBorders>
            <w:shd w:val="clear" w:color="auto" w:fill="auto"/>
            <w:noWrap/>
          </w:tcPr>
          <w:p w:rsidR="00A53D7D" w:rsidRPr="00774631" w:rsidRDefault="00A53D7D" w:rsidP="005140B4">
            <w:pPr>
              <w:pStyle w:val="OGTableofFigures"/>
              <w:keepNext/>
            </w:pPr>
          </w:p>
        </w:tc>
      </w:tr>
      <w:tr w:rsidR="00A53D7D" w:rsidRPr="00774631" w:rsidTr="005140B4">
        <w:trPr>
          <w:trHeight w:val="144"/>
        </w:trPr>
        <w:tc>
          <w:tcPr>
            <w:tcW w:w="3150" w:type="dxa"/>
            <w:tcBorders>
              <w:top w:val="nil"/>
              <w:left w:val="nil"/>
              <w:bottom w:val="single" w:sz="6" w:space="0" w:color="auto"/>
              <w:right w:val="nil"/>
            </w:tcBorders>
            <w:shd w:val="clear" w:color="auto" w:fill="auto"/>
          </w:tcPr>
          <w:p w:rsidR="00A53D7D" w:rsidRPr="00774631" w:rsidRDefault="00A53D7D" w:rsidP="005140B4">
            <w:pPr>
              <w:pStyle w:val="OGTabText"/>
              <w:keepNext/>
            </w:pPr>
            <w:r w:rsidRPr="00774631">
              <w:t>Accuracy levels maintained in terms of document management, printing and publishing</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UoM"/>
              <w:keepNext/>
            </w:pPr>
            <w:r w:rsidRPr="00774631">
              <w:t>per cent</w:t>
            </w:r>
          </w:p>
        </w:tc>
        <w:tc>
          <w:tcPr>
            <w:tcW w:w="896" w:type="dxa"/>
            <w:tcBorders>
              <w:top w:val="nil"/>
              <w:left w:val="nil"/>
              <w:bottom w:val="single" w:sz="6" w:space="0" w:color="auto"/>
              <w:right w:val="nil"/>
            </w:tcBorders>
            <w:shd w:val="clear" w:color="auto" w:fill="D9D9D9"/>
            <w:noWrap/>
          </w:tcPr>
          <w:p w:rsidR="00A53D7D" w:rsidRPr="00774631" w:rsidRDefault="00A53D7D" w:rsidP="005140B4">
            <w:pPr>
              <w:pStyle w:val="OGTableofFigures"/>
              <w:keepNext/>
            </w:pPr>
            <w:r w:rsidRPr="00774631">
              <w:t>96</w:t>
            </w:r>
          </w:p>
        </w:tc>
        <w:tc>
          <w:tcPr>
            <w:tcW w:w="979" w:type="dxa"/>
            <w:tcBorders>
              <w:top w:val="nil"/>
              <w:left w:val="nil"/>
              <w:bottom w:val="single" w:sz="6" w:space="0" w:color="auto"/>
              <w:right w:val="nil"/>
            </w:tcBorders>
            <w:shd w:val="clear" w:color="auto" w:fill="auto"/>
            <w:noWrap/>
          </w:tcPr>
          <w:p w:rsidR="00A53D7D" w:rsidRPr="00774631" w:rsidRDefault="00A53D7D" w:rsidP="005140B4">
            <w:pPr>
              <w:pStyle w:val="OGTableofFigures"/>
              <w:keepNext/>
            </w:pPr>
            <w:r w:rsidRPr="00774631">
              <w:t>96</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TableofFigures"/>
              <w:keepNext/>
            </w:pPr>
            <w:r w:rsidRPr="00774631">
              <w:t>96</w:t>
            </w:r>
          </w:p>
        </w:tc>
        <w:tc>
          <w:tcPr>
            <w:tcW w:w="896" w:type="dxa"/>
            <w:tcBorders>
              <w:top w:val="nil"/>
              <w:left w:val="nil"/>
              <w:bottom w:val="single" w:sz="6" w:space="0" w:color="auto"/>
              <w:right w:val="nil"/>
            </w:tcBorders>
            <w:shd w:val="clear" w:color="auto" w:fill="auto"/>
            <w:noWrap/>
          </w:tcPr>
          <w:p w:rsidR="00A53D7D" w:rsidRPr="00774631" w:rsidRDefault="00A53D7D" w:rsidP="005140B4">
            <w:pPr>
              <w:pStyle w:val="OGTableofFigures"/>
              <w:keepNext/>
            </w:pPr>
            <w:r w:rsidRPr="00774631">
              <w:t>99</w:t>
            </w:r>
          </w:p>
        </w:tc>
      </w:tr>
      <w:tr w:rsidR="00A53D7D" w:rsidRPr="00774631" w:rsidTr="005140B4">
        <w:trPr>
          <w:trHeight w:val="144"/>
        </w:trPr>
        <w:tc>
          <w:tcPr>
            <w:tcW w:w="3150" w:type="dxa"/>
            <w:tcBorders>
              <w:top w:val="single" w:sz="6" w:space="0" w:color="auto"/>
              <w:left w:val="nil"/>
              <w:bottom w:val="single" w:sz="6" w:space="0" w:color="auto"/>
              <w:right w:val="nil"/>
            </w:tcBorders>
            <w:shd w:val="clear" w:color="auto" w:fill="auto"/>
          </w:tcPr>
          <w:p w:rsidR="00A53D7D" w:rsidRPr="00774631" w:rsidRDefault="00A53D7D" w:rsidP="005140B4">
            <w:pPr>
              <w:pStyle w:val="OGTabText"/>
            </w:pPr>
            <w:r w:rsidRPr="00774631">
              <w:t>Bills and Statutory Rules drafted or settled within required standard</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single" w:sz="6" w:space="0" w:color="auto"/>
              <w:left w:val="nil"/>
              <w:bottom w:val="single" w:sz="6" w:space="0" w:color="auto"/>
              <w:right w:val="nil"/>
            </w:tcBorders>
            <w:shd w:val="clear" w:color="auto" w:fill="D9D9D9"/>
            <w:noWrap/>
          </w:tcPr>
          <w:p w:rsidR="00A53D7D" w:rsidRPr="00774631" w:rsidRDefault="00A53D7D" w:rsidP="005140B4">
            <w:pPr>
              <w:pStyle w:val="OGTableofFigures"/>
            </w:pPr>
            <w:r w:rsidRPr="00774631">
              <w:t>96</w:t>
            </w:r>
          </w:p>
        </w:tc>
        <w:tc>
          <w:tcPr>
            <w:tcW w:w="979"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96</w:t>
            </w:r>
          </w:p>
        </w:tc>
        <w:tc>
          <w:tcPr>
            <w:tcW w:w="924"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96</w:t>
            </w:r>
          </w:p>
        </w:tc>
        <w:tc>
          <w:tcPr>
            <w:tcW w:w="896" w:type="dxa"/>
            <w:tcBorders>
              <w:top w:val="single" w:sz="6" w:space="0" w:color="auto"/>
              <w:left w:val="nil"/>
              <w:bottom w:val="single" w:sz="6" w:space="0" w:color="auto"/>
              <w:right w:val="nil"/>
            </w:tcBorders>
            <w:shd w:val="clear" w:color="auto" w:fill="auto"/>
            <w:noWrap/>
          </w:tcPr>
          <w:p w:rsidR="00A53D7D" w:rsidRPr="00774631" w:rsidRDefault="00A53D7D" w:rsidP="005140B4">
            <w:pPr>
              <w:pStyle w:val="OGTableofFigures"/>
            </w:pPr>
            <w:r w:rsidRPr="00774631">
              <w:t>99</w:t>
            </w:r>
          </w:p>
        </w:tc>
      </w:tr>
      <w:tr w:rsidR="00A53D7D" w:rsidRPr="00774631" w:rsidTr="005140B4">
        <w:trPr>
          <w:trHeight w:val="144"/>
        </w:trPr>
        <w:tc>
          <w:tcPr>
            <w:tcW w:w="3150" w:type="dxa"/>
            <w:tcBorders>
              <w:top w:val="single" w:sz="6" w:space="0" w:color="auto"/>
              <w:left w:val="nil"/>
              <w:bottom w:val="nil"/>
              <w:right w:val="nil"/>
            </w:tcBorders>
            <w:shd w:val="clear" w:color="auto" w:fill="auto"/>
            <w:hideMark/>
          </w:tcPr>
          <w:p w:rsidR="00A53D7D" w:rsidRPr="00774631" w:rsidRDefault="00A53D7D" w:rsidP="005140B4">
            <w:pPr>
              <w:pStyle w:val="OGTabHead"/>
            </w:pPr>
            <w:r w:rsidRPr="00774631">
              <w:t>Timeliness</w:t>
            </w:r>
          </w:p>
        </w:tc>
        <w:tc>
          <w:tcPr>
            <w:tcW w:w="924" w:type="dxa"/>
            <w:tcBorders>
              <w:top w:val="single" w:sz="6" w:space="0" w:color="auto"/>
              <w:left w:val="nil"/>
              <w:bottom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bottom w:val="nil"/>
              <w:right w:val="nil"/>
            </w:tcBorders>
            <w:shd w:val="clear" w:color="auto" w:fill="D9D9D9"/>
            <w:noWrap/>
            <w:hideMark/>
          </w:tcPr>
          <w:p w:rsidR="00A53D7D" w:rsidRPr="00774631" w:rsidRDefault="00A53D7D" w:rsidP="005140B4">
            <w:pPr>
              <w:pStyle w:val="OGTableofFigures"/>
            </w:pPr>
            <w:r w:rsidRPr="00774631">
              <w:t> </w:t>
            </w:r>
          </w:p>
        </w:tc>
        <w:tc>
          <w:tcPr>
            <w:tcW w:w="979"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c>
          <w:tcPr>
            <w:tcW w:w="924"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c>
          <w:tcPr>
            <w:tcW w:w="896" w:type="dxa"/>
            <w:tcBorders>
              <w:top w:val="single" w:sz="6" w:space="0" w:color="auto"/>
              <w:left w:val="nil"/>
              <w:bottom w:val="nil"/>
              <w:right w:val="nil"/>
            </w:tcBorders>
            <w:shd w:val="clear" w:color="auto" w:fill="auto"/>
            <w:noWrap/>
            <w:hideMark/>
          </w:tcPr>
          <w:p w:rsidR="00A53D7D" w:rsidRPr="00774631" w:rsidRDefault="00A53D7D" w:rsidP="005140B4">
            <w:pPr>
              <w:pStyle w:val="OGTableofFigures"/>
            </w:pPr>
            <w:r w:rsidRPr="00774631">
              <w:t> </w:t>
            </w:r>
          </w:p>
        </w:tc>
      </w:tr>
      <w:tr w:rsidR="00A53D7D" w:rsidRPr="00774631" w:rsidTr="005140B4">
        <w:trPr>
          <w:trHeight w:val="144"/>
        </w:trPr>
        <w:tc>
          <w:tcPr>
            <w:tcW w:w="3150" w:type="dxa"/>
            <w:tcBorders>
              <w:top w:val="nil"/>
              <w:left w:val="nil"/>
              <w:bottom w:val="single" w:sz="6" w:space="0" w:color="auto"/>
              <w:right w:val="nil"/>
            </w:tcBorders>
            <w:shd w:val="clear" w:color="auto" w:fill="auto"/>
          </w:tcPr>
          <w:p w:rsidR="00A53D7D" w:rsidRPr="00774631" w:rsidRDefault="00A53D7D" w:rsidP="005140B4">
            <w:pPr>
              <w:pStyle w:val="OGTabText"/>
            </w:pPr>
            <w:r w:rsidRPr="00774631">
              <w:t>Bills and Statutory Rules drafted or settled within required timeframe</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nil"/>
              <w:left w:val="nil"/>
              <w:bottom w:val="single" w:sz="6" w:space="0" w:color="auto"/>
              <w:right w:val="nil"/>
            </w:tcBorders>
            <w:shd w:val="clear" w:color="auto" w:fill="D9D9D9"/>
            <w:noWrap/>
          </w:tcPr>
          <w:p w:rsidR="00A53D7D" w:rsidRPr="00774631" w:rsidRDefault="00A53D7D" w:rsidP="005140B4">
            <w:pPr>
              <w:pStyle w:val="OGTableofFigures"/>
            </w:pPr>
            <w:r w:rsidRPr="00774631">
              <w:t>96</w:t>
            </w:r>
          </w:p>
        </w:tc>
        <w:tc>
          <w:tcPr>
            <w:tcW w:w="979"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96</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96</w:t>
            </w:r>
          </w:p>
        </w:tc>
        <w:tc>
          <w:tcPr>
            <w:tcW w:w="896"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98</w:t>
            </w:r>
          </w:p>
        </w:tc>
      </w:tr>
      <w:tr w:rsidR="00A53D7D" w:rsidRPr="00774631" w:rsidTr="005140B4">
        <w:trPr>
          <w:trHeight w:val="144"/>
        </w:trPr>
        <w:tc>
          <w:tcPr>
            <w:tcW w:w="3150" w:type="dxa"/>
            <w:tcBorders>
              <w:top w:val="nil"/>
              <w:left w:val="nil"/>
              <w:bottom w:val="single" w:sz="6" w:space="0" w:color="auto"/>
              <w:right w:val="nil"/>
            </w:tcBorders>
            <w:shd w:val="clear" w:color="auto" w:fill="auto"/>
          </w:tcPr>
          <w:p w:rsidR="00A53D7D" w:rsidRPr="00774631" w:rsidRDefault="00A53D7D" w:rsidP="005140B4">
            <w:pPr>
              <w:pStyle w:val="OGTabText"/>
            </w:pPr>
            <w:r w:rsidRPr="00774631">
              <w:t>Electronic versions published within the required timeframe</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UoM"/>
            </w:pPr>
            <w:r w:rsidRPr="00774631">
              <w:t>per cent</w:t>
            </w:r>
          </w:p>
        </w:tc>
        <w:tc>
          <w:tcPr>
            <w:tcW w:w="896" w:type="dxa"/>
            <w:tcBorders>
              <w:top w:val="nil"/>
              <w:left w:val="nil"/>
              <w:bottom w:val="single" w:sz="6" w:space="0" w:color="auto"/>
              <w:right w:val="nil"/>
            </w:tcBorders>
            <w:shd w:val="clear" w:color="auto" w:fill="D9D9D9"/>
            <w:noWrap/>
          </w:tcPr>
          <w:p w:rsidR="00A53D7D" w:rsidRPr="00774631" w:rsidRDefault="00A53D7D" w:rsidP="005140B4">
            <w:pPr>
              <w:pStyle w:val="OGTableofFigures"/>
            </w:pPr>
            <w:r w:rsidRPr="00774631">
              <w:t>96</w:t>
            </w:r>
          </w:p>
        </w:tc>
        <w:tc>
          <w:tcPr>
            <w:tcW w:w="979"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96</w:t>
            </w:r>
          </w:p>
        </w:tc>
        <w:tc>
          <w:tcPr>
            <w:tcW w:w="924"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96</w:t>
            </w:r>
          </w:p>
        </w:tc>
        <w:tc>
          <w:tcPr>
            <w:tcW w:w="896" w:type="dxa"/>
            <w:tcBorders>
              <w:top w:val="nil"/>
              <w:left w:val="nil"/>
              <w:bottom w:val="single" w:sz="6" w:space="0" w:color="auto"/>
              <w:right w:val="nil"/>
            </w:tcBorders>
            <w:shd w:val="clear" w:color="auto" w:fill="auto"/>
            <w:noWrap/>
          </w:tcPr>
          <w:p w:rsidR="00A53D7D" w:rsidRPr="00774631" w:rsidRDefault="00A53D7D" w:rsidP="005140B4">
            <w:pPr>
              <w:pStyle w:val="OGTableofFigures"/>
            </w:pPr>
            <w:r w:rsidRPr="00774631">
              <w:t>97</w:t>
            </w:r>
          </w:p>
        </w:tc>
      </w:tr>
      <w:tr w:rsidR="00A53D7D" w:rsidRPr="00774631" w:rsidTr="005140B4">
        <w:trPr>
          <w:trHeight w:val="144"/>
        </w:trPr>
        <w:tc>
          <w:tcPr>
            <w:tcW w:w="3150" w:type="dxa"/>
            <w:tcBorders>
              <w:top w:val="single" w:sz="6" w:space="0" w:color="auto"/>
              <w:left w:val="nil"/>
              <w:right w:val="nil"/>
            </w:tcBorders>
            <w:shd w:val="clear" w:color="auto" w:fill="auto"/>
            <w:hideMark/>
          </w:tcPr>
          <w:p w:rsidR="00A53D7D" w:rsidRPr="00774631" w:rsidRDefault="00A53D7D" w:rsidP="005140B4">
            <w:pPr>
              <w:pStyle w:val="OGTabHead"/>
            </w:pPr>
            <w:r w:rsidRPr="00774631">
              <w:t>Cost</w:t>
            </w:r>
          </w:p>
        </w:tc>
        <w:tc>
          <w:tcPr>
            <w:tcW w:w="924" w:type="dxa"/>
            <w:tcBorders>
              <w:top w:val="single" w:sz="6" w:space="0" w:color="auto"/>
              <w:left w:val="nil"/>
              <w:right w:val="nil"/>
            </w:tcBorders>
            <w:shd w:val="clear" w:color="auto" w:fill="auto"/>
            <w:noWrap/>
            <w:hideMark/>
          </w:tcPr>
          <w:p w:rsidR="00A53D7D" w:rsidRPr="00774631" w:rsidRDefault="00A53D7D" w:rsidP="005140B4">
            <w:pPr>
              <w:pStyle w:val="OGUoM"/>
            </w:pPr>
            <w:r w:rsidRPr="00774631">
              <w:t> </w:t>
            </w:r>
          </w:p>
        </w:tc>
        <w:tc>
          <w:tcPr>
            <w:tcW w:w="896" w:type="dxa"/>
            <w:tcBorders>
              <w:top w:val="single" w:sz="6" w:space="0" w:color="auto"/>
              <w:left w:val="nil"/>
              <w:right w:val="nil"/>
            </w:tcBorders>
            <w:shd w:val="clear" w:color="auto" w:fill="D9D9D9"/>
            <w:noWrap/>
          </w:tcPr>
          <w:p w:rsidR="00A53D7D" w:rsidRPr="00774631" w:rsidRDefault="00A53D7D" w:rsidP="005140B4">
            <w:pPr>
              <w:pStyle w:val="OGTableofFigures"/>
            </w:pPr>
          </w:p>
        </w:tc>
        <w:tc>
          <w:tcPr>
            <w:tcW w:w="979"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924" w:type="dxa"/>
            <w:tcBorders>
              <w:top w:val="single" w:sz="6" w:space="0" w:color="auto"/>
              <w:left w:val="nil"/>
              <w:right w:val="nil"/>
            </w:tcBorders>
            <w:shd w:val="clear" w:color="auto" w:fill="auto"/>
            <w:noWrap/>
          </w:tcPr>
          <w:p w:rsidR="00A53D7D" w:rsidRPr="00774631" w:rsidRDefault="00A53D7D" w:rsidP="005140B4">
            <w:pPr>
              <w:pStyle w:val="OGTableofFigures"/>
            </w:pPr>
          </w:p>
        </w:tc>
        <w:tc>
          <w:tcPr>
            <w:tcW w:w="896" w:type="dxa"/>
            <w:tcBorders>
              <w:top w:val="single" w:sz="6" w:space="0" w:color="auto"/>
              <w:left w:val="nil"/>
              <w:right w:val="nil"/>
            </w:tcBorders>
            <w:shd w:val="clear" w:color="auto" w:fill="auto"/>
            <w:noWrap/>
          </w:tcPr>
          <w:p w:rsidR="00A53D7D" w:rsidRPr="00774631" w:rsidRDefault="00A53D7D" w:rsidP="005140B4">
            <w:pPr>
              <w:pStyle w:val="OGTableofFigures"/>
            </w:pPr>
          </w:p>
        </w:tc>
      </w:tr>
      <w:tr w:rsidR="00A53D7D" w:rsidRPr="00774631" w:rsidTr="005140B4">
        <w:trPr>
          <w:trHeight w:val="144"/>
        </w:trPr>
        <w:tc>
          <w:tcPr>
            <w:tcW w:w="3150" w:type="dxa"/>
            <w:tcBorders>
              <w:left w:val="nil"/>
              <w:right w:val="nil"/>
            </w:tcBorders>
            <w:shd w:val="clear" w:color="auto" w:fill="auto"/>
            <w:hideMark/>
          </w:tcPr>
          <w:p w:rsidR="00A53D7D" w:rsidRPr="00774631" w:rsidRDefault="00A53D7D" w:rsidP="005140B4">
            <w:pPr>
              <w:pStyle w:val="OGTabText"/>
            </w:pPr>
            <w:r w:rsidRPr="00774631">
              <w:t>Total output cost</w:t>
            </w:r>
          </w:p>
        </w:tc>
        <w:tc>
          <w:tcPr>
            <w:tcW w:w="924" w:type="dxa"/>
            <w:tcBorders>
              <w:left w:val="nil"/>
              <w:right w:val="nil"/>
            </w:tcBorders>
            <w:shd w:val="clear" w:color="auto" w:fill="auto"/>
            <w:noWrap/>
          </w:tcPr>
          <w:p w:rsidR="00A53D7D" w:rsidRPr="00774631" w:rsidRDefault="00A53D7D" w:rsidP="005140B4">
            <w:pPr>
              <w:pStyle w:val="OGUoM"/>
            </w:pPr>
            <w:r w:rsidRPr="00774631">
              <w:t>$ million</w:t>
            </w:r>
          </w:p>
        </w:tc>
        <w:tc>
          <w:tcPr>
            <w:tcW w:w="896" w:type="dxa"/>
            <w:tcBorders>
              <w:left w:val="nil"/>
              <w:right w:val="nil"/>
            </w:tcBorders>
            <w:shd w:val="clear" w:color="auto" w:fill="D9D9D9"/>
            <w:noWrap/>
          </w:tcPr>
          <w:p w:rsidR="00A53D7D" w:rsidRPr="00774631" w:rsidRDefault="00A53D7D" w:rsidP="005140B4">
            <w:pPr>
              <w:pStyle w:val="OGTableofFigures"/>
            </w:pPr>
            <w:r w:rsidRPr="00774631">
              <w:t>5.7</w:t>
            </w:r>
          </w:p>
        </w:tc>
        <w:tc>
          <w:tcPr>
            <w:tcW w:w="979" w:type="dxa"/>
            <w:tcBorders>
              <w:left w:val="nil"/>
              <w:right w:val="nil"/>
            </w:tcBorders>
            <w:shd w:val="clear" w:color="auto" w:fill="auto"/>
            <w:noWrap/>
          </w:tcPr>
          <w:p w:rsidR="00A53D7D" w:rsidRPr="00774631" w:rsidRDefault="00A53D7D" w:rsidP="005140B4">
            <w:pPr>
              <w:pStyle w:val="OGTableofFigures"/>
            </w:pPr>
            <w:r w:rsidRPr="00774631">
              <w:t>5.5</w:t>
            </w:r>
          </w:p>
        </w:tc>
        <w:tc>
          <w:tcPr>
            <w:tcW w:w="924" w:type="dxa"/>
            <w:tcBorders>
              <w:left w:val="nil"/>
              <w:right w:val="nil"/>
            </w:tcBorders>
            <w:shd w:val="clear" w:color="auto" w:fill="auto"/>
            <w:noWrap/>
          </w:tcPr>
          <w:p w:rsidR="00A53D7D" w:rsidRPr="00774631" w:rsidRDefault="00A53D7D" w:rsidP="005140B4">
            <w:pPr>
              <w:pStyle w:val="OGTableofFigures"/>
            </w:pPr>
            <w:r w:rsidRPr="00774631">
              <w:t>5.1</w:t>
            </w:r>
          </w:p>
        </w:tc>
        <w:tc>
          <w:tcPr>
            <w:tcW w:w="896" w:type="dxa"/>
            <w:tcBorders>
              <w:left w:val="nil"/>
              <w:right w:val="nil"/>
            </w:tcBorders>
            <w:shd w:val="clear" w:color="auto" w:fill="auto"/>
            <w:noWrap/>
          </w:tcPr>
          <w:p w:rsidR="00A53D7D" w:rsidRPr="00774631" w:rsidRDefault="00A53D7D" w:rsidP="005140B4">
            <w:pPr>
              <w:pStyle w:val="OGTableofFigures"/>
            </w:pPr>
            <w:r w:rsidRPr="00774631">
              <w:t>5.01</w:t>
            </w:r>
          </w:p>
        </w:tc>
      </w:tr>
      <w:tr w:rsidR="00A53D7D" w:rsidRPr="00774631" w:rsidTr="005140B4">
        <w:trPr>
          <w:trHeight w:val="144"/>
        </w:trPr>
        <w:tc>
          <w:tcPr>
            <w:tcW w:w="7769" w:type="dxa"/>
            <w:gridSpan w:val="6"/>
            <w:tcBorders>
              <w:left w:val="nil"/>
              <w:bottom w:val="single" w:sz="12" w:space="0" w:color="auto"/>
              <w:right w:val="nil"/>
            </w:tcBorders>
            <w:shd w:val="clear" w:color="auto" w:fill="auto"/>
          </w:tcPr>
          <w:p w:rsidR="00A53D7D" w:rsidRPr="00774631" w:rsidRDefault="00A53D7D" w:rsidP="005140B4">
            <w:pPr>
              <w:pStyle w:val="OGNotes"/>
            </w:pPr>
            <w:r w:rsidRPr="00774631">
              <w:t>The 2013</w:t>
            </w:r>
            <w:r>
              <w:noBreakHyphen/>
            </w:r>
            <w:r w:rsidRPr="00774631">
              <w:t>14 expected outcome is higher than the 2013</w:t>
            </w:r>
            <w:r>
              <w:noBreakHyphen/>
            </w:r>
            <w:r w:rsidRPr="00774631">
              <w:t>14 target as it reflects funding provided for additional assistant parliamentary counsel positions. The 2014</w:t>
            </w:r>
            <w:r>
              <w:noBreakHyphen/>
            </w:r>
            <w:r w:rsidRPr="00774631">
              <w:t>15 target has been revised upwards to reflect this.</w:t>
            </w:r>
          </w:p>
        </w:tc>
      </w:tr>
    </w:tbl>
    <w:p w:rsidR="00A53D7D" w:rsidRPr="00774631" w:rsidRDefault="00A53D7D" w:rsidP="005140B4">
      <w:pPr>
        <w:pStyle w:val="Source"/>
      </w:pPr>
      <w:r w:rsidRPr="00774631">
        <w:t>Sources: Departments of Premier and Cabinet and Treasury and Finance</w:t>
      </w:r>
      <w:r>
        <w:fldChar w:fldCharType="begin"/>
      </w:r>
      <w:r>
        <w:instrText xml:space="preserve"> XE "</w:instrText>
      </w:r>
      <w:r w:rsidRPr="00392477">
        <w:instrText>Department of Premier and Cabinet:Public Sector Management, Governance and Support</w:instrText>
      </w:r>
      <w:r>
        <w:instrText xml:space="preserve">" \r "BP3DPCPubSectMgmtGovandSupp" </w:instrText>
      </w:r>
      <w:r>
        <w:fldChar w:fldCharType="end"/>
      </w:r>
      <w:r>
        <w:fldChar w:fldCharType="begin"/>
      </w:r>
      <w:r>
        <w:instrText xml:space="preserve"> XE "</w:instrText>
      </w:r>
      <w:r w:rsidRPr="008F564C">
        <w:instrText>Public S</w:instrText>
      </w:r>
      <w:r w:rsidRPr="00035582">
        <w:rPr>
          <w:rStyle w:val="OGHeading1Char"/>
          <w:b w:val="0"/>
          <w:sz w:val="15"/>
          <w:szCs w:val="15"/>
        </w:rPr>
        <w:instrText>e</w:instrText>
      </w:r>
      <w:r w:rsidRPr="008F564C">
        <w:instrText>ctor Management, Governance and Support</w:instrText>
      </w:r>
      <w:r>
        <w:instrText xml:space="preserve">" \r "BP3DPCPubSectMgmtGovandSupp" </w:instrText>
      </w:r>
      <w:r>
        <w:fldChar w:fldCharType="end"/>
      </w:r>
      <w:r w:rsidRPr="00774631">
        <w:t xml:space="preserve"> </w:t>
      </w:r>
    </w:p>
    <w:bookmarkEnd w:id="125"/>
    <w:p w:rsidR="00A53D7D" w:rsidRDefault="00A53D7D" w:rsidP="005140B4"/>
    <w:p w:rsidR="00A53D7D" w:rsidRDefault="00A53D7D" w:rsidP="00497606"/>
    <w:p w:rsidR="00A53D7D" w:rsidRDefault="00A53D7D" w:rsidP="004463C6">
      <w:pPr>
        <w:sectPr w:rsidR="00A53D7D" w:rsidSect="00CD2017">
          <w:footerReference w:type="even" r:id="rId34"/>
          <w:footerReference w:type="default" r:id="rId35"/>
          <w:pgSz w:w="9979" w:h="14181" w:code="138"/>
          <w:pgMar w:top="1140" w:right="1140" w:bottom="1140" w:left="1140" w:header="720" w:footer="431" w:gutter="0"/>
          <w:cols w:space="708"/>
          <w:docGrid w:linePitch="360"/>
        </w:sectPr>
      </w:pPr>
    </w:p>
    <w:p w:rsidR="00A53D7D" w:rsidRDefault="00A53D7D" w:rsidP="005140B4">
      <w:pPr>
        <w:pStyle w:val="Heading1"/>
      </w:pPr>
      <w:bookmarkStart w:id="126" w:name="_Toc386364079"/>
      <w:bookmarkStart w:id="127" w:name="_Toc386541222"/>
      <w:bookmarkStart w:id="128" w:name="_Toc407116914"/>
      <w:r>
        <w:t>Department of State Development, Business and Innovation</w:t>
      </w:r>
      <w:bookmarkEnd w:id="126"/>
      <w:bookmarkEnd w:id="127"/>
      <w:bookmarkEnd w:id="128"/>
    </w:p>
    <w:p w:rsidR="00A53D7D" w:rsidRDefault="00A53D7D" w:rsidP="005140B4">
      <w:pPr>
        <w:pStyle w:val="Heading2"/>
      </w:pPr>
      <w:r>
        <w:t>Ministerial portfolios</w:t>
      </w:r>
    </w:p>
    <w:p w:rsidR="00A53D7D" w:rsidRDefault="00A53D7D" w:rsidP="005140B4">
      <w:r w:rsidRPr="00756175">
        <w:t>The Department supports the ministerial portfolios of State Development, Regional and Rural Development, Regional Cities, Innovation, Tourism and Major Events, Employment and Trade, Manufacturing, Major Projects, Energy and Resources, Small Business, Technology and the Aviation Industry.</w:t>
      </w:r>
    </w:p>
    <w:p w:rsidR="00A53D7D" w:rsidRDefault="00A53D7D" w:rsidP="005140B4">
      <w:pPr>
        <w:pStyle w:val="Heading2"/>
      </w:pPr>
      <w:r>
        <w:t>Departmental mission statement</w:t>
      </w:r>
    </w:p>
    <w:p w:rsidR="00A53D7D" w:rsidRDefault="00A53D7D" w:rsidP="005140B4">
      <w:r w:rsidRPr="00756175">
        <w:t xml:space="preserve">The Department of State Development, </w:t>
      </w:r>
      <w:proofErr w:type="gramStart"/>
      <w:r w:rsidRPr="00756175">
        <w:t>Business</w:t>
      </w:r>
      <w:proofErr w:type="gramEnd"/>
      <w:r w:rsidRPr="00756175">
        <w:t xml:space="preserve"> and Innovation is the Victorian Government’s lead agency for the promotion and facilitation of the State’s economic development. The Department develops and implements a diverse range of programs, initiatives and projects designed to attract and facilitate investment, encourage exports, generate job opportunities, stimulate innovation, and promote Victoria nationally and internationally.</w:t>
      </w:r>
    </w:p>
    <w:p w:rsidR="00A53D7D" w:rsidRDefault="00A53D7D" w:rsidP="005140B4">
      <w:pPr>
        <w:pStyle w:val="Heading2"/>
      </w:pPr>
      <w:r>
        <w:t>Departmental objectives, indicators and outputs</w:t>
      </w:r>
    </w:p>
    <w:p w:rsidR="00A53D7D" w:rsidRPr="00FE6D1E" w:rsidRDefault="00A53D7D" w:rsidP="005140B4">
      <w:r w:rsidRPr="00FE6D1E">
        <w:t>The Department of State Development, Business and Innovation’s objectives and linked outputs are:</w:t>
      </w:r>
    </w:p>
    <w:tbl>
      <w:tblPr>
        <w:tblStyle w:val="TableGrid"/>
        <w:tblW w:w="7776" w:type="dxa"/>
        <w:tblInd w:w="29" w:type="dxa"/>
        <w:tblLayout w:type="fixed"/>
        <w:tblCellMar>
          <w:left w:w="43" w:type="dxa"/>
          <w:right w:w="43" w:type="dxa"/>
        </w:tblCellMar>
        <w:tblLook w:val="04A0" w:firstRow="1" w:lastRow="0" w:firstColumn="1" w:lastColumn="0" w:noHBand="0" w:noVBand="1"/>
      </w:tblPr>
      <w:tblGrid>
        <w:gridCol w:w="2592"/>
        <w:gridCol w:w="2592"/>
        <w:gridCol w:w="2592"/>
      </w:tblGrid>
      <w:tr w:rsidR="00A53D7D" w:rsidRPr="00FE6D1E" w:rsidTr="005140B4">
        <w:trPr>
          <w:cantSplit/>
          <w:tblHeader/>
        </w:trPr>
        <w:tc>
          <w:tcPr>
            <w:tcW w:w="2592" w:type="dxa"/>
            <w:tcBorders>
              <w:left w:val="single" w:sz="12" w:space="0" w:color="auto"/>
              <w:bottom w:val="single" w:sz="4" w:space="0" w:color="auto"/>
            </w:tcBorders>
            <w:shd w:val="clear" w:color="auto" w:fill="000000"/>
          </w:tcPr>
          <w:p w:rsidR="00A53D7D" w:rsidRPr="00FE6D1E" w:rsidRDefault="00A53D7D" w:rsidP="005140B4">
            <w:pPr>
              <w:pStyle w:val="Tabletextheadingleft"/>
            </w:pPr>
            <w:r w:rsidRPr="00FE6D1E">
              <w:t>Departmental objectives</w:t>
            </w:r>
          </w:p>
        </w:tc>
        <w:tc>
          <w:tcPr>
            <w:tcW w:w="2592" w:type="dxa"/>
            <w:tcBorders>
              <w:bottom w:val="single" w:sz="4" w:space="0" w:color="auto"/>
            </w:tcBorders>
            <w:shd w:val="clear" w:color="auto" w:fill="000000"/>
          </w:tcPr>
          <w:p w:rsidR="00A53D7D" w:rsidRPr="00FE6D1E" w:rsidRDefault="00A53D7D" w:rsidP="005140B4">
            <w:pPr>
              <w:pStyle w:val="Tabletextheadingleft"/>
            </w:pPr>
            <w:r w:rsidRPr="00FE6D1E">
              <w:t>Objective Indicators</w:t>
            </w:r>
          </w:p>
        </w:tc>
        <w:tc>
          <w:tcPr>
            <w:tcW w:w="2592" w:type="dxa"/>
            <w:tcBorders>
              <w:bottom w:val="single" w:sz="4" w:space="0" w:color="auto"/>
              <w:right w:val="single" w:sz="12" w:space="0" w:color="auto"/>
            </w:tcBorders>
            <w:shd w:val="clear" w:color="auto" w:fill="000000"/>
          </w:tcPr>
          <w:p w:rsidR="00A53D7D" w:rsidRPr="00FE6D1E" w:rsidRDefault="00A53D7D" w:rsidP="005140B4">
            <w:pPr>
              <w:pStyle w:val="Tabletextheadingleft"/>
            </w:pPr>
            <w:r w:rsidRPr="00FE6D1E">
              <w:t>Outputs</w:t>
            </w:r>
          </w:p>
        </w:tc>
      </w:tr>
      <w:tr w:rsidR="00A53D7D" w:rsidRPr="00FE6D1E" w:rsidTr="005140B4">
        <w:trPr>
          <w:cantSplit/>
        </w:trPr>
        <w:tc>
          <w:tcPr>
            <w:tcW w:w="2592" w:type="dxa"/>
            <w:tcBorders>
              <w:top w:val="single" w:sz="4" w:space="0" w:color="auto"/>
              <w:bottom w:val="single" w:sz="6" w:space="0" w:color="auto"/>
            </w:tcBorders>
          </w:tcPr>
          <w:p w:rsidR="00A53D7D" w:rsidRPr="00FE6D1E" w:rsidRDefault="00A53D7D" w:rsidP="005140B4">
            <w:pPr>
              <w:pStyle w:val="Tabletext"/>
              <w:ind w:left="0" w:firstLine="0"/>
            </w:pPr>
            <w:r w:rsidRPr="00FE6D1E">
              <w:t>Assist businesses in accessing skilled workers to align with Victoria’s industry needs</w:t>
            </w:r>
          </w:p>
        </w:tc>
        <w:tc>
          <w:tcPr>
            <w:tcW w:w="2592" w:type="dxa"/>
            <w:tcBorders>
              <w:top w:val="single" w:sz="4" w:space="0" w:color="auto"/>
              <w:bottom w:val="single" w:sz="6" w:space="0" w:color="auto"/>
            </w:tcBorders>
          </w:tcPr>
          <w:p w:rsidR="00A53D7D" w:rsidRPr="00FE6D1E" w:rsidRDefault="00A53D7D" w:rsidP="005140B4">
            <w:pPr>
              <w:pStyle w:val="Tabletext"/>
              <w:ind w:left="0" w:firstLine="0"/>
            </w:pPr>
            <w:r w:rsidRPr="00FE6D1E">
              <w:t>Business skills needs assisted</w:t>
            </w:r>
          </w:p>
        </w:tc>
        <w:tc>
          <w:tcPr>
            <w:tcW w:w="2592" w:type="dxa"/>
            <w:tcBorders>
              <w:top w:val="single" w:sz="4" w:space="0" w:color="auto"/>
              <w:bottom w:val="single" w:sz="6" w:space="0" w:color="auto"/>
            </w:tcBorders>
          </w:tcPr>
          <w:p w:rsidR="00A53D7D" w:rsidRPr="00FE6D1E" w:rsidRDefault="00A53D7D" w:rsidP="005140B4">
            <w:pPr>
              <w:pStyle w:val="Tabletext"/>
              <w:ind w:left="0" w:firstLine="0"/>
            </w:pPr>
            <w:r w:rsidRPr="00FE6D1E">
              <w:t xml:space="preserve">Employment </w:t>
            </w:r>
          </w:p>
        </w:tc>
      </w:tr>
      <w:tr w:rsidR="00A53D7D" w:rsidRPr="00FE6D1E" w:rsidTr="005140B4">
        <w:trPr>
          <w:cantSplit/>
        </w:trPr>
        <w:tc>
          <w:tcPr>
            <w:tcW w:w="2592" w:type="dxa"/>
            <w:tcBorders>
              <w:top w:val="single" w:sz="6" w:space="0" w:color="auto"/>
              <w:bottom w:val="single" w:sz="6" w:space="0" w:color="auto"/>
            </w:tcBorders>
          </w:tcPr>
          <w:p w:rsidR="00A53D7D" w:rsidRPr="00FE6D1E" w:rsidRDefault="00A53D7D" w:rsidP="005140B4">
            <w:pPr>
              <w:pStyle w:val="Tabletext"/>
              <w:ind w:left="0" w:firstLine="0"/>
            </w:pPr>
            <w:r w:rsidRPr="00FE6D1E">
              <w:t>Promote Victoria to attract tourists, investors and students</w:t>
            </w:r>
          </w:p>
        </w:tc>
        <w:tc>
          <w:tcPr>
            <w:tcW w:w="2592" w:type="dxa"/>
            <w:tcBorders>
              <w:top w:val="single" w:sz="6" w:space="0" w:color="auto"/>
              <w:bottom w:val="single" w:sz="6" w:space="0" w:color="auto"/>
            </w:tcBorders>
          </w:tcPr>
          <w:p w:rsidR="00A53D7D" w:rsidRPr="00FE6D1E" w:rsidRDefault="00A53D7D" w:rsidP="005140B4">
            <w:pPr>
              <w:pStyle w:val="Tabletext"/>
              <w:ind w:left="0" w:firstLine="0"/>
            </w:pPr>
            <w:r w:rsidRPr="00FE6D1E">
              <w:t>Tourists, investors and students attracted</w:t>
            </w:r>
          </w:p>
        </w:tc>
        <w:tc>
          <w:tcPr>
            <w:tcW w:w="2592" w:type="dxa"/>
            <w:tcBorders>
              <w:top w:val="single" w:sz="6" w:space="0" w:color="auto"/>
              <w:bottom w:val="single" w:sz="6" w:space="0" w:color="auto"/>
            </w:tcBorders>
          </w:tcPr>
          <w:p w:rsidR="00A53D7D" w:rsidRPr="00FE6D1E" w:rsidRDefault="00A53D7D" w:rsidP="005140B4">
            <w:pPr>
              <w:pStyle w:val="Tabletext"/>
              <w:ind w:left="0" w:firstLine="0"/>
            </w:pPr>
            <w:r w:rsidRPr="00FE6D1E">
              <w:t>Tourism and Marketing</w:t>
            </w:r>
          </w:p>
        </w:tc>
      </w:tr>
      <w:tr w:rsidR="00A53D7D" w:rsidRPr="00FE6D1E" w:rsidTr="005140B4">
        <w:trPr>
          <w:cantSplit/>
        </w:trPr>
        <w:tc>
          <w:tcPr>
            <w:tcW w:w="2592" w:type="dxa"/>
            <w:tcBorders>
              <w:top w:val="single" w:sz="6" w:space="0" w:color="auto"/>
              <w:bottom w:val="single" w:sz="6" w:space="0" w:color="auto"/>
            </w:tcBorders>
          </w:tcPr>
          <w:p w:rsidR="00A53D7D" w:rsidRPr="00FE6D1E" w:rsidRDefault="00A53D7D" w:rsidP="005140B4">
            <w:pPr>
              <w:pStyle w:val="Tabletext"/>
              <w:ind w:left="0" w:firstLine="0"/>
            </w:pPr>
            <w:r w:rsidRPr="00FE6D1E">
              <w:t>Support organisations to boost their productivity through innovation</w:t>
            </w:r>
          </w:p>
        </w:tc>
        <w:tc>
          <w:tcPr>
            <w:tcW w:w="2592" w:type="dxa"/>
            <w:tcBorders>
              <w:top w:val="single" w:sz="6" w:space="0" w:color="auto"/>
              <w:bottom w:val="single" w:sz="6" w:space="0" w:color="auto"/>
            </w:tcBorders>
          </w:tcPr>
          <w:p w:rsidR="00A53D7D" w:rsidRPr="00FE6D1E" w:rsidRDefault="00A53D7D" w:rsidP="005140B4">
            <w:pPr>
              <w:pStyle w:val="Tabletext"/>
              <w:ind w:left="0" w:firstLine="0"/>
            </w:pPr>
            <w:r w:rsidRPr="00FE6D1E">
              <w:t>Collaborations assisted</w:t>
            </w:r>
          </w:p>
        </w:tc>
        <w:tc>
          <w:tcPr>
            <w:tcW w:w="2592" w:type="dxa"/>
            <w:tcBorders>
              <w:top w:val="single" w:sz="6" w:space="0" w:color="auto"/>
              <w:bottom w:val="single" w:sz="6" w:space="0" w:color="auto"/>
            </w:tcBorders>
          </w:tcPr>
          <w:p w:rsidR="00A53D7D" w:rsidRPr="00FE6D1E" w:rsidRDefault="00A53D7D" w:rsidP="005140B4">
            <w:pPr>
              <w:pStyle w:val="Tabletext"/>
              <w:ind w:left="0" w:firstLine="0"/>
            </w:pPr>
            <w:r w:rsidRPr="00FE6D1E">
              <w:t>Innovation and Technology</w:t>
            </w:r>
          </w:p>
        </w:tc>
      </w:tr>
      <w:tr w:rsidR="00A53D7D" w:rsidRPr="00FE6D1E" w:rsidTr="005140B4">
        <w:trPr>
          <w:cantSplit/>
        </w:trPr>
        <w:tc>
          <w:tcPr>
            <w:tcW w:w="2592" w:type="dxa"/>
            <w:tcBorders>
              <w:top w:val="single" w:sz="6" w:space="0" w:color="auto"/>
              <w:bottom w:val="single" w:sz="6" w:space="0" w:color="auto"/>
            </w:tcBorders>
          </w:tcPr>
          <w:p w:rsidR="00A53D7D" w:rsidRPr="00FE6D1E" w:rsidRDefault="00A53D7D" w:rsidP="005140B4">
            <w:pPr>
              <w:pStyle w:val="Tabletext"/>
              <w:ind w:left="0" w:firstLine="0"/>
            </w:pPr>
            <w:r w:rsidRPr="00FE6D1E">
              <w:t>Provide market intelligence and assistance to organisations to make it easy to invest in Victoria</w:t>
            </w:r>
          </w:p>
        </w:tc>
        <w:tc>
          <w:tcPr>
            <w:tcW w:w="2592" w:type="dxa"/>
            <w:tcBorders>
              <w:top w:val="single" w:sz="6" w:space="0" w:color="auto"/>
              <w:bottom w:val="single" w:sz="6" w:space="0" w:color="auto"/>
            </w:tcBorders>
          </w:tcPr>
          <w:p w:rsidR="00A53D7D" w:rsidRPr="00FE6D1E" w:rsidRDefault="00A53D7D" w:rsidP="005140B4">
            <w:pPr>
              <w:pStyle w:val="Tabletext"/>
              <w:ind w:left="0" w:firstLine="0"/>
            </w:pPr>
            <w:r w:rsidRPr="00FE6D1E">
              <w:t xml:space="preserve">Investment facilitated </w:t>
            </w:r>
          </w:p>
          <w:p w:rsidR="00A53D7D" w:rsidRPr="00FE6D1E" w:rsidRDefault="00A53D7D" w:rsidP="005140B4">
            <w:pPr>
              <w:pStyle w:val="Tabletext"/>
              <w:ind w:left="0" w:firstLine="0"/>
            </w:pPr>
            <w:r w:rsidRPr="00FE6D1E">
              <w:t>Jobs derived</w:t>
            </w:r>
          </w:p>
        </w:tc>
        <w:tc>
          <w:tcPr>
            <w:tcW w:w="2592" w:type="dxa"/>
            <w:tcBorders>
              <w:top w:val="single" w:sz="6" w:space="0" w:color="auto"/>
              <w:bottom w:val="single" w:sz="6" w:space="0" w:color="auto"/>
            </w:tcBorders>
          </w:tcPr>
          <w:p w:rsidR="00A53D7D" w:rsidRPr="00FE6D1E" w:rsidRDefault="00A53D7D" w:rsidP="005140B4">
            <w:pPr>
              <w:pStyle w:val="Tabletext"/>
              <w:ind w:left="0" w:firstLine="0"/>
            </w:pPr>
            <w:r w:rsidRPr="00FE6D1E">
              <w:t>Investment Attraction, Facilitation and Major Projects</w:t>
            </w:r>
          </w:p>
          <w:p w:rsidR="00A53D7D" w:rsidRPr="00FE6D1E" w:rsidRDefault="00A53D7D" w:rsidP="005140B4">
            <w:pPr>
              <w:pStyle w:val="Tabletext"/>
              <w:ind w:left="0" w:firstLine="0"/>
            </w:pPr>
            <w:r w:rsidRPr="00FE6D1E">
              <w:t>Regional Development and Regional Cities</w:t>
            </w:r>
          </w:p>
        </w:tc>
      </w:tr>
      <w:tr w:rsidR="00A53D7D" w:rsidRPr="00FE6D1E" w:rsidTr="005140B4">
        <w:trPr>
          <w:cantSplit/>
        </w:trPr>
        <w:tc>
          <w:tcPr>
            <w:tcW w:w="2592" w:type="dxa"/>
            <w:tcBorders>
              <w:top w:val="single" w:sz="6" w:space="0" w:color="auto"/>
              <w:bottom w:val="single" w:sz="6" w:space="0" w:color="auto"/>
            </w:tcBorders>
          </w:tcPr>
          <w:p w:rsidR="00A53D7D" w:rsidRPr="00FE6D1E" w:rsidRDefault="00A53D7D" w:rsidP="005140B4">
            <w:pPr>
              <w:pStyle w:val="Tabletext"/>
              <w:ind w:left="0" w:firstLine="0"/>
            </w:pPr>
            <w:r w:rsidRPr="00FE6D1E">
              <w:t>Create more opportunities for Victorian businesses to grow and become more productive and competitive in the global marketplace</w:t>
            </w:r>
          </w:p>
        </w:tc>
        <w:tc>
          <w:tcPr>
            <w:tcW w:w="2592" w:type="dxa"/>
            <w:tcBorders>
              <w:top w:val="single" w:sz="6" w:space="0" w:color="auto"/>
              <w:bottom w:val="single" w:sz="6" w:space="0" w:color="auto"/>
            </w:tcBorders>
          </w:tcPr>
          <w:p w:rsidR="00A53D7D" w:rsidRPr="00FE6D1E" w:rsidRDefault="00A53D7D" w:rsidP="005140B4">
            <w:pPr>
              <w:pStyle w:val="Tabletext"/>
              <w:ind w:left="0" w:firstLine="0"/>
            </w:pPr>
            <w:r w:rsidRPr="00FE6D1E">
              <w:t>Exports facilitated</w:t>
            </w:r>
          </w:p>
          <w:p w:rsidR="00A53D7D" w:rsidRPr="00FE6D1E" w:rsidRDefault="00A53D7D" w:rsidP="005140B4">
            <w:pPr>
              <w:pStyle w:val="Tabletext"/>
              <w:ind w:left="0" w:firstLine="0"/>
            </w:pPr>
            <w:r w:rsidRPr="00FE6D1E">
              <w:t>Businesses engaged and assisted</w:t>
            </w:r>
          </w:p>
        </w:tc>
        <w:tc>
          <w:tcPr>
            <w:tcW w:w="2592" w:type="dxa"/>
            <w:tcBorders>
              <w:top w:val="single" w:sz="6" w:space="0" w:color="auto"/>
              <w:bottom w:val="single" w:sz="6" w:space="0" w:color="auto"/>
            </w:tcBorders>
          </w:tcPr>
          <w:p w:rsidR="00A53D7D" w:rsidRPr="00FE6D1E" w:rsidRDefault="00A53D7D" w:rsidP="005140B4">
            <w:pPr>
              <w:pStyle w:val="Tabletext"/>
              <w:ind w:left="0" w:firstLine="0"/>
            </w:pPr>
            <w:r w:rsidRPr="00FE6D1E">
              <w:t>Trade and Export Facilitation</w:t>
            </w:r>
          </w:p>
          <w:p w:rsidR="00A53D7D" w:rsidRPr="00FE6D1E" w:rsidRDefault="00A53D7D" w:rsidP="005140B4">
            <w:pPr>
              <w:pStyle w:val="Tabletext"/>
              <w:ind w:left="0" w:firstLine="0"/>
            </w:pPr>
            <w:r w:rsidRPr="00FE6D1E">
              <w:t>Small Business Assistance</w:t>
            </w:r>
          </w:p>
        </w:tc>
      </w:tr>
      <w:tr w:rsidR="00A53D7D" w:rsidRPr="00FE6D1E" w:rsidTr="005140B4">
        <w:trPr>
          <w:cantSplit/>
        </w:trPr>
        <w:tc>
          <w:tcPr>
            <w:tcW w:w="2592" w:type="dxa"/>
            <w:tcBorders>
              <w:top w:val="single" w:sz="6" w:space="0" w:color="auto"/>
              <w:bottom w:val="single" w:sz="12" w:space="0" w:color="auto"/>
            </w:tcBorders>
          </w:tcPr>
          <w:p w:rsidR="00A53D7D" w:rsidRPr="00FE6D1E" w:rsidRDefault="00A53D7D" w:rsidP="005140B4">
            <w:pPr>
              <w:pStyle w:val="Tabletext"/>
              <w:pageBreakBefore/>
              <w:ind w:left="0" w:firstLine="0"/>
            </w:pPr>
            <w:r w:rsidRPr="00FE6D1E">
              <w:t xml:space="preserve">Promote the delivery of safe, reliable and competitive energy services, and grow a sustainable resources sector </w:t>
            </w:r>
            <w:r w:rsidRPr="00277C05">
              <w:rPr>
                <w:vertAlign w:val="superscript"/>
              </w:rPr>
              <w:t>(a)</w:t>
            </w:r>
          </w:p>
        </w:tc>
        <w:tc>
          <w:tcPr>
            <w:tcW w:w="2592" w:type="dxa"/>
            <w:tcBorders>
              <w:top w:val="single" w:sz="6" w:space="0" w:color="auto"/>
              <w:bottom w:val="single" w:sz="12" w:space="0" w:color="auto"/>
            </w:tcBorders>
          </w:tcPr>
          <w:p w:rsidR="00A53D7D" w:rsidRPr="00FE6D1E" w:rsidRDefault="00A53D7D" w:rsidP="005140B4">
            <w:pPr>
              <w:pStyle w:val="Tabletext"/>
              <w:pageBreakBefore/>
              <w:ind w:left="0" w:firstLine="0"/>
            </w:pPr>
            <w:r w:rsidRPr="00FE6D1E">
              <w:t>Market outcomes, industry and consumer confidence strengthened</w:t>
            </w:r>
          </w:p>
        </w:tc>
        <w:tc>
          <w:tcPr>
            <w:tcW w:w="2592" w:type="dxa"/>
            <w:tcBorders>
              <w:top w:val="single" w:sz="6" w:space="0" w:color="auto"/>
              <w:bottom w:val="single" w:sz="12" w:space="0" w:color="auto"/>
            </w:tcBorders>
          </w:tcPr>
          <w:p w:rsidR="00A53D7D" w:rsidRPr="00FE6D1E" w:rsidRDefault="00A53D7D" w:rsidP="005140B4">
            <w:pPr>
              <w:pStyle w:val="Tabletext"/>
              <w:pageBreakBefore/>
              <w:ind w:left="0" w:firstLine="0"/>
            </w:pPr>
            <w:r w:rsidRPr="00FE6D1E">
              <w:t>Energy and Resources</w:t>
            </w:r>
          </w:p>
        </w:tc>
      </w:tr>
    </w:tbl>
    <w:p w:rsidR="00A53D7D" w:rsidRDefault="00A53D7D" w:rsidP="005140B4">
      <w:pPr>
        <w:pStyle w:val="Source"/>
      </w:pPr>
      <w:r w:rsidRPr="00691EBE">
        <w:t xml:space="preserve">Source: </w:t>
      </w:r>
      <w:r>
        <w:t xml:space="preserve">Department of State Development, </w:t>
      </w:r>
      <w:proofErr w:type="gramStart"/>
      <w:r>
        <w:t>Business</w:t>
      </w:r>
      <w:proofErr w:type="gramEnd"/>
      <w:r>
        <w:t xml:space="preserve"> and Innovation</w:t>
      </w:r>
    </w:p>
    <w:p w:rsidR="00A53D7D" w:rsidRDefault="00A53D7D" w:rsidP="005140B4">
      <w:pPr>
        <w:pStyle w:val="Notes"/>
      </w:pPr>
      <w:r>
        <w:t>Note:</w:t>
      </w:r>
    </w:p>
    <w:p w:rsidR="00A53D7D" w:rsidRDefault="00A53D7D" w:rsidP="005140B4">
      <w:pPr>
        <w:pStyle w:val="Notes"/>
      </w:pPr>
      <w:r>
        <w:t>(a)</w:t>
      </w:r>
      <w:r>
        <w:tab/>
        <w:t>This is a new departmental objective and objective indicator in 2014</w:t>
      </w:r>
      <w:r>
        <w:noBreakHyphen/>
        <w:t>15 to appropriately reflect the Energy and Resources output.</w:t>
      </w:r>
    </w:p>
    <w:p w:rsidR="004E7A50" w:rsidRPr="00277C05" w:rsidRDefault="004E7A50" w:rsidP="005140B4">
      <w:pPr>
        <w:pStyle w:val="Notes"/>
      </w:pPr>
    </w:p>
    <w:p w:rsidR="00A53D7D" w:rsidRDefault="00A53D7D" w:rsidP="005140B4">
      <w:pPr>
        <w:pStyle w:val="Heading2"/>
      </w:pPr>
      <w:r>
        <w:t>Changes to the output structure</w:t>
      </w:r>
    </w:p>
    <w:p w:rsidR="00A53D7D" w:rsidRDefault="00A53D7D" w:rsidP="005140B4">
      <w:pPr>
        <w:pStyle w:val="Tableheading"/>
      </w:pPr>
      <w:r>
        <w:t>Table 2.20:</w:t>
      </w:r>
      <w:r>
        <w:tab/>
        <w:t xml:space="preserve">Output summary </w:t>
      </w:r>
    </w:p>
    <w:p w:rsidR="00A53D7D" w:rsidRPr="008219E5"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8219E5" w:rsidTr="005140B4">
        <w:tc>
          <w:tcPr>
            <w:tcW w:w="3803" w:type="dxa"/>
            <w:tcBorders>
              <w:top w:val="single" w:sz="4" w:space="0" w:color="auto"/>
              <w:left w:val="single" w:sz="4" w:space="0" w:color="auto"/>
              <w:bottom w:val="nil"/>
              <w:right w:val="nil"/>
            </w:tcBorders>
            <w:shd w:val="clear" w:color="auto" w:fill="000000"/>
          </w:tcPr>
          <w:p w:rsidR="00A53D7D" w:rsidRPr="008219E5" w:rsidRDefault="00A53D7D" w:rsidP="005140B4">
            <w:pPr>
              <w:pStyle w:val="Tabletext"/>
              <w:rPr>
                <w:rFonts w:eastAsiaTheme="minorEastAsia"/>
                <w:lang w:eastAsia="en-AU"/>
              </w:rPr>
            </w:pPr>
          </w:p>
        </w:tc>
        <w:tc>
          <w:tcPr>
            <w:tcW w:w="994" w:type="dxa"/>
            <w:tcBorders>
              <w:top w:val="single" w:sz="4" w:space="0" w:color="auto"/>
              <w:left w:val="nil"/>
              <w:bottom w:val="nil"/>
              <w:right w:val="nil"/>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2014-15</w:t>
            </w:r>
          </w:p>
        </w:tc>
        <w:tc>
          <w:tcPr>
            <w:tcW w:w="993" w:type="dxa"/>
            <w:tcBorders>
              <w:top w:val="single" w:sz="4" w:space="0" w:color="auto"/>
              <w:left w:val="nil"/>
              <w:bottom w:val="nil"/>
              <w:right w:val="single" w:sz="4" w:space="0" w:color="auto"/>
            </w:tcBorders>
            <w:shd w:val="clear" w:color="auto" w:fill="000000"/>
          </w:tcPr>
          <w:p w:rsidR="00A53D7D" w:rsidRPr="008219E5" w:rsidRDefault="00A53D7D" w:rsidP="005140B4">
            <w:pPr>
              <w:pStyle w:val="Tabletextheading"/>
              <w:rPr>
                <w:rFonts w:eastAsiaTheme="minorEastAsia" w:cs="Calibri"/>
                <w:iCs/>
                <w:color w:val="000000"/>
                <w:vertAlign w:val="superscript"/>
                <w:lang w:eastAsia="en-AU"/>
              </w:rPr>
            </w:pPr>
            <w:r w:rsidRPr="008219E5">
              <w:rPr>
                <w:rFonts w:eastAsiaTheme="minorEastAsia"/>
                <w:lang w:eastAsia="en-AU"/>
              </w:rPr>
              <w:t>Variation</w:t>
            </w:r>
            <w:r w:rsidRPr="008219E5">
              <w:rPr>
                <w:rFonts w:eastAsiaTheme="minorEastAsia"/>
                <w:vertAlign w:val="superscript"/>
                <w:lang w:eastAsia="en-AU"/>
              </w:rPr>
              <w:t>(</w:t>
            </w:r>
            <w:r w:rsidRPr="008219E5">
              <w:rPr>
                <w:rFonts w:eastAsiaTheme="minorEastAsia" w:cs="Calibri"/>
                <w:iCs/>
                <w:color w:val="FFFFFF" w:themeColor="background1"/>
                <w:vertAlign w:val="superscript"/>
                <w:lang w:eastAsia="en-AU"/>
              </w:rPr>
              <w:t>a)</w:t>
            </w:r>
          </w:p>
        </w:tc>
      </w:tr>
      <w:tr w:rsidR="00A53D7D" w:rsidRPr="008219E5" w:rsidTr="005140B4">
        <w:tc>
          <w:tcPr>
            <w:tcW w:w="3803" w:type="dxa"/>
            <w:tcBorders>
              <w:top w:val="nil"/>
              <w:left w:val="single" w:sz="4" w:space="0" w:color="auto"/>
              <w:bottom w:val="single" w:sz="4" w:space="0" w:color="auto"/>
              <w:right w:val="nil"/>
            </w:tcBorders>
            <w:shd w:val="clear" w:color="auto" w:fill="000000"/>
          </w:tcPr>
          <w:p w:rsidR="00A53D7D" w:rsidRPr="008219E5" w:rsidRDefault="00A53D7D" w:rsidP="005140B4">
            <w:pPr>
              <w:pStyle w:val="Tabletext"/>
              <w:rPr>
                <w:rFonts w:eastAsiaTheme="minorEastAsia"/>
                <w:lang w:eastAsia="en-AU"/>
              </w:rPr>
            </w:pPr>
          </w:p>
        </w:tc>
        <w:tc>
          <w:tcPr>
            <w:tcW w:w="994" w:type="dxa"/>
            <w:tcBorders>
              <w:top w:val="nil"/>
              <w:left w:val="nil"/>
              <w:bottom w:val="single" w:sz="4" w:space="0" w:color="auto"/>
              <w:right w:val="nil"/>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Budget</w:t>
            </w:r>
          </w:p>
        </w:tc>
        <w:tc>
          <w:tcPr>
            <w:tcW w:w="993" w:type="dxa"/>
            <w:tcBorders>
              <w:top w:val="nil"/>
              <w:left w:val="nil"/>
              <w:bottom w:val="single" w:sz="4" w:space="0" w:color="auto"/>
              <w:right w:val="single" w:sz="4" w:space="0" w:color="auto"/>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w:t>
            </w:r>
          </w:p>
        </w:tc>
      </w:tr>
      <w:tr w:rsidR="00A53D7D" w:rsidRPr="008219E5" w:rsidTr="005140B4">
        <w:tc>
          <w:tcPr>
            <w:tcW w:w="3803" w:type="dxa"/>
            <w:tcBorders>
              <w:top w:val="single" w:sz="4" w:space="0" w:color="auto"/>
              <w:left w:val="nil"/>
              <w:bottom w:val="nil"/>
              <w:right w:val="nil"/>
            </w:tcBorders>
          </w:tcPr>
          <w:p w:rsidR="00A53D7D" w:rsidRPr="008219E5" w:rsidRDefault="00A53D7D" w:rsidP="005140B4">
            <w:pPr>
              <w:pStyle w:val="Tabletext"/>
              <w:rPr>
                <w:rFonts w:eastAsiaTheme="minorEastAsia" w:cs="Calibri"/>
                <w:color w:val="000000"/>
                <w:vertAlign w:val="superscript"/>
                <w:lang w:eastAsia="en-AU"/>
              </w:rPr>
            </w:pPr>
            <w:r w:rsidRPr="008219E5">
              <w:rPr>
                <w:rFonts w:eastAsiaTheme="minorEastAsia"/>
                <w:lang w:eastAsia="en-AU"/>
              </w:rPr>
              <w:t xml:space="preserve">Employment </w:t>
            </w:r>
            <w:r w:rsidRPr="008219E5">
              <w:rPr>
                <w:rFonts w:eastAsiaTheme="minorEastAsia" w:cs="Calibri"/>
                <w:color w:val="000000"/>
                <w:vertAlign w:val="superscript"/>
                <w:lang w:eastAsia="en-AU"/>
              </w:rPr>
              <w:t>(b) (c)</w:t>
            </w:r>
          </w:p>
        </w:tc>
        <w:tc>
          <w:tcPr>
            <w:tcW w:w="994" w:type="dxa"/>
            <w:tcBorders>
              <w:top w:val="single" w:sz="4" w:space="0" w:color="auto"/>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15.3</w:t>
            </w:r>
          </w:p>
        </w:tc>
        <w:tc>
          <w:tcPr>
            <w:tcW w:w="993" w:type="dxa"/>
            <w:tcBorders>
              <w:top w:val="single" w:sz="4" w:space="0" w:color="auto"/>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11.2</w:t>
            </w:r>
          </w:p>
        </w:tc>
        <w:tc>
          <w:tcPr>
            <w:tcW w:w="993" w:type="dxa"/>
            <w:tcBorders>
              <w:top w:val="single" w:sz="4" w:space="0" w:color="auto"/>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10.3</w:t>
            </w:r>
          </w:p>
        </w:tc>
        <w:tc>
          <w:tcPr>
            <w:tcW w:w="993" w:type="dxa"/>
            <w:tcBorders>
              <w:top w:val="single" w:sz="4" w:space="0" w:color="auto"/>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-32.7</w:t>
            </w:r>
          </w:p>
        </w:tc>
      </w:tr>
      <w:tr w:rsidR="00A53D7D" w:rsidRPr="008219E5" w:rsidTr="005140B4">
        <w:tc>
          <w:tcPr>
            <w:tcW w:w="3803" w:type="dxa"/>
            <w:tcBorders>
              <w:top w:val="nil"/>
              <w:left w:val="nil"/>
              <w:bottom w:val="nil"/>
              <w:right w:val="nil"/>
            </w:tcBorders>
          </w:tcPr>
          <w:p w:rsidR="00A53D7D" w:rsidRPr="008219E5" w:rsidRDefault="00A53D7D" w:rsidP="005140B4">
            <w:pPr>
              <w:pStyle w:val="Tabletext"/>
              <w:rPr>
                <w:rFonts w:eastAsiaTheme="minorEastAsia" w:cs="Calibri"/>
                <w:color w:val="000000"/>
                <w:vertAlign w:val="superscript"/>
                <w:lang w:eastAsia="en-AU"/>
              </w:rPr>
            </w:pPr>
            <w:r w:rsidRPr="008219E5">
              <w:rPr>
                <w:rFonts w:eastAsiaTheme="minorEastAsia"/>
                <w:lang w:eastAsia="en-AU"/>
              </w:rPr>
              <w:t xml:space="preserve">Energy and Resources </w:t>
            </w:r>
            <w:r w:rsidRPr="008219E5">
              <w:rPr>
                <w:rFonts w:eastAsiaTheme="minorEastAsia" w:cs="Calibri"/>
                <w:color w:val="000000"/>
                <w:vertAlign w:val="superscript"/>
                <w:lang w:eastAsia="en-AU"/>
              </w:rPr>
              <w:t>(d) (e)</w:t>
            </w:r>
          </w:p>
        </w:tc>
        <w:tc>
          <w:tcPr>
            <w:tcW w:w="994"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188.4</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111.2</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154.8</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-17.8</w:t>
            </w:r>
          </w:p>
        </w:tc>
      </w:tr>
      <w:tr w:rsidR="00A53D7D" w:rsidRPr="008219E5" w:rsidTr="005140B4">
        <w:tc>
          <w:tcPr>
            <w:tcW w:w="3803" w:type="dxa"/>
            <w:tcBorders>
              <w:top w:val="nil"/>
              <w:left w:val="nil"/>
              <w:bottom w:val="nil"/>
              <w:right w:val="nil"/>
            </w:tcBorders>
          </w:tcPr>
          <w:p w:rsidR="00A53D7D" w:rsidRPr="008219E5" w:rsidRDefault="00A53D7D" w:rsidP="005140B4">
            <w:pPr>
              <w:pStyle w:val="Tabletext"/>
              <w:rPr>
                <w:rFonts w:eastAsiaTheme="minorEastAsia" w:cs="Calibri"/>
                <w:color w:val="000000"/>
                <w:vertAlign w:val="superscript"/>
                <w:lang w:eastAsia="en-AU"/>
              </w:rPr>
            </w:pPr>
            <w:r w:rsidRPr="008219E5">
              <w:rPr>
                <w:rFonts w:eastAsiaTheme="minorEastAsia"/>
                <w:lang w:eastAsia="en-AU"/>
              </w:rPr>
              <w:t xml:space="preserve">Innovation and Technology </w:t>
            </w:r>
            <w:r w:rsidRPr="008219E5">
              <w:rPr>
                <w:rFonts w:eastAsiaTheme="minorEastAsia" w:cs="Calibri"/>
                <w:color w:val="000000"/>
                <w:vertAlign w:val="superscript"/>
                <w:lang w:eastAsia="en-AU"/>
              </w:rPr>
              <w:t>(f)</w:t>
            </w:r>
          </w:p>
        </w:tc>
        <w:tc>
          <w:tcPr>
            <w:tcW w:w="994"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181.5</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174.9</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175.3</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-3.4</w:t>
            </w:r>
          </w:p>
        </w:tc>
      </w:tr>
      <w:tr w:rsidR="00A53D7D" w:rsidRPr="008219E5" w:rsidTr="005140B4">
        <w:tc>
          <w:tcPr>
            <w:tcW w:w="3803" w:type="dxa"/>
            <w:tcBorders>
              <w:top w:val="nil"/>
              <w:left w:val="nil"/>
              <w:bottom w:val="nil"/>
              <w:right w:val="nil"/>
            </w:tcBorders>
          </w:tcPr>
          <w:p w:rsidR="00A53D7D" w:rsidRPr="008219E5" w:rsidRDefault="00A53D7D" w:rsidP="005140B4">
            <w:pPr>
              <w:pStyle w:val="Tabletext"/>
              <w:rPr>
                <w:rFonts w:eastAsiaTheme="minorEastAsia" w:cs="Calibri"/>
                <w:color w:val="000000"/>
                <w:vertAlign w:val="superscript"/>
                <w:lang w:eastAsia="en-AU"/>
              </w:rPr>
            </w:pPr>
            <w:r w:rsidRPr="008219E5">
              <w:rPr>
                <w:rFonts w:eastAsiaTheme="minorEastAsia"/>
                <w:lang w:eastAsia="en-AU"/>
              </w:rPr>
              <w:t xml:space="preserve">Investment, Attraction, Facilitation and Major Projects </w:t>
            </w:r>
            <w:r w:rsidRPr="008219E5">
              <w:rPr>
                <w:rFonts w:eastAsiaTheme="minorEastAsia" w:cs="Calibri"/>
                <w:color w:val="000000"/>
                <w:vertAlign w:val="superscript"/>
                <w:lang w:eastAsia="en-AU"/>
              </w:rPr>
              <w:t>(g) (h)</w:t>
            </w:r>
          </w:p>
        </w:tc>
        <w:tc>
          <w:tcPr>
            <w:tcW w:w="994"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301.4</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268.4</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211.8</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-29.7</w:t>
            </w:r>
          </w:p>
        </w:tc>
      </w:tr>
      <w:tr w:rsidR="00A53D7D" w:rsidRPr="008219E5" w:rsidTr="005140B4">
        <w:tc>
          <w:tcPr>
            <w:tcW w:w="3803" w:type="dxa"/>
            <w:tcBorders>
              <w:top w:val="nil"/>
              <w:left w:val="nil"/>
              <w:bottom w:val="nil"/>
              <w:right w:val="nil"/>
            </w:tcBorders>
          </w:tcPr>
          <w:p w:rsidR="00A53D7D" w:rsidRPr="008219E5" w:rsidRDefault="00A53D7D" w:rsidP="005140B4">
            <w:pPr>
              <w:pStyle w:val="Tabletext"/>
              <w:rPr>
                <w:rFonts w:eastAsiaTheme="minorEastAsia" w:cs="Calibri"/>
                <w:color w:val="000000"/>
                <w:vertAlign w:val="superscript"/>
                <w:lang w:eastAsia="en-AU"/>
              </w:rPr>
            </w:pPr>
            <w:r w:rsidRPr="008219E5">
              <w:rPr>
                <w:rFonts w:eastAsiaTheme="minorEastAsia"/>
                <w:lang w:eastAsia="en-AU"/>
              </w:rPr>
              <w:t xml:space="preserve">Regional Development and Regional </w:t>
            </w:r>
            <w:r w:rsidRPr="008219E5">
              <w:rPr>
                <w:rFonts w:eastAsiaTheme="minorEastAsia" w:cs="Calibri"/>
                <w:color w:val="000000"/>
                <w:lang w:eastAsia="en-AU"/>
              </w:rPr>
              <w:t xml:space="preserve">Cities </w:t>
            </w:r>
            <w:r w:rsidRPr="008219E5">
              <w:rPr>
                <w:rFonts w:eastAsiaTheme="minorEastAsia" w:cs="Calibri"/>
                <w:color w:val="000000"/>
                <w:vertAlign w:val="superscript"/>
                <w:lang w:eastAsia="en-AU"/>
              </w:rPr>
              <w:t>(</w:t>
            </w:r>
            <w:proofErr w:type="spellStart"/>
            <w:r w:rsidRPr="008219E5">
              <w:rPr>
                <w:rFonts w:eastAsiaTheme="minorEastAsia" w:cs="Calibri"/>
                <w:color w:val="000000"/>
                <w:vertAlign w:val="superscript"/>
                <w:lang w:eastAsia="en-AU"/>
              </w:rPr>
              <w:t>i</w:t>
            </w:r>
            <w:proofErr w:type="spellEnd"/>
            <w:r w:rsidRPr="008219E5">
              <w:rPr>
                <w:rFonts w:eastAsiaTheme="minorEastAsia" w:cs="Calibri"/>
                <w:color w:val="000000"/>
                <w:vertAlign w:val="superscript"/>
                <w:lang w:eastAsia="en-AU"/>
              </w:rPr>
              <w:t>)</w:t>
            </w:r>
          </w:p>
        </w:tc>
        <w:tc>
          <w:tcPr>
            <w:tcW w:w="994"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222.5</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225.7</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205.7</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-7.6</w:t>
            </w:r>
          </w:p>
        </w:tc>
      </w:tr>
      <w:tr w:rsidR="00A53D7D" w:rsidRPr="008219E5" w:rsidTr="005140B4">
        <w:tc>
          <w:tcPr>
            <w:tcW w:w="3803" w:type="dxa"/>
            <w:tcBorders>
              <w:top w:val="nil"/>
              <w:left w:val="nil"/>
              <w:bottom w:val="nil"/>
              <w:right w:val="nil"/>
            </w:tcBorders>
          </w:tcPr>
          <w:p w:rsidR="00A53D7D" w:rsidRPr="008219E5" w:rsidRDefault="00A53D7D" w:rsidP="005140B4">
            <w:pPr>
              <w:pStyle w:val="Tabletext"/>
              <w:rPr>
                <w:rFonts w:eastAsiaTheme="minorEastAsia" w:cs="Calibri"/>
                <w:color w:val="000000"/>
                <w:vertAlign w:val="superscript"/>
                <w:lang w:eastAsia="en-AU"/>
              </w:rPr>
            </w:pPr>
            <w:r w:rsidRPr="008219E5">
              <w:rPr>
                <w:rFonts w:eastAsiaTheme="minorEastAsia"/>
                <w:lang w:eastAsia="en-AU"/>
              </w:rPr>
              <w:t xml:space="preserve">Small Business Assistance </w:t>
            </w:r>
            <w:r w:rsidRPr="008219E5">
              <w:rPr>
                <w:rFonts w:eastAsiaTheme="minorEastAsia" w:cs="Calibri"/>
                <w:color w:val="000000"/>
                <w:vertAlign w:val="superscript"/>
                <w:lang w:eastAsia="en-AU"/>
              </w:rPr>
              <w:t>(j) (k)</w:t>
            </w:r>
          </w:p>
        </w:tc>
        <w:tc>
          <w:tcPr>
            <w:tcW w:w="994"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32.6</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30.7</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33.7</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3.4</w:t>
            </w:r>
          </w:p>
        </w:tc>
      </w:tr>
      <w:tr w:rsidR="00A53D7D" w:rsidRPr="008219E5" w:rsidTr="005140B4">
        <w:tc>
          <w:tcPr>
            <w:tcW w:w="3803" w:type="dxa"/>
            <w:tcBorders>
              <w:top w:val="nil"/>
              <w:left w:val="nil"/>
              <w:bottom w:val="nil"/>
              <w:right w:val="nil"/>
            </w:tcBorders>
          </w:tcPr>
          <w:p w:rsidR="00A53D7D" w:rsidRPr="008219E5" w:rsidRDefault="00A53D7D" w:rsidP="005140B4">
            <w:pPr>
              <w:pStyle w:val="Tabletext"/>
              <w:rPr>
                <w:rFonts w:eastAsiaTheme="minorEastAsia" w:cs="Calibri"/>
                <w:color w:val="000000"/>
                <w:vertAlign w:val="superscript"/>
                <w:lang w:eastAsia="en-AU"/>
              </w:rPr>
            </w:pPr>
            <w:r w:rsidRPr="008219E5">
              <w:rPr>
                <w:rFonts w:eastAsiaTheme="minorEastAsia"/>
                <w:lang w:eastAsia="en-AU"/>
              </w:rPr>
              <w:t xml:space="preserve">Tourism and Marketing </w:t>
            </w:r>
            <w:r w:rsidRPr="008219E5">
              <w:rPr>
                <w:rFonts w:eastAsiaTheme="minorEastAsia" w:cs="Calibri"/>
                <w:color w:val="000000"/>
                <w:vertAlign w:val="superscript"/>
                <w:lang w:eastAsia="en-AU"/>
              </w:rPr>
              <w:t>(l) (m)</w:t>
            </w:r>
          </w:p>
        </w:tc>
        <w:tc>
          <w:tcPr>
            <w:tcW w:w="994"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82.7</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149.6</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96.6</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16.8</w:t>
            </w:r>
          </w:p>
        </w:tc>
      </w:tr>
      <w:tr w:rsidR="00A53D7D" w:rsidRPr="008219E5" w:rsidTr="005140B4">
        <w:tc>
          <w:tcPr>
            <w:tcW w:w="3803" w:type="dxa"/>
            <w:tcBorders>
              <w:top w:val="nil"/>
              <w:left w:val="nil"/>
              <w:bottom w:val="nil"/>
              <w:right w:val="nil"/>
            </w:tcBorders>
          </w:tcPr>
          <w:p w:rsidR="00A53D7D" w:rsidRPr="008219E5" w:rsidRDefault="00A53D7D" w:rsidP="005140B4">
            <w:pPr>
              <w:pStyle w:val="Tabletext"/>
              <w:rPr>
                <w:rFonts w:eastAsiaTheme="minorEastAsia" w:cs="Calibri"/>
                <w:color w:val="000000"/>
                <w:vertAlign w:val="superscript"/>
                <w:lang w:eastAsia="en-AU"/>
              </w:rPr>
            </w:pPr>
            <w:r w:rsidRPr="008219E5">
              <w:rPr>
                <w:rFonts w:eastAsiaTheme="minorEastAsia"/>
                <w:lang w:eastAsia="en-AU"/>
              </w:rPr>
              <w:t xml:space="preserve">Trade and Export </w:t>
            </w:r>
            <w:r w:rsidRPr="008219E5">
              <w:rPr>
                <w:rFonts w:eastAsiaTheme="minorEastAsia" w:cs="Calibri"/>
                <w:color w:val="000000"/>
                <w:lang w:eastAsia="en-AU"/>
              </w:rPr>
              <w:t xml:space="preserve">Facilitation </w:t>
            </w:r>
            <w:r w:rsidRPr="008219E5">
              <w:rPr>
                <w:rFonts w:eastAsiaTheme="minorEastAsia" w:cs="Calibri"/>
                <w:color w:val="000000"/>
                <w:vertAlign w:val="superscript"/>
                <w:lang w:eastAsia="en-AU"/>
              </w:rPr>
              <w:t>(n) (o)</w:t>
            </w:r>
          </w:p>
        </w:tc>
        <w:tc>
          <w:tcPr>
            <w:tcW w:w="994"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34.1</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30.9</w:t>
            </w:r>
          </w:p>
        </w:tc>
        <w:tc>
          <w:tcPr>
            <w:tcW w:w="993" w:type="dxa"/>
            <w:tcBorders>
              <w:top w:val="nil"/>
              <w:left w:val="nil"/>
              <w:bottom w:val="nil"/>
              <w:right w:val="nil"/>
            </w:tcBorders>
          </w:tcPr>
          <w:p w:rsidR="00A53D7D" w:rsidRPr="008219E5" w:rsidRDefault="00A53D7D" w:rsidP="005140B4">
            <w:pPr>
              <w:pStyle w:val="TableofFigures"/>
              <w:rPr>
                <w:rFonts w:eastAsiaTheme="minorEastAsia" w:cs="Calibri"/>
                <w:color w:val="000000"/>
                <w:lang w:eastAsia="en-AU"/>
              </w:rPr>
            </w:pPr>
            <w:r w:rsidRPr="008219E5">
              <w:rPr>
                <w:rFonts w:eastAsiaTheme="minorEastAsia"/>
                <w:lang w:eastAsia="en-AU"/>
              </w:rPr>
              <w:t>38.5</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12.9</w:t>
            </w:r>
          </w:p>
        </w:tc>
      </w:tr>
      <w:tr w:rsidR="00A53D7D" w:rsidRPr="008219E5" w:rsidTr="005140B4">
        <w:tc>
          <w:tcPr>
            <w:tcW w:w="3803" w:type="dxa"/>
            <w:tcBorders>
              <w:top w:val="single" w:sz="6" w:space="0" w:color="auto"/>
              <w:left w:val="nil"/>
              <w:bottom w:val="single" w:sz="12" w:space="0" w:color="auto"/>
              <w:right w:val="nil"/>
            </w:tcBorders>
          </w:tcPr>
          <w:p w:rsidR="00A53D7D" w:rsidRPr="008219E5" w:rsidRDefault="00A53D7D" w:rsidP="005140B4">
            <w:pPr>
              <w:pStyle w:val="Tabletext"/>
              <w:rPr>
                <w:rFonts w:eastAsiaTheme="minorEastAsia"/>
                <w:b/>
                <w:bCs/>
                <w:lang w:eastAsia="en-AU"/>
              </w:rPr>
            </w:pPr>
            <w:r w:rsidRPr="008219E5">
              <w:rPr>
                <w:rFonts w:eastAsiaTheme="minorEastAsia"/>
                <w:b/>
                <w:bCs/>
                <w:lang w:eastAsia="en-AU"/>
              </w:rPr>
              <w:t>Total</w:t>
            </w:r>
          </w:p>
        </w:tc>
        <w:tc>
          <w:tcPr>
            <w:tcW w:w="994" w:type="dxa"/>
            <w:tcBorders>
              <w:top w:val="single" w:sz="6" w:space="0" w:color="auto"/>
              <w:left w:val="nil"/>
              <w:bottom w:val="single" w:sz="12" w:space="0" w:color="auto"/>
              <w:right w:val="nil"/>
            </w:tcBorders>
          </w:tcPr>
          <w:p w:rsidR="00A53D7D" w:rsidRPr="008219E5" w:rsidRDefault="00A53D7D" w:rsidP="005140B4">
            <w:pPr>
              <w:pStyle w:val="TableofFigures"/>
              <w:rPr>
                <w:rFonts w:eastAsiaTheme="minorEastAsia"/>
                <w:b/>
                <w:bCs/>
                <w:lang w:eastAsia="en-AU"/>
              </w:rPr>
            </w:pPr>
            <w:r w:rsidRPr="008219E5">
              <w:rPr>
                <w:rFonts w:eastAsiaTheme="minorEastAsia"/>
                <w:b/>
                <w:bCs/>
                <w:lang w:eastAsia="en-AU"/>
              </w:rPr>
              <w:t>1 058.5</w:t>
            </w:r>
          </w:p>
        </w:tc>
        <w:tc>
          <w:tcPr>
            <w:tcW w:w="993" w:type="dxa"/>
            <w:tcBorders>
              <w:top w:val="single" w:sz="6" w:space="0" w:color="auto"/>
              <w:left w:val="nil"/>
              <w:bottom w:val="single" w:sz="12" w:space="0" w:color="auto"/>
              <w:right w:val="nil"/>
            </w:tcBorders>
          </w:tcPr>
          <w:p w:rsidR="00A53D7D" w:rsidRPr="008219E5" w:rsidRDefault="00A53D7D" w:rsidP="005140B4">
            <w:pPr>
              <w:pStyle w:val="TableofFigures"/>
              <w:rPr>
                <w:rFonts w:eastAsiaTheme="minorEastAsia"/>
                <w:b/>
                <w:bCs/>
                <w:lang w:eastAsia="en-AU"/>
              </w:rPr>
            </w:pPr>
            <w:r w:rsidRPr="008219E5">
              <w:rPr>
                <w:rFonts w:eastAsiaTheme="minorEastAsia"/>
                <w:b/>
                <w:bCs/>
                <w:lang w:eastAsia="en-AU"/>
              </w:rPr>
              <w:t>1 002.6</w:t>
            </w:r>
          </w:p>
        </w:tc>
        <w:tc>
          <w:tcPr>
            <w:tcW w:w="993" w:type="dxa"/>
            <w:tcBorders>
              <w:top w:val="single" w:sz="6" w:space="0" w:color="auto"/>
              <w:left w:val="nil"/>
              <w:bottom w:val="single" w:sz="12" w:space="0" w:color="auto"/>
              <w:right w:val="nil"/>
            </w:tcBorders>
          </w:tcPr>
          <w:p w:rsidR="00A53D7D" w:rsidRPr="008219E5" w:rsidRDefault="00A53D7D" w:rsidP="005140B4">
            <w:pPr>
              <w:pStyle w:val="TableofFigures"/>
              <w:rPr>
                <w:rFonts w:eastAsiaTheme="minorEastAsia"/>
                <w:b/>
                <w:bCs/>
                <w:lang w:eastAsia="en-AU"/>
              </w:rPr>
            </w:pPr>
            <w:r w:rsidRPr="008219E5">
              <w:rPr>
                <w:rFonts w:eastAsiaTheme="minorEastAsia"/>
                <w:b/>
                <w:bCs/>
                <w:lang w:eastAsia="en-AU"/>
              </w:rPr>
              <w:t>926.7</w:t>
            </w:r>
          </w:p>
        </w:tc>
        <w:tc>
          <w:tcPr>
            <w:tcW w:w="993" w:type="dxa"/>
            <w:tcBorders>
              <w:top w:val="single" w:sz="6" w:space="0" w:color="auto"/>
              <w:left w:val="nil"/>
              <w:bottom w:val="single" w:sz="12" w:space="0" w:color="auto"/>
              <w:right w:val="nil"/>
            </w:tcBorders>
          </w:tcPr>
          <w:p w:rsidR="00A53D7D" w:rsidRPr="008219E5" w:rsidRDefault="00A53D7D" w:rsidP="005140B4">
            <w:pPr>
              <w:pStyle w:val="TableofFigures"/>
              <w:rPr>
                <w:rFonts w:eastAsiaTheme="minorEastAsia"/>
                <w:b/>
                <w:bCs/>
                <w:lang w:eastAsia="en-AU"/>
              </w:rPr>
            </w:pPr>
            <w:r w:rsidRPr="008219E5">
              <w:rPr>
                <w:rFonts w:eastAsiaTheme="minorEastAsia"/>
                <w:b/>
                <w:bCs/>
                <w:lang w:eastAsia="en-AU"/>
              </w:rPr>
              <w:t>-12.5</w:t>
            </w:r>
          </w:p>
        </w:tc>
      </w:tr>
    </w:tbl>
    <w:p w:rsidR="00A53D7D" w:rsidRPr="007B4D79" w:rsidRDefault="00A53D7D" w:rsidP="005140B4">
      <w:pPr>
        <w:pStyle w:val="Source"/>
      </w:pPr>
      <w:r>
        <w:t xml:space="preserve">Source: Department of State Development, </w:t>
      </w:r>
      <w:proofErr w:type="gramStart"/>
      <w:r>
        <w:t>Business</w:t>
      </w:r>
      <w:proofErr w:type="gramEnd"/>
      <w:r>
        <w:t xml:space="preserve"> and Innovation </w:t>
      </w:r>
      <w:r w:rsidRPr="007B4D79">
        <w:fldChar w:fldCharType="begin"/>
      </w:r>
      <w:r w:rsidRPr="007B4D79">
        <w:instrText xml:space="preserve"> XE "Department of State Development, Business and Innovation:Output summary" </w:instrText>
      </w:r>
      <w:r w:rsidRPr="007B4D79">
        <w:fldChar w:fldCharType="end"/>
      </w:r>
    </w:p>
    <w:p w:rsidR="00A53D7D" w:rsidRPr="00EE56ED" w:rsidRDefault="00A53D7D" w:rsidP="005140B4">
      <w:pPr>
        <w:pStyle w:val="Notes"/>
      </w:pPr>
      <w:r w:rsidRPr="00EE56ED">
        <w:t>Note:</w:t>
      </w:r>
    </w:p>
    <w:p w:rsidR="00A53D7D" w:rsidRDefault="00A53D7D" w:rsidP="005140B4">
      <w:pPr>
        <w:pStyle w:val="Notes"/>
      </w:pPr>
      <w:r>
        <w:t>(a)</w:t>
      </w:r>
      <w:r>
        <w:tab/>
      </w:r>
      <w:r w:rsidRPr="00EE56ED">
        <w:t>Variation between 2013</w:t>
      </w:r>
      <w:r>
        <w:noBreakHyphen/>
      </w:r>
      <w:r w:rsidRPr="00EE56ED">
        <w:t>14 budget and 2014</w:t>
      </w:r>
      <w:r>
        <w:noBreakHyphen/>
      </w:r>
      <w:r w:rsidRPr="00EE56ED">
        <w:t>15 budget</w:t>
      </w:r>
    </w:p>
    <w:p w:rsidR="00A53D7D" w:rsidRDefault="00A53D7D" w:rsidP="005140B4">
      <w:pPr>
        <w:pStyle w:val="Notes"/>
      </w:pPr>
      <w:r>
        <w:t>(b)</w:t>
      </w:r>
      <w:r>
        <w:tab/>
        <w:t>Variation between 2013</w:t>
      </w:r>
      <w:r>
        <w:noBreakHyphen/>
        <w:t>14 budget and 2014</w:t>
      </w:r>
      <w:r>
        <w:noBreakHyphen/>
        <w:t xml:space="preserve">15 budget reflects programs completed under the </w:t>
      </w:r>
      <w:proofErr w:type="spellStart"/>
      <w:r>
        <w:t>Victoriaworks</w:t>
      </w:r>
      <w:proofErr w:type="spellEnd"/>
      <w:r>
        <w:t xml:space="preserve"> for Indigenous Jobseekers program and Strong Economic Pathways for Aboriginal Victorians partly offset by the timing in annual funding for Employment Start Up and Victorian Employment Solutions.</w:t>
      </w:r>
    </w:p>
    <w:p w:rsidR="00A53D7D" w:rsidRDefault="00A53D7D" w:rsidP="005140B4">
      <w:pPr>
        <w:pStyle w:val="Notes"/>
      </w:pPr>
      <w:r>
        <w:t>(c)</w:t>
      </w:r>
      <w:r>
        <w:tab/>
        <w:t>Variation between 2013</w:t>
      </w:r>
      <w:r>
        <w:noBreakHyphen/>
        <w:t>14 budget and 2013</w:t>
      </w:r>
      <w:r>
        <w:noBreakHyphen/>
        <w:t xml:space="preserve">14 revised reflects the timing in annual funding for the Employment </w:t>
      </w:r>
      <w:proofErr w:type="spellStart"/>
      <w:r>
        <w:t>Startup</w:t>
      </w:r>
      <w:proofErr w:type="spellEnd"/>
      <w:r>
        <w:t xml:space="preserve"> and Managing Transition for Retrenched Workers programs.</w:t>
      </w:r>
    </w:p>
    <w:p w:rsidR="00A53D7D" w:rsidRDefault="00A53D7D" w:rsidP="005140B4">
      <w:pPr>
        <w:pStyle w:val="Notes"/>
      </w:pPr>
      <w:r>
        <w:t>(d)</w:t>
      </w:r>
      <w:r>
        <w:tab/>
      </w:r>
      <w:r w:rsidRPr="00277C05">
        <w:t>Variation between 2013</w:t>
      </w:r>
      <w:r>
        <w:noBreakHyphen/>
      </w:r>
      <w:r w:rsidRPr="00277C05">
        <w:t>14 budget and 2014</w:t>
      </w:r>
      <w:r>
        <w:noBreakHyphen/>
      </w:r>
      <w:r w:rsidRPr="00277C05">
        <w:t xml:space="preserve">15 </w:t>
      </w:r>
      <w:r>
        <w:t>b</w:t>
      </w:r>
      <w:r w:rsidRPr="00277C05">
        <w:t xml:space="preserve">udget reflects the timing in annual funding for </w:t>
      </w:r>
      <w:proofErr w:type="spellStart"/>
      <w:r w:rsidRPr="00277C05">
        <w:t>CarbonNet</w:t>
      </w:r>
      <w:proofErr w:type="spellEnd"/>
      <w:r w:rsidRPr="00277C05">
        <w:t xml:space="preserve"> and Energy Technology Innovation Strategy (ETIS) partly offset by </w:t>
      </w:r>
      <w:proofErr w:type="spellStart"/>
      <w:r w:rsidRPr="00277C05">
        <w:t>Powerline</w:t>
      </w:r>
      <w:proofErr w:type="spellEnd"/>
      <w:r w:rsidRPr="00277C05">
        <w:t xml:space="preserve"> bushfire safety program, funding for National energy market reform, </w:t>
      </w:r>
      <w:proofErr w:type="gramStart"/>
      <w:r w:rsidRPr="00277C05">
        <w:t>My</w:t>
      </w:r>
      <w:proofErr w:type="gramEnd"/>
      <w:r w:rsidRPr="00277C05">
        <w:t xml:space="preserve"> power planner – extension and Target: accelerating investment in minerals exploration and development.</w:t>
      </w:r>
    </w:p>
    <w:p w:rsidR="00A53D7D" w:rsidRDefault="00A53D7D" w:rsidP="005140B4">
      <w:pPr>
        <w:pStyle w:val="Notes"/>
      </w:pPr>
      <w:r>
        <w:t>(e)</w:t>
      </w:r>
      <w:r>
        <w:tab/>
      </w:r>
      <w:r w:rsidRPr="00277C05">
        <w:t>Variation between 2013</w:t>
      </w:r>
      <w:r>
        <w:noBreakHyphen/>
      </w:r>
      <w:r w:rsidRPr="00277C05">
        <w:t>14 budget and 2013</w:t>
      </w:r>
      <w:r>
        <w:noBreakHyphen/>
      </w:r>
      <w:r w:rsidRPr="00277C05">
        <w:t xml:space="preserve">14 revised reflects the timing in annual funding for the </w:t>
      </w:r>
      <w:proofErr w:type="spellStart"/>
      <w:r w:rsidRPr="00277C05">
        <w:t>CarbonNet</w:t>
      </w:r>
      <w:proofErr w:type="spellEnd"/>
      <w:r w:rsidRPr="00277C05">
        <w:t xml:space="preserve"> and Energy Technology Innovation Strategy (ETIS) programs.</w:t>
      </w:r>
    </w:p>
    <w:p w:rsidR="00A53D7D" w:rsidRDefault="00A53D7D" w:rsidP="005140B4">
      <w:pPr>
        <w:pStyle w:val="Notes"/>
      </w:pPr>
      <w:r>
        <w:t>(f)</w:t>
      </w:r>
      <w:r>
        <w:tab/>
      </w:r>
      <w:r w:rsidRPr="00277C05">
        <w:t>Variation between 2013</w:t>
      </w:r>
      <w:r>
        <w:noBreakHyphen/>
      </w:r>
      <w:r w:rsidRPr="00277C05">
        <w:t>14 budget and 2014</w:t>
      </w:r>
      <w:r>
        <w:noBreakHyphen/>
      </w:r>
      <w:r w:rsidRPr="00277C05">
        <w:t>15 budget reflects the completion of programs under the Victorian Innovation Statement. The decrease is partly offset by new funding received for the Regional Connectivity program and CenITex transformation.</w:t>
      </w:r>
    </w:p>
    <w:p w:rsidR="00A53D7D" w:rsidRDefault="00A53D7D" w:rsidP="005140B4">
      <w:pPr>
        <w:pStyle w:val="Notes"/>
      </w:pPr>
      <w:r>
        <w:t>(g)</w:t>
      </w:r>
      <w:r>
        <w:tab/>
      </w:r>
      <w:r w:rsidRPr="00277C05">
        <w:t>Variation between 2013</w:t>
      </w:r>
      <w:r>
        <w:noBreakHyphen/>
      </w:r>
      <w:r w:rsidRPr="00277C05">
        <w:t>14 budget and 2014</w:t>
      </w:r>
      <w:r>
        <w:noBreakHyphen/>
      </w:r>
      <w:r w:rsidRPr="00277C05">
        <w:t>15 budget largely reflects lower cost of sales (land) for the Kew Residential Services Redevelopment. The decrease is partly offset by the timing in annual funding for the Investment Support Program as well as funding for new initiatives such as Development projects along the Richmond to Footscray rail corridor, Implementation of the Victorian coal development strategy, Securing the future – Victoria’s defence and security sector strategy 2014</w:t>
      </w:r>
      <w:r>
        <w:noBreakHyphen/>
      </w:r>
      <w:r w:rsidRPr="00277C05">
        <w:t>2018 and Victorian contribution to the automotive structural adjustment and growth fund.</w:t>
      </w:r>
    </w:p>
    <w:p w:rsidR="00A53D7D" w:rsidRDefault="00A53D7D" w:rsidP="005140B4">
      <w:pPr>
        <w:pStyle w:val="Notes"/>
      </w:pPr>
      <w:r>
        <w:t>(h)</w:t>
      </w:r>
      <w:r>
        <w:tab/>
      </w:r>
      <w:r w:rsidRPr="00277C05">
        <w:t>Variation between 2013</w:t>
      </w:r>
      <w:r>
        <w:noBreakHyphen/>
      </w:r>
      <w:r w:rsidRPr="00277C05">
        <w:t>14 budget and 2013</w:t>
      </w:r>
      <w:r>
        <w:noBreakHyphen/>
      </w:r>
      <w:r w:rsidRPr="00277C05">
        <w:t>14 revised reflects lower costs of sales (land) for the Kew Residential Services Redevelopment and timing in annual funding for the Regional Aviation Fund.</w:t>
      </w:r>
    </w:p>
    <w:p w:rsidR="00A53D7D" w:rsidRDefault="00A53D7D" w:rsidP="005140B4">
      <w:pPr>
        <w:pStyle w:val="Notes"/>
      </w:pPr>
      <w:r>
        <w:t>(</w:t>
      </w:r>
      <w:proofErr w:type="spellStart"/>
      <w:r>
        <w:t>i</w:t>
      </w:r>
      <w:proofErr w:type="spellEnd"/>
      <w:r>
        <w:t>)</w:t>
      </w:r>
      <w:r>
        <w:tab/>
      </w:r>
      <w:r w:rsidRPr="00277C05">
        <w:t>Variation between 2013</w:t>
      </w:r>
      <w:r>
        <w:noBreakHyphen/>
      </w:r>
      <w:r w:rsidRPr="00277C05">
        <w:t xml:space="preserve">14 </w:t>
      </w:r>
      <w:r>
        <w:t>b</w:t>
      </w:r>
      <w:r w:rsidRPr="00277C05">
        <w:t>udget and 2014</w:t>
      </w:r>
      <w:r>
        <w:noBreakHyphen/>
      </w:r>
      <w:r w:rsidRPr="00277C05">
        <w:t>15 budget reflects the timing in annual funding for the Marysville Convention Centre and Regional Growth Fund, together with the completion of a number of Regional Blueprint initiatives.</w:t>
      </w:r>
    </w:p>
    <w:p w:rsidR="00A53D7D" w:rsidRDefault="00A53D7D" w:rsidP="005140B4">
      <w:pPr>
        <w:pStyle w:val="Notes"/>
      </w:pPr>
      <w:r>
        <w:t>(j)</w:t>
      </w:r>
      <w:r>
        <w:tab/>
      </w:r>
      <w:r w:rsidRPr="00277C05">
        <w:t>Variation between 2013</w:t>
      </w:r>
      <w:r>
        <w:noBreakHyphen/>
      </w:r>
      <w:r w:rsidRPr="00277C05">
        <w:t xml:space="preserve">14 </w:t>
      </w:r>
      <w:r>
        <w:t>b</w:t>
      </w:r>
      <w:r w:rsidRPr="00277C05">
        <w:t>udget and 2014</w:t>
      </w:r>
      <w:r>
        <w:noBreakHyphen/>
      </w:r>
      <w:r w:rsidRPr="00277C05">
        <w:t xml:space="preserve">15 </w:t>
      </w:r>
      <w:r>
        <w:t>b</w:t>
      </w:r>
      <w:r w:rsidRPr="00277C05">
        <w:t xml:space="preserve">udget reflects additional funding for </w:t>
      </w:r>
      <w:proofErr w:type="gramStart"/>
      <w:r w:rsidRPr="00277C05">
        <w:t>Supporting</w:t>
      </w:r>
      <w:proofErr w:type="gramEnd"/>
      <w:r w:rsidRPr="00277C05">
        <w:t xml:space="preserve"> small business programs.</w:t>
      </w:r>
    </w:p>
    <w:p w:rsidR="00A53D7D" w:rsidRDefault="00A53D7D" w:rsidP="005140B4">
      <w:pPr>
        <w:pStyle w:val="Notes"/>
      </w:pPr>
      <w:r>
        <w:t>(k)</w:t>
      </w:r>
      <w:r>
        <w:tab/>
      </w:r>
      <w:r w:rsidRPr="00277C05">
        <w:t>Variation between 2013</w:t>
      </w:r>
      <w:r>
        <w:noBreakHyphen/>
      </w:r>
      <w:r w:rsidRPr="00277C05">
        <w:t xml:space="preserve">14 </w:t>
      </w:r>
      <w:r>
        <w:t>b</w:t>
      </w:r>
      <w:r w:rsidRPr="00277C05">
        <w:t>udget and 2013</w:t>
      </w:r>
      <w:r>
        <w:noBreakHyphen/>
      </w:r>
      <w:r w:rsidRPr="00277C05">
        <w:t xml:space="preserve">14 </w:t>
      </w:r>
      <w:r>
        <w:t>r</w:t>
      </w:r>
      <w:r w:rsidRPr="00277C05">
        <w:t>evised largely reflects the timing in annual funding for the Success Map for Small Business program.</w:t>
      </w:r>
    </w:p>
    <w:p w:rsidR="00A53D7D" w:rsidRDefault="00A53D7D" w:rsidP="005140B4">
      <w:pPr>
        <w:pStyle w:val="Notes"/>
      </w:pPr>
      <w:r>
        <w:t>(l)</w:t>
      </w:r>
      <w:r>
        <w:tab/>
      </w:r>
      <w:r w:rsidRPr="00277C05">
        <w:t>Variation between 2013</w:t>
      </w:r>
      <w:r>
        <w:noBreakHyphen/>
      </w:r>
      <w:r w:rsidRPr="00277C05">
        <w:t xml:space="preserve">14 </w:t>
      </w:r>
      <w:r>
        <w:t>b</w:t>
      </w:r>
      <w:r w:rsidRPr="00277C05">
        <w:t>udget and 2014</w:t>
      </w:r>
      <w:r>
        <w:noBreakHyphen/>
      </w:r>
      <w:r w:rsidRPr="00277C05">
        <w:t xml:space="preserve">15 budget reflects new funding for Business events, Melbourne marketing, Air services </w:t>
      </w:r>
      <w:proofErr w:type="gramStart"/>
      <w:r w:rsidRPr="00277C05">
        <w:t>attraction</w:t>
      </w:r>
      <w:proofErr w:type="gramEnd"/>
      <w:r w:rsidRPr="00277C05">
        <w:t xml:space="preserve"> and Regional tourism.</w:t>
      </w:r>
    </w:p>
    <w:p w:rsidR="00A53D7D" w:rsidRDefault="00A53D7D" w:rsidP="005140B4">
      <w:pPr>
        <w:pStyle w:val="Notes"/>
      </w:pPr>
      <w:r>
        <w:t>(m)</w:t>
      </w:r>
      <w:r>
        <w:tab/>
      </w:r>
      <w:r w:rsidRPr="00277C05">
        <w:t>Variation between 2013</w:t>
      </w:r>
      <w:r>
        <w:noBreakHyphen/>
      </w:r>
      <w:r w:rsidRPr="00277C05">
        <w:t xml:space="preserve">14 </w:t>
      </w:r>
      <w:r>
        <w:t>b</w:t>
      </w:r>
      <w:r w:rsidRPr="00277C05">
        <w:t>udget and 2013</w:t>
      </w:r>
      <w:r>
        <w:noBreakHyphen/>
      </w:r>
      <w:r w:rsidRPr="00277C05">
        <w:t xml:space="preserve">14 </w:t>
      </w:r>
      <w:r>
        <w:t>r</w:t>
      </w:r>
      <w:r w:rsidRPr="00277C05">
        <w:t>evised reflects additional funding received for Major Events.</w:t>
      </w:r>
    </w:p>
    <w:p w:rsidR="00A53D7D" w:rsidRDefault="00A53D7D" w:rsidP="005140B4">
      <w:pPr>
        <w:pStyle w:val="Notes"/>
      </w:pPr>
      <w:r>
        <w:t>(n)</w:t>
      </w:r>
      <w:r>
        <w:tab/>
      </w:r>
      <w:r w:rsidRPr="00277C05">
        <w:t>Variation between 2013</w:t>
      </w:r>
      <w:r>
        <w:noBreakHyphen/>
      </w:r>
      <w:r w:rsidRPr="00277C05">
        <w:t xml:space="preserve">14 </w:t>
      </w:r>
      <w:r>
        <w:t>b</w:t>
      </w:r>
      <w:r w:rsidRPr="00277C05">
        <w:t>udget and 2014</w:t>
      </w:r>
      <w:r>
        <w:noBreakHyphen/>
      </w:r>
      <w:r w:rsidRPr="00277C05">
        <w:t xml:space="preserve">15 </w:t>
      </w:r>
      <w:r>
        <w:t>b</w:t>
      </w:r>
      <w:r w:rsidRPr="00277C05">
        <w:t>udget reflects new funding received for Global Health Melbourne Plan, Fostering international business partnerships and Victoria’s international engagement in the Republic of Korea.</w:t>
      </w:r>
    </w:p>
    <w:p w:rsidR="00A53D7D" w:rsidRDefault="00A53D7D" w:rsidP="005140B4">
      <w:pPr>
        <w:pStyle w:val="Notes"/>
      </w:pPr>
      <w:r>
        <w:t>(o)</w:t>
      </w:r>
      <w:r>
        <w:tab/>
      </w:r>
      <w:r w:rsidRPr="00277C05">
        <w:t>Variation between 2013</w:t>
      </w:r>
      <w:r>
        <w:noBreakHyphen/>
      </w:r>
      <w:r w:rsidRPr="00277C05">
        <w:t xml:space="preserve">14 </w:t>
      </w:r>
      <w:r>
        <w:t>b</w:t>
      </w:r>
      <w:r w:rsidRPr="00277C05">
        <w:t>udget and 2013</w:t>
      </w:r>
      <w:r>
        <w:noBreakHyphen/>
      </w:r>
      <w:r w:rsidRPr="00277C05">
        <w:t xml:space="preserve">14 </w:t>
      </w:r>
      <w:r>
        <w:t>r</w:t>
      </w:r>
      <w:r w:rsidRPr="00277C05">
        <w:t>evised is due to an expected carryover of expenditure from 2013</w:t>
      </w:r>
      <w:r>
        <w:noBreakHyphen/>
      </w:r>
      <w:r w:rsidRPr="00277C05">
        <w:t>14 into 2014</w:t>
      </w:r>
      <w:r>
        <w:noBreakHyphen/>
      </w:r>
      <w:r w:rsidRPr="00277C05">
        <w:t>15.</w:t>
      </w:r>
    </w:p>
    <w:p w:rsidR="004E7A50" w:rsidRPr="00277C05" w:rsidRDefault="004E7A50" w:rsidP="005140B4">
      <w:pPr>
        <w:pStyle w:val="Notes"/>
      </w:pPr>
    </w:p>
    <w:p w:rsidR="00A53D7D" w:rsidRDefault="00A53D7D" w:rsidP="005140B4">
      <w:pPr>
        <w:pStyle w:val="Heading2"/>
      </w:pPr>
      <w:r>
        <w:t>Amounts available</w:t>
      </w:r>
    </w:p>
    <w:p w:rsidR="00A53D7D" w:rsidRDefault="00A53D7D" w:rsidP="005140B4">
      <w:r>
        <w:t>The following tables detail the amounts available to the Department from Parliamentary authority and income generated through transactions.</w:t>
      </w:r>
    </w:p>
    <w:p w:rsidR="00A53D7D" w:rsidRPr="007B4D79" w:rsidRDefault="00A53D7D" w:rsidP="005140B4">
      <w:r>
        <w:t>Table 2.21 outlines the Department’s income from transactions and Table 2.22 summarises the sources of Parliamentary authority available to the Department to fund the provision of outputs, additions to net asset base and payments made on behalf of the State.</w:t>
      </w:r>
    </w:p>
    <w:p w:rsidR="00A53D7D" w:rsidRDefault="00A53D7D" w:rsidP="005140B4">
      <w:pPr>
        <w:pStyle w:val="Tableheading"/>
      </w:pPr>
      <w:r>
        <w:t>Table 2.21:</w:t>
      </w:r>
      <w:r>
        <w:tab/>
        <w:t xml:space="preserve">Income from transactions </w:t>
      </w:r>
    </w:p>
    <w:p w:rsidR="00A53D7D" w:rsidRPr="008219E5"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8219E5" w:rsidTr="005140B4">
        <w:tc>
          <w:tcPr>
            <w:tcW w:w="3801" w:type="dxa"/>
            <w:tcBorders>
              <w:top w:val="single" w:sz="4" w:space="0" w:color="auto"/>
              <w:left w:val="single" w:sz="4" w:space="0" w:color="auto"/>
              <w:bottom w:val="nil"/>
              <w:right w:val="nil"/>
            </w:tcBorders>
            <w:shd w:val="clear" w:color="auto" w:fill="000000"/>
          </w:tcPr>
          <w:p w:rsidR="00A53D7D" w:rsidRPr="008219E5" w:rsidRDefault="00A53D7D" w:rsidP="005140B4">
            <w:pPr>
              <w:pStyle w:val="Tabletext"/>
              <w:rPr>
                <w:rFonts w:eastAsiaTheme="minorEastAsia"/>
                <w:lang w:eastAsia="en-AU"/>
              </w:rPr>
            </w:pPr>
            <w:r w:rsidRPr="008219E5">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2012-13</w:t>
            </w:r>
          </w:p>
        </w:tc>
        <w:tc>
          <w:tcPr>
            <w:tcW w:w="993" w:type="dxa"/>
            <w:tcBorders>
              <w:top w:val="single" w:sz="4" w:space="0" w:color="auto"/>
              <w:left w:val="nil"/>
              <w:bottom w:val="nil"/>
              <w:right w:val="nil"/>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2013-14</w:t>
            </w:r>
          </w:p>
        </w:tc>
        <w:tc>
          <w:tcPr>
            <w:tcW w:w="993" w:type="dxa"/>
            <w:tcBorders>
              <w:top w:val="single" w:sz="4" w:space="0" w:color="auto"/>
              <w:left w:val="nil"/>
              <w:bottom w:val="nil"/>
              <w:right w:val="single" w:sz="4" w:space="0" w:color="auto"/>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2014-15</w:t>
            </w:r>
          </w:p>
        </w:tc>
      </w:tr>
      <w:tr w:rsidR="00A53D7D" w:rsidRPr="008219E5" w:rsidTr="005140B4">
        <w:tc>
          <w:tcPr>
            <w:tcW w:w="3801" w:type="dxa"/>
            <w:tcBorders>
              <w:top w:val="nil"/>
              <w:left w:val="single" w:sz="4" w:space="0" w:color="auto"/>
              <w:bottom w:val="single" w:sz="4" w:space="0" w:color="auto"/>
              <w:right w:val="nil"/>
            </w:tcBorders>
            <w:shd w:val="clear" w:color="auto" w:fill="000000"/>
          </w:tcPr>
          <w:p w:rsidR="00A53D7D" w:rsidRPr="008219E5" w:rsidRDefault="00A53D7D" w:rsidP="005140B4">
            <w:pPr>
              <w:pStyle w:val="Tabletext"/>
              <w:rPr>
                <w:rFonts w:eastAsiaTheme="minorEastAsia"/>
                <w:lang w:eastAsia="en-AU"/>
              </w:rPr>
            </w:pPr>
            <w:r w:rsidRPr="008219E5">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Actual</w:t>
            </w:r>
          </w:p>
        </w:tc>
        <w:tc>
          <w:tcPr>
            <w:tcW w:w="993" w:type="dxa"/>
            <w:tcBorders>
              <w:top w:val="nil"/>
              <w:left w:val="nil"/>
              <w:bottom w:val="single" w:sz="4" w:space="0" w:color="auto"/>
              <w:right w:val="nil"/>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 xml:space="preserve">Budget </w:t>
            </w:r>
          </w:p>
        </w:tc>
        <w:tc>
          <w:tcPr>
            <w:tcW w:w="993" w:type="dxa"/>
            <w:tcBorders>
              <w:top w:val="nil"/>
              <w:left w:val="nil"/>
              <w:bottom w:val="single" w:sz="4" w:space="0" w:color="auto"/>
              <w:right w:val="nil"/>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Revised</w:t>
            </w:r>
          </w:p>
        </w:tc>
        <w:tc>
          <w:tcPr>
            <w:tcW w:w="993" w:type="dxa"/>
            <w:tcBorders>
              <w:top w:val="nil"/>
              <w:left w:val="nil"/>
              <w:bottom w:val="single" w:sz="4" w:space="0" w:color="auto"/>
              <w:right w:val="single" w:sz="4" w:space="0" w:color="auto"/>
            </w:tcBorders>
            <w:shd w:val="clear" w:color="auto" w:fill="000000"/>
          </w:tcPr>
          <w:p w:rsidR="00A53D7D" w:rsidRPr="008219E5" w:rsidRDefault="00A53D7D" w:rsidP="005140B4">
            <w:pPr>
              <w:pStyle w:val="Tabletextheading"/>
              <w:rPr>
                <w:rFonts w:eastAsiaTheme="minorEastAsia"/>
                <w:lang w:eastAsia="en-AU"/>
              </w:rPr>
            </w:pPr>
            <w:r w:rsidRPr="008219E5">
              <w:rPr>
                <w:rFonts w:eastAsiaTheme="minorEastAsia"/>
                <w:lang w:eastAsia="en-AU"/>
              </w:rPr>
              <w:t>Budget</w:t>
            </w:r>
          </w:p>
        </w:tc>
      </w:tr>
      <w:tr w:rsidR="00A53D7D" w:rsidRPr="008219E5" w:rsidTr="005140B4">
        <w:tc>
          <w:tcPr>
            <w:tcW w:w="3801" w:type="dxa"/>
            <w:tcBorders>
              <w:top w:val="single" w:sz="4" w:space="0" w:color="auto"/>
              <w:left w:val="nil"/>
              <w:bottom w:val="nil"/>
              <w:right w:val="nil"/>
            </w:tcBorders>
          </w:tcPr>
          <w:p w:rsidR="00A53D7D" w:rsidRPr="008219E5" w:rsidRDefault="00A53D7D" w:rsidP="005140B4">
            <w:pPr>
              <w:pStyle w:val="Tabletext"/>
              <w:rPr>
                <w:rFonts w:eastAsiaTheme="minorEastAsia"/>
                <w:lang w:eastAsia="en-AU"/>
              </w:rPr>
            </w:pPr>
            <w:r w:rsidRPr="008219E5">
              <w:rPr>
                <w:rFonts w:eastAsiaTheme="minorEastAsia"/>
                <w:lang w:eastAsia="en-AU"/>
              </w:rPr>
              <w:t>Output appropriations</w:t>
            </w:r>
          </w:p>
        </w:tc>
        <w:tc>
          <w:tcPr>
            <w:tcW w:w="993" w:type="dxa"/>
            <w:tcBorders>
              <w:top w:val="single" w:sz="4" w:space="0" w:color="auto"/>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438.1</w:t>
            </w:r>
          </w:p>
        </w:tc>
        <w:tc>
          <w:tcPr>
            <w:tcW w:w="993" w:type="dxa"/>
            <w:tcBorders>
              <w:top w:val="single" w:sz="4" w:space="0" w:color="auto"/>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787.3</w:t>
            </w:r>
          </w:p>
        </w:tc>
        <w:tc>
          <w:tcPr>
            <w:tcW w:w="993" w:type="dxa"/>
            <w:tcBorders>
              <w:top w:val="single" w:sz="4" w:space="0" w:color="auto"/>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727.5</w:t>
            </w:r>
          </w:p>
        </w:tc>
        <w:tc>
          <w:tcPr>
            <w:tcW w:w="993" w:type="dxa"/>
            <w:tcBorders>
              <w:top w:val="single" w:sz="4" w:space="0" w:color="auto"/>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786.2</w:t>
            </w:r>
          </w:p>
        </w:tc>
      </w:tr>
      <w:tr w:rsidR="00A53D7D" w:rsidRPr="008219E5" w:rsidTr="005140B4">
        <w:tc>
          <w:tcPr>
            <w:tcW w:w="3801" w:type="dxa"/>
            <w:tcBorders>
              <w:top w:val="nil"/>
              <w:left w:val="nil"/>
              <w:bottom w:val="nil"/>
              <w:right w:val="nil"/>
            </w:tcBorders>
          </w:tcPr>
          <w:p w:rsidR="00A53D7D" w:rsidRPr="008219E5" w:rsidRDefault="00A53D7D" w:rsidP="005140B4">
            <w:pPr>
              <w:pStyle w:val="Tabletext"/>
              <w:rPr>
                <w:rFonts w:eastAsiaTheme="minorEastAsia"/>
                <w:lang w:eastAsia="en-AU"/>
              </w:rPr>
            </w:pPr>
            <w:r w:rsidRPr="008219E5">
              <w:rPr>
                <w:rFonts w:eastAsiaTheme="minorEastAsia"/>
                <w:lang w:eastAsia="en-AU"/>
              </w:rPr>
              <w:t>Interest</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2.4</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10.2</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10.5</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10.4</w:t>
            </w:r>
          </w:p>
        </w:tc>
      </w:tr>
      <w:tr w:rsidR="00A53D7D" w:rsidRPr="008219E5" w:rsidTr="005140B4">
        <w:tc>
          <w:tcPr>
            <w:tcW w:w="3801" w:type="dxa"/>
            <w:tcBorders>
              <w:top w:val="nil"/>
              <w:left w:val="nil"/>
              <w:bottom w:val="nil"/>
              <w:right w:val="nil"/>
            </w:tcBorders>
          </w:tcPr>
          <w:p w:rsidR="00A53D7D" w:rsidRPr="008219E5" w:rsidRDefault="00A53D7D" w:rsidP="005140B4">
            <w:pPr>
              <w:pStyle w:val="Tabletext"/>
              <w:rPr>
                <w:rFonts w:eastAsiaTheme="minorEastAsia" w:cs="Calibri"/>
                <w:lang w:eastAsia="en-AU"/>
              </w:rPr>
            </w:pPr>
            <w:r w:rsidRPr="008219E5">
              <w:rPr>
                <w:rFonts w:eastAsiaTheme="minorEastAsia"/>
                <w:lang w:eastAsia="en-AU"/>
              </w:rPr>
              <w:t xml:space="preserve">Sale </w:t>
            </w:r>
            <w:r w:rsidRPr="008219E5">
              <w:rPr>
                <w:rFonts w:eastAsiaTheme="minorEastAsia" w:cs="Calibri"/>
                <w:lang w:eastAsia="en-AU"/>
              </w:rPr>
              <w:t>of goods and services</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2.3</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60.8</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169.4</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188.3</w:t>
            </w:r>
          </w:p>
        </w:tc>
      </w:tr>
      <w:tr w:rsidR="00A53D7D" w:rsidRPr="008219E5" w:rsidTr="005140B4">
        <w:tc>
          <w:tcPr>
            <w:tcW w:w="3801" w:type="dxa"/>
            <w:tcBorders>
              <w:top w:val="nil"/>
              <w:left w:val="nil"/>
              <w:bottom w:val="nil"/>
              <w:right w:val="nil"/>
            </w:tcBorders>
          </w:tcPr>
          <w:p w:rsidR="00A53D7D" w:rsidRPr="008219E5" w:rsidRDefault="00A53D7D" w:rsidP="005140B4">
            <w:pPr>
              <w:pStyle w:val="Tabletext"/>
              <w:rPr>
                <w:rFonts w:eastAsiaTheme="minorEastAsia"/>
                <w:lang w:eastAsia="en-AU"/>
              </w:rPr>
            </w:pPr>
            <w:r w:rsidRPr="008219E5">
              <w:rPr>
                <w:rFonts w:eastAsiaTheme="minorEastAsia"/>
                <w:lang w:eastAsia="en-AU"/>
              </w:rPr>
              <w:t>Grants</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84.1</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11.6</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82.4</w:t>
            </w:r>
          </w:p>
        </w:tc>
        <w:tc>
          <w:tcPr>
            <w:tcW w:w="993" w:type="dxa"/>
            <w:tcBorders>
              <w:top w:val="nil"/>
              <w:left w:val="nil"/>
              <w:bottom w:val="nil"/>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3.0</w:t>
            </w:r>
          </w:p>
        </w:tc>
      </w:tr>
      <w:tr w:rsidR="00A53D7D" w:rsidRPr="008219E5" w:rsidTr="005140B4">
        <w:tc>
          <w:tcPr>
            <w:tcW w:w="3801" w:type="dxa"/>
            <w:tcBorders>
              <w:top w:val="nil"/>
              <w:left w:val="nil"/>
              <w:bottom w:val="single" w:sz="6" w:space="0" w:color="auto"/>
              <w:right w:val="nil"/>
            </w:tcBorders>
          </w:tcPr>
          <w:p w:rsidR="00A53D7D" w:rsidRPr="008219E5" w:rsidRDefault="00A53D7D" w:rsidP="005140B4">
            <w:pPr>
              <w:pStyle w:val="Tabletext"/>
              <w:rPr>
                <w:rFonts w:eastAsiaTheme="minorEastAsia" w:cs="Calibri"/>
                <w:lang w:eastAsia="en-AU"/>
              </w:rPr>
            </w:pPr>
            <w:r w:rsidRPr="008219E5">
              <w:rPr>
                <w:rFonts w:eastAsiaTheme="minorEastAsia"/>
                <w:lang w:eastAsia="en-AU"/>
              </w:rPr>
              <w:t xml:space="preserve">Other </w:t>
            </w:r>
            <w:r w:rsidRPr="008219E5">
              <w:rPr>
                <w:rFonts w:eastAsiaTheme="minorEastAsia" w:cs="Calibri"/>
                <w:lang w:eastAsia="en-AU"/>
              </w:rPr>
              <w:t>income</w:t>
            </w:r>
          </w:p>
        </w:tc>
        <w:tc>
          <w:tcPr>
            <w:tcW w:w="993" w:type="dxa"/>
            <w:tcBorders>
              <w:top w:val="nil"/>
              <w:left w:val="nil"/>
              <w:bottom w:val="single" w:sz="6" w:space="0" w:color="auto"/>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100.8</w:t>
            </w:r>
          </w:p>
        </w:tc>
        <w:tc>
          <w:tcPr>
            <w:tcW w:w="993" w:type="dxa"/>
            <w:tcBorders>
              <w:top w:val="nil"/>
              <w:left w:val="nil"/>
              <w:bottom w:val="single" w:sz="6" w:space="0" w:color="auto"/>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189.7</w:t>
            </w:r>
          </w:p>
        </w:tc>
        <w:tc>
          <w:tcPr>
            <w:tcW w:w="993" w:type="dxa"/>
            <w:tcBorders>
              <w:top w:val="nil"/>
              <w:left w:val="nil"/>
              <w:bottom w:val="single" w:sz="6" w:space="0" w:color="auto"/>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139.9</w:t>
            </w:r>
          </w:p>
        </w:tc>
        <w:tc>
          <w:tcPr>
            <w:tcW w:w="993" w:type="dxa"/>
            <w:tcBorders>
              <w:top w:val="nil"/>
              <w:left w:val="nil"/>
              <w:bottom w:val="single" w:sz="6" w:space="0" w:color="auto"/>
              <w:right w:val="nil"/>
            </w:tcBorders>
          </w:tcPr>
          <w:p w:rsidR="00A53D7D" w:rsidRPr="008219E5" w:rsidRDefault="00A53D7D" w:rsidP="005140B4">
            <w:pPr>
              <w:pStyle w:val="TableofFigures"/>
              <w:rPr>
                <w:rFonts w:eastAsiaTheme="minorEastAsia"/>
                <w:lang w:eastAsia="en-AU"/>
              </w:rPr>
            </w:pPr>
            <w:r w:rsidRPr="008219E5">
              <w:rPr>
                <w:rFonts w:eastAsiaTheme="minorEastAsia"/>
                <w:lang w:eastAsia="en-AU"/>
              </w:rPr>
              <w:t xml:space="preserve"> 71.5</w:t>
            </w:r>
          </w:p>
        </w:tc>
      </w:tr>
      <w:tr w:rsidR="00A53D7D" w:rsidRPr="008219E5" w:rsidTr="005140B4">
        <w:tc>
          <w:tcPr>
            <w:tcW w:w="3801" w:type="dxa"/>
            <w:tcBorders>
              <w:top w:val="single" w:sz="6" w:space="0" w:color="auto"/>
              <w:left w:val="nil"/>
              <w:bottom w:val="single" w:sz="12" w:space="0" w:color="auto"/>
              <w:right w:val="nil"/>
            </w:tcBorders>
          </w:tcPr>
          <w:p w:rsidR="00A53D7D" w:rsidRPr="008219E5" w:rsidRDefault="00A53D7D" w:rsidP="005140B4">
            <w:pPr>
              <w:pStyle w:val="Tabletext"/>
              <w:rPr>
                <w:rFonts w:eastAsiaTheme="minorEastAsia"/>
                <w:b/>
                <w:lang w:eastAsia="en-AU"/>
              </w:rPr>
            </w:pPr>
            <w:r w:rsidRPr="008219E5">
              <w:rPr>
                <w:rFonts w:eastAsiaTheme="minorEastAsia"/>
                <w:b/>
                <w:lang w:eastAsia="en-AU"/>
              </w:rPr>
              <w:t>Total income from transactions</w:t>
            </w:r>
          </w:p>
        </w:tc>
        <w:tc>
          <w:tcPr>
            <w:tcW w:w="993" w:type="dxa"/>
            <w:tcBorders>
              <w:top w:val="single" w:sz="6" w:space="0" w:color="auto"/>
              <w:left w:val="nil"/>
              <w:bottom w:val="single" w:sz="12" w:space="0" w:color="auto"/>
              <w:right w:val="nil"/>
            </w:tcBorders>
          </w:tcPr>
          <w:p w:rsidR="00A53D7D" w:rsidRPr="008219E5" w:rsidRDefault="00A53D7D" w:rsidP="005140B4">
            <w:pPr>
              <w:pStyle w:val="TableofFigures"/>
              <w:rPr>
                <w:rFonts w:eastAsiaTheme="minorEastAsia"/>
                <w:b/>
                <w:lang w:eastAsia="en-AU"/>
              </w:rPr>
            </w:pPr>
            <w:r w:rsidRPr="008219E5">
              <w:rPr>
                <w:rFonts w:eastAsiaTheme="minorEastAsia"/>
                <w:b/>
                <w:lang w:eastAsia="en-AU"/>
              </w:rPr>
              <w:t xml:space="preserve"> 627.8</w:t>
            </w:r>
          </w:p>
        </w:tc>
        <w:tc>
          <w:tcPr>
            <w:tcW w:w="993" w:type="dxa"/>
            <w:tcBorders>
              <w:top w:val="single" w:sz="6" w:space="0" w:color="auto"/>
              <w:left w:val="nil"/>
              <w:bottom w:val="single" w:sz="12" w:space="0" w:color="auto"/>
              <w:right w:val="nil"/>
            </w:tcBorders>
          </w:tcPr>
          <w:p w:rsidR="00A53D7D" w:rsidRPr="008219E5" w:rsidRDefault="00A53D7D" w:rsidP="005140B4">
            <w:pPr>
              <w:pStyle w:val="TableofFigures"/>
              <w:rPr>
                <w:rFonts w:eastAsiaTheme="minorEastAsia" w:cs="Calibri"/>
                <w:b/>
                <w:bCs/>
                <w:lang w:eastAsia="en-AU"/>
              </w:rPr>
            </w:pPr>
            <w:r w:rsidRPr="008219E5">
              <w:rPr>
                <w:rFonts w:eastAsiaTheme="minorEastAsia"/>
                <w:b/>
                <w:lang w:eastAsia="en-AU"/>
              </w:rPr>
              <w:t>1 059.6</w:t>
            </w:r>
          </w:p>
        </w:tc>
        <w:tc>
          <w:tcPr>
            <w:tcW w:w="993" w:type="dxa"/>
            <w:tcBorders>
              <w:top w:val="single" w:sz="6" w:space="0" w:color="auto"/>
              <w:left w:val="nil"/>
              <w:bottom w:val="single" w:sz="12" w:space="0" w:color="auto"/>
              <w:right w:val="nil"/>
            </w:tcBorders>
          </w:tcPr>
          <w:p w:rsidR="00A53D7D" w:rsidRPr="008219E5" w:rsidRDefault="00A53D7D" w:rsidP="005140B4">
            <w:pPr>
              <w:pStyle w:val="TableofFigures"/>
              <w:rPr>
                <w:rFonts w:eastAsiaTheme="minorEastAsia" w:cs="Calibri"/>
                <w:b/>
                <w:bCs/>
                <w:lang w:eastAsia="en-AU"/>
              </w:rPr>
            </w:pPr>
            <w:r w:rsidRPr="008219E5">
              <w:rPr>
                <w:rFonts w:eastAsiaTheme="minorEastAsia"/>
                <w:b/>
                <w:lang w:eastAsia="en-AU"/>
              </w:rPr>
              <w:t>1 129.7</w:t>
            </w:r>
          </w:p>
        </w:tc>
        <w:tc>
          <w:tcPr>
            <w:tcW w:w="993" w:type="dxa"/>
            <w:tcBorders>
              <w:top w:val="single" w:sz="6" w:space="0" w:color="auto"/>
              <w:left w:val="nil"/>
              <w:bottom w:val="single" w:sz="12" w:space="0" w:color="auto"/>
              <w:right w:val="nil"/>
            </w:tcBorders>
          </w:tcPr>
          <w:p w:rsidR="00A53D7D" w:rsidRPr="008219E5" w:rsidRDefault="00A53D7D" w:rsidP="005140B4">
            <w:pPr>
              <w:pStyle w:val="TableofFigures"/>
              <w:rPr>
                <w:rFonts w:eastAsiaTheme="minorEastAsia" w:cs="Calibri"/>
                <w:b/>
                <w:bCs/>
                <w:lang w:eastAsia="en-AU"/>
              </w:rPr>
            </w:pPr>
            <w:r w:rsidRPr="008219E5">
              <w:rPr>
                <w:rFonts w:eastAsiaTheme="minorEastAsia"/>
                <w:b/>
                <w:lang w:eastAsia="en-AU"/>
              </w:rPr>
              <w:t>1 059.4</w:t>
            </w:r>
          </w:p>
        </w:tc>
      </w:tr>
    </w:tbl>
    <w:p w:rsidR="00A53D7D" w:rsidRDefault="00A53D7D" w:rsidP="005140B4">
      <w:pPr>
        <w:pStyle w:val="Source"/>
      </w:pPr>
      <w:r>
        <w:t xml:space="preserve">Source: Departments of State Development, Business and Innovation and Treasury and Finance </w:t>
      </w:r>
      <w:r>
        <w:fldChar w:fldCharType="begin"/>
      </w:r>
      <w:r>
        <w:instrText xml:space="preserve"> XE "Department of State Development, Business and Innovation</w:instrText>
      </w:r>
      <w:r w:rsidRPr="00C642EA">
        <w:instrText>:Income from transactions</w:instrText>
      </w:r>
      <w:r>
        <w:instrText xml:space="preserve">" </w:instrText>
      </w:r>
      <w:r>
        <w:fldChar w:fldCharType="end"/>
      </w:r>
    </w:p>
    <w:p w:rsidR="00A53D7D" w:rsidRDefault="00A53D7D">
      <w:pPr>
        <w:spacing w:after="0"/>
        <w:rPr>
          <w:rFonts w:ascii="Calibri" w:hAnsi="Calibri"/>
          <w:b/>
        </w:rPr>
      </w:pPr>
      <w:r>
        <w:br w:type="page"/>
      </w:r>
    </w:p>
    <w:p w:rsidR="00A53D7D" w:rsidRDefault="00A53D7D" w:rsidP="005140B4">
      <w:pPr>
        <w:pStyle w:val="Tableheading"/>
      </w:pPr>
      <w:r>
        <w:t>Table 2.22:</w:t>
      </w:r>
      <w:r>
        <w:tab/>
        <w:t>Parliamentary authority for resources</w:t>
      </w:r>
    </w:p>
    <w:p w:rsidR="00A53D7D" w:rsidRPr="00972447"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53D7D" w:rsidRPr="00972447" w:rsidTr="005140B4">
        <w:tc>
          <w:tcPr>
            <w:tcW w:w="4668" w:type="dxa"/>
            <w:tcBorders>
              <w:top w:val="single" w:sz="6" w:space="0" w:color="auto"/>
              <w:left w:val="single" w:sz="6" w:space="0" w:color="auto"/>
              <w:bottom w:val="nil"/>
              <w:right w:val="nil"/>
            </w:tcBorders>
            <w:shd w:val="clear" w:color="auto" w:fill="000000"/>
          </w:tcPr>
          <w:p w:rsidR="00A53D7D" w:rsidRPr="00972447" w:rsidRDefault="00A53D7D" w:rsidP="005140B4">
            <w:pPr>
              <w:pStyle w:val="Tabletext"/>
              <w:rPr>
                <w:rFonts w:eastAsiaTheme="minorEastAsia"/>
                <w:lang w:eastAsia="en-AU"/>
              </w:rPr>
            </w:pPr>
            <w:r w:rsidRPr="00972447">
              <w:rPr>
                <w:rFonts w:eastAsiaTheme="minorEastAsia"/>
                <w:lang w:eastAsia="en-AU"/>
              </w:rPr>
              <w:t xml:space="preserve"> </w:t>
            </w:r>
          </w:p>
        </w:tc>
        <w:tc>
          <w:tcPr>
            <w:tcW w:w="1036" w:type="dxa"/>
            <w:tcBorders>
              <w:top w:val="single" w:sz="6" w:space="0" w:color="auto"/>
              <w:left w:val="nil"/>
              <w:bottom w:val="nil"/>
              <w:right w:val="nil"/>
            </w:tcBorders>
            <w:shd w:val="clear" w:color="auto" w:fill="000000"/>
          </w:tcPr>
          <w:p w:rsidR="00A53D7D" w:rsidRPr="00972447" w:rsidRDefault="00A53D7D" w:rsidP="005140B4">
            <w:pPr>
              <w:pStyle w:val="Tabletextheading"/>
              <w:rPr>
                <w:rFonts w:eastAsiaTheme="minorEastAsia"/>
                <w:lang w:eastAsia="en-AU"/>
              </w:rPr>
            </w:pPr>
            <w:r w:rsidRPr="00972447">
              <w:rPr>
                <w:rFonts w:eastAsiaTheme="minorEastAsia"/>
                <w:lang w:eastAsia="en-AU"/>
              </w:rPr>
              <w:t>2013-14</w:t>
            </w:r>
          </w:p>
        </w:tc>
        <w:tc>
          <w:tcPr>
            <w:tcW w:w="1036" w:type="dxa"/>
            <w:tcBorders>
              <w:top w:val="single" w:sz="6" w:space="0" w:color="auto"/>
              <w:left w:val="nil"/>
              <w:bottom w:val="nil"/>
              <w:right w:val="nil"/>
            </w:tcBorders>
            <w:shd w:val="clear" w:color="auto" w:fill="000000"/>
          </w:tcPr>
          <w:p w:rsidR="00A53D7D" w:rsidRPr="00972447" w:rsidRDefault="00A53D7D" w:rsidP="005140B4">
            <w:pPr>
              <w:pStyle w:val="Tabletextheading"/>
              <w:rPr>
                <w:rFonts w:eastAsiaTheme="minorEastAsia"/>
                <w:lang w:eastAsia="en-AU"/>
              </w:rPr>
            </w:pPr>
            <w:r w:rsidRPr="00972447">
              <w:rPr>
                <w:rFonts w:eastAsiaTheme="minorEastAsia"/>
                <w:lang w:eastAsia="en-AU"/>
              </w:rPr>
              <w:t>2013-14</w:t>
            </w:r>
          </w:p>
        </w:tc>
        <w:tc>
          <w:tcPr>
            <w:tcW w:w="1036" w:type="dxa"/>
            <w:tcBorders>
              <w:top w:val="single" w:sz="6" w:space="0" w:color="auto"/>
              <w:left w:val="nil"/>
              <w:bottom w:val="nil"/>
              <w:right w:val="single" w:sz="6" w:space="0" w:color="auto"/>
            </w:tcBorders>
            <w:shd w:val="clear" w:color="auto" w:fill="000000"/>
          </w:tcPr>
          <w:p w:rsidR="00A53D7D" w:rsidRPr="00972447" w:rsidRDefault="00A53D7D" w:rsidP="005140B4">
            <w:pPr>
              <w:pStyle w:val="Tabletextheading"/>
              <w:rPr>
                <w:rFonts w:eastAsiaTheme="minorEastAsia"/>
                <w:lang w:eastAsia="en-AU"/>
              </w:rPr>
            </w:pPr>
            <w:r w:rsidRPr="00972447">
              <w:rPr>
                <w:rFonts w:eastAsiaTheme="minorEastAsia"/>
                <w:lang w:eastAsia="en-AU"/>
              </w:rPr>
              <w:t>2014-15</w:t>
            </w:r>
          </w:p>
        </w:tc>
      </w:tr>
      <w:tr w:rsidR="00A53D7D" w:rsidRPr="00972447" w:rsidTr="005140B4">
        <w:tc>
          <w:tcPr>
            <w:tcW w:w="4668" w:type="dxa"/>
            <w:tcBorders>
              <w:top w:val="nil"/>
              <w:left w:val="single" w:sz="6" w:space="0" w:color="auto"/>
              <w:bottom w:val="single" w:sz="6" w:space="0" w:color="auto"/>
              <w:right w:val="nil"/>
            </w:tcBorders>
            <w:shd w:val="clear" w:color="auto" w:fill="000000"/>
          </w:tcPr>
          <w:p w:rsidR="00A53D7D" w:rsidRPr="00972447" w:rsidRDefault="00A53D7D" w:rsidP="005140B4">
            <w:pPr>
              <w:pStyle w:val="Tabletext"/>
              <w:rPr>
                <w:rFonts w:eastAsiaTheme="minorEastAsia"/>
                <w:lang w:eastAsia="en-AU"/>
              </w:rPr>
            </w:pPr>
            <w:r w:rsidRPr="00972447">
              <w:rPr>
                <w:rFonts w:eastAsiaTheme="minorEastAsia"/>
                <w:lang w:eastAsia="en-AU"/>
              </w:rPr>
              <w:t xml:space="preserve"> </w:t>
            </w:r>
          </w:p>
        </w:tc>
        <w:tc>
          <w:tcPr>
            <w:tcW w:w="1036" w:type="dxa"/>
            <w:tcBorders>
              <w:top w:val="nil"/>
              <w:left w:val="nil"/>
              <w:bottom w:val="single" w:sz="6" w:space="0" w:color="auto"/>
              <w:right w:val="nil"/>
            </w:tcBorders>
            <w:shd w:val="clear" w:color="auto" w:fill="000000"/>
          </w:tcPr>
          <w:p w:rsidR="00A53D7D" w:rsidRPr="00972447" w:rsidRDefault="00A53D7D" w:rsidP="005140B4">
            <w:pPr>
              <w:pStyle w:val="Tabletextheading"/>
              <w:rPr>
                <w:rFonts w:eastAsiaTheme="minorEastAsia"/>
                <w:lang w:eastAsia="en-AU"/>
              </w:rPr>
            </w:pPr>
            <w:r w:rsidRPr="00972447">
              <w:rPr>
                <w:rFonts w:eastAsiaTheme="minorEastAsia"/>
                <w:lang w:eastAsia="en-AU"/>
              </w:rPr>
              <w:t>Budget</w:t>
            </w:r>
          </w:p>
        </w:tc>
        <w:tc>
          <w:tcPr>
            <w:tcW w:w="1036" w:type="dxa"/>
            <w:tcBorders>
              <w:top w:val="nil"/>
              <w:left w:val="nil"/>
              <w:bottom w:val="single" w:sz="6" w:space="0" w:color="auto"/>
              <w:right w:val="nil"/>
            </w:tcBorders>
            <w:shd w:val="clear" w:color="auto" w:fill="000000"/>
          </w:tcPr>
          <w:p w:rsidR="00A53D7D" w:rsidRPr="00972447" w:rsidRDefault="00A53D7D" w:rsidP="005140B4">
            <w:pPr>
              <w:pStyle w:val="Tabletextheading"/>
              <w:rPr>
                <w:rFonts w:eastAsiaTheme="minorEastAsia"/>
                <w:lang w:eastAsia="en-AU"/>
              </w:rPr>
            </w:pPr>
            <w:r w:rsidRPr="00972447">
              <w:rPr>
                <w:rFonts w:eastAsiaTheme="minorEastAsia"/>
                <w:lang w:eastAsia="en-AU"/>
              </w:rPr>
              <w:t>Revised</w:t>
            </w:r>
          </w:p>
        </w:tc>
        <w:tc>
          <w:tcPr>
            <w:tcW w:w="1036" w:type="dxa"/>
            <w:tcBorders>
              <w:top w:val="nil"/>
              <w:left w:val="nil"/>
              <w:bottom w:val="single" w:sz="6" w:space="0" w:color="auto"/>
              <w:right w:val="single" w:sz="6" w:space="0" w:color="auto"/>
            </w:tcBorders>
            <w:shd w:val="clear" w:color="auto" w:fill="000000"/>
          </w:tcPr>
          <w:p w:rsidR="00A53D7D" w:rsidRPr="00972447" w:rsidRDefault="00A53D7D" w:rsidP="005140B4">
            <w:pPr>
              <w:pStyle w:val="Tabletextheading"/>
              <w:rPr>
                <w:rFonts w:eastAsiaTheme="minorEastAsia"/>
                <w:lang w:eastAsia="en-AU"/>
              </w:rPr>
            </w:pPr>
            <w:r w:rsidRPr="00972447">
              <w:rPr>
                <w:rFonts w:eastAsiaTheme="minorEastAsia"/>
                <w:lang w:eastAsia="en-AU"/>
              </w:rPr>
              <w:t>Budget</w:t>
            </w:r>
          </w:p>
        </w:tc>
      </w:tr>
      <w:tr w:rsidR="00A53D7D" w:rsidRPr="00972447" w:rsidTr="005140B4">
        <w:tc>
          <w:tcPr>
            <w:tcW w:w="4668" w:type="dxa"/>
            <w:tcBorders>
              <w:top w:val="nil"/>
              <w:left w:val="nil"/>
              <w:bottom w:val="nil"/>
              <w:right w:val="nil"/>
            </w:tcBorders>
            <w:shd w:val="solid" w:color="FFFFFF" w:fill="auto"/>
          </w:tcPr>
          <w:p w:rsidR="00A53D7D" w:rsidRPr="00972447" w:rsidRDefault="00A53D7D" w:rsidP="005140B4">
            <w:pPr>
              <w:pStyle w:val="Tabletext"/>
              <w:rPr>
                <w:rFonts w:eastAsiaTheme="minorEastAsia"/>
                <w:b/>
                <w:bCs/>
                <w:lang w:eastAsia="en-AU"/>
              </w:rPr>
            </w:pPr>
            <w:r w:rsidRPr="00972447">
              <w:rPr>
                <w:rFonts w:eastAsiaTheme="minorEastAsia"/>
                <w:b/>
                <w:bCs/>
                <w:lang w:eastAsia="en-AU"/>
              </w:rPr>
              <w:t>Annual appropriations</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b/>
                <w:bCs/>
                <w:lang w:eastAsia="en-AU"/>
              </w:rPr>
            </w:pPr>
            <w:r w:rsidRPr="00972447">
              <w:rPr>
                <w:rFonts w:eastAsiaTheme="minorEastAsia"/>
                <w:b/>
                <w:bCs/>
                <w:lang w:eastAsia="en-AU"/>
              </w:rPr>
              <w:t xml:space="preserve"> 897.2</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b/>
                <w:bCs/>
                <w:lang w:eastAsia="en-AU"/>
              </w:rPr>
            </w:pPr>
            <w:r w:rsidRPr="00972447">
              <w:rPr>
                <w:rFonts w:eastAsiaTheme="minorEastAsia"/>
                <w:b/>
                <w:bCs/>
                <w:lang w:eastAsia="en-AU"/>
              </w:rPr>
              <w:t xml:space="preserve"> 760.5</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b/>
                <w:bCs/>
                <w:lang w:eastAsia="en-AU"/>
              </w:rPr>
            </w:pPr>
            <w:r w:rsidRPr="00972447">
              <w:rPr>
                <w:rFonts w:eastAsiaTheme="minorEastAsia"/>
                <w:b/>
                <w:bCs/>
                <w:lang w:eastAsia="en-AU"/>
              </w:rPr>
              <w:t xml:space="preserve"> 900.2</w:t>
            </w:r>
          </w:p>
        </w:tc>
      </w:tr>
      <w:tr w:rsidR="00A53D7D" w:rsidRPr="00972447" w:rsidTr="005140B4">
        <w:tc>
          <w:tcPr>
            <w:tcW w:w="4668" w:type="dxa"/>
            <w:tcBorders>
              <w:top w:val="nil"/>
              <w:left w:val="nil"/>
              <w:bottom w:val="nil"/>
              <w:right w:val="nil"/>
            </w:tcBorders>
            <w:shd w:val="solid" w:color="FFFFFF" w:fill="auto"/>
          </w:tcPr>
          <w:p w:rsidR="00A53D7D" w:rsidRPr="00972447" w:rsidRDefault="00A53D7D" w:rsidP="005140B4">
            <w:pPr>
              <w:pStyle w:val="Tabletext"/>
              <w:rPr>
                <w:rFonts w:eastAsiaTheme="minorEastAsia"/>
                <w:lang w:eastAsia="en-AU"/>
              </w:rPr>
            </w:pPr>
            <w:r w:rsidRPr="00972447">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751.8</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663.6</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738.0</w:t>
            </w:r>
          </w:p>
        </w:tc>
      </w:tr>
      <w:tr w:rsidR="00A53D7D" w:rsidRPr="00972447" w:rsidTr="005140B4">
        <w:tc>
          <w:tcPr>
            <w:tcW w:w="4668" w:type="dxa"/>
            <w:tcBorders>
              <w:top w:val="nil"/>
              <w:left w:val="nil"/>
              <w:bottom w:val="nil"/>
              <w:right w:val="nil"/>
            </w:tcBorders>
            <w:shd w:val="solid" w:color="FFFFFF" w:fill="auto"/>
          </w:tcPr>
          <w:p w:rsidR="00A53D7D" w:rsidRPr="00972447" w:rsidRDefault="00A53D7D" w:rsidP="005140B4">
            <w:pPr>
              <w:pStyle w:val="Tabletext"/>
              <w:rPr>
                <w:rFonts w:eastAsiaTheme="minorEastAsia"/>
                <w:lang w:eastAsia="en-AU"/>
              </w:rPr>
            </w:pPr>
            <w:r w:rsidRPr="00972447">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81.4</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37.9</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98.5</w:t>
            </w:r>
          </w:p>
        </w:tc>
      </w:tr>
      <w:tr w:rsidR="00A53D7D" w:rsidRPr="00972447" w:rsidTr="005140B4">
        <w:tc>
          <w:tcPr>
            <w:tcW w:w="4668" w:type="dxa"/>
            <w:tcBorders>
              <w:top w:val="nil"/>
              <w:left w:val="nil"/>
              <w:bottom w:val="nil"/>
              <w:right w:val="nil"/>
            </w:tcBorders>
            <w:shd w:val="solid" w:color="FFFFFF" w:fill="auto"/>
          </w:tcPr>
          <w:p w:rsidR="00A53D7D" w:rsidRPr="00972447" w:rsidRDefault="00A53D7D" w:rsidP="005140B4">
            <w:pPr>
              <w:pStyle w:val="Tabletext"/>
              <w:rPr>
                <w:rFonts w:eastAsiaTheme="minorEastAsia"/>
                <w:lang w:eastAsia="en-AU"/>
              </w:rPr>
            </w:pPr>
            <w:r w:rsidRPr="00972447">
              <w:rPr>
                <w:rFonts w:eastAsiaTheme="minorEastAsia"/>
                <w:lang w:eastAsia="en-AU"/>
              </w:rPr>
              <w:t xml:space="preserve"> Payments made on behalf of the State</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64.0</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59.0</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63.7</w:t>
            </w:r>
          </w:p>
        </w:tc>
      </w:tr>
      <w:tr w:rsidR="00A53D7D" w:rsidRPr="00972447" w:rsidTr="005140B4">
        <w:tc>
          <w:tcPr>
            <w:tcW w:w="4668" w:type="dxa"/>
            <w:tcBorders>
              <w:top w:val="nil"/>
              <w:left w:val="nil"/>
              <w:bottom w:val="nil"/>
              <w:right w:val="nil"/>
            </w:tcBorders>
            <w:shd w:val="solid" w:color="FFFFFF" w:fill="auto"/>
          </w:tcPr>
          <w:p w:rsidR="00A53D7D" w:rsidRPr="00972447" w:rsidRDefault="00A53D7D" w:rsidP="005140B4">
            <w:pPr>
              <w:pStyle w:val="Tabletext"/>
              <w:rPr>
                <w:rFonts w:eastAsiaTheme="minorEastAsia"/>
                <w:lang w:eastAsia="en-AU"/>
              </w:rPr>
            </w:pPr>
            <w:r w:rsidRPr="00972447">
              <w:rPr>
                <w:rFonts w:eastAsiaTheme="minorEastAsia"/>
                <w:lang w:eastAsia="en-AU"/>
              </w:rPr>
              <w:t>Receipts credited to appropriations</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5.6</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2.2</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0.3</w:t>
            </w:r>
          </w:p>
        </w:tc>
      </w:tr>
      <w:tr w:rsidR="00A53D7D" w:rsidRPr="00E646BF" w:rsidTr="005140B4">
        <w:tc>
          <w:tcPr>
            <w:tcW w:w="4668" w:type="dxa"/>
            <w:tcBorders>
              <w:top w:val="nil"/>
              <w:left w:val="nil"/>
              <w:bottom w:val="nil"/>
              <w:right w:val="nil"/>
            </w:tcBorders>
            <w:shd w:val="solid" w:color="FFFFFF" w:fill="auto"/>
          </w:tcPr>
          <w:p w:rsidR="00A53D7D" w:rsidRPr="00E646BF" w:rsidRDefault="00A53D7D" w:rsidP="005140B4">
            <w:pPr>
              <w:pStyle w:val="Tabletext"/>
              <w:rPr>
                <w:rFonts w:eastAsiaTheme="minorEastAsia"/>
                <w:b/>
                <w:bCs/>
                <w:lang w:eastAsia="en-AU"/>
              </w:rPr>
            </w:pPr>
            <w:r w:rsidRPr="00E646BF">
              <w:rPr>
                <w:rFonts w:eastAsiaTheme="minorEastAsia"/>
                <w:b/>
                <w:bCs/>
                <w:lang w:eastAsia="en-AU"/>
              </w:rPr>
              <w:t>Unapplied previous years appropriation</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55.7</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95.1</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63.6</w:t>
            </w:r>
          </w:p>
        </w:tc>
      </w:tr>
      <w:tr w:rsidR="00A53D7D" w:rsidRPr="00972447" w:rsidTr="005140B4">
        <w:tc>
          <w:tcPr>
            <w:tcW w:w="4668" w:type="dxa"/>
            <w:tcBorders>
              <w:top w:val="nil"/>
              <w:left w:val="nil"/>
              <w:bottom w:val="nil"/>
              <w:right w:val="nil"/>
            </w:tcBorders>
            <w:shd w:val="solid" w:color="FFFFFF" w:fill="auto"/>
          </w:tcPr>
          <w:p w:rsidR="00A53D7D" w:rsidRPr="00972447" w:rsidRDefault="00A53D7D" w:rsidP="005140B4">
            <w:pPr>
              <w:pStyle w:val="Tabletext"/>
              <w:rPr>
                <w:rFonts w:eastAsiaTheme="minorEastAsia"/>
                <w:lang w:eastAsia="en-AU"/>
              </w:rPr>
            </w:pPr>
            <w:r w:rsidRPr="00972447">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29.9</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64.3</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47.8</w:t>
            </w:r>
          </w:p>
        </w:tc>
      </w:tr>
      <w:tr w:rsidR="00A53D7D" w:rsidRPr="00972447" w:rsidTr="005140B4">
        <w:tc>
          <w:tcPr>
            <w:tcW w:w="4668" w:type="dxa"/>
            <w:tcBorders>
              <w:top w:val="nil"/>
              <w:left w:val="nil"/>
              <w:bottom w:val="nil"/>
              <w:right w:val="nil"/>
            </w:tcBorders>
            <w:shd w:val="solid" w:color="FFFFFF" w:fill="auto"/>
          </w:tcPr>
          <w:p w:rsidR="00A53D7D" w:rsidRPr="00972447" w:rsidRDefault="00A53D7D" w:rsidP="005140B4">
            <w:pPr>
              <w:pStyle w:val="Tabletext"/>
              <w:rPr>
                <w:rFonts w:eastAsiaTheme="minorEastAsia"/>
                <w:lang w:eastAsia="en-AU"/>
              </w:rPr>
            </w:pPr>
            <w:r w:rsidRPr="00972447">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25.8</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30.8</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15.7</w:t>
            </w:r>
          </w:p>
        </w:tc>
      </w:tr>
      <w:tr w:rsidR="00A53D7D" w:rsidRPr="00972447" w:rsidTr="005140B4">
        <w:tc>
          <w:tcPr>
            <w:tcW w:w="4668" w:type="dxa"/>
            <w:tcBorders>
              <w:top w:val="single" w:sz="6" w:space="0" w:color="auto"/>
              <w:left w:val="nil"/>
              <w:bottom w:val="nil"/>
              <w:right w:val="nil"/>
            </w:tcBorders>
            <w:shd w:val="solid" w:color="FFFFFF" w:fill="auto"/>
          </w:tcPr>
          <w:p w:rsidR="00A53D7D" w:rsidRPr="00972447" w:rsidRDefault="00A53D7D" w:rsidP="005140B4">
            <w:pPr>
              <w:pStyle w:val="Tabletext"/>
              <w:rPr>
                <w:rFonts w:eastAsiaTheme="minorEastAsia"/>
                <w:b/>
                <w:bCs/>
                <w:lang w:eastAsia="en-AU"/>
              </w:rPr>
            </w:pPr>
            <w:r w:rsidRPr="00972447">
              <w:rPr>
                <w:rFonts w:eastAsiaTheme="minorEastAsia"/>
                <w:b/>
                <w:bCs/>
                <w:lang w:eastAsia="en-AU"/>
              </w:rPr>
              <w:t>Gross annual appropriation</w:t>
            </w:r>
          </w:p>
        </w:tc>
        <w:tc>
          <w:tcPr>
            <w:tcW w:w="1036" w:type="dxa"/>
            <w:tcBorders>
              <w:top w:val="single" w:sz="6" w:space="0" w:color="auto"/>
              <w:left w:val="nil"/>
              <w:bottom w:val="nil"/>
              <w:right w:val="nil"/>
            </w:tcBorders>
            <w:shd w:val="solid" w:color="FFFFFF" w:fill="auto"/>
          </w:tcPr>
          <w:p w:rsidR="00A53D7D" w:rsidRPr="00972447" w:rsidRDefault="00A53D7D" w:rsidP="005140B4">
            <w:pPr>
              <w:pStyle w:val="TableofFigures"/>
              <w:rPr>
                <w:rFonts w:eastAsiaTheme="minorEastAsia"/>
                <w:b/>
                <w:bCs/>
                <w:lang w:eastAsia="en-AU"/>
              </w:rPr>
            </w:pPr>
            <w:r w:rsidRPr="00972447">
              <w:rPr>
                <w:rFonts w:eastAsiaTheme="minorEastAsia"/>
                <w:b/>
                <w:bCs/>
                <w:lang w:eastAsia="en-AU"/>
              </w:rPr>
              <w:t xml:space="preserve"> 958.4</w:t>
            </w:r>
          </w:p>
        </w:tc>
        <w:tc>
          <w:tcPr>
            <w:tcW w:w="1036" w:type="dxa"/>
            <w:tcBorders>
              <w:top w:val="single" w:sz="6" w:space="0" w:color="auto"/>
              <w:left w:val="nil"/>
              <w:bottom w:val="nil"/>
              <w:right w:val="nil"/>
            </w:tcBorders>
            <w:shd w:val="solid" w:color="FFFFFF" w:fill="auto"/>
          </w:tcPr>
          <w:p w:rsidR="00A53D7D" w:rsidRPr="00972447" w:rsidRDefault="00A53D7D" w:rsidP="005140B4">
            <w:pPr>
              <w:pStyle w:val="TableofFigures"/>
              <w:rPr>
                <w:rFonts w:eastAsiaTheme="minorEastAsia"/>
                <w:b/>
                <w:bCs/>
                <w:lang w:eastAsia="en-AU"/>
              </w:rPr>
            </w:pPr>
            <w:r w:rsidRPr="00972447">
              <w:rPr>
                <w:rFonts w:eastAsiaTheme="minorEastAsia"/>
                <w:b/>
                <w:bCs/>
                <w:lang w:eastAsia="en-AU"/>
              </w:rPr>
              <w:t xml:space="preserve"> 857.8</w:t>
            </w:r>
          </w:p>
        </w:tc>
        <w:tc>
          <w:tcPr>
            <w:tcW w:w="1036" w:type="dxa"/>
            <w:tcBorders>
              <w:top w:val="single" w:sz="6" w:space="0" w:color="auto"/>
              <w:left w:val="nil"/>
              <w:bottom w:val="nil"/>
              <w:right w:val="nil"/>
            </w:tcBorders>
            <w:shd w:val="solid" w:color="FFFFFF" w:fill="auto"/>
          </w:tcPr>
          <w:p w:rsidR="00A53D7D" w:rsidRPr="00972447" w:rsidRDefault="00A53D7D" w:rsidP="005140B4">
            <w:pPr>
              <w:pStyle w:val="TableofFigures"/>
              <w:rPr>
                <w:rFonts w:eastAsiaTheme="minorEastAsia"/>
                <w:b/>
                <w:bCs/>
                <w:lang w:eastAsia="en-AU"/>
              </w:rPr>
            </w:pPr>
            <w:r w:rsidRPr="00972447">
              <w:rPr>
                <w:rFonts w:eastAsiaTheme="minorEastAsia"/>
                <w:b/>
                <w:bCs/>
                <w:lang w:eastAsia="en-AU"/>
              </w:rPr>
              <w:t xml:space="preserve"> 964.1</w:t>
            </w:r>
          </w:p>
        </w:tc>
      </w:tr>
      <w:tr w:rsidR="00A53D7D" w:rsidRPr="00972447" w:rsidTr="005140B4">
        <w:tc>
          <w:tcPr>
            <w:tcW w:w="4668" w:type="dxa"/>
            <w:tcBorders>
              <w:top w:val="nil"/>
              <w:left w:val="nil"/>
              <w:bottom w:val="nil"/>
              <w:right w:val="nil"/>
            </w:tcBorders>
            <w:shd w:val="solid" w:color="FFFFFF" w:fill="auto"/>
          </w:tcPr>
          <w:p w:rsidR="00A53D7D" w:rsidRPr="00972447" w:rsidRDefault="00A53D7D" w:rsidP="005140B4">
            <w:pPr>
              <w:pStyle w:val="Tabletext"/>
              <w:rPr>
                <w:rFonts w:eastAsiaTheme="minorEastAsia"/>
                <w:lang w:eastAsia="en-AU"/>
              </w:rPr>
            </w:pPr>
            <w:r w:rsidRPr="00972447">
              <w:rPr>
                <w:rFonts w:eastAsiaTheme="minorEastAsia"/>
                <w:lang w:eastAsia="en-AU"/>
              </w:rPr>
              <w:t>Special appropriations</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w:t>
            </w:r>
          </w:p>
        </w:tc>
        <w:tc>
          <w:tcPr>
            <w:tcW w:w="1036" w:type="dxa"/>
            <w:tcBorders>
              <w:top w:val="nil"/>
              <w:left w:val="nil"/>
              <w:bottom w:val="nil"/>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w:t>
            </w:r>
          </w:p>
        </w:tc>
      </w:tr>
      <w:tr w:rsidR="00A53D7D" w:rsidRPr="00972447" w:rsidTr="005140B4">
        <w:tc>
          <w:tcPr>
            <w:tcW w:w="4668" w:type="dxa"/>
            <w:tcBorders>
              <w:top w:val="nil"/>
              <w:left w:val="nil"/>
              <w:bottom w:val="single" w:sz="6" w:space="0" w:color="auto"/>
              <w:right w:val="nil"/>
            </w:tcBorders>
            <w:shd w:val="solid" w:color="FFFFFF" w:fill="auto"/>
          </w:tcPr>
          <w:p w:rsidR="00A53D7D" w:rsidRPr="00972447" w:rsidRDefault="00A53D7D" w:rsidP="005140B4">
            <w:pPr>
              <w:pStyle w:val="Tabletext"/>
              <w:rPr>
                <w:rFonts w:eastAsiaTheme="minorEastAsia"/>
                <w:lang w:eastAsia="en-AU"/>
              </w:rPr>
            </w:pPr>
            <w:r w:rsidRPr="00972447">
              <w:rPr>
                <w:rFonts w:eastAsiaTheme="minorEastAsia"/>
                <w:lang w:eastAsia="en-AU"/>
              </w:rPr>
              <w:t>Trust funds</w:t>
            </w:r>
          </w:p>
        </w:tc>
        <w:tc>
          <w:tcPr>
            <w:tcW w:w="1036" w:type="dxa"/>
            <w:tcBorders>
              <w:top w:val="nil"/>
              <w:left w:val="nil"/>
              <w:bottom w:val="single" w:sz="6" w:space="0" w:color="auto"/>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80.7</w:t>
            </w:r>
          </w:p>
        </w:tc>
        <w:tc>
          <w:tcPr>
            <w:tcW w:w="1036" w:type="dxa"/>
            <w:tcBorders>
              <w:top w:val="nil"/>
              <w:left w:val="nil"/>
              <w:bottom w:val="single" w:sz="6" w:space="0" w:color="auto"/>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98.3</w:t>
            </w:r>
          </w:p>
        </w:tc>
        <w:tc>
          <w:tcPr>
            <w:tcW w:w="1036" w:type="dxa"/>
            <w:tcBorders>
              <w:top w:val="nil"/>
              <w:left w:val="nil"/>
              <w:bottom w:val="single" w:sz="6" w:space="0" w:color="auto"/>
              <w:right w:val="nil"/>
            </w:tcBorders>
            <w:shd w:val="solid" w:color="FFFFFF" w:fill="auto"/>
          </w:tcPr>
          <w:p w:rsidR="00A53D7D" w:rsidRPr="00972447" w:rsidRDefault="00A53D7D" w:rsidP="005140B4">
            <w:pPr>
              <w:pStyle w:val="TableofFigures"/>
              <w:rPr>
                <w:rFonts w:eastAsiaTheme="minorEastAsia"/>
                <w:lang w:eastAsia="en-AU"/>
              </w:rPr>
            </w:pPr>
            <w:r w:rsidRPr="00972447">
              <w:rPr>
                <w:rFonts w:eastAsiaTheme="minorEastAsia"/>
                <w:lang w:eastAsia="en-AU"/>
              </w:rPr>
              <w:t xml:space="preserve"> 33.7</w:t>
            </w:r>
          </w:p>
        </w:tc>
      </w:tr>
      <w:tr w:rsidR="00A53D7D" w:rsidRPr="00972447" w:rsidTr="005140B4">
        <w:tc>
          <w:tcPr>
            <w:tcW w:w="4668" w:type="dxa"/>
            <w:tcBorders>
              <w:top w:val="nil"/>
              <w:left w:val="nil"/>
              <w:bottom w:val="single" w:sz="12" w:space="0" w:color="auto"/>
              <w:right w:val="nil"/>
            </w:tcBorders>
            <w:shd w:val="solid" w:color="FFFFFF" w:fill="auto"/>
          </w:tcPr>
          <w:p w:rsidR="00A53D7D" w:rsidRPr="00972447" w:rsidRDefault="00A53D7D" w:rsidP="005140B4">
            <w:pPr>
              <w:pStyle w:val="Tabletext"/>
              <w:rPr>
                <w:rFonts w:eastAsiaTheme="minorEastAsia"/>
                <w:b/>
                <w:bCs/>
                <w:lang w:eastAsia="en-AU"/>
              </w:rPr>
            </w:pPr>
            <w:r w:rsidRPr="00972447">
              <w:rPr>
                <w:rFonts w:eastAsiaTheme="minorEastAsia"/>
                <w:b/>
                <w:bCs/>
                <w:lang w:eastAsia="en-AU"/>
              </w:rPr>
              <w:t>Total parliamentary authority</w:t>
            </w:r>
          </w:p>
        </w:tc>
        <w:tc>
          <w:tcPr>
            <w:tcW w:w="1036" w:type="dxa"/>
            <w:tcBorders>
              <w:top w:val="nil"/>
              <w:left w:val="nil"/>
              <w:bottom w:val="single" w:sz="12" w:space="0" w:color="auto"/>
              <w:right w:val="nil"/>
            </w:tcBorders>
            <w:shd w:val="solid" w:color="FFFFFF" w:fill="auto"/>
          </w:tcPr>
          <w:p w:rsidR="00A53D7D" w:rsidRPr="00972447" w:rsidRDefault="00A53D7D" w:rsidP="005140B4">
            <w:pPr>
              <w:pStyle w:val="TableofFigures"/>
              <w:rPr>
                <w:rFonts w:eastAsiaTheme="minorEastAsia"/>
                <w:b/>
                <w:bCs/>
                <w:lang w:eastAsia="en-AU"/>
              </w:rPr>
            </w:pPr>
            <w:r w:rsidRPr="00972447">
              <w:rPr>
                <w:rFonts w:eastAsiaTheme="minorEastAsia"/>
                <w:b/>
                <w:bCs/>
                <w:lang w:eastAsia="en-AU"/>
              </w:rPr>
              <w:t>1 039.1</w:t>
            </w:r>
          </w:p>
        </w:tc>
        <w:tc>
          <w:tcPr>
            <w:tcW w:w="1036" w:type="dxa"/>
            <w:tcBorders>
              <w:top w:val="nil"/>
              <w:left w:val="nil"/>
              <w:bottom w:val="single" w:sz="12" w:space="0" w:color="auto"/>
              <w:right w:val="nil"/>
            </w:tcBorders>
            <w:shd w:val="solid" w:color="FFFFFF" w:fill="auto"/>
          </w:tcPr>
          <w:p w:rsidR="00A53D7D" w:rsidRPr="00972447" w:rsidRDefault="00A53D7D" w:rsidP="005140B4">
            <w:pPr>
              <w:pStyle w:val="TableofFigures"/>
              <w:rPr>
                <w:rFonts w:eastAsiaTheme="minorEastAsia"/>
                <w:b/>
                <w:bCs/>
                <w:lang w:eastAsia="en-AU"/>
              </w:rPr>
            </w:pPr>
            <w:r w:rsidRPr="00972447">
              <w:rPr>
                <w:rFonts w:eastAsiaTheme="minorEastAsia"/>
                <w:b/>
                <w:bCs/>
                <w:lang w:eastAsia="en-AU"/>
              </w:rPr>
              <w:t xml:space="preserve"> 956.1</w:t>
            </w:r>
          </w:p>
        </w:tc>
        <w:tc>
          <w:tcPr>
            <w:tcW w:w="1036" w:type="dxa"/>
            <w:tcBorders>
              <w:top w:val="nil"/>
              <w:left w:val="nil"/>
              <w:bottom w:val="single" w:sz="12" w:space="0" w:color="auto"/>
              <w:right w:val="nil"/>
            </w:tcBorders>
            <w:shd w:val="solid" w:color="FFFFFF" w:fill="auto"/>
          </w:tcPr>
          <w:p w:rsidR="00A53D7D" w:rsidRPr="00972447" w:rsidRDefault="00A53D7D" w:rsidP="005140B4">
            <w:pPr>
              <w:pStyle w:val="TableofFigures"/>
              <w:rPr>
                <w:rFonts w:eastAsiaTheme="minorEastAsia"/>
                <w:b/>
                <w:bCs/>
                <w:lang w:eastAsia="en-AU"/>
              </w:rPr>
            </w:pPr>
            <w:r w:rsidRPr="00972447">
              <w:rPr>
                <w:rFonts w:eastAsiaTheme="minorEastAsia"/>
                <w:b/>
                <w:bCs/>
                <w:lang w:eastAsia="en-AU"/>
              </w:rPr>
              <w:t xml:space="preserve"> 997.7</w:t>
            </w:r>
          </w:p>
        </w:tc>
      </w:tr>
    </w:tbl>
    <w:p w:rsidR="00A53D7D" w:rsidRDefault="00A53D7D" w:rsidP="005140B4">
      <w:pPr>
        <w:pStyle w:val="Source"/>
      </w:pPr>
      <w:r>
        <w:t xml:space="preserve">Source: Departments of State Development, Business and Innovation and Treasury and Finance </w:t>
      </w:r>
      <w:r>
        <w:fldChar w:fldCharType="begin"/>
      </w:r>
      <w:r>
        <w:instrText xml:space="preserve"> XE "Department of State Development, Business and Innovation</w:instrText>
      </w:r>
      <w:r w:rsidRPr="00ED1DC7">
        <w:instrText>:Parliamentary authority for resources</w:instrText>
      </w:r>
      <w:r>
        <w:instrText xml:space="preserve">" </w:instrText>
      </w:r>
      <w:r>
        <w:fldChar w:fldCharType="end"/>
      </w:r>
    </w:p>
    <w:p w:rsidR="00A53D7D" w:rsidRDefault="00A53D7D" w:rsidP="005140B4"/>
    <w:p w:rsidR="00A53D7D" w:rsidRDefault="00A53D7D">
      <w:pPr>
        <w:spacing w:after="0"/>
      </w:pPr>
      <w:r>
        <w:br w:type="page"/>
      </w:r>
    </w:p>
    <w:p w:rsidR="00A53D7D" w:rsidRDefault="00A53D7D" w:rsidP="005140B4">
      <w:pPr>
        <w:pStyle w:val="OGHeading1"/>
        <w:rPr>
          <w:lang w:eastAsia="en-AU"/>
        </w:rPr>
      </w:pPr>
      <w:bookmarkStart w:id="129" w:name="DSDBIDlvp"/>
      <w:r w:rsidRPr="00756175">
        <w:t>Developing</w:t>
      </w:r>
      <w:r>
        <w:rPr>
          <w:lang w:eastAsia="en-AU"/>
        </w:rPr>
        <w:t xml:space="preserve"> Business and Innovation</w:t>
      </w:r>
    </w:p>
    <w:p w:rsidR="00A53D7D" w:rsidRDefault="00A53D7D" w:rsidP="005140B4">
      <w:pPr>
        <w:pStyle w:val="OGText"/>
        <w:rPr>
          <w:lang w:eastAsia="en-AU"/>
        </w:rPr>
      </w:pPr>
      <w:r>
        <w:rPr>
          <w:lang w:eastAsia="en-AU"/>
        </w:rPr>
        <w:t xml:space="preserve">The Department is Victoria’s lead economic development agency and provides the interface between government and the business community, playing a major role in developing and implementing policies that create investment, </w:t>
      </w:r>
      <w:proofErr w:type="gramStart"/>
      <w:r>
        <w:rPr>
          <w:lang w:eastAsia="en-AU"/>
        </w:rPr>
        <w:t>exports</w:t>
      </w:r>
      <w:proofErr w:type="gramEnd"/>
      <w:r>
        <w:rPr>
          <w:lang w:eastAsia="en-AU"/>
        </w:rPr>
        <w:t xml:space="preserve"> and jobs for the State. It aims to help grow Victoria’s diverse and vibrant economy by supporting pro</w:t>
      </w:r>
      <w:r>
        <w:rPr>
          <w:lang w:eastAsia="en-AU"/>
        </w:rPr>
        <w:noBreakHyphen/>
        <w:t>business policies and programs and the development of innovative industries by engaging with businesses large and small and representing their needs to government at all levels.</w:t>
      </w:r>
    </w:p>
    <w:p w:rsidR="00A53D7D" w:rsidRDefault="00A53D7D" w:rsidP="005140B4">
      <w:pPr>
        <w:pStyle w:val="OGText"/>
        <w:rPr>
          <w:lang w:eastAsia="en-AU"/>
        </w:rPr>
      </w:pPr>
      <w:r>
        <w:rPr>
          <w:lang w:eastAsia="en-AU"/>
        </w:rPr>
        <w:t>The Department's services are delivered through eight outputs encompassing Employment, Tourism and Marketing, Innovation and Technology, Investment Attraction, Facilitation and Major Projects, Trade and Export Facilitation, Small Business Assistance, Regional Development and Regional Cities, and Energy and Resources.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Tr="005140B4">
        <w:trPr>
          <w:cantSplit/>
        </w:trPr>
        <w:tc>
          <w:tcPr>
            <w:tcW w:w="7776" w:type="dxa"/>
            <w:gridSpan w:val="6"/>
            <w:shd w:val="clear" w:color="auto" w:fill="FFFFFF"/>
          </w:tcPr>
          <w:p w:rsidR="00A53D7D" w:rsidRPr="00756175" w:rsidRDefault="00A53D7D" w:rsidP="005140B4">
            <w:pPr>
              <w:pStyle w:val="OGHeading2"/>
              <w:rPr>
                <w:sz w:val="18"/>
                <w:szCs w:val="18"/>
              </w:rPr>
            </w:pPr>
            <w:r>
              <w:t>Employment</w:t>
            </w:r>
          </w:p>
        </w:tc>
      </w:tr>
      <w:tr w:rsidR="00A53D7D" w:rsidTr="005140B4">
        <w:trPr>
          <w:cantSplit/>
        </w:trPr>
        <w:tc>
          <w:tcPr>
            <w:tcW w:w="7776" w:type="dxa"/>
            <w:gridSpan w:val="6"/>
            <w:tcBorders>
              <w:bottom w:val="single" w:sz="6" w:space="0" w:color="auto"/>
            </w:tcBorders>
            <w:shd w:val="clear" w:color="auto" w:fill="FFFFFF"/>
          </w:tcPr>
          <w:p w:rsidR="00A53D7D" w:rsidRPr="00756175" w:rsidRDefault="00A53D7D" w:rsidP="005140B4">
            <w:pPr>
              <w:pStyle w:val="OGText"/>
              <w:rPr>
                <w:sz w:val="18"/>
              </w:rPr>
            </w:pPr>
            <w:r>
              <w:t>Provides programs to link business workforce needs with skilled migration and untapped labour sources to meet Victoria’s skills requirements.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Quantity</w:t>
            </w:r>
          </w:p>
        </w:tc>
        <w:tc>
          <w:tcPr>
            <w:tcW w:w="907" w:type="dxa"/>
            <w:tcBorders>
              <w:top w:val="single" w:sz="6" w:space="0" w:color="auto"/>
            </w:tcBorders>
            <w:shd w:val="clear" w:color="auto" w:fill="FFFFFF"/>
          </w:tcPr>
          <w:p w:rsidR="00A53D7D" w:rsidRDefault="00A53D7D" w:rsidP="005140B4">
            <w:pPr>
              <w:pStyle w:val="OGUoM"/>
            </w:pPr>
          </w:p>
        </w:tc>
        <w:tc>
          <w:tcPr>
            <w:tcW w:w="907" w:type="dxa"/>
            <w:tcBorders>
              <w:top w:val="single" w:sz="6" w:space="0" w:color="auto"/>
            </w:tcBorders>
            <w:shd w:val="clear" w:color="auto" w:fill="D9D9D9"/>
          </w:tcPr>
          <w:p w:rsidR="00A53D7D" w:rsidRDefault="00A53D7D" w:rsidP="005140B4">
            <w:pPr>
              <w:pStyle w:val="OGTableofFigures"/>
            </w:pPr>
          </w:p>
        </w:tc>
        <w:tc>
          <w:tcPr>
            <w:tcW w:w="993" w:type="dxa"/>
            <w:tcBorders>
              <w:top w:val="single" w:sz="6" w:space="0" w:color="auto"/>
            </w:tcBorders>
            <w:shd w:val="clear" w:color="auto" w:fill="FFFFFF"/>
          </w:tcPr>
          <w:p w:rsidR="00A53D7D" w:rsidRDefault="00A53D7D" w:rsidP="005140B4">
            <w:pPr>
              <w:pStyle w:val="OGTableofFigures"/>
            </w:pPr>
          </w:p>
        </w:tc>
        <w:tc>
          <w:tcPr>
            <w:tcW w:w="907" w:type="dxa"/>
            <w:tcBorders>
              <w:top w:val="single" w:sz="6" w:space="0" w:color="auto"/>
            </w:tcBorders>
            <w:shd w:val="clear" w:color="auto" w:fill="FFFFFF"/>
          </w:tcPr>
          <w:p w:rsidR="00A53D7D" w:rsidRDefault="00A53D7D" w:rsidP="005140B4">
            <w:pPr>
              <w:pStyle w:val="OGTableofFigures"/>
            </w:pPr>
          </w:p>
        </w:tc>
        <w:tc>
          <w:tcPr>
            <w:tcW w:w="907" w:type="dxa"/>
            <w:tcBorders>
              <w:top w:val="single" w:sz="6" w:space="0" w:color="auto"/>
            </w:tcBorders>
            <w:shd w:val="clear" w:color="auto" w:fill="FFFFFF"/>
          </w:tcPr>
          <w:p w:rsidR="00A53D7D" w:rsidRDefault="00A53D7D" w:rsidP="005140B4">
            <w:pPr>
              <w:pStyle w:val="OGTableofFigures"/>
            </w:pPr>
          </w:p>
        </w:tc>
      </w:tr>
      <w:tr w:rsidR="00A53D7D" w:rsidTr="005140B4">
        <w:trPr>
          <w:cantSplit/>
        </w:trPr>
        <w:tc>
          <w:tcPr>
            <w:tcW w:w="3155" w:type="dxa"/>
            <w:tcBorders>
              <w:bottom w:val="single" w:sz="6" w:space="0" w:color="auto"/>
            </w:tcBorders>
            <w:shd w:val="clear" w:color="auto" w:fill="FFFFFF"/>
            <w:hideMark/>
          </w:tcPr>
          <w:p w:rsidR="00A53D7D" w:rsidRDefault="00A53D7D" w:rsidP="005140B4">
            <w:pPr>
              <w:pStyle w:val="OGTabText"/>
              <w:rPr>
                <w:sz w:val="18"/>
              </w:rPr>
            </w:pPr>
            <w:r>
              <w:t>Businesses assisted with skills needs</w:t>
            </w:r>
          </w:p>
        </w:tc>
        <w:tc>
          <w:tcPr>
            <w:tcW w:w="907" w:type="dxa"/>
            <w:tcBorders>
              <w:bottom w:val="single" w:sz="6" w:space="0" w:color="auto"/>
            </w:tcBorders>
            <w:shd w:val="clear" w:color="auto" w:fill="FFFFFF"/>
            <w:hideMark/>
          </w:tcPr>
          <w:p w:rsidR="00A53D7D" w:rsidRDefault="00A53D7D" w:rsidP="005140B4">
            <w:pPr>
              <w:pStyle w:val="OGUoM"/>
              <w:rPr>
                <w:sz w:val="18"/>
              </w:rPr>
            </w:pPr>
            <w:r>
              <w:t>number</w:t>
            </w:r>
          </w:p>
        </w:tc>
        <w:tc>
          <w:tcPr>
            <w:tcW w:w="907" w:type="dxa"/>
            <w:tcBorders>
              <w:bottom w:val="single" w:sz="6" w:space="0" w:color="auto"/>
            </w:tcBorders>
            <w:shd w:val="clear" w:color="auto" w:fill="D9D9D9"/>
            <w:hideMark/>
          </w:tcPr>
          <w:p w:rsidR="00A53D7D" w:rsidRDefault="00A53D7D" w:rsidP="005140B4">
            <w:pPr>
              <w:pStyle w:val="OGTableofFigures"/>
              <w:rPr>
                <w:sz w:val="18"/>
              </w:rPr>
            </w:pPr>
            <w:r>
              <w:t>1 200</w:t>
            </w:r>
          </w:p>
        </w:tc>
        <w:tc>
          <w:tcPr>
            <w:tcW w:w="993" w:type="dxa"/>
            <w:tcBorders>
              <w:bottom w:val="single" w:sz="6" w:space="0" w:color="auto"/>
            </w:tcBorders>
            <w:shd w:val="clear" w:color="auto" w:fill="FFFFFF"/>
            <w:hideMark/>
          </w:tcPr>
          <w:p w:rsidR="00A53D7D" w:rsidRDefault="00A53D7D" w:rsidP="005140B4">
            <w:pPr>
              <w:pStyle w:val="OGTableofFigures"/>
              <w:rPr>
                <w:sz w:val="18"/>
              </w:rPr>
            </w:pPr>
            <w:r>
              <w:t>1 200</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t>1 200</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t>1 347</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t>Government Youth Employment Scheme – traineeships commenced</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t>number</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t>280</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t>450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t>450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t>341</w:t>
            </w:r>
          </w:p>
        </w:tc>
      </w:tr>
      <w:tr w:rsidR="00A53D7D" w:rsidTr="005140B4">
        <w:trPr>
          <w:cantSplit/>
        </w:trPr>
        <w:tc>
          <w:tcPr>
            <w:tcW w:w="7776" w:type="dxa"/>
            <w:gridSpan w:val="6"/>
            <w:tcBorders>
              <w:bottom w:val="single" w:sz="6" w:space="0" w:color="auto"/>
            </w:tcBorders>
            <w:shd w:val="clear" w:color="auto" w:fill="FFFFFF"/>
            <w:hideMark/>
          </w:tcPr>
          <w:p w:rsidR="00A53D7D" w:rsidRPr="002811FB" w:rsidRDefault="00A53D7D" w:rsidP="005140B4">
            <w:pPr>
              <w:pStyle w:val="OGNotes"/>
            </w:pPr>
            <w:r>
              <w:t>The</w:t>
            </w:r>
            <w:r w:rsidRPr="002811FB">
              <w:t xml:space="preserve"> lower 2014</w:t>
            </w:r>
            <w:r>
              <w:noBreakHyphen/>
            </w:r>
            <w:r w:rsidRPr="002811FB">
              <w:t>15 target reflects a shift in the prioritisation of spending for youth employment activities.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rPr>
                <w:sz w:val="16"/>
                <w:szCs w:val="16"/>
              </w:rPr>
            </w:pPr>
            <w:r>
              <w:t>Quality</w:t>
            </w:r>
          </w:p>
        </w:tc>
        <w:tc>
          <w:tcPr>
            <w:tcW w:w="907" w:type="dxa"/>
            <w:tcBorders>
              <w:top w:val="single" w:sz="6" w:space="0" w:color="auto"/>
            </w:tcBorders>
            <w:shd w:val="clear" w:color="auto" w:fill="FFFFFF"/>
          </w:tcPr>
          <w:p w:rsidR="00A53D7D" w:rsidRDefault="00A53D7D" w:rsidP="005140B4">
            <w:pPr>
              <w:pStyle w:val="OGUoM"/>
            </w:pPr>
          </w:p>
        </w:tc>
        <w:tc>
          <w:tcPr>
            <w:tcW w:w="907" w:type="dxa"/>
            <w:tcBorders>
              <w:top w:val="single" w:sz="6" w:space="0" w:color="auto"/>
            </w:tcBorders>
            <w:shd w:val="clear" w:color="auto" w:fill="D9D9D9"/>
          </w:tcPr>
          <w:p w:rsidR="00A53D7D" w:rsidRDefault="00A53D7D" w:rsidP="005140B4">
            <w:pPr>
              <w:pStyle w:val="OGTableofFigures"/>
            </w:pPr>
          </w:p>
        </w:tc>
        <w:tc>
          <w:tcPr>
            <w:tcW w:w="993" w:type="dxa"/>
            <w:tcBorders>
              <w:top w:val="single" w:sz="6" w:space="0" w:color="auto"/>
            </w:tcBorders>
            <w:shd w:val="clear" w:color="auto" w:fill="FFFFFF"/>
          </w:tcPr>
          <w:p w:rsidR="00A53D7D" w:rsidRDefault="00A53D7D" w:rsidP="005140B4">
            <w:pPr>
              <w:pStyle w:val="OGTableofFigures"/>
            </w:pPr>
          </w:p>
        </w:tc>
        <w:tc>
          <w:tcPr>
            <w:tcW w:w="907" w:type="dxa"/>
            <w:tcBorders>
              <w:top w:val="single" w:sz="6" w:space="0" w:color="auto"/>
            </w:tcBorders>
            <w:shd w:val="clear" w:color="auto" w:fill="FFFFFF"/>
          </w:tcPr>
          <w:p w:rsidR="00A53D7D" w:rsidRDefault="00A53D7D" w:rsidP="005140B4">
            <w:pPr>
              <w:pStyle w:val="OGTableofFigures"/>
            </w:pPr>
          </w:p>
        </w:tc>
        <w:tc>
          <w:tcPr>
            <w:tcW w:w="907" w:type="dxa"/>
            <w:tcBorders>
              <w:top w:val="single" w:sz="6" w:space="0" w:color="auto"/>
            </w:tcBorders>
            <w:shd w:val="clear" w:color="auto" w:fill="FFFFFF"/>
          </w:tcPr>
          <w:p w:rsidR="00A53D7D" w:rsidRDefault="00A53D7D" w:rsidP="005140B4">
            <w:pPr>
              <w:pStyle w:val="OGTableofFigures"/>
            </w:pPr>
          </w:p>
        </w:tc>
      </w:tr>
      <w:tr w:rsidR="00A53D7D" w:rsidTr="005140B4">
        <w:trPr>
          <w:cantSplit/>
        </w:trPr>
        <w:tc>
          <w:tcPr>
            <w:tcW w:w="3155" w:type="dxa"/>
            <w:tcBorders>
              <w:bottom w:val="single" w:sz="4" w:space="0" w:color="auto"/>
            </w:tcBorders>
            <w:shd w:val="clear" w:color="auto" w:fill="FFFFFF"/>
            <w:hideMark/>
          </w:tcPr>
          <w:p w:rsidR="00A53D7D" w:rsidRDefault="00A53D7D" w:rsidP="005140B4">
            <w:pPr>
              <w:pStyle w:val="OGTabText"/>
              <w:rPr>
                <w:sz w:val="18"/>
              </w:rPr>
            </w:pPr>
            <w:r>
              <w:t>Proportion of skilled migrants working in nominated field</w:t>
            </w:r>
          </w:p>
        </w:tc>
        <w:tc>
          <w:tcPr>
            <w:tcW w:w="907" w:type="dxa"/>
            <w:tcBorders>
              <w:bottom w:val="single" w:sz="4" w:space="0" w:color="auto"/>
            </w:tcBorders>
            <w:shd w:val="clear" w:color="auto" w:fill="FFFFFF"/>
            <w:hideMark/>
          </w:tcPr>
          <w:p w:rsidR="00A53D7D" w:rsidRDefault="00A53D7D" w:rsidP="005140B4">
            <w:pPr>
              <w:pStyle w:val="OGUoM"/>
              <w:rPr>
                <w:sz w:val="18"/>
              </w:rPr>
            </w:pPr>
            <w:r>
              <w:t>per cent</w:t>
            </w:r>
          </w:p>
        </w:tc>
        <w:tc>
          <w:tcPr>
            <w:tcW w:w="907" w:type="dxa"/>
            <w:tcBorders>
              <w:bottom w:val="single" w:sz="4" w:space="0" w:color="auto"/>
            </w:tcBorders>
            <w:shd w:val="clear" w:color="auto" w:fill="D9D9D9"/>
            <w:hideMark/>
          </w:tcPr>
          <w:p w:rsidR="00A53D7D" w:rsidRDefault="00A53D7D" w:rsidP="005140B4">
            <w:pPr>
              <w:pStyle w:val="OGTableofFigures"/>
              <w:rPr>
                <w:sz w:val="18"/>
              </w:rPr>
            </w:pPr>
            <w:r>
              <w:t>70</w:t>
            </w:r>
          </w:p>
        </w:tc>
        <w:tc>
          <w:tcPr>
            <w:tcW w:w="993" w:type="dxa"/>
            <w:tcBorders>
              <w:bottom w:val="single" w:sz="4" w:space="0" w:color="auto"/>
            </w:tcBorders>
            <w:shd w:val="clear" w:color="auto" w:fill="FFFFFF"/>
            <w:hideMark/>
          </w:tcPr>
          <w:p w:rsidR="00A53D7D" w:rsidRDefault="00A53D7D" w:rsidP="005140B4">
            <w:pPr>
              <w:pStyle w:val="OGTableofFigures"/>
              <w:rPr>
                <w:sz w:val="18"/>
              </w:rPr>
            </w:pPr>
            <w:r>
              <w:t>70</w:t>
            </w:r>
          </w:p>
        </w:tc>
        <w:tc>
          <w:tcPr>
            <w:tcW w:w="907" w:type="dxa"/>
            <w:tcBorders>
              <w:bottom w:val="single" w:sz="4" w:space="0" w:color="auto"/>
            </w:tcBorders>
            <w:shd w:val="clear" w:color="auto" w:fill="FFFFFF"/>
            <w:hideMark/>
          </w:tcPr>
          <w:p w:rsidR="00A53D7D" w:rsidRDefault="00A53D7D" w:rsidP="005140B4">
            <w:pPr>
              <w:pStyle w:val="OGTableofFigures"/>
              <w:rPr>
                <w:sz w:val="18"/>
              </w:rPr>
            </w:pPr>
            <w:r>
              <w:t>70</w:t>
            </w:r>
          </w:p>
        </w:tc>
        <w:tc>
          <w:tcPr>
            <w:tcW w:w="907" w:type="dxa"/>
            <w:tcBorders>
              <w:bottom w:val="single" w:sz="4" w:space="0" w:color="auto"/>
            </w:tcBorders>
            <w:shd w:val="clear" w:color="auto" w:fill="FFFFFF"/>
            <w:hideMark/>
          </w:tcPr>
          <w:p w:rsidR="00A53D7D" w:rsidRDefault="00A53D7D" w:rsidP="005140B4">
            <w:pPr>
              <w:pStyle w:val="OGTableofFigures"/>
              <w:rPr>
                <w:sz w:val="18"/>
              </w:rPr>
            </w:pPr>
            <w:r>
              <w:t>67</w:t>
            </w:r>
          </w:p>
        </w:tc>
      </w:tr>
      <w:tr w:rsidR="00A53D7D" w:rsidTr="005140B4">
        <w:trPr>
          <w:cantSplit/>
        </w:trPr>
        <w:tc>
          <w:tcPr>
            <w:tcW w:w="3155" w:type="dxa"/>
            <w:tcBorders>
              <w:top w:val="single" w:sz="4" w:space="0" w:color="auto"/>
              <w:bottom w:val="single" w:sz="6" w:space="0" w:color="auto"/>
            </w:tcBorders>
            <w:shd w:val="clear" w:color="auto" w:fill="FFFFFF"/>
            <w:hideMark/>
          </w:tcPr>
          <w:p w:rsidR="00A53D7D" w:rsidRDefault="00A53D7D" w:rsidP="005140B4">
            <w:pPr>
              <w:pStyle w:val="OGTabText"/>
              <w:rPr>
                <w:sz w:val="16"/>
                <w:szCs w:val="16"/>
              </w:rPr>
            </w:pPr>
            <w:r>
              <w:rPr>
                <w:szCs w:val="20"/>
              </w:rPr>
              <w:t>Skilled Migration Victoria – client satisfaction with services provided</w:t>
            </w:r>
          </w:p>
        </w:tc>
        <w:tc>
          <w:tcPr>
            <w:tcW w:w="907" w:type="dxa"/>
            <w:tcBorders>
              <w:top w:val="single" w:sz="4" w:space="0" w:color="auto"/>
              <w:bottom w:val="single" w:sz="6" w:space="0" w:color="auto"/>
            </w:tcBorders>
            <w:shd w:val="clear" w:color="auto" w:fill="FFFFFF"/>
            <w:hideMark/>
          </w:tcPr>
          <w:p w:rsidR="00A53D7D" w:rsidRDefault="00A53D7D" w:rsidP="005140B4">
            <w:pPr>
              <w:pStyle w:val="OGUoM"/>
              <w:rPr>
                <w:sz w:val="16"/>
                <w:szCs w:val="16"/>
              </w:rPr>
            </w:pPr>
            <w:r>
              <w:rPr>
                <w:szCs w:val="20"/>
              </w:rPr>
              <w:t>per cent</w:t>
            </w:r>
          </w:p>
        </w:tc>
        <w:tc>
          <w:tcPr>
            <w:tcW w:w="907" w:type="dxa"/>
            <w:tcBorders>
              <w:top w:val="single" w:sz="4" w:space="0" w:color="auto"/>
              <w:bottom w:val="single" w:sz="6" w:space="0" w:color="auto"/>
            </w:tcBorders>
            <w:shd w:val="clear" w:color="auto" w:fill="D9D9D9"/>
            <w:hideMark/>
          </w:tcPr>
          <w:p w:rsidR="00A53D7D" w:rsidRDefault="00A53D7D" w:rsidP="005140B4">
            <w:pPr>
              <w:pStyle w:val="OGTableofFigures"/>
              <w:rPr>
                <w:sz w:val="16"/>
                <w:szCs w:val="16"/>
              </w:rPr>
            </w:pPr>
            <w:r>
              <w:rPr>
                <w:szCs w:val="20"/>
              </w:rPr>
              <w:t>85</w:t>
            </w:r>
          </w:p>
        </w:tc>
        <w:tc>
          <w:tcPr>
            <w:tcW w:w="993" w:type="dxa"/>
            <w:tcBorders>
              <w:top w:val="single" w:sz="4"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85</w:t>
            </w:r>
          </w:p>
        </w:tc>
        <w:tc>
          <w:tcPr>
            <w:tcW w:w="907" w:type="dxa"/>
            <w:tcBorders>
              <w:top w:val="single" w:sz="4"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85</w:t>
            </w:r>
          </w:p>
        </w:tc>
        <w:tc>
          <w:tcPr>
            <w:tcW w:w="907" w:type="dxa"/>
            <w:tcBorders>
              <w:top w:val="single" w:sz="4"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85</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Timeliness</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tcBorders>
              <w:bottom w:val="single" w:sz="6" w:space="0" w:color="auto"/>
            </w:tcBorders>
            <w:shd w:val="clear" w:color="auto" w:fill="FFFFFF"/>
            <w:hideMark/>
          </w:tcPr>
          <w:p w:rsidR="00A53D7D" w:rsidRDefault="00A53D7D" w:rsidP="005140B4">
            <w:pPr>
              <w:pStyle w:val="OGTabText"/>
              <w:rPr>
                <w:sz w:val="18"/>
              </w:rPr>
            </w:pPr>
            <w:r>
              <w:rPr>
                <w:szCs w:val="20"/>
              </w:rPr>
              <w:t>Skilled Migration Victoria – average processing time for state sponsorship applications</w:t>
            </w:r>
          </w:p>
        </w:tc>
        <w:tc>
          <w:tcPr>
            <w:tcW w:w="907" w:type="dxa"/>
            <w:tcBorders>
              <w:bottom w:val="single" w:sz="6" w:space="0" w:color="auto"/>
            </w:tcBorders>
            <w:shd w:val="clear" w:color="auto" w:fill="FFFFFF"/>
            <w:hideMark/>
          </w:tcPr>
          <w:p w:rsidR="00A53D7D" w:rsidRDefault="00A53D7D" w:rsidP="005140B4">
            <w:pPr>
              <w:pStyle w:val="OGUoM"/>
              <w:rPr>
                <w:sz w:val="18"/>
              </w:rPr>
            </w:pPr>
            <w:r>
              <w:rPr>
                <w:szCs w:val="20"/>
              </w:rPr>
              <w:t>working days</w:t>
            </w:r>
          </w:p>
        </w:tc>
        <w:tc>
          <w:tcPr>
            <w:tcW w:w="907" w:type="dxa"/>
            <w:tcBorders>
              <w:bottom w:val="single" w:sz="6" w:space="0" w:color="auto"/>
            </w:tcBorders>
            <w:shd w:val="clear" w:color="auto" w:fill="D9D9D9"/>
            <w:hideMark/>
          </w:tcPr>
          <w:p w:rsidR="00A53D7D" w:rsidRDefault="00A53D7D" w:rsidP="005140B4">
            <w:pPr>
              <w:pStyle w:val="OGTableofFigures"/>
              <w:rPr>
                <w:sz w:val="18"/>
              </w:rPr>
            </w:pPr>
            <w:r>
              <w:rPr>
                <w:szCs w:val="20"/>
              </w:rPr>
              <w:t>28</w:t>
            </w:r>
          </w:p>
        </w:tc>
        <w:tc>
          <w:tcPr>
            <w:tcW w:w="993" w:type="dxa"/>
            <w:tcBorders>
              <w:bottom w:val="single" w:sz="6" w:space="0" w:color="auto"/>
            </w:tcBorders>
            <w:shd w:val="clear" w:color="auto" w:fill="FFFFFF"/>
            <w:hideMark/>
          </w:tcPr>
          <w:p w:rsidR="00A53D7D" w:rsidRDefault="00A53D7D" w:rsidP="005140B4">
            <w:pPr>
              <w:pStyle w:val="OGTableofFigures"/>
              <w:rPr>
                <w:sz w:val="18"/>
              </w:rPr>
            </w:pPr>
            <w:r>
              <w:rPr>
                <w:szCs w:val="20"/>
              </w:rPr>
              <w:t>28</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rPr>
                <w:szCs w:val="20"/>
              </w:rPr>
              <w:t>28</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rPr>
                <w:szCs w:val="20"/>
              </w:rPr>
              <w:t>28</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Cost</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Total output cost</w:t>
            </w:r>
          </w:p>
        </w:tc>
        <w:tc>
          <w:tcPr>
            <w:tcW w:w="907" w:type="dxa"/>
            <w:shd w:val="clear" w:color="auto" w:fill="FFFFFF"/>
            <w:hideMark/>
          </w:tcPr>
          <w:p w:rsidR="00A53D7D" w:rsidRDefault="00A53D7D" w:rsidP="005140B4">
            <w:pPr>
              <w:pStyle w:val="OGUoM"/>
              <w:rPr>
                <w:sz w:val="18"/>
              </w:rPr>
            </w:pPr>
            <w:r>
              <w:rPr>
                <w:szCs w:val="20"/>
              </w:rPr>
              <w:t>number (million)</w:t>
            </w:r>
          </w:p>
        </w:tc>
        <w:tc>
          <w:tcPr>
            <w:tcW w:w="907" w:type="dxa"/>
            <w:shd w:val="clear" w:color="auto" w:fill="D9D9D9" w:themeFill="background1" w:themeFillShade="D9"/>
            <w:hideMark/>
          </w:tcPr>
          <w:p w:rsidR="00A53D7D" w:rsidRPr="00E228D2" w:rsidRDefault="00A53D7D" w:rsidP="005140B4">
            <w:pPr>
              <w:pStyle w:val="OGTableofFigures"/>
              <w:rPr>
                <w:szCs w:val="20"/>
              </w:rPr>
            </w:pPr>
            <w:r>
              <w:rPr>
                <w:szCs w:val="20"/>
              </w:rPr>
              <w:t>10.3</w:t>
            </w:r>
          </w:p>
        </w:tc>
        <w:tc>
          <w:tcPr>
            <w:tcW w:w="993" w:type="dxa"/>
            <w:shd w:val="clear" w:color="auto" w:fill="FFFFFF" w:themeFill="background1"/>
            <w:hideMark/>
          </w:tcPr>
          <w:p w:rsidR="00A53D7D" w:rsidRDefault="00A53D7D" w:rsidP="005140B4">
            <w:pPr>
              <w:pStyle w:val="OGTableofFigures"/>
              <w:rPr>
                <w:szCs w:val="20"/>
              </w:rPr>
            </w:pPr>
            <w:r>
              <w:rPr>
                <w:szCs w:val="20"/>
              </w:rPr>
              <w:t>11.2</w:t>
            </w:r>
          </w:p>
          <w:p w:rsidR="00A53D7D" w:rsidRPr="00E228D2" w:rsidRDefault="00A53D7D" w:rsidP="005140B4">
            <w:pPr>
              <w:pStyle w:val="OGTableofFigures"/>
              <w:rPr>
                <w:sz w:val="18"/>
              </w:rPr>
            </w:pPr>
          </w:p>
        </w:tc>
        <w:tc>
          <w:tcPr>
            <w:tcW w:w="907" w:type="dxa"/>
            <w:shd w:val="clear" w:color="auto" w:fill="FFFFFF"/>
            <w:hideMark/>
          </w:tcPr>
          <w:p w:rsidR="00A53D7D" w:rsidRDefault="00A53D7D" w:rsidP="005140B4">
            <w:pPr>
              <w:pStyle w:val="OGTableofFigures"/>
              <w:rPr>
                <w:sz w:val="18"/>
              </w:rPr>
            </w:pPr>
            <w:r>
              <w:rPr>
                <w:szCs w:val="20"/>
              </w:rPr>
              <w:t>15.3</w:t>
            </w:r>
          </w:p>
        </w:tc>
        <w:tc>
          <w:tcPr>
            <w:tcW w:w="907" w:type="dxa"/>
            <w:shd w:val="clear" w:color="auto" w:fill="FFFFFF"/>
            <w:hideMark/>
          </w:tcPr>
          <w:p w:rsidR="00A53D7D" w:rsidRPr="00087F46" w:rsidRDefault="00A53D7D" w:rsidP="005140B4">
            <w:pPr>
              <w:pStyle w:val="OGTableofFigures"/>
              <w:rPr>
                <w:szCs w:val="20"/>
              </w:rPr>
            </w:pPr>
            <w:r w:rsidRPr="00087F46">
              <w:rPr>
                <w:szCs w:val="20"/>
              </w:rPr>
              <w:t>16.4</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rsidRPr="003E2502">
              <w:t>Variation between 2013</w:t>
            </w:r>
            <w:r>
              <w:noBreakHyphen/>
            </w:r>
            <w:r w:rsidRPr="003E2502">
              <w:t>14 target and 2014</w:t>
            </w:r>
            <w:r>
              <w:noBreakHyphen/>
            </w:r>
            <w:r w:rsidRPr="003E2502">
              <w:t xml:space="preserve">15 target reflects programs completed under the </w:t>
            </w:r>
            <w:proofErr w:type="spellStart"/>
            <w:r w:rsidRPr="003E2502">
              <w:t>VictoriaWorks</w:t>
            </w:r>
            <w:proofErr w:type="spellEnd"/>
            <w:r w:rsidRPr="003E2502">
              <w:t xml:space="preserve"> for Indigenous Jobseekers program and Strong Economic Pathways for Aboriginal Victorians partly offset by the timing in annual funding for Employment Start Up and Victorian Employment Solutions.</w:t>
            </w:r>
          </w:p>
          <w:p w:rsidR="00A53D7D" w:rsidRPr="004F3EC9" w:rsidRDefault="00A53D7D" w:rsidP="005140B4">
            <w:pPr>
              <w:pStyle w:val="OGNotes"/>
            </w:pPr>
            <w:r>
              <w:t>Variation between 2013</w:t>
            </w:r>
            <w:r>
              <w:noBreakHyphen/>
              <w:t>14 target and 2013</w:t>
            </w:r>
            <w:r>
              <w:noBreakHyphen/>
              <w:t xml:space="preserve">14 expected outcome reflects the timing in annual funding for the </w:t>
            </w:r>
            <w:r>
              <w:rPr>
                <w:i w:val="0"/>
              </w:rPr>
              <w:t xml:space="preserve">Employment </w:t>
            </w:r>
            <w:proofErr w:type="spellStart"/>
            <w:r>
              <w:rPr>
                <w:i w:val="0"/>
              </w:rPr>
              <w:t>Startup</w:t>
            </w:r>
            <w:proofErr w:type="spellEnd"/>
            <w:r>
              <w:t xml:space="preserve"> and </w:t>
            </w:r>
            <w:r>
              <w:rPr>
                <w:i w:val="0"/>
              </w:rPr>
              <w:t>Managing Transition for Retrenched Workers</w:t>
            </w:r>
            <w:r>
              <w:t xml:space="preserve"> programs.</w:t>
            </w:r>
          </w:p>
        </w:tc>
      </w:tr>
      <w:tr w:rsidR="00A53D7D" w:rsidTr="005140B4">
        <w:trPr>
          <w:cantSplit/>
        </w:trPr>
        <w:tc>
          <w:tcPr>
            <w:tcW w:w="7776" w:type="dxa"/>
            <w:gridSpan w:val="6"/>
            <w:tcBorders>
              <w:top w:val="single" w:sz="6" w:space="0" w:color="auto"/>
            </w:tcBorders>
            <w:shd w:val="clear" w:color="auto" w:fill="FFFFFF"/>
          </w:tcPr>
          <w:p w:rsidR="00A53D7D" w:rsidRPr="00015C4E" w:rsidRDefault="00A53D7D" w:rsidP="005140B4">
            <w:pPr>
              <w:pStyle w:val="OGHeading2"/>
              <w:rPr>
                <w:sz w:val="18"/>
              </w:rPr>
            </w:pPr>
            <w:r>
              <w:t>Energy and Resources</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autoSpaceDE w:val="0"/>
              <w:autoSpaceDN w:val="0"/>
              <w:adjustRightInd w:val="0"/>
              <w:spacing w:after="0"/>
              <w:rPr>
                <w:rFonts w:ascii="Calibri" w:hAnsi="Calibri" w:cs="Calibri"/>
                <w:color w:val="000000"/>
                <w:sz w:val="20"/>
                <w:lang w:eastAsia="en-AU"/>
              </w:rPr>
            </w:pPr>
            <w:r>
              <w:rPr>
                <w:rFonts w:ascii="Calibri" w:hAnsi="Calibri" w:cs="Calibri"/>
                <w:color w:val="000000"/>
                <w:sz w:val="20"/>
                <w:lang w:eastAsia="en-AU"/>
              </w:rPr>
              <w:t>Influences and advocates for the provision of efficient, reliable and safe energy services</w:t>
            </w:r>
          </w:p>
          <w:p w:rsidR="00A53D7D" w:rsidRDefault="00A53D7D" w:rsidP="005140B4">
            <w:pPr>
              <w:autoSpaceDE w:val="0"/>
              <w:autoSpaceDN w:val="0"/>
              <w:adjustRightInd w:val="0"/>
              <w:spacing w:after="0"/>
              <w:rPr>
                <w:rFonts w:ascii="Calibri" w:hAnsi="Calibri" w:cs="Calibri"/>
                <w:color w:val="000000"/>
                <w:sz w:val="20"/>
                <w:lang w:eastAsia="en-AU"/>
              </w:rPr>
            </w:pPr>
            <w:proofErr w:type="gramStart"/>
            <w:r>
              <w:rPr>
                <w:rFonts w:ascii="Calibri" w:hAnsi="Calibri" w:cs="Calibri"/>
                <w:color w:val="000000"/>
                <w:sz w:val="20"/>
                <w:lang w:eastAsia="en-AU"/>
              </w:rPr>
              <w:t>through</w:t>
            </w:r>
            <w:proofErr w:type="gramEnd"/>
            <w:r>
              <w:rPr>
                <w:rFonts w:ascii="Calibri" w:hAnsi="Calibri" w:cs="Calibri"/>
                <w:color w:val="000000"/>
                <w:sz w:val="20"/>
                <w:lang w:eastAsia="en-AU"/>
              </w:rPr>
              <w:t xml:space="preserve"> national forums and delivers State</w:t>
            </w:r>
            <w:r>
              <w:rPr>
                <w:rFonts w:ascii="Calibri" w:hAnsi="Calibri" w:cs="Calibri"/>
                <w:color w:val="000000"/>
                <w:sz w:val="20"/>
                <w:lang w:eastAsia="en-AU"/>
              </w:rPr>
              <w:noBreakHyphen/>
              <w:t>based energy programs. Provides efficient and</w:t>
            </w:r>
          </w:p>
          <w:p w:rsidR="00A53D7D" w:rsidRDefault="00A53D7D" w:rsidP="005140B4">
            <w:pPr>
              <w:autoSpaceDE w:val="0"/>
              <w:autoSpaceDN w:val="0"/>
              <w:adjustRightInd w:val="0"/>
              <w:spacing w:after="0"/>
              <w:rPr>
                <w:rFonts w:ascii="Calibri" w:hAnsi="Calibri" w:cs="Calibri"/>
                <w:color w:val="000000"/>
                <w:sz w:val="20"/>
                <w:lang w:eastAsia="en-AU"/>
              </w:rPr>
            </w:pPr>
            <w:proofErr w:type="gramStart"/>
            <w:r>
              <w:rPr>
                <w:rFonts w:ascii="Calibri" w:hAnsi="Calibri" w:cs="Calibri"/>
                <w:color w:val="000000"/>
                <w:sz w:val="20"/>
                <w:lang w:eastAsia="en-AU"/>
              </w:rPr>
              <w:t>effective</w:t>
            </w:r>
            <w:proofErr w:type="gramEnd"/>
            <w:r>
              <w:rPr>
                <w:rFonts w:ascii="Calibri" w:hAnsi="Calibri" w:cs="Calibri"/>
                <w:color w:val="000000"/>
                <w:sz w:val="20"/>
                <w:lang w:eastAsia="en-AU"/>
              </w:rPr>
              <w:t xml:space="preserve"> regulatory services to industry and promotes a sustainable resources sector. Provides</w:t>
            </w:r>
          </w:p>
          <w:p w:rsidR="00A53D7D" w:rsidRPr="00015C4E" w:rsidRDefault="00A53D7D" w:rsidP="005140B4">
            <w:pPr>
              <w:pStyle w:val="OGText"/>
              <w:rPr>
                <w:sz w:val="18"/>
              </w:rPr>
            </w:pPr>
            <w:proofErr w:type="gramStart"/>
            <w:r>
              <w:rPr>
                <w:rFonts w:cs="Calibri"/>
                <w:color w:val="000000"/>
                <w:lang w:eastAsia="en-AU"/>
              </w:rPr>
              <w:t>information</w:t>
            </w:r>
            <w:proofErr w:type="gramEnd"/>
            <w:r>
              <w:rPr>
                <w:rFonts w:cs="Calibri"/>
                <w:color w:val="000000"/>
                <w:lang w:eastAsia="en-AU"/>
              </w:rPr>
              <w:t xml:space="preserve"> to households and businesses and undertakes community engagement.</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Quantity</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Community and Stakeholder engagement information forums</w:t>
            </w:r>
          </w:p>
        </w:tc>
        <w:tc>
          <w:tcPr>
            <w:tcW w:w="907" w:type="dxa"/>
            <w:shd w:val="clear" w:color="auto" w:fill="FFFFFF"/>
            <w:hideMark/>
          </w:tcPr>
          <w:p w:rsidR="00A53D7D" w:rsidRDefault="00A53D7D" w:rsidP="005140B4">
            <w:pPr>
              <w:pStyle w:val="OGUoM"/>
              <w:rPr>
                <w:sz w:val="18"/>
              </w:rPr>
            </w:pPr>
            <w:r>
              <w:rPr>
                <w:szCs w:val="20"/>
              </w:rPr>
              <w:t>number</w:t>
            </w:r>
          </w:p>
        </w:tc>
        <w:tc>
          <w:tcPr>
            <w:tcW w:w="907" w:type="dxa"/>
            <w:shd w:val="clear" w:color="auto" w:fill="D9D9D9"/>
            <w:hideMark/>
          </w:tcPr>
          <w:p w:rsidR="00A53D7D" w:rsidRDefault="00A53D7D" w:rsidP="005140B4">
            <w:pPr>
              <w:pStyle w:val="OGTableofFigures"/>
              <w:rPr>
                <w:sz w:val="18"/>
              </w:rPr>
            </w:pPr>
            <w:r>
              <w:rPr>
                <w:szCs w:val="20"/>
              </w:rPr>
              <w:t>25</w:t>
            </w:r>
          </w:p>
        </w:tc>
        <w:tc>
          <w:tcPr>
            <w:tcW w:w="993" w:type="dxa"/>
            <w:shd w:val="clear" w:color="auto" w:fill="FFFFFF"/>
            <w:hideMark/>
          </w:tcPr>
          <w:p w:rsidR="00A53D7D" w:rsidRDefault="00A53D7D" w:rsidP="005140B4">
            <w:pPr>
              <w:pStyle w:val="OGTableofFigures"/>
              <w:rPr>
                <w:sz w:val="18"/>
              </w:rPr>
            </w:pPr>
            <w:r>
              <w:rPr>
                <w:szCs w:val="20"/>
              </w:rPr>
              <w:t>18</w:t>
            </w:r>
          </w:p>
        </w:tc>
        <w:tc>
          <w:tcPr>
            <w:tcW w:w="907" w:type="dxa"/>
            <w:shd w:val="clear" w:color="auto" w:fill="FFFFFF"/>
            <w:hideMark/>
          </w:tcPr>
          <w:p w:rsidR="00A53D7D" w:rsidRDefault="00A53D7D" w:rsidP="005140B4">
            <w:pPr>
              <w:pStyle w:val="OGTableofFigures"/>
              <w:rPr>
                <w:sz w:val="18"/>
              </w:rPr>
            </w:pPr>
            <w:r>
              <w:rPr>
                <w:szCs w:val="20"/>
              </w:rPr>
              <w:t>15</w:t>
            </w:r>
          </w:p>
        </w:tc>
        <w:tc>
          <w:tcPr>
            <w:tcW w:w="907" w:type="dxa"/>
            <w:shd w:val="clear" w:color="auto" w:fill="FFFFFF"/>
            <w:hideMark/>
          </w:tcPr>
          <w:p w:rsidR="00A53D7D" w:rsidRDefault="00A53D7D" w:rsidP="005140B4">
            <w:pPr>
              <w:pStyle w:val="OGTableofFigures"/>
              <w:rPr>
                <w:sz w:val="18"/>
              </w:rPr>
            </w:pPr>
            <w:r>
              <w:rPr>
                <w:szCs w:val="20"/>
              </w:rPr>
              <w:t>nm</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rsidRPr="00BB7A96">
              <w:t>This performance measure is proposed to replace the 2013</w:t>
            </w:r>
            <w:r>
              <w:noBreakHyphen/>
            </w:r>
            <w:r w:rsidRPr="00BB7A96">
              <w:t xml:space="preserve">14 performance measure ‘Delivery of stakeholder engagement information forums as part of the Clean Coal Victoria work program’. </w:t>
            </w:r>
            <w:r>
              <w:t>The 2013</w:t>
            </w:r>
            <w:r>
              <w:noBreakHyphen/>
              <w:t>14 data relates to the performance measure for the Clean Coal Victoria work program. The new performance measure reflects an expansion of stakeholder and community engagement activities across Energy and Resources for 2014</w:t>
            </w:r>
            <w:r>
              <w:noBreakHyphen/>
              <w:t>15.</w:t>
            </w:r>
          </w:p>
          <w:p w:rsidR="00A53D7D" w:rsidRDefault="00A53D7D" w:rsidP="005140B4">
            <w:pPr>
              <w:pStyle w:val="OGNotes"/>
            </w:pPr>
            <w:r>
              <w:t>The expected outcome for 2013</w:t>
            </w:r>
            <w:r>
              <w:noBreakHyphen/>
              <w:t>14 exceeds the 2013</w:t>
            </w:r>
            <w:r>
              <w:noBreakHyphen/>
              <w:t>14 target due to increased community engagement sessions in relation to onshore gas.</w:t>
            </w:r>
          </w:p>
          <w:p w:rsidR="00A53D7D" w:rsidRPr="00ED66E4" w:rsidRDefault="00A53D7D" w:rsidP="005140B4">
            <w:pPr>
              <w:pStyle w:val="OGNotes"/>
            </w:pPr>
            <w:r>
              <w:t>The 2014</w:t>
            </w:r>
            <w:r>
              <w:noBreakHyphen/>
              <w:t>15 target has been increased to reflect an expansion of stakeholder and community engagement across the Energy and Resources output for 2014</w:t>
            </w:r>
            <w:r>
              <w:noBreakHyphen/>
              <w:t>15.</w:t>
            </w:r>
          </w:p>
        </w:tc>
      </w:tr>
      <w:tr w:rsidR="00A53D7D" w:rsidTr="005140B4">
        <w:trPr>
          <w:cantSplit/>
        </w:trPr>
        <w:tc>
          <w:tcPr>
            <w:tcW w:w="3155" w:type="dxa"/>
            <w:tcBorders>
              <w:top w:val="single" w:sz="6" w:space="0" w:color="auto"/>
              <w:bottom w:val="single" w:sz="6" w:space="0" w:color="auto"/>
            </w:tcBorders>
            <w:shd w:val="clear" w:color="auto" w:fill="FFFFFF"/>
            <w:hideMark/>
          </w:tcPr>
          <w:p w:rsidR="00A53D7D" w:rsidRDefault="00A53D7D" w:rsidP="005140B4">
            <w:pPr>
              <w:pStyle w:val="OGTabText"/>
              <w:rPr>
                <w:sz w:val="16"/>
                <w:szCs w:val="16"/>
              </w:rPr>
            </w:pPr>
            <w:r>
              <w:rPr>
                <w:szCs w:val="20"/>
              </w:rPr>
              <w:t>Delivery of Advanced Metering Infrastructure program in line with planned project milestones</w:t>
            </w:r>
          </w:p>
        </w:tc>
        <w:tc>
          <w:tcPr>
            <w:tcW w:w="907" w:type="dxa"/>
            <w:tcBorders>
              <w:top w:val="single" w:sz="6" w:space="0" w:color="auto"/>
              <w:bottom w:val="single" w:sz="6" w:space="0" w:color="auto"/>
            </w:tcBorders>
            <w:shd w:val="clear" w:color="auto" w:fill="FFFFFF"/>
            <w:hideMark/>
          </w:tcPr>
          <w:p w:rsidR="00A53D7D" w:rsidRDefault="00A53D7D" w:rsidP="005140B4">
            <w:pPr>
              <w:pStyle w:val="OGUoM"/>
              <w:rPr>
                <w:sz w:val="16"/>
                <w:szCs w:val="16"/>
              </w:rPr>
            </w:pPr>
            <w:r>
              <w:rPr>
                <w:szCs w:val="20"/>
              </w:rPr>
              <w:t>per cent</w:t>
            </w:r>
          </w:p>
        </w:tc>
        <w:tc>
          <w:tcPr>
            <w:tcW w:w="907" w:type="dxa"/>
            <w:tcBorders>
              <w:top w:val="single" w:sz="6" w:space="0" w:color="auto"/>
              <w:bottom w:val="single" w:sz="6" w:space="0" w:color="auto"/>
            </w:tcBorders>
            <w:shd w:val="clear" w:color="auto" w:fill="D9D9D9"/>
            <w:hideMark/>
          </w:tcPr>
          <w:p w:rsidR="00A53D7D" w:rsidRDefault="00A53D7D" w:rsidP="005140B4">
            <w:pPr>
              <w:pStyle w:val="OGTableofFigures"/>
              <w:rPr>
                <w:sz w:val="16"/>
                <w:szCs w:val="16"/>
              </w:rPr>
            </w:pPr>
            <w:r>
              <w:rPr>
                <w:szCs w:val="20"/>
              </w:rPr>
              <w:t>100</w:t>
            </w:r>
          </w:p>
        </w:tc>
        <w:tc>
          <w:tcPr>
            <w:tcW w:w="993"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100</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100</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100</w:t>
            </w:r>
          </w:p>
        </w:tc>
      </w:tr>
      <w:tr w:rsidR="00A53D7D" w:rsidTr="005140B4">
        <w:trPr>
          <w:cantSplit/>
        </w:trPr>
        <w:tc>
          <w:tcPr>
            <w:tcW w:w="3155" w:type="dxa"/>
            <w:tcBorders>
              <w:top w:val="single" w:sz="6" w:space="0" w:color="auto"/>
              <w:bottom w:val="single" w:sz="6" w:space="0" w:color="auto"/>
            </w:tcBorders>
            <w:shd w:val="clear" w:color="auto" w:fill="FFFFFF"/>
            <w:hideMark/>
          </w:tcPr>
          <w:p w:rsidR="00A53D7D" w:rsidRDefault="00A53D7D" w:rsidP="005140B4">
            <w:pPr>
              <w:pStyle w:val="OGTabText"/>
              <w:rPr>
                <w:sz w:val="16"/>
                <w:szCs w:val="16"/>
              </w:rPr>
            </w:pPr>
            <w:r>
              <w:rPr>
                <w:szCs w:val="20"/>
              </w:rPr>
              <w:t xml:space="preserve">Delivery of key milestones for the </w:t>
            </w:r>
            <w:proofErr w:type="spellStart"/>
            <w:r>
              <w:rPr>
                <w:szCs w:val="20"/>
              </w:rPr>
              <w:t>Powerline</w:t>
            </w:r>
            <w:proofErr w:type="spellEnd"/>
            <w:r>
              <w:rPr>
                <w:szCs w:val="20"/>
              </w:rPr>
              <w:t xml:space="preserve"> Bushfire Safety work program</w:t>
            </w:r>
          </w:p>
        </w:tc>
        <w:tc>
          <w:tcPr>
            <w:tcW w:w="907" w:type="dxa"/>
            <w:tcBorders>
              <w:top w:val="single" w:sz="6" w:space="0" w:color="auto"/>
              <w:bottom w:val="single" w:sz="6" w:space="0" w:color="auto"/>
            </w:tcBorders>
            <w:shd w:val="clear" w:color="auto" w:fill="FFFFFF"/>
            <w:hideMark/>
          </w:tcPr>
          <w:p w:rsidR="00A53D7D" w:rsidRDefault="00A53D7D" w:rsidP="005140B4">
            <w:pPr>
              <w:pStyle w:val="OGUoM"/>
              <w:rPr>
                <w:sz w:val="16"/>
                <w:szCs w:val="16"/>
              </w:rPr>
            </w:pPr>
            <w:r>
              <w:rPr>
                <w:szCs w:val="20"/>
              </w:rPr>
              <w:t>per cent</w:t>
            </w:r>
          </w:p>
        </w:tc>
        <w:tc>
          <w:tcPr>
            <w:tcW w:w="907" w:type="dxa"/>
            <w:tcBorders>
              <w:top w:val="single" w:sz="6" w:space="0" w:color="auto"/>
              <w:bottom w:val="single" w:sz="6" w:space="0" w:color="auto"/>
            </w:tcBorders>
            <w:shd w:val="clear" w:color="auto" w:fill="D9D9D9"/>
            <w:hideMark/>
          </w:tcPr>
          <w:p w:rsidR="00A53D7D" w:rsidRDefault="00A53D7D" w:rsidP="005140B4">
            <w:pPr>
              <w:pStyle w:val="OGTableofFigures"/>
              <w:rPr>
                <w:sz w:val="16"/>
                <w:szCs w:val="16"/>
              </w:rPr>
            </w:pPr>
            <w:r>
              <w:rPr>
                <w:szCs w:val="20"/>
              </w:rPr>
              <w:t>100</w:t>
            </w:r>
          </w:p>
        </w:tc>
        <w:tc>
          <w:tcPr>
            <w:tcW w:w="993"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100</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100</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100</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Quality</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Height w:val="591"/>
        </w:trPr>
        <w:tc>
          <w:tcPr>
            <w:tcW w:w="3155" w:type="dxa"/>
            <w:shd w:val="clear" w:color="auto" w:fill="FFFFFF"/>
            <w:hideMark/>
          </w:tcPr>
          <w:p w:rsidR="00A53D7D" w:rsidRPr="005C7B35" w:rsidRDefault="00A53D7D" w:rsidP="005140B4">
            <w:pPr>
              <w:pStyle w:val="OGTabText"/>
              <w:rPr>
                <w:szCs w:val="20"/>
              </w:rPr>
            </w:pPr>
            <w:r>
              <w:rPr>
                <w:szCs w:val="20"/>
              </w:rPr>
              <w:t>Exploration and mining licences which are not active</w:t>
            </w:r>
          </w:p>
        </w:tc>
        <w:tc>
          <w:tcPr>
            <w:tcW w:w="907" w:type="dxa"/>
            <w:shd w:val="clear" w:color="auto" w:fill="FFFFFF"/>
            <w:hideMark/>
          </w:tcPr>
          <w:p w:rsidR="00A53D7D" w:rsidRDefault="00A53D7D" w:rsidP="005140B4">
            <w:pPr>
              <w:pStyle w:val="OGUoM"/>
              <w:rPr>
                <w:sz w:val="18"/>
              </w:rPr>
            </w:pPr>
            <w:r>
              <w:rPr>
                <w:szCs w:val="20"/>
              </w:rPr>
              <w:t>per cent</w:t>
            </w:r>
          </w:p>
        </w:tc>
        <w:tc>
          <w:tcPr>
            <w:tcW w:w="907" w:type="dxa"/>
            <w:shd w:val="clear" w:color="auto" w:fill="D9D9D9"/>
            <w:hideMark/>
          </w:tcPr>
          <w:p w:rsidR="00A53D7D" w:rsidRDefault="00A53D7D" w:rsidP="005140B4">
            <w:pPr>
              <w:pStyle w:val="OGTableofFigures"/>
              <w:rPr>
                <w:sz w:val="18"/>
              </w:rPr>
            </w:pPr>
            <w:r>
              <w:rPr>
                <w:szCs w:val="20"/>
              </w:rPr>
              <w:t>&lt; 17.5</w:t>
            </w:r>
          </w:p>
        </w:tc>
        <w:tc>
          <w:tcPr>
            <w:tcW w:w="993" w:type="dxa"/>
            <w:shd w:val="clear" w:color="auto" w:fill="FFFFFF"/>
            <w:hideMark/>
          </w:tcPr>
          <w:p w:rsidR="00A53D7D" w:rsidRDefault="00A53D7D" w:rsidP="005140B4">
            <w:pPr>
              <w:pStyle w:val="OGTableofFigures"/>
              <w:rPr>
                <w:sz w:val="18"/>
              </w:rPr>
            </w:pPr>
            <w:r>
              <w:rPr>
                <w:szCs w:val="20"/>
              </w:rPr>
              <w:t>34</w:t>
            </w:r>
          </w:p>
        </w:tc>
        <w:tc>
          <w:tcPr>
            <w:tcW w:w="907" w:type="dxa"/>
            <w:shd w:val="clear" w:color="auto" w:fill="FFFFFF"/>
            <w:hideMark/>
          </w:tcPr>
          <w:p w:rsidR="00A53D7D" w:rsidRDefault="00A53D7D" w:rsidP="005140B4">
            <w:pPr>
              <w:pStyle w:val="OGTableofFigures"/>
              <w:rPr>
                <w:sz w:val="18"/>
              </w:rPr>
            </w:pPr>
            <w:r>
              <w:rPr>
                <w:szCs w:val="20"/>
              </w:rPr>
              <w:t>&lt; 17.5</w:t>
            </w:r>
          </w:p>
        </w:tc>
        <w:tc>
          <w:tcPr>
            <w:tcW w:w="907" w:type="dxa"/>
            <w:shd w:val="clear" w:color="auto" w:fill="FFFFFF"/>
            <w:hideMark/>
          </w:tcPr>
          <w:p w:rsidR="00A53D7D" w:rsidRDefault="00A53D7D" w:rsidP="005140B4">
            <w:pPr>
              <w:pStyle w:val="OGTableofFigures"/>
              <w:rPr>
                <w:sz w:val="18"/>
              </w:rPr>
            </w:pPr>
            <w:r>
              <w:rPr>
                <w:szCs w:val="20"/>
              </w:rPr>
              <w:t>14</w:t>
            </w:r>
          </w:p>
        </w:tc>
      </w:tr>
      <w:tr w:rsidR="00A53D7D" w:rsidRPr="007B4D79" w:rsidTr="005140B4">
        <w:trPr>
          <w:cantSplit/>
        </w:trPr>
        <w:tc>
          <w:tcPr>
            <w:tcW w:w="7776" w:type="dxa"/>
            <w:gridSpan w:val="6"/>
            <w:shd w:val="clear" w:color="auto" w:fill="FFFFFF"/>
          </w:tcPr>
          <w:p w:rsidR="00A53D7D" w:rsidRPr="007B4D79" w:rsidRDefault="00A53D7D" w:rsidP="005140B4">
            <w:pPr>
              <w:pStyle w:val="OGNotes"/>
            </w:pPr>
            <w:r w:rsidRPr="007B4D79">
              <w:t>The 2013</w:t>
            </w:r>
            <w:r>
              <w:noBreakHyphen/>
            </w:r>
            <w:r w:rsidRPr="007B4D79">
              <w:t xml:space="preserve">14 expected outcome is </w:t>
            </w:r>
            <w:r>
              <w:t>higher</w:t>
            </w:r>
            <w:r w:rsidRPr="007B4D79">
              <w:t xml:space="preserve"> than the 2013</w:t>
            </w:r>
            <w:r>
              <w:noBreakHyphen/>
            </w:r>
            <w:r w:rsidRPr="007B4D79">
              <w:t xml:space="preserve">14 target due to a number of new licensees which have not commenced work, some of which are awaiting </w:t>
            </w:r>
            <w:proofErr w:type="spellStart"/>
            <w:r w:rsidRPr="007B4D79">
              <w:t>workplan</w:t>
            </w:r>
            <w:proofErr w:type="spellEnd"/>
            <w:r w:rsidRPr="007B4D79">
              <w:t xml:space="preserve"> approval.</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rPr>
                <w:sz w:val="16"/>
                <w:szCs w:val="16"/>
              </w:rPr>
            </w:pPr>
            <w:r>
              <w:t>Timeliness</w:t>
            </w:r>
          </w:p>
        </w:tc>
        <w:tc>
          <w:tcPr>
            <w:tcW w:w="907" w:type="dxa"/>
            <w:tcBorders>
              <w:top w:val="single" w:sz="6" w:space="0" w:color="auto"/>
            </w:tcBorders>
            <w:shd w:val="clear" w:color="auto" w:fill="FFFFFF"/>
          </w:tcPr>
          <w:p w:rsidR="00A53D7D" w:rsidRDefault="00A53D7D" w:rsidP="005140B4">
            <w:pPr>
              <w:pStyle w:val="OGUoM"/>
              <w:keepNext/>
              <w:rPr>
                <w:szCs w:val="20"/>
              </w:rPr>
            </w:pPr>
          </w:p>
        </w:tc>
        <w:tc>
          <w:tcPr>
            <w:tcW w:w="907" w:type="dxa"/>
            <w:tcBorders>
              <w:top w:val="single" w:sz="6" w:space="0" w:color="auto"/>
            </w:tcBorders>
            <w:shd w:val="clear" w:color="auto" w:fill="D9D9D9"/>
          </w:tcPr>
          <w:p w:rsidR="00A53D7D" w:rsidRDefault="00A53D7D" w:rsidP="005140B4">
            <w:pPr>
              <w:pStyle w:val="OGTableofFigures"/>
              <w:keepNext/>
              <w:rPr>
                <w:szCs w:val="20"/>
              </w:rPr>
            </w:pPr>
          </w:p>
        </w:tc>
        <w:tc>
          <w:tcPr>
            <w:tcW w:w="993" w:type="dxa"/>
            <w:tcBorders>
              <w:top w:val="single" w:sz="6" w:space="0" w:color="auto"/>
            </w:tcBorders>
            <w:shd w:val="clear" w:color="auto" w:fill="FFFFFF"/>
          </w:tcPr>
          <w:p w:rsidR="00A53D7D" w:rsidRDefault="00A53D7D" w:rsidP="005140B4">
            <w:pPr>
              <w:pStyle w:val="OGTableofFigures"/>
              <w:keepNext/>
              <w:rPr>
                <w:szCs w:val="20"/>
              </w:rPr>
            </w:pPr>
          </w:p>
        </w:tc>
        <w:tc>
          <w:tcPr>
            <w:tcW w:w="907" w:type="dxa"/>
            <w:tcBorders>
              <w:top w:val="single" w:sz="6" w:space="0" w:color="auto"/>
            </w:tcBorders>
            <w:shd w:val="clear" w:color="auto" w:fill="FFFFFF"/>
          </w:tcPr>
          <w:p w:rsidR="00A53D7D" w:rsidRDefault="00A53D7D" w:rsidP="005140B4">
            <w:pPr>
              <w:pStyle w:val="OGTableofFigures"/>
              <w:keepNext/>
              <w:rPr>
                <w:szCs w:val="20"/>
              </w:rPr>
            </w:pPr>
          </w:p>
        </w:tc>
        <w:tc>
          <w:tcPr>
            <w:tcW w:w="907" w:type="dxa"/>
            <w:tcBorders>
              <w:top w:val="single" w:sz="6" w:space="0" w:color="auto"/>
            </w:tcBorders>
            <w:shd w:val="clear" w:color="auto" w:fill="FFFFFF"/>
          </w:tcPr>
          <w:p w:rsidR="00A53D7D" w:rsidRDefault="00A53D7D" w:rsidP="005140B4">
            <w:pPr>
              <w:pStyle w:val="OGTableofFigures"/>
              <w:keepNext/>
              <w:rPr>
                <w:szCs w:val="20"/>
              </w:rPr>
            </w:pPr>
          </w:p>
        </w:tc>
      </w:tr>
      <w:tr w:rsidR="00A53D7D" w:rsidTr="005140B4">
        <w:trPr>
          <w:cantSplit/>
        </w:trPr>
        <w:tc>
          <w:tcPr>
            <w:tcW w:w="3155" w:type="dxa"/>
            <w:shd w:val="clear" w:color="auto" w:fill="FFFFFF"/>
            <w:hideMark/>
          </w:tcPr>
          <w:p w:rsidR="00A53D7D" w:rsidRDefault="00A53D7D" w:rsidP="005140B4">
            <w:pPr>
              <w:pStyle w:val="OGTabText"/>
              <w:keepNext/>
              <w:rPr>
                <w:sz w:val="18"/>
              </w:rPr>
            </w:pPr>
            <w:r>
              <w:rPr>
                <w:szCs w:val="20"/>
              </w:rPr>
              <w:t xml:space="preserve">Delivery of key </w:t>
            </w:r>
            <w:proofErr w:type="spellStart"/>
            <w:r>
              <w:rPr>
                <w:szCs w:val="20"/>
              </w:rPr>
              <w:t>CarbonNet</w:t>
            </w:r>
            <w:proofErr w:type="spellEnd"/>
            <w:r>
              <w:rPr>
                <w:szCs w:val="20"/>
              </w:rPr>
              <w:t xml:space="preserve"> milestones, in line with funding agreements and agreed project deliverables</w:t>
            </w:r>
          </w:p>
        </w:tc>
        <w:tc>
          <w:tcPr>
            <w:tcW w:w="907" w:type="dxa"/>
            <w:shd w:val="clear" w:color="auto" w:fill="FFFFFF"/>
            <w:hideMark/>
          </w:tcPr>
          <w:p w:rsidR="00A53D7D" w:rsidRDefault="00A53D7D" w:rsidP="005140B4">
            <w:pPr>
              <w:pStyle w:val="OGUoM"/>
              <w:keepNext/>
              <w:rPr>
                <w:sz w:val="18"/>
              </w:rPr>
            </w:pPr>
            <w:r>
              <w:rPr>
                <w:szCs w:val="20"/>
              </w:rPr>
              <w:t>per cent</w:t>
            </w:r>
          </w:p>
        </w:tc>
        <w:tc>
          <w:tcPr>
            <w:tcW w:w="907" w:type="dxa"/>
            <w:shd w:val="clear" w:color="auto" w:fill="D9D9D9"/>
            <w:hideMark/>
          </w:tcPr>
          <w:p w:rsidR="00A53D7D" w:rsidRDefault="00A53D7D" w:rsidP="005140B4">
            <w:pPr>
              <w:pStyle w:val="OGTableofFigures"/>
              <w:keepNext/>
              <w:rPr>
                <w:sz w:val="18"/>
              </w:rPr>
            </w:pPr>
            <w:r>
              <w:rPr>
                <w:szCs w:val="20"/>
              </w:rPr>
              <w:t>100</w:t>
            </w:r>
          </w:p>
        </w:tc>
        <w:tc>
          <w:tcPr>
            <w:tcW w:w="993" w:type="dxa"/>
            <w:shd w:val="clear" w:color="auto" w:fill="FFFFFF"/>
            <w:hideMark/>
          </w:tcPr>
          <w:p w:rsidR="00A53D7D" w:rsidRDefault="00A53D7D" w:rsidP="005140B4">
            <w:pPr>
              <w:pStyle w:val="OGTableofFigures"/>
              <w:keepNext/>
              <w:rPr>
                <w:sz w:val="18"/>
              </w:rPr>
            </w:pPr>
            <w:r>
              <w:rPr>
                <w:szCs w:val="20"/>
              </w:rPr>
              <w:t>nm</w:t>
            </w:r>
          </w:p>
        </w:tc>
        <w:tc>
          <w:tcPr>
            <w:tcW w:w="907" w:type="dxa"/>
            <w:shd w:val="clear" w:color="auto" w:fill="FFFFFF"/>
            <w:hideMark/>
          </w:tcPr>
          <w:p w:rsidR="00A53D7D" w:rsidRDefault="00A53D7D" w:rsidP="005140B4">
            <w:pPr>
              <w:pStyle w:val="OGTableofFigures"/>
              <w:keepNext/>
              <w:rPr>
                <w:sz w:val="18"/>
              </w:rPr>
            </w:pPr>
            <w:r>
              <w:rPr>
                <w:szCs w:val="20"/>
              </w:rPr>
              <w:t>nm</w:t>
            </w:r>
          </w:p>
        </w:tc>
        <w:tc>
          <w:tcPr>
            <w:tcW w:w="907" w:type="dxa"/>
            <w:shd w:val="clear" w:color="auto" w:fill="FFFFFF"/>
            <w:hideMark/>
          </w:tcPr>
          <w:p w:rsidR="00A53D7D" w:rsidRDefault="00A53D7D" w:rsidP="005140B4">
            <w:pPr>
              <w:pStyle w:val="OGTableofFigures"/>
              <w:keepNext/>
              <w:rPr>
                <w:sz w:val="18"/>
              </w:rPr>
            </w:pPr>
            <w:r>
              <w:rPr>
                <w:szCs w:val="20"/>
              </w:rPr>
              <w:t>nm</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rPr>
                <w:sz w:val="18"/>
              </w:rPr>
            </w:pPr>
            <w:r>
              <w:t>This performance measure is proposed to consolidate the 2013</w:t>
            </w:r>
            <w:r>
              <w:noBreakHyphen/>
              <w:t>14 performance measures:</w:t>
            </w:r>
          </w:p>
          <w:p w:rsidR="00A53D7D" w:rsidRDefault="00A53D7D" w:rsidP="005140B4">
            <w:pPr>
              <w:pStyle w:val="OGNotesIndent"/>
              <w:rPr>
                <w:sz w:val="18"/>
              </w:rPr>
            </w:pPr>
            <w:r>
              <w:t>•</w:t>
            </w:r>
            <w:r>
              <w:rPr>
                <w:sz w:val="18"/>
              </w:rPr>
              <w:tab/>
            </w:r>
            <w:r>
              <w:t xml:space="preserve">facilitate delivery of the implementation plan of the </w:t>
            </w:r>
            <w:proofErr w:type="spellStart"/>
            <w:r>
              <w:t>CarbonNet</w:t>
            </w:r>
            <w:proofErr w:type="spellEnd"/>
            <w:r>
              <w:t xml:space="preserve"> geoscience evaluation program 2014;</w:t>
            </w:r>
          </w:p>
          <w:p w:rsidR="00A53D7D" w:rsidRDefault="00A53D7D" w:rsidP="005140B4">
            <w:pPr>
              <w:pStyle w:val="OGNotesIndent"/>
              <w:rPr>
                <w:sz w:val="18"/>
              </w:rPr>
            </w:pPr>
            <w:r>
              <w:t>•</w:t>
            </w:r>
            <w:r>
              <w:rPr>
                <w:sz w:val="18"/>
              </w:rPr>
              <w:tab/>
            </w:r>
            <w:r>
              <w:t xml:space="preserve">facilitate delivery of milestones for the feasibility stage of </w:t>
            </w:r>
            <w:proofErr w:type="spellStart"/>
            <w:r>
              <w:t>CarbonNet</w:t>
            </w:r>
            <w:proofErr w:type="spellEnd"/>
            <w:r>
              <w:t xml:space="preserve"> (Carbon Capture and Storage) project; and</w:t>
            </w:r>
          </w:p>
          <w:p w:rsidR="00A53D7D" w:rsidRDefault="00A53D7D" w:rsidP="005140B4">
            <w:pPr>
              <w:pStyle w:val="OGNotesIndent"/>
              <w:rPr>
                <w:sz w:val="18"/>
              </w:rPr>
            </w:pPr>
            <w:r>
              <w:t>•</w:t>
            </w:r>
            <w:r>
              <w:rPr>
                <w:sz w:val="18"/>
              </w:rPr>
              <w:tab/>
            </w:r>
            <w:r>
              <w:t>facilitate delivery of milestones in line with grant agreements for the large</w:t>
            </w:r>
            <w:r>
              <w:noBreakHyphen/>
              <w:t>scale Carbon Capture and Storage demonstration program.</w:t>
            </w:r>
          </w:p>
          <w:p w:rsidR="00A53D7D" w:rsidRPr="006E6679" w:rsidRDefault="00A53D7D" w:rsidP="005140B4">
            <w:pPr>
              <w:pStyle w:val="OGNotes"/>
            </w:pPr>
            <w:r>
              <w:t xml:space="preserve">These measures have been consolidated, as they all relate to activities concerning delivery of milestones for the </w:t>
            </w:r>
            <w:proofErr w:type="spellStart"/>
            <w:r>
              <w:t>CarbonNet</w:t>
            </w:r>
            <w:proofErr w:type="spellEnd"/>
            <w:r>
              <w:t xml:space="preserve"> (Carbon Capture and Storage) project. The proposed 2014</w:t>
            </w:r>
            <w:r>
              <w:noBreakHyphen/>
              <w:t>15 target of 100 per cent is the same as for the individual measures for 2013</w:t>
            </w:r>
            <w:r>
              <w:noBreakHyphen/>
              <w:t xml:space="preserve">14. </w:t>
            </w:r>
            <w:r w:rsidRPr="004662D4">
              <w:t>It is not possible to restate the consolidation of the three measures for 2013</w:t>
            </w:r>
            <w:r>
              <w:noBreakHyphen/>
            </w:r>
            <w:r w:rsidRPr="004662D4">
              <w:t>14 into a single meaningful outcome due to the distorting effect of delays to the demonstration program measure</w:t>
            </w:r>
            <w:r>
              <w:t>.</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Facilitate the delivery of key energy technology innovation milestones in line with grant agreements</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per cent</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100</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100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100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nm</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This performance measure is proposed to consolidate the 2013</w:t>
            </w:r>
            <w:r>
              <w:noBreakHyphen/>
              <w:t>14 performance measures:</w:t>
            </w:r>
          </w:p>
          <w:p w:rsidR="00A53D7D" w:rsidRDefault="00A53D7D" w:rsidP="005140B4">
            <w:pPr>
              <w:pStyle w:val="OGNotesIndent"/>
            </w:pPr>
            <w:r>
              <w:t>•</w:t>
            </w:r>
            <w:r>
              <w:tab/>
              <w:t>delivery of milestones facilitated in line with grant agreements for the brown coal research and development grants that form part of the Energy Technology Innovation Strategy initiative;</w:t>
            </w:r>
          </w:p>
          <w:p w:rsidR="00A53D7D" w:rsidRDefault="00A53D7D" w:rsidP="005140B4">
            <w:pPr>
              <w:pStyle w:val="OGNotesIndent"/>
            </w:pPr>
            <w:r>
              <w:t>•</w:t>
            </w:r>
            <w:r>
              <w:tab/>
              <w:t>facilitate delivery of milestones in line with grant agreements for Energy Technology Innovation Strategy Sustainable Energy programs;</w:t>
            </w:r>
          </w:p>
          <w:p w:rsidR="00A53D7D" w:rsidRDefault="00A53D7D" w:rsidP="005140B4">
            <w:pPr>
              <w:pStyle w:val="OGNotesIndent"/>
            </w:pPr>
            <w:r>
              <w:t>•</w:t>
            </w:r>
            <w:r>
              <w:tab/>
              <w:t>facilitate delivery of milestones in line with grant agreements under the Advanced Lignite Demonstration program; and</w:t>
            </w:r>
          </w:p>
          <w:p w:rsidR="00A53D7D" w:rsidRDefault="00A53D7D" w:rsidP="005140B4">
            <w:pPr>
              <w:pStyle w:val="OGNotesIndent"/>
            </w:pPr>
            <w:r>
              <w:t>•</w:t>
            </w:r>
            <w:r>
              <w:tab/>
              <w:t>facilitate delivery of milestones in line with grant agreements under the Low Emission Energy Technologies program.</w:t>
            </w:r>
          </w:p>
          <w:p w:rsidR="00A53D7D" w:rsidRDefault="00A53D7D" w:rsidP="005140B4">
            <w:pPr>
              <w:pStyle w:val="OGNotes"/>
            </w:pPr>
            <w:r>
              <w:t xml:space="preserve">These measures have been consolidated, as they all relate to activities concerning delivery of milestones against </w:t>
            </w:r>
            <w:r>
              <w:br/>
              <w:t>grants and project plans for broader energy technology innovation including security. The proposed 2014</w:t>
            </w:r>
            <w:r>
              <w:noBreakHyphen/>
              <w:t xml:space="preserve">15 target </w:t>
            </w:r>
            <w:r>
              <w:br/>
              <w:t>of 100 per cent is the same as for the 2013</w:t>
            </w:r>
            <w:r>
              <w:noBreakHyphen/>
              <w:t xml:space="preserve">14 individual measures. </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Industry geoscience data packages released for minerals and petroleum sectors consistent with agreed timelines</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number</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6</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8</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8</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nm</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This performance measure is proposed to consolidate the 2013</w:t>
            </w:r>
            <w:r>
              <w:noBreakHyphen/>
              <w:t>14 performance measures:</w:t>
            </w:r>
          </w:p>
          <w:p w:rsidR="00A53D7D" w:rsidRDefault="00A53D7D" w:rsidP="005140B4">
            <w:pPr>
              <w:pStyle w:val="OGNotesIndent"/>
            </w:pPr>
            <w:r>
              <w:t>•</w:t>
            </w:r>
            <w:r>
              <w:tab/>
              <w:t>Earth resource information packages released to industry covering the promotion of new geological data and regulatory guidance material (number); and</w:t>
            </w:r>
          </w:p>
          <w:p w:rsidR="00A53D7D" w:rsidRDefault="00A53D7D" w:rsidP="005140B4">
            <w:pPr>
              <w:pStyle w:val="OGNotesIndent"/>
            </w:pPr>
            <w:r>
              <w:t>•</w:t>
            </w:r>
            <w:r>
              <w:tab/>
              <w:t>Earth resource geoscience data packages released to market in line with agreed timetables (per cent).</w:t>
            </w:r>
          </w:p>
          <w:p w:rsidR="00A53D7D" w:rsidRDefault="00A53D7D" w:rsidP="005140B4">
            <w:pPr>
              <w:pStyle w:val="OGNotes"/>
            </w:pPr>
            <w:r>
              <w:t xml:space="preserve">These measures have been consolidated as they both relate to the release of information packages and data to industry. </w:t>
            </w:r>
          </w:p>
          <w:p w:rsidR="00A53D7D" w:rsidRDefault="00A53D7D" w:rsidP="005140B4">
            <w:pPr>
              <w:pStyle w:val="OGNotes"/>
            </w:pPr>
            <w:r>
              <w:t>The 2013</w:t>
            </w:r>
            <w:r>
              <w:noBreakHyphen/>
              <w:t>14 data is based on the previous measure ‘Earth resource information packages released to industry covering the promotion of new geological data and regulatory guidance material’.</w:t>
            </w:r>
          </w:p>
          <w:p w:rsidR="00A53D7D" w:rsidRDefault="00A53D7D" w:rsidP="005140B4">
            <w:pPr>
              <w:pStyle w:val="OGNotes"/>
            </w:pPr>
            <w:r>
              <w:t xml:space="preserve">The new performance measure focuses on the number of data packages released within agreed timelines. </w:t>
            </w:r>
          </w:p>
          <w:p w:rsidR="00A53D7D" w:rsidRDefault="00A53D7D" w:rsidP="005140B4">
            <w:pPr>
              <w:pStyle w:val="OGNotes"/>
            </w:pPr>
            <w:r>
              <w:t>The 2014</w:t>
            </w:r>
            <w:r>
              <w:noBreakHyphen/>
              <w:t>15 target has been decreased to reflect the number of data packages planned for release in 2014</w:t>
            </w:r>
            <w:r>
              <w:noBreakHyphen/>
              <w:t>15.</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keepNext/>
              <w:rPr>
                <w:sz w:val="16"/>
                <w:szCs w:val="16"/>
              </w:rPr>
            </w:pPr>
            <w:r>
              <w:rPr>
                <w:szCs w:val="20"/>
              </w:rPr>
              <w:t xml:space="preserve">Percentage of exploration licence applications, mining industry </w:t>
            </w:r>
            <w:proofErr w:type="spellStart"/>
            <w:r>
              <w:rPr>
                <w:szCs w:val="20"/>
              </w:rPr>
              <w:t>workplans</w:t>
            </w:r>
            <w:proofErr w:type="spellEnd"/>
            <w:r>
              <w:rPr>
                <w:szCs w:val="20"/>
              </w:rPr>
              <w:t xml:space="preserve"> and mining licence applications processed within regulatory timeframes</w:t>
            </w:r>
          </w:p>
        </w:tc>
        <w:tc>
          <w:tcPr>
            <w:tcW w:w="907" w:type="dxa"/>
            <w:tcBorders>
              <w:top w:val="single" w:sz="6" w:space="0" w:color="auto"/>
            </w:tcBorders>
            <w:shd w:val="clear" w:color="auto" w:fill="FFFFFF"/>
            <w:hideMark/>
          </w:tcPr>
          <w:p w:rsidR="00A53D7D" w:rsidRDefault="00A53D7D" w:rsidP="005140B4">
            <w:pPr>
              <w:pStyle w:val="OGUoM"/>
              <w:keepNext/>
              <w:rPr>
                <w:sz w:val="16"/>
                <w:szCs w:val="16"/>
              </w:rPr>
            </w:pPr>
            <w:r>
              <w:rPr>
                <w:szCs w:val="20"/>
              </w:rPr>
              <w:t>per cent</w:t>
            </w:r>
          </w:p>
        </w:tc>
        <w:tc>
          <w:tcPr>
            <w:tcW w:w="907" w:type="dxa"/>
            <w:tcBorders>
              <w:top w:val="single" w:sz="6" w:space="0" w:color="auto"/>
            </w:tcBorders>
            <w:shd w:val="clear" w:color="auto" w:fill="D9D9D9"/>
            <w:hideMark/>
          </w:tcPr>
          <w:p w:rsidR="00A53D7D" w:rsidRDefault="00A53D7D" w:rsidP="005140B4">
            <w:pPr>
              <w:pStyle w:val="OGTableofFigures"/>
              <w:keepNext/>
              <w:rPr>
                <w:sz w:val="16"/>
                <w:szCs w:val="16"/>
              </w:rPr>
            </w:pPr>
            <w:r>
              <w:rPr>
                <w:szCs w:val="20"/>
              </w:rPr>
              <w:t>&gt; 95</w:t>
            </w:r>
          </w:p>
        </w:tc>
        <w:tc>
          <w:tcPr>
            <w:tcW w:w="993"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&gt; 95</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&gt; 95</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nm</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This performance measure is proposed to consolidate the 2013</w:t>
            </w:r>
            <w:r>
              <w:noBreakHyphen/>
              <w:t>14 performance measures:</w:t>
            </w:r>
          </w:p>
          <w:p w:rsidR="00A53D7D" w:rsidRDefault="00A53D7D" w:rsidP="005140B4">
            <w:pPr>
              <w:pStyle w:val="OGNotesIndent"/>
            </w:pPr>
            <w:r>
              <w:t>•</w:t>
            </w:r>
            <w:r>
              <w:tab/>
              <w:t>minerals and petroleum exploration licence applications not determined after three months;</w:t>
            </w:r>
          </w:p>
          <w:p w:rsidR="00A53D7D" w:rsidRDefault="00A53D7D" w:rsidP="005140B4">
            <w:pPr>
              <w:pStyle w:val="OGNotesIndent"/>
            </w:pPr>
            <w:r>
              <w:t>•</w:t>
            </w:r>
            <w:r>
              <w:tab/>
              <w:t xml:space="preserve">mining industry </w:t>
            </w:r>
            <w:proofErr w:type="spellStart"/>
            <w:r>
              <w:t>workplans</w:t>
            </w:r>
            <w:proofErr w:type="spellEnd"/>
            <w:r>
              <w:t xml:space="preserve"> not processed in one month; and</w:t>
            </w:r>
          </w:p>
          <w:p w:rsidR="00A53D7D" w:rsidRDefault="00A53D7D" w:rsidP="005140B4">
            <w:pPr>
              <w:pStyle w:val="OGNotesIndent"/>
            </w:pPr>
            <w:r>
              <w:t>•</w:t>
            </w:r>
            <w:r>
              <w:tab/>
            </w:r>
            <w:proofErr w:type="gramStart"/>
            <w:r>
              <w:t>mining</w:t>
            </w:r>
            <w:proofErr w:type="gramEnd"/>
            <w:r>
              <w:t xml:space="preserve"> licence applications not determined after four months.</w:t>
            </w:r>
          </w:p>
          <w:p w:rsidR="00A53D7D" w:rsidRDefault="00A53D7D" w:rsidP="005140B4">
            <w:pPr>
              <w:pStyle w:val="OGNotes"/>
            </w:pPr>
            <w:r>
              <w:t>These measures have been consolidated as they all relate to timeliness of regulatory processes and there is no requirement for them to continue as stand</w:t>
            </w:r>
            <w:r>
              <w:noBreakHyphen/>
              <w:t>alone measures. The proposed new measure still focuses on processing within regulatory timelines .The 2013</w:t>
            </w:r>
            <w:r>
              <w:noBreakHyphen/>
              <w:t>14 data provided is an approximation of the consolidated measures.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keepNext/>
              <w:rPr>
                <w:sz w:val="16"/>
                <w:szCs w:val="16"/>
              </w:rPr>
            </w:pPr>
            <w:r>
              <w:rPr>
                <w:szCs w:val="20"/>
              </w:rPr>
              <w:t>Regulatory audits completed within agreed timelines</w:t>
            </w:r>
          </w:p>
        </w:tc>
        <w:tc>
          <w:tcPr>
            <w:tcW w:w="907" w:type="dxa"/>
            <w:tcBorders>
              <w:top w:val="single" w:sz="6" w:space="0" w:color="auto"/>
            </w:tcBorders>
            <w:shd w:val="clear" w:color="auto" w:fill="FFFFFF"/>
            <w:hideMark/>
          </w:tcPr>
          <w:p w:rsidR="00A53D7D" w:rsidRDefault="00A53D7D" w:rsidP="005140B4">
            <w:pPr>
              <w:pStyle w:val="OGUoM"/>
              <w:keepNext/>
              <w:rPr>
                <w:sz w:val="16"/>
                <w:szCs w:val="16"/>
              </w:rPr>
            </w:pPr>
            <w:r>
              <w:rPr>
                <w:szCs w:val="20"/>
              </w:rPr>
              <w:t>per cent</w:t>
            </w:r>
          </w:p>
        </w:tc>
        <w:tc>
          <w:tcPr>
            <w:tcW w:w="907" w:type="dxa"/>
            <w:tcBorders>
              <w:top w:val="single" w:sz="6" w:space="0" w:color="auto"/>
            </w:tcBorders>
            <w:shd w:val="clear" w:color="auto" w:fill="D9D9D9"/>
            <w:hideMark/>
          </w:tcPr>
          <w:p w:rsidR="00A53D7D" w:rsidRDefault="00A53D7D" w:rsidP="005140B4">
            <w:pPr>
              <w:pStyle w:val="OGTableofFigures"/>
              <w:keepNext/>
              <w:rPr>
                <w:sz w:val="16"/>
                <w:szCs w:val="16"/>
              </w:rPr>
            </w:pPr>
            <w:r>
              <w:rPr>
                <w:szCs w:val="20"/>
              </w:rPr>
              <w:t>&gt; 95</w:t>
            </w:r>
          </w:p>
        </w:tc>
        <w:tc>
          <w:tcPr>
            <w:tcW w:w="993"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nm</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nm</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nm</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This performance measure is proposed to consolidate the 2013</w:t>
            </w:r>
            <w:r>
              <w:noBreakHyphen/>
              <w:t>14 performance measures:</w:t>
            </w:r>
          </w:p>
          <w:p w:rsidR="00A53D7D" w:rsidRDefault="00A53D7D" w:rsidP="005140B4">
            <w:pPr>
              <w:pStyle w:val="OGNotesIndent"/>
            </w:pPr>
            <w:r>
              <w:t>•</w:t>
            </w:r>
            <w:r>
              <w:tab/>
              <w:t>audits completed at mineral and petroleum sites on specific high</w:t>
            </w:r>
            <w:r>
              <w:noBreakHyphen/>
              <w:t>risk issues (number);</w:t>
            </w:r>
          </w:p>
          <w:p w:rsidR="00A53D7D" w:rsidRDefault="00A53D7D" w:rsidP="005140B4">
            <w:pPr>
              <w:pStyle w:val="OGNotesIndent"/>
            </w:pPr>
            <w:r>
              <w:t>•</w:t>
            </w:r>
            <w:r>
              <w:tab/>
              <w:t>environmental and compliance audits of critical minerals and petroleum sites completed (number); and</w:t>
            </w:r>
          </w:p>
          <w:p w:rsidR="00A53D7D" w:rsidRDefault="00A53D7D" w:rsidP="005140B4">
            <w:pPr>
              <w:pStyle w:val="OGNotesIndent"/>
            </w:pPr>
            <w:r>
              <w:t>•</w:t>
            </w:r>
            <w:r>
              <w:tab/>
            </w:r>
            <w:proofErr w:type="gramStart"/>
            <w:r>
              <w:t>number</w:t>
            </w:r>
            <w:proofErr w:type="gramEnd"/>
            <w:r>
              <w:t xml:space="preserve"> of mine stability audits (number).</w:t>
            </w:r>
          </w:p>
          <w:p w:rsidR="00A53D7D" w:rsidRDefault="00A53D7D" w:rsidP="005140B4">
            <w:pPr>
              <w:pStyle w:val="OGNotes"/>
            </w:pPr>
            <w:r>
              <w:t>These measures have been consolidated as they all relate to audit activities and there is no requirement for them to continue as stand</w:t>
            </w:r>
            <w:r>
              <w:noBreakHyphen/>
              <w:t xml:space="preserve">alone measures. </w:t>
            </w:r>
            <w:r w:rsidRPr="00010865">
              <w:t xml:space="preserve">It is not possible to provide meaningful </w:t>
            </w:r>
            <w:r>
              <w:t>2013</w:t>
            </w:r>
            <w:r>
              <w:noBreakHyphen/>
              <w:t>14 data</w:t>
            </w:r>
            <w:r w:rsidRPr="00010865">
              <w:t xml:space="preserve"> that represents the consolidated measures</w:t>
            </w:r>
            <w:r>
              <w:t>. The proposed 2014</w:t>
            </w:r>
            <w:r>
              <w:noBreakHyphen/>
              <w:t xml:space="preserve">15 target focuses on the percentage of audits completed. This allows for the variability and complexity of audits to be considered. </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rPr>
                <w:sz w:val="16"/>
                <w:szCs w:val="16"/>
              </w:rPr>
            </w:pPr>
            <w:r>
              <w:t>Cost</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Total output cost</w:t>
            </w:r>
          </w:p>
        </w:tc>
        <w:tc>
          <w:tcPr>
            <w:tcW w:w="907" w:type="dxa"/>
            <w:shd w:val="clear" w:color="auto" w:fill="FFFFFF"/>
            <w:hideMark/>
          </w:tcPr>
          <w:p w:rsidR="00A53D7D" w:rsidRDefault="00A53D7D" w:rsidP="005140B4">
            <w:pPr>
              <w:pStyle w:val="OGUoM"/>
              <w:rPr>
                <w:sz w:val="18"/>
              </w:rPr>
            </w:pPr>
            <w:r>
              <w:rPr>
                <w:szCs w:val="20"/>
              </w:rPr>
              <w:t>number (million)</w:t>
            </w:r>
          </w:p>
        </w:tc>
        <w:tc>
          <w:tcPr>
            <w:tcW w:w="907" w:type="dxa"/>
            <w:shd w:val="clear" w:color="auto" w:fill="D9D9D9" w:themeFill="background1" w:themeFillShade="D9"/>
            <w:hideMark/>
          </w:tcPr>
          <w:p w:rsidR="00A53D7D" w:rsidRDefault="00A53D7D" w:rsidP="005140B4">
            <w:pPr>
              <w:pStyle w:val="OGTableofFigures"/>
              <w:rPr>
                <w:sz w:val="18"/>
              </w:rPr>
            </w:pPr>
            <w:r>
              <w:rPr>
                <w:szCs w:val="20"/>
              </w:rPr>
              <w:t>154.8</w:t>
            </w:r>
          </w:p>
        </w:tc>
        <w:tc>
          <w:tcPr>
            <w:tcW w:w="993" w:type="dxa"/>
            <w:shd w:val="clear" w:color="auto" w:fill="FFFFFF" w:themeFill="background1"/>
            <w:hideMark/>
          </w:tcPr>
          <w:p w:rsidR="00A53D7D" w:rsidRDefault="00A53D7D" w:rsidP="005140B4">
            <w:pPr>
              <w:pStyle w:val="OGTableofFigures"/>
              <w:rPr>
                <w:sz w:val="18"/>
              </w:rPr>
            </w:pPr>
            <w:r>
              <w:rPr>
                <w:szCs w:val="20"/>
              </w:rPr>
              <w:t>111.2</w:t>
            </w:r>
          </w:p>
        </w:tc>
        <w:tc>
          <w:tcPr>
            <w:tcW w:w="907" w:type="dxa"/>
            <w:shd w:val="clear" w:color="auto" w:fill="FFFFFF"/>
            <w:hideMark/>
          </w:tcPr>
          <w:p w:rsidR="00A53D7D" w:rsidRDefault="00A53D7D" w:rsidP="005140B4">
            <w:pPr>
              <w:pStyle w:val="OGTableofFigures"/>
              <w:rPr>
                <w:sz w:val="18"/>
              </w:rPr>
            </w:pPr>
            <w:r>
              <w:rPr>
                <w:szCs w:val="20"/>
              </w:rPr>
              <w:t>188.4</w:t>
            </w:r>
          </w:p>
        </w:tc>
        <w:tc>
          <w:tcPr>
            <w:tcW w:w="907" w:type="dxa"/>
            <w:shd w:val="clear" w:color="auto" w:fill="FFFFFF"/>
            <w:hideMark/>
          </w:tcPr>
          <w:p w:rsidR="00A53D7D" w:rsidRDefault="00A53D7D" w:rsidP="005140B4">
            <w:pPr>
              <w:pStyle w:val="OGTableofFigures"/>
              <w:rPr>
                <w:sz w:val="18"/>
              </w:rPr>
            </w:pPr>
            <w:r>
              <w:rPr>
                <w:szCs w:val="20"/>
              </w:rPr>
              <w:t>86.0</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rsidRPr="003E2502">
              <w:t>Variation between 2013</w:t>
            </w:r>
            <w:r>
              <w:noBreakHyphen/>
            </w:r>
            <w:r w:rsidRPr="003E2502">
              <w:t>14 target and 2014</w:t>
            </w:r>
            <w:r>
              <w:noBreakHyphen/>
            </w:r>
            <w:r w:rsidRPr="003E2502">
              <w:t xml:space="preserve">15 target reflects the timing in annual funding for </w:t>
            </w:r>
            <w:proofErr w:type="spellStart"/>
            <w:r w:rsidRPr="003E2502">
              <w:t>CarbonNet</w:t>
            </w:r>
            <w:proofErr w:type="spellEnd"/>
            <w:r w:rsidRPr="003E2502">
              <w:t xml:space="preserve"> and Energy Technology Innovation Strategy (ETIS) partly offset by </w:t>
            </w:r>
            <w:proofErr w:type="spellStart"/>
            <w:r w:rsidRPr="003E2502">
              <w:t>Powerline</w:t>
            </w:r>
            <w:proofErr w:type="spellEnd"/>
            <w:r w:rsidRPr="003E2502">
              <w:t xml:space="preserve"> bushfire safety program, funding for national energy market reform, My power planner – extension and Target: accelerating investment in minerals exploration and development.</w:t>
            </w:r>
          </w:p>
          <w:p w:rsidR="00A53D7D" w:rsidRDefault="00A53D7D" w:rsidP="005140B4">
            <w:pPr>
              <w:pStyle w:val="OGNotes"/>
            </w:pPr>
            <w:r>
              <w:t>Variation between 2013</w:t>
            </w:r>
            <w:r>
              <w:noBreakHyphen/>
              <w:t>14 target and 2013</w:t>
            </w:r>
            <w:r>
              <w:noBreakHyphen/>
              <w:t xml:space="preserve">14 expected outcome reflects the timing in annual funding for the </w:t>
            </w:r>
            <w:proofErr w:type="spellStart"/>
            <w:r>
              <w:t>CarbonNet</w:t>
            </w:r>
            <w:proofErr w:type="spellEnd"/>
            <w:r>
              <w:t xml:space="preserve"> and Energy Technology Innovation Strategy (ETIS) programs.</w:t>
            </w:r>
          </w:p>
        </w:tc>
      </w:tr>
      <w:tr w:rsidR="00A53D7D" w:rsidTr="004E7A50">
        <w:trPr>
          <w:cantSplit/>
        </w:trPr>
        <w:tc>
          <w:tcPr>
            <w:tcW w:w="7776" w:type="dxa"/>
            <w:gridSpan w:val="6"/>
            <w:tcBorders>
              <w:top w:val="single" w:sz="6" w:space="0" w:color="auto"/>
            </w:tcBorders>
            <w:shd w:val="clear" w:color="auto" w:fill="FFFFFF"/>
          </w:tcPr>
          <w:p w:rsidR="00A53D7D" w:rsidRDefault="00A53D7D" w:rsidP="005140B4">
            <w:pPr>
              <w:pStyle w:val="OGHeading2"/>
              <w:rPr>
                <w:szCs w:val="20"/>
              </w:rPr>
            </w:pPr>
            <w:r>
              <w:t>Innovation and Technology</w:t>
            </w:r>
          </w:p>
        </w:tc>
      </w:tr>
      <w:tr w:rsidR="00A53D7D" w:rsidTr="005140B4">
        <w:trPr>
          <w:cantSplit/>
        </w:trPr>
        <w:tc>
          <w:tcPr>
            <w:tcW w:w="7776" w:type="dxa"/>
            <w:gridSpan w:val="6"/>
            <w:tcBorders>
              <w:bottom w:val="single" w:sz="6" w:space="0" w:color="auto"/>
            </w:tcBorders>
            <w:shd w:val="clear" w:color="auto" w:fill="FFFFFF"/>
          </w:tcPr>
          <w:p w:rsidR="00A53D7D" w:rsidRPr="00015C4E" w:rsidRDefault="00A53D7D" w:rsidP="005140B4">
            <w:pPr>
              <w:pStyle w:val="OGText"/>
              <w:rPr>
                <w:sz w:val="18"/>
              </w:rPr>
            </w:pPr>
            <w:r>
              <w:t>Supports innovation by providing access to information and building capacity for the development and effective use of new practices and technologies to support increased productivity and competitiveness in Victoria.</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Quantity</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Additional employment from production supported by Film Victoria</w:t>
            </w:r>
          </w:p>
        </w:tc>
        <w:tc>
          <w:tcPr>
            <w:tcW w:w="907" w:type="dxa"/>
            <w:shd w:val="clear" w:color="auto" w:fill="FFFFFF"/>
            <w:hideMark/>
          </w:tcPr>
          <w:p w:rsidR="00A53D7D" w:rsidRDefault="00A53D7D" w:rsidP="005140B4">
            <w:pPr>
              <w:pStyle w:val="OGUoM"/>
              <w:rPr>
                <w:sz w:val="18"/>
              </w:rPr>
            </w:pPr>
            <w:r>
              <w:rPr>
                <w:szCs w:val="20"/>
              </w:rPr>
              <w:t>number</w:t>
            </w:r>
          </w:p>
        </w:tc>
        <w:tc>
          <w:tcPr>
            <w:tcW w:w="907" w:type="dxa"/>
            <w:shd w:val="clear" w:color="auto" w:fill="D9D9D9"/>
            <w:hideMark/>
          </w:tcPr>
          <w:p w:rsidR="00A53D7D" w:rsidRDefault="00A53D7D" w:rsidP="005140B4">
            <w:pPr>
              <w:pStyle w:val="OGTableofFigures"/>
              <w:rPr>
                <w:sz w:val="18"/>
              </w:rPr>
            </w:pPr>
            <w:r>
              <w:rPr>
                <w:szCs w:val="20"/>
              </w:rPr>
              <w:t>5 000</w:t>
            </w:r>
          </w:p>
        </w:tc>
        <w:tc>
          <w:tcPr>
            <w:tcW w:w="993" w:type="dxa"/>
            <w:shd w:val="clear" w:color="auto" w:fill="FFFFFF"/>
            <w:hideMark/>
          </w:tcPr>
          <w:p w:rsidR="00A53D7D" w:rsidRDefault="00A53D7D" w:rsidP="005140B4">
            <w:pPr>
              <w:pStyle w:val="OGTableofFigures"/>
              <w:rPr>
                <w:sz w:val="18"/>
              </w:rPr>
            </w:pPr>
            <w:r>
              <w:rPr>
                <w:szCs w:val="20"/>
              </w:rPr>
              <w:t>7 000</w:t>
            </w:r>
          </w:p>
        </w:tc>
        <w:tc>
          <w:tcPr>
            <w:tcW w:w="907" w:type="dxa"/>
            <w:shd w:val="clear" w:color="auto" w:fill="FFFFFF"/>
            <w:hideMark/>
          </w:tcPr>
          <w:p w:rsidR="00A53D7D" w:rsidRDefault="00A53D7D" w:rsidP="005140B4">
            <w:pPr>
              <w:pStyle w:val="OGTableofFigures"/>
              <w:rPr>
                <w:sz w:val="18"/>
              </w:rPr>
            </w:pPr>
            <w:r>
              <w:rPr>
                <w:szCs w:val="20"/>
              </w:rPr>
              <w:t>2 100</w:t>
            </w:r>
          </w:p>
        </w:tc>
        <w:tc>
          <w:tcPr>
            <w:tcW w:w="907" w:type="dxa"/>
            <w:shd w:val="clear" w:color="auto" w:fill="FFFFFF"/>
            <w:hideMark/>
          </w:tcPr>
          <w:p w:rsidR="00A53D7D" w:rsidRDefault="00A53D7D" w:rsidP="005140B4">
            <w:pPr>
              <w:pStyle w:val="OGTableofFigures"/>
              <w:rPr>
                <w:sz w:val="18"/>
              </w:rPr>
            </w:pPr>
            <w:r>
              <w:rPr>
                <w:szCs w:val="20"/>
              </w:rPr>
              <w:t>5 810</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rPr>
                <w:sz w:val="18"/>
              </w:rPr>
            </w:pPr>
            <w:r>
              <w:t>The 2013</w:t>
            </w:r>
            <w:r>
              <w:noBreakHyphen/>
              <w:t>14 expected outcome is higher than the 2013</w:t>
            </w:r>
            <w:r>
              <w:noBreakHyphen/>
              <w:t xml:space="preserve">14 target due to Victorian producers securing finance for a greater number of projects than anticipated, enabling Film Victoria to support increased production and employment. </w:t>
            </w:r>
          </w:p>
          <w:p w:rsidR="00A53D7D" w:rsidRPr="00015C4E" w:rsidRDefault="00A53D7D" w:rsidP="005140B4">
            <w:pPr>
              <w:pStyle w:val="OGNotes"/>
              <w:rPr>
                <w:sz w:val="18"/>
              </w:rPr>
            </w:pPr>
            <w:r>
              <w:t>The higher 2014</w:t>
            </w:r>
            <w:r>
              <w:noBreakHyphen/>
              <w:t>15 target reflects the effect of an increase in the average (proportionally over a number of years) number of additional jobs to be created through productions supported by Film Victoria.</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keepNext/>
              <w:rPr>
                <w:sz w:val="16"/>
                <w:szCs w:val="16"/>
              </w:rPr>
            </w:pPr>
            <w:r>
              <w:rPr>
                <w:szCs w:val="20"/>
              </w:rPr>
              <w:t>Average number of monthly visits to www.vic.gov.au</w:t>
            </w:r>
          </w:p>
        </w:tc>
        <w:tc>
          <w:tcPr>
            <w:tcW w:w="907" w:type="dxa"/>
            <w:tcBorders>
              <w:top w:val="single" w:sz="6" w:space="0" w:color="auto"/>
            </w:tcBorders>
            <w:shd w:val="clear" w:color="auto" w:fill="FFFFFF"/>
            <w:hideMark/>
          </w:tcPr>
          <w:p w:rsidR="00A53D7D" w:rsidRDefault="00A53D7D" w:rsidP="005140B4">
            <w:pPr>
              <w:pStyle w:val="OGUoM"/>
              <w:keepNext/>
              <w:rPr>
                <w:sz w:val="16"/>
                <w:szCs w:val="16"/>
              </w:rPr>
            </w:pPr>
            <w:r>
              <w:rPr>
                <w:szCs w:val="20"/>
              </w:rPr>
              <w:t>number</w:t>
            </w:r>
          </w:p>
        </w:tc>
        <w:tc>
          <w:tcPr>
            <w:tcW w:w="907" w:type="dxa"/>
            <w:tcBorders>
              <w:top w:val="single" w:sz="6" w:space="0" w:color="auto"/>
            </w:tcBorders>
            <w:shd w:val="clear" w:color="auto" w:fill="D9D9D9"/>
            <w:hideMark/>
          </w:tcPr>
          <w:p w:rsidR="00A53D7D" w:rsidRDefault="00A53D7D" w:rsidP="005140B4">
            <w:pPr>
              <w:pStyle w:val="OGTableofFigures"/>
              <w:keepNext/>
              <w:rPr>
                <w:sz w:val="16"/>
                <w:szCs w:val="16"/>
              </w:rPr>
            </w:pPr>
            <w:r>
              <w:rPr>
                <w:szCs w:val="20"/>
              </w:rPr>
              <w:t>250 000</w:t>
            </w:r>
          </w:p>
        </w:tc>
        <w:tc>
          <w:tcPr>
            <w:tcW w:w="993"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248 000</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300 000</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377 906</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lower than the 2013</w:t>
            </w:r>
            <w:r>
              <w:noBreakHyphen/>
              <w:t>14 target due to removal of duplicate content (daylight savings, public holidays and school term dates) which is available on other websites.</w:t>
            </w:r>
          </w:p>
          <w:p w:rsidR="00A53D7D" w:rsidRDefault="00A53D7D" w:rsidP="005140B4">
            <w:pPr>
              <w:pStyle w:val="OGNotes"/>
            </w:pPr>
            <w:r>
              <w:t>The 2014</w:t>
            </w:r>
            <w:r>
              <w:noBreakHyphen/>
              <w:t>15 target has been reduced to reflect the expected reduction in visitation to the site as a result of the removal of the duplicate content.</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Businesses provided with research and development assistance</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number</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180</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304</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180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305</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higher than the 2013</w:t>
            </w:r>
            <w:r>
              <w:noBreakHyphen/>
              <w:t>14 target due to greater than anticipated uptake of assistance opportunities.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keepNext/>
              <w:rPr>
                <w:sz w:val="16"/>
                <w:szCs w:val="16"/>
              </w:rPr>
            </w:pPr>
            <w:r>
              <w:rPr>
                <w:szCs w:val="20"/>
              </w:rPr>
              <w:t>Companies linked to business networks</w:t>
            </w:r>
          </w:p>
        </w:tc>
        <w:tc>
          <w:tcPr>
            <w:tcW w:w="907" w:type="dxa"/>
            <w:tcBorders>
              <w:top w:val="single" w:sz="6" w:space="0" w:color="auto"/>
            </w:tcBorders>
            <w:shd w:val="clear" w:color="auto" w:fill="FFFFFF"/>
            <w:hideMark/>
          </w:tcPr>
          <w:p w:rsidR="00A53D7D" w:rsidRDefault="00A53D7D" w:rsidP="005140B4">
            <w:pPr>
              <w:pStyle w:val="OGUoM"/>
              <w:keepNext/>
              <w:rPr>
                <w:sz w:val="16"/>
                <w:szCs w:val="16"/>
              </w:rPr>
            </w:pPr>
            <w:r>
              <w:rPr>
                <w:szCs w:val="20"/>
              </w:rPr>
              <w:t>number</w:t>
            </w:r>
          </w:p>
        </w:tc>
        <w:tc>
          <w:tcPr>
            <w:tcW w:w="907" w:type="dxa"/>
            <w:tcBorders>
              <w:top w:val="single" w:sz="6" w:space="0" w:color="auto"/>
            </w:tcBorders>
            <w:shd w:val="clear" w:color="auto" w:fill="D9D9D9"/>
            <w:hideMark/>
          </w:tcPr>
          <w:p w:rsidR="00A53D7D" w:rsidRDefault="00A53D7D" w:rsidP="005140B4">
            <w:pPr>
              <w:pStyle w:val="OGTableofFigures"/>
              <w:keepNext/>
              <w:rPr>
                <w:sz w:val="16"/>
                <w:szCs w:val="16"/>
              </w:rPr>
            </w:pPr>
            <w:r>
              <w:rPr>
                <w:szCs w:val="20"/>
              </w:rPr>
              <w:t>300</w:t>
            </w:r>
          </w:p>
        </w:tc>
        <w:tc>
          <w:tcPr>
            <w:tcW w:w="993"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495</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300</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974</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higher than the 2013</w:t>
            </w:r>
            <w:r>
              <w:noBreakHyphen/>
              <w:t>14 target primarily due to the Manufacturing Productivity Networks Program exceeding its target.</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Establishment or renewal of whole of Government ICT contracts</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number</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7</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9</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7</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nm</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higher than the 2013</w:t>
            </w:r>
            <w:r>
              <w:noBreakHyphen/>
              <w:t>14 target due to the renewal of software licensing and reseller arrangements.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Operational infrastructure support grants under management</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number</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11</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12</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12</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13</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lower 2014</w:t>
            </w:r>
            <w:r>
              <w:noBreakHyphen/>
              <w:t>15 target reflects the effect of two grants being consolidated due to the merger of two medical research institutes.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Value of film, television and digital media production supported by Film Victoria production</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 million</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120</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160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75</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141.62</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higher than the 2013</w:t>
            </w:r>
            <w:r>
              <w:noBreakHyphen/>
              <w:t xml:space="preserve">14 target as Victorian </w:t>
            </w:r>
            <w:proofErr w:type="gramStart"/>
            <w:r>
              <w:t>producers</w:t>
            </w:r>
            <w:proofErr w:type="gramEnd"/>
            <w:r>
              <w:t xml:space="preserve"> secured finance for a greater number of projects than anticipated, enabling Film Victoria to support increased production particularly for projects with production expenditure projected to be greater than $5 million each. </w:t>
            </w:r>
          </w:p>
          <w:p w:rsidR="00A53D7D" w:rsidRDefault="00A53D7D" w:rsidP="005140B4">
            <w:pPr>
              <w:pStyle w:val="OGNotes"/>
            </w:pPr>
            <w:r>
              <w:t>The 2014</w:t>
            </w:r>
            <w:r>
              <w:noBreakHyphen/>
              <w:t>15 target has been revised to reflect the effect of an increase in the average value (proportionally over a number of years) of production supported by Film Victoria.</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rPr>
                <w:sz w:val="16"/>
                <w:szCs w:val="16"/>
              </w:rPr>
            </w:pPr>
            <w:r>
              <w:t>Quality</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tcBorders>
              <w:bottom w:val="single" w:sz="6" w:space="0" w:color="auto"/>
            </w:tcBorders>
            <w:shd w:val="clear" w:color="auto" w:fill="FFFFFF"/>
            <w:hideMark/>
          </w:tcPr>
          <w:p w:rsidR="00A53D7D" w:rsidRDefault="00A53D7D" w:rsidP="005140B4">
            <w:pPr>
              <w:pStyle w:val="OGTabText"/>
              <w:rPr>
                <w:sz w:val="18"/>
              </w:rPr>
            </w:pPr>
            <w:r>
              <w:rPr>
                <w:szCs w:val="20"/>
              </w:rPr>
              <w:t>Customer satisfaction with information services from Information Victoria</w:t>
            </w:r>
          </w:p>
        </w:tc>
        <w:tc>
          <w:tcPr>
            <w:tcW w:w="907" w:type="dxa"/>
            <w:tcBorders>
              <w:bottom w:val="single" w:sz="6" w:space="0" w:color="auto"/>
            </w:tcBorders>
            <w:shd w:val="clear" w:color="auto" w:fill="FFFFFF"/>
            <w:hideMark/>
          </w:tcPr>
          <w:p w:rsidR="00A53D7D" w:rsidRDefault="00A53D7D" w:rsidP="005140B4">
            <w:pPr>
              <w:pStyle w:val="OGUoM"/>
              <w:rPr>
                <w:sz w:val="18"/>
              </w:rPr>
            </w:pPr>
            <w:r>
              <w:rPr>
                <w:szCs w:val="20"/>
              </w:rPr>
              <w:t>per cent</w:t>
            </w:r>
          </w:p>
        </w:tc>
        <w:tc>
          <w:tcPr>
            <w:tcW w:w="907" w:type="dxa"/>
            <w:tcBorders>
              <w:bottom w:val="single" w:sz="6" w:space="0" w:color="auto"/>
            </w:tcBorders>
            <w:shd w:val="clear" w:color="auto" w:fill="D9D9D9"/>
            <w:hideMark/>
          </w:tcPr>
          <w:p w:rsidR="00A53D7D" w:rsidRDefault="00A53D7D" w:rsidP="005140B4">
            <w:pPr>
              <w:pStyle w:val="OGTableofFigures"/>
              <w:rPr>
                <w:sz w:val="18"/>
              </w:rPr>
            </w:pPr>
            <w:r>
              <w:rPr>
                <w:szCs w:val="20"/>
              </w:rPr>
              <w:t>90</w:t>
            </w:r>
          </w:p>
        </w:tc>
        <w:tc>
          <w:tcPr>
            <w:tcW w:w="993" w:type="dxa"/>
            <w:tcBorders>
              <w:bottom w:val="single" w:sz="6" w:space="0" w:color="auto"/>
            </w:tcBorders>
            <w:shd w:val="clear" w:color="auto" w:fill="FFFFFF"/>
            <w:hideMark/>
          </w:tcPr>
          <w:p w:rsidR="00A53D7D" w:rsidRDefault="00A53D7D" w:rsidP="005140B4">
            <w:pPr>
              <w:pStyle w:val="OGTableofFigures"/>
              <w:rPr>
                <w:sz w:val="18"/>
              </w:rPr>
            </w:pPr>
            <w:r>
              <w:rPr>
                <w:szCs w:val="20"/>
              </w:rPr>
              <w:t>90</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rPr>
                <w:szCs w:val="20"/>
              </w:rPr>
              <w:t>90</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rPr>
                <w:szCs w:val="20"/>
              </w:rPr>
              <w:t>90</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Cost</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Total output cost</w:t>
            </w:r>
          </w:p>
        </w:tc>
        <w:tc>
          <w:tcPr>
            <w:tcW w:w="907" w:type="dxa"/>
            <w:shd w:val="clear" w:color="auto" w:fill="FFFFFF"/>
            <w:hideMark/>
          </w:tcPr>
          <w:p w:rsidR="00A53D7D" w:rsidRDefault="00A53D7D" w:rsidP="005140B4">
            <w:pPr>
              <w:pStyle w:val="OGUoM"/>
              <w:rPr>
                <w:sz w:val="18"/>
              </w:rPr>
            </w:pPr>
            <w:r>
              <w:rPr>
                <w:szCs w:val="20"/>
              </w:rPr>
              <w:t>number (million)</w:t>
            </w:r>
          </w:p>
        </w:tc>
        <w:tc>
          <w:tcPr>
            <w:tcW w:w="907" w:type="dxa"/>
            <w:shd w:val="clear" w:color="auto" w:fill="D9D9D9" w:themeFill="background1" w:themeFillShade="D9"/>
            <w:hideMark/>
          </w:tcPr>
          <w:p w:rsidR="00A53D7D" w:rsidRDefault="00A53D7D" w:rsidP="005140B4">
            <w:pPr>
              <w:pStyle w:val="OGTableofFigures"/>
              <w:rPr>
                <w:sz w:val="18"/>
              </w:rPr>
            </w:pPr>
            <w:r>
              <w:rPr>
                <w:szCs w:val="20"/>
              </w:rPr>
              <w:t>175.3</w:t>
            </w:r>
          </w:p>
        </w:tc>
        <w:tc>
          <w:tcPr>
            <w:tcW w:w="993" w:type="dxa"/>
            <w:shd w:val="clear" w:color="auto" w:fill="FFFFFF" w:themeFill="background1"/>
            <w:hideMark/>
          </w:tcPr>
          <w:p w:rsidR="00A53D7D" w:rsidRDefault="00A53D7D" w:rsidP="005140B4">
            <w:pPr>
              <w:pStyle w:val="OGTableofFigures"/>
              <w:rPr>
                <w:sz w:val="18"/>
              </w:rPr>
            </w:pPr>
            <w:r>
              <w:rPr>
                <w:szCs w:val="20"/>
              </w:rPr>
              <w:t>174.9</w:t>
            </w:r>
          </w:p>
        </w:tc>
        <w:tc>
          <w:tcPr>
            <w:tcW w:w="907" w:type="dxa"/>
            <w:shd w:val="clear" w:color="auto" w:fill="FFFFFF"/>
            <w:hideMark/>
          </w:tcPr>
          <w:p w:rsidR="00A53D7D" w:rsidRDefault="00A53D7D" w:rsidP="005140B4">
            <w:pPr>
              <w:pStyle w:val="OGTableofFigures"/>
              <w:rPr>
                <w:sz w:val="18"/>
              </w:rPr>
            </w:pPr>
            <w:r>
              <w:rPr>
                <w:szCs w:val="20"/>
              </w:rPr>
              <w:t>181.5</w:t>
            </w:r>
          </w:p>
        </w:tc>
        <w:tc>
          <w:tcPr>
            <w:tcW w:w="907" w:type="dxa"/>
            <w:shd w:val="clear" w:color="auto" w:fill="FFFFFF"/>
            <w:hideMark/>
          </w:tcPr>
          <w:p w:rsidR="00A53D7D" w:rsidRDefault="00A53D7D" w:rsidP="005140B4">
            <w:pPr>
              <w:pStyle w:val="OGTableofFigures"/>
              <w:rPr>
                <w:sz w:val="18"/>
              </w:rPr>
            </w:pPr>
            <w:r w:rsidRPr="00087F46">
              <w:rPr>
                <w:szCs w:val="20"/>
              </w:rPr>
              <w:t>144</w:t>
            </w:r>
            <w:r>
              <w:rPr>
                <w:sz w:val="18"/>
              </w:rPr>
              <w:t>.</w:t>
            </w:r>
            <w:r w:rsidRPr="003E2502">
              <w:rPr>
                <w:szCs w:val="20"/>
              </w:rPr>
              <w:t>1</w:t>
            </w:r>
          </w:p>
        </w:tc>
      </w:tr>
      <w:tr w:rsidR="00A53D7D" w:rsidTr="005140B4">
        <w:trPr>
          <w:cantSplit/>
        </w:trPr>
        <w:tc>
          <w:tcPr>
            <w:tcW w:w="7776" w:type="dxa"/>
            <w:gridSpan w:val="6"/>
            <w:tcBorders>
              <w:bottom w:val="single" w:sz="6" w:space="0" w:color="auto"/>
            </w:tcBorders>
            <w:shd w:val="clear" w:color="auto" w:fill="FFFFFF"/>
          </w:tcPr>
          <w:p w:rsidR="00A53D7D" w:rsidRPr="00087F46" w:rsidRDefault="00A53D7D" w:rsidP="005140B4">
            <w:pPr>
              <w:pStyle w:val="OGNotes"/>
            </w:pPr>
            <w:r w:rsidRPr="003E2502">
              <w:t>Variation between 2013</w:t>
            </w:r>
            <w:r>
              <w:noBreakHyphen/>
            </w:r>
            <w:r w:rsidRPr="003E2502">
              <w:t>14 target and 2014</w:t>
            </w:r>
            <w:r>
              <w:noBreakHyphen/>
            </w:r>
            <w:r w:rsidRPr="003E2502">
              <w:t>15 target reflects the completion of programs under the Victorian Innovation Statement. The decrease is partly offset by new funding received for the Regional Connectivity program and CenITex transformation.</w:t>
            </w:r>
          </w:p>
        </w:tc>
      </w:tr>
      <w:tr w:rsidR="00A53D7D" w:rsidTr="005140B4">
        <w:trPr>
          <w:cantSplit/>
        </w:trPr>
        <w:tc>
          <w:tcPr>
            <w:tcW w:w="7776" w:type="dxa"/>
            <w:gridSpan w:val="6"/>
            <w:tcBorders>
              <w:top w:val="single" w:sz="6" w:space="0" w:color="auto"/>
            </w:tcBorders>
            <w:shd w:val="clear" w:color="auto" w:fill="FFFFFF"/>
          </w:tcPr>
          <w:p w:rsidR="00A53D7D" w:rsidRPr="00756175" w:rsidRDefault="00A53D7D" w:rsidP="005140B4">
            <w:pPr>
              <w:pStyle w:val="OGHeading2"/>
              <w:rPr>
                <w:sz w:val="18"/>
              </w:rPr>
            </w:pPr>
            <w:r>
              <w:rPr>
                <w:bCs/>
                <w:szCs w:val="28"/>
              </w:rPr>
              <w:t>Investment Attraction, Facilitation and Major Projects</w:t>
            </w:r>
          </w:p>
        </w:tc>
      </w:tr>
      <w:tr w:rsidR="00A53D7D" w:rsidTr="005140B4">
        <w:trPr>
          <w:cantSplit/>
        </w:trPr>
        <w:tc>
          <w:tcPr>
            <w:tcW w:w="7776" w:type="dxa"/>
            <w:gridSpan w:val="6"/>
            <w:tcBorders>
              <w:bottom w:val="single" w:sz="6" w:space="0" w:color="auto"/>
            </w:tcBorders>
            <w:shd w:val="clear" w:color="auto" w:fill="FFFFFF"/>
          </w:tcPr>
          <w:p w:rsidR="00A53D7D" w:rsidRPr="00756175" w:rsidRDefault="00A53D7D" w:rsidP="005140B4">
            <w:pPr>
              <w:pStyle w:val="OGText"/>
              <w:rPr>
                <w:sz w:val="18"/>
              </w:rPr>
            </w:pPr>
            <w:r>
              <w:t>Provides investment attraction and facilitation assistance to attract new international investment and encourage additional investment by companies already operating in Victoria. In addition it also supports an increased share of national business investment in Victoria through the management and delivery of nominated development projects.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Quantity</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Jobs derived from investment facilitated in regional Victoria</w:t>
            </w:r>
          </w:p>
        </w:tc>
        <w:tc>
          <w:tcPr>
            <w:tcW w:w="907" w:type="dxa"/>
            <w:shd w:val="clear" w:color="auto" w:fill="FFFFFF"/>
            <w:hideMark/>
          </w:tcPr>
          <w:p w:rsidR="00A53D7D" w:rsidRDefault="00A53D7D" w:rsidP="005140B4">
            <w:pPr>
              <w:pStyle w:val="OGUoM"/>
              <w:rPr>
                <w:sz w:val="18"/>
              </w:rPr>
            </w:pPr>
            <w:r>
              <w:rPr>
                <w:szCs w:val="20"/>
              </w:rPr>
              <w:t>number</w:t>
            </w:r>
          </w:p>
        </w:tc>
        <w:tc>
          <w:tcPr>
            <w:tcW w:w="907" w:type="dxa"/>
            <w:shd w:val="clear" w:color="auto" w:fill="D9D9D9"/>
            <w:hideMark/>
          </w:tcPr>
          <w:p w:rsidR="00A53D7D" w:rsidRDefault="00A53D7D" w:rsidP="005140B4">
            <w:pPr>
              <w:pStyle w:val="OGTableofFigures"/>
              <w:rPr>
                <w:sz w:val="18"/>
              </w:rPr>
            </w:pPr>
            <w:r>
              <w:rPr>
                <w:szCs w:val="20"/>
              </w:rPr>
              <w:t>1 000</w:t>
            </w:r>
          </w:p>
        </w:tc>
        <w:tc>
          <w:tcPr>
            <w:tcW w:w="993" w:type="dxa"/>
            <w:shd w:val="clear" w:color="auto" w:fill="FFFFFF"/>
            <w:hideMark/>
          </w:tcPr>
          <w:p w:rsidR="00A53D7D" w:rsidRDefault="00A53D7D" w:rsidP="005140B4">
            <w:pPr>
              <w:pStyle w:val="OGTableofFigures"/>
              <w:rPr>
                <w:sz w:val="18"/>
              </w:rPr>
            </w:pPr>
            <w:r>
              <w:rPr>
                <w:szCs w:val="20"/>
              </w:rPr>
              <w:t>1 800</w:t>
            </w:r>
          </w:p>
        </w:tc>
        <w:tc>
          <w:tcPr>
            <w:tcW w:w="907" w:type="dxa"/>
            <w:shd w:val="clear" w:color="auto" w:fill="FFFFFF"/>
            <w:hideMark/>
          </w:tcPr>
          <w:p w:rsidR="00A53D7D" w:rsidRDefault="00A53D7D" w:rsidP="005140B4">
            <w:pPr>
              <w:pStyle w:val="OGTableofFigures"/>
              <w:rPr>
                <w:sz w:val="18"/>
              </w:rPr>
            </w:pPr>
            <w:r>
              <w:rPr>
                <w:szCs w:val="20"/>
              </w:rPr>
              <w:t>800</w:t>
            </w:r>
          </w:p>
        </w:tc>
        <w:tc>
          <w:tcPr>
            <w:tcW w:w="907" w:type="dxa"/>
            <w:shd w:val="clear" w:color="auto" w:fill="FFFFFF"/>
            <w:hideMark/>
          </w:tcPr>
          <w:p w:rsidR="00A53D7D" w:rsidRDefault="00A53D7D" w:rsidP="005140B4">
            <w:pPr>
              <w:pStyle w:val="OGTableofFigures"/>
              <w:rPr>
                <w:sz w:val="18"/>
              </w:rPr>
            </w:pPr>
            <w:r>
              <w:rPr>
                <w:szCs w:val="20"/>
              </w:rPr>
              <w:t>1 937</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higher than the 2013</w:t>
            </w:r>
            <w:r>
              <w:noBreakHyphen/>
              <w:t>14 target due to additional programs facilitated through the Victorian Business Flood Recovery Fund and the Latrobe Valley Infrastructure and Industry Fund.</w:t>
            </w:r>
          </w:p>
          <w:p w:rsidR="00A53D7D" w:rsidRPr="00015C4E" w:rsidRDefault="00A53D7D" w:rsidP="005140B4">
            <w:pPr>
              <w:pStyle w:val="OGNotes"/>
              <w:rPr>
                <w:sz w:val="18"/>
              </w:rPr>
            </w:pPr>
            <w:r>
              <w:t>The 2014</w:t>
            </w:r>
            <w:r>
              <w:noBreakHyphen/>
              <w:t>15 target has been increased to reflect the prevailing economic conditions and resources.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Jobs derived from investments facilitated</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number</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4 400</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4 400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4 250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4 737</w:t>
            </w:r>
          </w:p>
        </w:tc>
      </w:tr>
      <w:tr w:rsidR="00A53D7D" w:rsidTr="00617E25">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New investment facilitated in regional Victoria</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 million</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660</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800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660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638</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higher than the 2013</w:t>
            </w:r>
            <w:r>
              <w:noBreakHyphen/>
              <w:t>14 target due to higher than anticipated investment in regional Victoria including two high value capital intensive projects relating to the health and transport sectors. </w:t>
            </w:r>
          </w:p>
        </w:tc>
      </w:tr>
      <w:tr w:rsidR="00A53D7D" w:rsidTr="005140B4">
        <w:trPr>
          <w:cantSplit/>
        </w:trPr>
        <w:tc>
          <w:tcPr>
            <w:tcW w:w="3155" w:type="dxa"/>
            <w:tcBorders>
              <w:top w:val="single" w:sz="6" w:space="0" w:color="auto"/>
              <w:bottom w:val="single" w:sz="6" w:space="0" w:color="auto"/>
            </w:tcBorders>
            <w:shd w:val="clear" w:color="auto" w:fill="FFFFFF"/>
            <w:hideMark/>
          </w:tcPr>
          <w:p w:rsidR="00A53D7D" w:rsidRDefault="00A53D7D" w:rsidP="005140B4">
            <w:pPr>
              <w:pStyle w:val="OGTabText"/>
              <w:rPr>
                <w:sz w:val="16"/>
                <w:szCs w:val="16"/>
              </w:rPr>
            </w:pPr>
            <w:r>
              <w:rPr>
                <w:szCs w:val="20"/>
              </w:rPr>
              <w:t>New investments facilitated</w:t>
            </w:r>
          </w:p>
        </w:tc>
        <w:tc>
          <w:tcPr>
            <w:tcW w:w="907" w:type="dxa"/>
            <w:tcBorders>
              <w:top w:val="single" w:sz="6" w:space="0" w:color="auto"/>
              <w:bottom w:val="single" w:sz="6" w:space="0" w:color="auto"/>
            </w:tcBorders>
            <w:shd w:val="clear" w:color="auto" w:fill="FFFFFF"/>
            <w:hideMark/>
          </w:tcPr>
          <w:p w:rsidR="00A53D7D" w:rsidRDefault="00A53D7D" w:rsidP="005140B4">
            <w:pPr>
              <w:pStyle w:val="OGUoM"/>
              <w:rPr>
                <w:sz w:val="16"/>
                <w:szCs w:val="16"/>
              </w:rPr>
            </w:pPr>
            <w:r>
              <w:rPr>
                <w:szCs w:val="20"/>
              </w:rPr>
              <w:t>$ million</w:t>
            </w:r>
          </w:p>
        </w:tc>
        <w:tc>
          <w:tcPr>
            <w:tcW w:w="907" w:type="dxa"/>
            <w:tcBorders>
              <w:top w:val="single" w:sz="6" w:space="0" w:color="auto"/>
              <w:bottom w:val="single" w:sz="6" w:space="0" w:color="auto"/>
            </w:tcBorders>
            <w:shd w:val="clear" w:color="auto" w:fill="D9D9D9"/>
            <w:hideMark/>
          </w:tcPr>
          <w:p w:rsidR="00A53D7D" w:rsidRDefault="00A53D7D" w:rsidP="005140B4">
            <w:pPr>
              <w:pStyle w:val="OGTableofFigures"/>
              <w:rPr>
                <w:sz w:val="16"/>
                <w:szCs w:val="16"/>
              </w:rPr>
            </w:pPr>
            <w:r>
              <w:rPr>
                <w:szCs w:val="20"/>
              </w:rPr>
              <w:t>2 000</w:t>
            </w:r>
          </w:p>
        </w:tc>
        <w:tc>
          <w:tcPr>
            <w:tcW w:w="993"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2 000</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2 000</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2 222</w:t>
            </w:r>
          </w:p>
        </w:tc>
      </w:tr>
      <w:tr w:rsidR="00A53D7D" w:rsidTr="005140B4">
        <w:trPr>
          <w:cantSplit/>
        </w:trPr>
        <w:tc>
          <w:tcPr>
            <w:tcW w:w="3155" w:type="dxa"/>
            <w:tcBorders>
              <w:top w:val="single" w:sz="6" w:space="0" w:color="auto"/>
              <w:bottom w:val="single" w:sz="6" w:space="0" w:color="auto"/>
            </w:tcBorders>
            <w:shd w:val="clear" w:color="auto" w:fill="FFFFFF"/>
            <w:hideMark/>
          </w:tcPr>
          <w:p w:rsidR="00A53D7D" w:rsidRDefault="00A53D7D" w:rsidP="005140B4">
            <w:pPr>
              <w:pStyle w:val="OGTabText"/>
              <w:rPr>
                <w:sz w:val="16"/>
                <w:szCs w:val="16"/>
              </w:rPr>
            </w:pPr>
            <w:r>
              <w:rPr>
                <w:szCs w:val="20"/>
              </w:rPr>
              <w:t>Number of major research and evaluation projects completed</w:t>
            </w:r>
          </w:p>
        </w:tc>
        <w:tc>
          <w:tcPr>
            <w:tcW w:w="907" w:type="dxa"/>
            <w:tcBorders>
              <w:top w:val="single" w:sz="6" w:space="0" w:color="auto"/>
              <w:bottom w:val="single" w:sz="6" w:space="0" w:color="auto"/>
            </w:tcBorders>
            <w:shd w:val="clear" w:color="auto" w:fill="FFFFFF"/>
            <w:hideMark/>
          </w:tcPr>
          <w:p w:rsidR="00A53D7D" w:rsidRDefault="00A53D7D" w:rsidP="005140B4">
            <w:pPr>
              <w:pStyle w:val="OGUoM"/>
              <w:rPr>
                <w:sz w:val="16"/>
                <w:szCs w:val="16"/>
              </w:rPr>
            </w:pPr>
            <w:r>
              <w:rPr>
                <w:szCs w:val="20"/>
              </w:rPr>
              <w:t>number</w:t>
            </w:r>
          </w:p>
        </w:tc>
        <w:tc>
          <w:tcPr>
            <w:tcW w:w="907" w:type="dxa"/>
            <w:tcBorders>
              <w:top w:val="single" w:sz="6" w:space="0" w:color="auto"/>
              <w:bottom w:val="single" w:sz="6" w:space="0" w:color="auto"/>
            </w:tcBorders>
            <w:shd w:val="clear" w:color="auto" w:fill="D9D9D9"/>
            <w:hideMark/>
          </w:tcPr>
          <w:p w:rsidR="00A53D7D" w:rsidRDefault="00A53D7D" w:rsidP="005140B4">
            <w:pPr>
              <w:pStyle w:val="OGTableofFigures"/>
              <w:rPr>
                <w:sz w:val="16"/>
                <w:szCs w:val="16"/>
              </w:rPr>
            </w:pPr>
            <w:r>
              <w:rPr>
                <w:szCs w:val="20"/>
              </w:rPr>
              <w:t>6</w:t>
            </w:r>
          </w:p>
        </w:tc>
        <w:tc>
          <w:tcPr>
            <w:tcW w:w="993"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6</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6</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16</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Quality</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Management of Major Projects Victoria projects complies with contracted cost</w:t>
            </w:r>
          </w:p>
        </w:tc>
        <w:tc>
          <w:tcPr>
            <w:tcW w:w="907" w:type="dxa"/>
            <w:shd w:val="clear" w:color="auto" w:fill="FFFFFF"/>
            <w:hideMark/>
          </w:tcPr>
          <w:p w:rsidR="00A53D7D" w:rsidRDefault="00A53D7D" w:rsidP="005140B4">
            <w:pPr>
              <w:pStyle w:val="OGUoM"/>
              <w:rPr>
                <w:sz w:val="18"/>
              </w:rPr>
            </w:pPr>
            <w:r>
              <w:rPr>
                <w:szCs w:val="20"/>
              </w:rPr>
              <w:t>number</w:t>
            </w:r>
          </w:p>
        </w:tc>
        <w:tc>
          <w:tcPr>
            <w:tcW w:w="907" w:type="dxa"/>
            <w:shd w:val="clear" w:color="auto" w:fill="D9D9D9"/>
            <w:hideMark/>
          </w:tcPr>
          <w:p w:rsidR="00A53D7D" w:rsidRDefault="00A53D7D" w:rsidP="005140B4">
            <w:pPr>
              <w:pStyle w:val="OGTableofFigures"/>
              <w:rPr>
                <w:sz w:val="18"/>
              </w:rPr>
            </w:pPr>
            <w:r>
              <w:rPr>
                <w:szCs w:val="20"/>
              </w:rPr>
              <w:t>5:5</w:t>
            </w:r>
          </w:p>
        </w:tc>
        <w:tc>
          <w:tcPr>
            <w:tcW w:w="993" w:type="dxa"/>
            <w:shd w:val="clear" w:color="auto" w:fill="FFFFFF"/>
            <w:hideMark/>
          </w:tcPr>
          <w:p w:rsidR="00A53D7D" w:rsidRDefault="00A53D7D" w:rsidP="005140B4">
            <w:pPr>
              <w:pStyle w:val="OGTableofFigures"/>
              <w:rPr>
                <w:sz w:val="18"/>
              </w:rPr>
            </w:pPr>
            <w:r>
              <w:rPr>
                <w:szCs w:val="20"/>
              </w:rPr>
              <w:t>5:6</w:t>
            </w:r>
          </w:p>
        </w:tc>
        <w:tc>
          <w:tcPr>
            <w:tcW w:w="907" w:type="dxa"/>
            <w:shd w:val="clear" w:color="auto" w:fill="FFFFFF"/>
            <w:hideMark/>
          </w:tcPr>
          <w:p w:rsidR="00A53D7D" w:rsidRDefault="00A53D7D" w:rsidP="005140B4">
            <w:pPr>
              <w:pStyle w:val="OGTableofFigures"/>
              <w:rPr>
                <w:sz w:val="18"/>
              </w:rPr>
            </w:pPr>
            <w:r>
              <w:rPr>
                <w:szCs w:val="20"/>
              </w:rPr>
              <w:t>6:6</w:t>
            </w:r>
          </w:p>
        </w:tc>
        <w:tc>
          <w:tcPr>
            <w:tcW w:w="907" w:type="dxa"/>
            <w:shd w:val="clear" w:color="auto" w:fill="FFFFFF"/>
            <w:hideMark/>
          </w:tcPr>
          <w:p w:rsidR="00A53D7D" w:rsidRDefault="00A53D7D" w:rsidP="005140B4">
            <w:pPr>
              <w:pStyle w:val="OGTableofFigures"/>
              <w:rPr>
                <w:sz w:val="18"/>
              </w:rPr>
            </w:pPr>
            <w:r>
              <w:rPr>
                <w:szCs w:val="20"/>
              </w:rPr>
              <w:t>6:7</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lower than the 2013</w:t>
            </w:r>
            <w:r>
              <w:noBreakHyphen/>
              <w:t xml:space="preserve">14 target due to a change in the revenue for the Kew Residential Services project. The change in the revenue for this project is primarily a result of a reclassification of a forecast $4.85 million payment from the State's private sector development partner from the project revenue to general revenue; upward adjustment of the base land payments received by the State; and adjustment of the bonus land payments forecast to be received by the State. </w:t>
            </w:r>
          </w:p>
          <w:p w:rsidR="00A53D7D" w:rsidRPr="00015C4E" w:rsidRDefault="00A53D7D" w:rsidP="005140B4">
            <w:pPr>
              <w:pStyle w:val="OGNotes"/>
              <w:rPr>
                <w:sz w:val="18"/>
              </w:rPr>
            </w:pPr>
            <w:r>
              <w:t>The lower 2014</w:t>
            </w:r>
            <w:r>
              <w:noBreakHyphen/>
              <w:t>15 target reflects the number of projects that are to be delivered during the financial year. The Metropolitan Fire Brigade Future of Organisational Learning and Development Project and the Melbourne Market Relocation Project – Trading floor will be completed in 2013</w:t>
            </w:r>
            <w:r>
              <w:noBreakHyphen/>
              <w:t>14. The Melbourne Market Relocation Project – Warehousing is the new project for 2014</w:t>
            </w:r>
            <w:r>
              <w:noBreakHyphen/>
              <w:t>15.</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Management of Major Projects Victoria projects complies with contracted scope</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number</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5:5</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6:6</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6:6</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6:7</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lower 2014</w:t>
            </w:r>
            <w:r>
              <w:noBreakHyphen/>
              <w:t>15 target reflects that this performance measure is based on a scheduled reduction in the number of projects that are under delivery during the financial year. The Metropolitan Fire Brigade Future of Organisational Learning and Development Project and the Melbourne Market Relocation Project – Trading floor will be completed in 2013</w:t>
            </w:r>
            <w:r>
              <w:noBreakHyphen/>
              <w:t>14. The Melbourne Market Relocation Project – warehousing is the new project for 2014</w:t>
            </w:r>
            <w:r>
              <w:noBreakHyphen/>
              <w:t>15.</w:t>
            </w:r>
          </w:p>
        </w:tc>
      </w:tr>
      <w:tr w:rsidR="00A53D7D" w:rsidTr="005140B4">
        <w:trPr>
          <w:cantSplit/>
        </w:trPr>
        <w:tc>
          <w:tcPr>
            <w:tcW w:w="3155" w:type="dxa"/>
            <w:tcBorders>
              <w:top w:val="single" w:sz="6" w:space="0" w:color="auto"/>
              <w:bottom w:val="single" w:sz="6" w:space="0" w:color="auto"/>
            </w:tcBorders>
            <w:shd w:val="clear" w:color="auto" w:fill="FFFFFF"/>
            <w:hideMark/>
          </w:tcPr>
          <w:p w:rsidR="00A53D7D" w:rsidRDefault="00A53D7D" w:rsidP="004E7A50">
            <w:pPr>
              <w:pStyle w:val="OGTabText"/>
              <w:rPr>
                <w:sz w:val="16"/>
                <w:szCs w:val="16"/>
              </w:rPr>
            </w:pPr>
            <w:r>
              <w:rPr>
                <w:szCs w:val="20"/>
              </w:rPr>
              <w:t>Melbourne Markets Project complies with scope, budget and</w:t>
            </w:r>
            <w:r w:rsidR="004E7A50">
              <w:rPr>
                <w:szCs w:val="20"/>
              </w:rPr>
              <w:t> </w:t>
            </w:r>
            <w:r>
              <w:rPr>
                <w:szCs w:val="20"/>
              </w:rPr>
              <w:t>time</w:t>
            </w:r>
          </w:p>
        </w:tc>
        <w:tc>
          <w:tcPr>
            <w:tcW w:w="907" w:type="dxa"/>
            <w:tcBorders>
              <w:top w:val="single" w:sz="6" w:space="0" w:color="auto"/>
              <w:bottom w:val="single" w:sz="6" w:space="0" w:color="auto"/>
            </w:tcBorders>
            <w:shd w:val="clear" w:color="auto" w:fill="FFFFFF"/>
            <w:hideMark/>
          </w:tcPr>
          <w:p w:rsidR="00A53D7D" w:rsidRDefault="00A53D7D" w:rsidP="005140B4">
            <w:pPr>
              <w:pStyle w:val="OGUoM"/>
              <w:rPr>
                <w:sz w:val="16"/>
                <w:szCs w:val="16"/>
              </w:rPr>
            </w:pPr>
            <w:r>
              <w:rPr>
                <w:szCs w:val="20"/>
              </w:rPr>
              <w:t>number</w:t>
            </w:r>
          </w:p>
        </w:tc>
        <w:tc>
          <w:tcPr>
            <w:tcW w:w="907" w:type="dxa"/>
            <w:tcBorders>
              <w:top w:val="single" w:sz="6" w:space="0" w:color="auto"/>
              <w:bottom w:val="single" w:sz="6" w:space="0" w:color="auto"/>
            </w:tcBorders>
            <w:shd w:val="clear" w:color="auto" w:fill="D9D9D9"/>
            <w:hideMark/>
          </w:tcPr>
          <w:p w:rsidR="00A53D7D" w:rsidRDefault="00A53D7D" w:rsidP="005140B4">
            <w:pPr>
              <w:pStyle w:val="OGTableofFigures"/>
              <w:rPr>
                <w:sz w:val="16"/>
                <w:szCs w:val="16"/>
              </w:rPr>
            </w:pPr>
            <w:r>
              <w:rPr>
                <w:szCs w:val="20"/>
              </w:rPr>
              <w:t>3:3</w:t>
            </w:r>
          </w:p>
        </w:tc>
        <w:tc>
          <w:tcPr>
            <w:tcW w:w="993"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3:3</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3:3</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nm</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Timeliness</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Management of Major Projects Victoria projects complies with contracted time</w:t>
            </w:r>
          </w:p>
        </w:tc>
        <w:tc>
          <w:tcPr>
            <w:tcW w:w="907" w:type="dxa"/>
            <w:shd w:val="clear" w:color="auto" w:fill="FFFFFF"/>
            <w:hideMark/>
          </w:tcPr>
          <w:p w:rsidR="00A53D7D" w:rsidRDefault="00A53D7D" w:rsidP="005140B4">
            <w:pPr>
              <w:pStyle w:val="OGUoM"/>
              <w:rPr>
                <w:sz w:val="18"/>
              </w:rPr>
            </w:pPr>
            <w:r>
              <w:rPr>
                <w:szCs w:val="20"/>
              </w:rPr>
              <w:t>number</w:t>
            </w:r>
          </w:p>
        </w:tc>
        <w:tc>
          <w:tcPr>
            <w:tcW w:w="907" w:type="dxa"/>
            <w:shd w:val="clear" w:color="auto" w:fill="D9D9D9"/>
            <w:hideMark/>
          </w:tcPr>
          <w:p w:rsidR="00A53D7D" w:rsidRDefault="00A53D7D" w:rsidP="005140B4">
            <w:pPr>
              <w:pStyle w:val="OGTableofFigures"/>
              <w:rPr>
                <w:sz w:val="18"/>
              </w:rPr>
            </w:pPr>
            <w:r>
              <w:rPr>
                <w:szCs w:val="20"/>
              </w:rPr>
              <w:t>5:5</w:t>
            </w:r>
          </w:p>
        </w:tc>
        <w:tc>
          <w:tcPr>
            <w:tcW w:w="993" w:type="dxa"/>
            <w:shd w:val="clear" w:color="auto" w:fill="FFFFFF"/>
            <w:hideMark/>
          </w:tcPr>
          <w:p w:rsidR="00A53D7D" w:rsidRDefault="00A53D7D" w:rsidP="005140B4">
            <w:pPr>
              <w:pStyle w:val="OGTableofFigures"/>
              <w:rPr>
                <w:sz w:val="18"/>
              </w:rPr>
            </w:pPr>
            <w:r>
              <w:rPr>
                <w:szCs w:val="20"/>
              </w:rPr>
              <w:t>5:6</w:t>
            </w:r>
          </w:p>
        </w:tc>
        <w:tc>
          <w:tcPr>
            <w:tcW w:w="907" w:type="dxa"/>
            <w:shd w:val="clear" w:color="auto" w:fill="FFFFFF"/>
            <w:hideMark/>
          </w:tcPr>
          <w:p w:rsidR="00A53D7D" w:rsidRDefault="00A53D7D" w:rsidP="005140B4">
            <w:pPr>
              <w:pStyle w:val="OGTableofFigures"/>
              <w:rPr>
                <w:sz w:val="18"/>
              </w:rPr>
            </w:pPr>
            <w:r>
              <w:rPr>
                <w:szCs w:val="20"/>
              </w:rPr>
              <w:t>6:6</w:t>
            </w:r>
          </w:p>
        </w:tc>
        <w:tc>
          <w:tcPr>
            <w:tcW w:w="907" w:type="dxa"/>
            <w:shd w:val="clear" w:color="auto" w:fill="FFFFFF"/>
            <w:hideMark/>
          </w:tcPr>
          <w:p w:rsidR="00A53D7D" w:rsidRDefault="00A53D7D" w:rsidP="005140B4">
            <w:pPr>
              <w:pStyle w:val="OGTableofFigures"/>
              <w:rPr>
                <w:sz w:val="18"/>
              </w:rPr>
            </w:pPr>
            <w:r>
              <w:rPr>
                <w:szCs w:val="20"/>
              </w:rPr>
              <w:t>5:7</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lower than the 2013</w:t>
            </w:r>
            <w:r>
              <w:noBreakHyphen/>
              <w:t xml:space="preserve">14 target due to the Metropolitan Fire Brigade Future of Organisational Learning and Development project timelines being extended, but is still on track to be delivered by 30 June 2014. </w:t>
            </w:r>
          </w:p>
          <w:p w:rsidR="00A53D7D" w:rsidRPr="00015C4E" w:rsidRDefault="00A53D7D" w:rsidP="005140B4">
            <w:pPr>
              <w:pStyle w:val="OGNotes"/>
              <w:rPr>
                <w:sz w:val="18"/>
              </w:rPr>
            </w:pPr>
            <w:r>
              <w:t>The lower 2014</w:t>
            </w:r>
            <w:r>
              <w:noBreakHyphen/>
              <w:t>15 target reflects that this performance measure is based on the number of projects that are under delivery during the financial year. The Metropolitan Fire Brigade Future of Organisational Learning and Development project and the Melbourne Market Relocation Project – Trading floor will be completed in 2013</w:t>
            </w:r>
            <w:r>
              <w:noBreakHyphen/>
              <w:t>14. The Melbourne Market Relocation Project – warehousing is the new project for 2014</w:t>
            </w:r>
            <w:r>
              <w:noBreakHyphen/>
              <w:t>15.</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rPr>
                <w:sz w:val="16"/>
                <w:szCs w:val="16"/>
              </w:rPr>
            </w:pPr>
            <w:r>
              <w:t>Cost</w:t>
            </w:r>
          </w:p>
        </w:tc>
        <w:tc>
          <w:tcPr>
            <w:tcW w:w="907" w:type="dxa"/>
            <w:tcBorders>
              <w:top w:val="single" w:sz="6" w:space="0" w:color="auto"/>
            </w:tcBorders>
            <w:shd w:val="clear" w:color="auto" w:fill="FFFFFF"/>
          </w:tcPr>
          <w:p w:rsidR="00A53D7D" w:rsidRDefault="00A53D7D" w:rsidP="005140B4">
            <w:pPr>
              <w:pStyle w:val="OGUoM"/>
              <w:keepNext/>
              <w:rPr>
                <w:szCs w:val="20"/>
              </w:rPr>
            </w:pPr>
          </w:p>
        </w:tc>
        <w:tc>
          <w:tcPr>
            <w:tcW w:w="907" w:type="dxa"/>
            <w:tcBorders>
              <w:top w:val="single" w:sz="6" w:space="0" w:color="auto"/>
            </w:tcBorders>
            <w:shd w:val="clear" w:color="auto" w:fill="D9D9D9"/>
          </w:tcPr>
          <w:p w:rsidR="00A53D7D" w:rsidRDefault="00A53D7D" w:rsidP="005140B4">
            <w:pPr>
              <w:pStyle w:val="OGTableofFigures"/>
              <w:keepNext/>
              <w:rPr>
                <w:szCs w:val="20"/>
              </w:rPr>
            </w:pPr>
          </w:p>
        </w:tc>
        <w:tc>
          <w:tcPr>
            <w:tcW w:w="993" w:type="dxa"/>
            <w:tcBorders>
              <w:top w:val="single" w:sz="6" w:space="0" w:color="auto"/>
            </w:tcBorders>
            <w:shd w:val="clear" w:color="auto" w:fill="FFFFFF"/>
          </w:tcPr>
          <w:p w:rsidR="00A53D7D" w:rsidRDefault="00A53D7D" w:rsidP="005140B4">
            <w:pPr>
              <w:pStyle w:val="OGTableofFigures"/>
              <w:keepNext/>
              <w:rPr>
                <w:szCs w:val="20"/>
              </w:rPr>
            </w:pPr>
          </w:p>
        </w:tc>
        <w:tc>
          <w:tcPr>
            <w:tcW w:w="907" w:type="dxa"/>
            <w:tcBorders>
              <w:top w:val="single" w:sz="6" w:space="0" w:color="auto"/>
            </w:tcBorders>
            <w:shd w:val="clear" w:color="auto" w:fill="FFFFFF"/>
          </w:tcPr>
          <w:p w:rsidR="00A53D7D" w:rsidRDefault="00A53D7D" w:rsidP="005140B4">
            <w:pPr>
              <w:pStyle w:val="OGTableofFigures"/>
              <w:keepNext/>
              <w:rPr>
                <w:szCs w:val="20"/>
              </w:rPr>
            </w:pPr>
          </w:p>
        </w:tc>
        <w:tc>
          <w:tcPr>
            <w:tcW w:w="907" w:type="dxa"/>
            <w:tcBorders>
              <w:top w:val="single" w:sz="6" w:space="0" w:color="auto"/>
            </w:tcBorders>
            <w:shd w:val="clear" w:color="auto" w:fill="FFFFFF"/>
          </w:tcPr>
          <w:p w:rsidR="00A53D7D" w:rsidRDefault="00A53D7D" w:rsidP="005140B4">
            <w:pPr>
              <w:pStyle w:val="OGTableofFigures"/>
              <w:keepNext/>
              <w:rPr>
                <w:szCs w:val="20"/>
              </w:rPr>
            </w:pPr>
          </w:p>
        </w:tc>
      </w:tr>
      <w:tr w:rsidR="00A53D7D" w:rsidTr="005140B4">
        <w:trPr>
          <w:cantSplit/>
        </w:trPr>
        <w:tc>
          <w:tcPr>
            <w:tcW w:w="3155" w:type="dxa"/>
            <w:shd w:val="clear" w:color="auto" w:fill="FFFFFF"/>
            <w:hideMark/>
          </w:tcPr>
          <w:p w:rsidR="00A53D7D" w:rsidRDefault="00A53D7D" w:rsidP="005140B4">
            <w:pPr>
              <w:pStyle w:val="OGTabText"/>
              <w:keepNext/>
              <w:rPr>
                <w:sz w:val="18"/>
              </w:rPr>
            </w:pPr>
            <w:r>
              <w:rPr>
                <w:szCs w:val="20"/>
              </w:rPr>
              <w:t>Total output cost</w:t>
            </w:r>
          </w:p>
        </w:tc>
        <w:tc>
          <w:tcPr>
            <w:tcW w:w="907" w:type="dxa"/>
            <w:shd w:val="clear" w:color="auto" w:fill="FFFFFF"/>
            <w:hideMark/>
          </w:tcPr>
          <w:p w:rsidR="00A53D7D" w:rsidRDefault="00A53D7D" w:rsidP="005140B4">
            <w:pPr>
              <w:pStyle w:val="OGUoM"/>
              <w:keepNext/>
              <w:rPr>
                <w:sz w:val="18"/>
              </w:rPr>
            </w:pPr>
            <w:r>
              <w:rPr>
                <w:szCs w:val="20"/>
              </w:rPr>
              <w:t>number (million)</w:t>
            </w:r>
          </w:p>
        </w:tc>
        <w:tc>
          <w:tcPr>
            <w:tcW w:w="907" w:type="dxa"/>
            <w:shd w:val="clear" w:color="auto" w:fill="D9D9D9" w:themeFill="background1" w:themeFillShade="D9"/>
            <w:hideMark/>
          </w:tcPr>
          <w:p w:rsidR="00A53D7D" w:rsidRDefault="00A53D7D" w:rsidP="005140B4">
            <w:pPr>
              <w:pStyle w:val="OGTableofFigures"/>
              <w:keepNext/>
              <w:rPr>
                <w:sz w:val="18"/>
              </w:rPr>
            </w:pPr>
            <w:r>
              <w:rPr>
                <w:szCs w:val="20"/>
              </w:rPr>
              <w:t>211.8</w:t>
            </w:r>
          </w:p>
        </w:tc>
        <w:tc>
          <w:tcPr>
            <w:tcW w:w="993" w:type="dxa"/>
            <w:shd w:val="clear" w:color="auto" w:fill="auto"/>
            <w:hideMark/>
          </w:tcPr>
          <w:p w:rsidR="00A53D7D" w:rsidRDefault="00A53D7D" w:rsidP="005140B4">
            <w:pPr>
              <w:pStyle w:val="OGTableofFigures"/>
              <w:keepNext/>
              <w:rPr>
                <w:sz w:val="18"/>
              </w:rPr>
            </w:pPr>
            <w:r>
              <w:rPr>
                <w:szCs w:val="20"/>
              </w:rPr>
              <w:t>268.4</w:t>
            </w:r>
          </w:p>
        </w:tc>
        <w:tc>
          <w:tcPr>
            <w:tcW w:w="907" w:type="dxa"/>
            <w:shd w:val="clear" w:color="auto" w:fill="FFFFFF"/>
            <w:hideMark/>
          </w:tcPr>
          <w:p w:rsidR="00A53D7D" w:rsidRDefault="00A53D7D" w:rsidP="005140B4">
            <w:pPr>
              <w:pStyle w:val="OGTableofFigures"/>
              <w:keepNext/>
              <w:rPr>
                <w:sz w:val="18"/>
              </w:rPr>
            </w:pPr>
            <w:r>
              <w:rPr>
                <w:szCs w:val="20"/>
              </w:rPr>
              <w:t>301.4</w:t>
            </w:r>
          </w:p>
        </w:tc>
        <w:tc>
          <w:tcPr>
            <w:tcW w:w="907" w:type="dxa"/>
            <w:shd w:val="clear" w:color="auto" w:fill="FFFFFF"/>
            <w:hideMark/>
          </w:tcPr>
          <w:p w:rsidR="00A53D7D" w:rsidRDefault="00A53D7D" w:rsidP="005140B4">
            <w:pPr>
              <w:pStyle w:val="OGTableofFigures"/>
              <w:keepNext/>
              <w:rPr>
                <w:sz w:val="18"/>
              </w:rPr>
            </w:pPr>
            <w:r>
              <w:rPr>
                <w:szCs w:val="20"/>
              </w:rPr>
              <w:t>237.6</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rsidRPr="003E2502">
              <w:t>Variation between 2013</w:t>
            </w:r>
            <w:r>
              <w:noBreakHyphen/>
            </w:r>
            <w:r w:rsidRPr="003E2502">
              <w:t>14 target and 2014</w:t>
            </w:r>
            <w:r>
              <w:noBreakHyphen/>
            </w:r>
            <w:r w:rsidRPr="003E2502">
              <w:t>15 target largely reflects lower cost of sales (land) for the Kew Residential Services Redevelopment. The decrease is partly offset by the timing in annual funding for the Investment</w:t>
            </w:r>
            <w:r>
              <w:t> </w:t>
            </w:r>
            <w:r w:rsidRPr="003E2502">
              <w:t>Support Program as well as funding for new initiatives such as Development projects along the Richmond</w:t>
            </w:r>
            <w:r>
              <w:t> </w:t>
            </w:r>
            <w:r w:rsidRPr="003E2502">
              <w:t>to Footscray rail corridor, Implementation of the Victorian coal development strategy, Securing the future – Victoria’s defence and security sector strategy 2014</w:t>
            </w:r>
            <w:r>
              <w:noBreakHyphen/>
            </w:r>
            <w:r w:rsidRPr="003E2502">
              <w:t>2018 and Victorian contribution to the automotive structural adjustment and growth fund.</w:t>
            </w:r>
          </w:p>
          <w:p w:rsidR="00A53D7D" w:rsidRDefault="00A53D7D" w:rsidP="005140B4">
            <w:pPr>
              <w:pStyle w:val="OGNotes"/>
            </w:pPr>
            <w:r>
              <w:t>Variation between 2013</w:t>
            </w:r>
            <w:r>
              <w:noBreakHyphen/>
              <w:t>14 target and 2013</w:t>
            </w:r>
            <w:r>
              <w:noBreakHyphen/>
              <w:t xml:space="preserve">14 expected outcome reflects lower costs of sales (land) for the </w:t>
            </w:r>
            <w:r w:rsidRPr="00F02AC6">
              <w:t>Kew Residential Services Redevelopment and timing in annual funding for the Regional Aviation Fund.</w:t>
            </w:r>
          </w:p>
        </w:tc>
      </w:tr>
      <w:tr w:rsidR="00A53D7D" w:rsidTr="005140B4">
        <w:trPr>
          <w:cantSplit/>
        </w:trPr>
        <w:tc>
          <w:tcPr>
            <w:tcW w:w="7776" w:type="dxa"/>
            <w:gridSpan w:val="6"/>
            <w:tcBorders>
              <w:top w:val="single" w:sz="6" w:space="0" w:color="auto"/>
            </w:tcBorders>
            <w:shd w:val="clear" w:color="auto" w:fill="FFFFFF"/>
          </w:tcPr>
          <w:p w:rsidR="00A53D7D" w:rsidRPr="00015C4E" w:rsidRDefault="00A53D7D" w:rsidP="005140B4">
            <w:pPr>
              <w:pStyle w:val="OGHeading2"/>
              <w:rPr>
                <w:sz w:val="18"/>
              </w:rPr>
            </w:pPr>
            <w:r>
              <w:t>Regional Development and Regional Cities</w:t>
            </w:r>
          </w:p>
        </w:tc>
      </w:tr>
      <w:tr w:rsidR="00A53D7D" w:rsidTr="005140B4">
        <w:trPr>
          <w:cantSplit/>
        </w:trPr>
        <w:tc>
          <w:tcPr>
            <w:tcW w:w="7776" w:type="dxa"/>
            <w:gridSpan w:val="6"/>
            <w:tcBorders>
              <w:bottom w:val="single" w:sz="6" w:space="0" w:color="auto"/>
            </w:tcBorders>
            <w:shd w:val="clear" w:color="auto" w:fill="FFFFFF"/>
          </w:tcPr>
          <w:p w:rsidR="00A53D7D" w:rsidRPr="00015C4E" w:rsidRDefault="00A53D7D" w:rsidP="005140B4">
            <w:pPr>
              <w:pStyle w:val="OGText"/>
              <w:rPr>
                <w:sz w:val="18"/>
              </w:rPr>
            </w:pPr>
            <w:r>
              <w:t xml:space="preserve">Guide the development and implementation of regional plans and strategies to manage growth and change in regional and rural Victoria. Provide better infrastructure, </w:t>
            </w:r>
            <w:proofErr w:type="gramStart"/>
            <w:r>
              <w:t>facilities</w:t>
            </w:r>
            <w:proofErr w:type="gramEnd"/>
            <w:r>
              <w:t xml:space="preserve"> and services to strengthen the economic base of communities and to create jobs and improve career opportunities for regional Victorians.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Quantity</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Economic development, service delivery and community capacity projects funded</w:t>
            </w:r>
          </w:p>
        </w:tc>
        <w:tc>
          <w:tcPr>
            <w:tcW w:w="907" w:type="dxa"/>
            <w:shd w:val="clear" w:color="auto" w:fill="FFFFFF"/>
            <w:hideMark/>
          </w:tcPr>
          <w:p w:rsidR="00A53D7D" w:rsidRDefault="00A53D7D" w:rsidP="005140B4">
            <w:pPr>
              <w:pStyle w:val="OGUoM"/>
              <w:rPr>
                <w:sz w:val="18"/>
              </w:rPr>
            </w:pPr>
            <w:r>
              <w:rPr>
                <w:szCs w:val="20"/>
              </w:rPr>
              <w:t>number</w:t>
            </w:r>
          </w:p>
        </w:tc>
        <w:tc>
          <w:tcPr>
            <w:tcW w:w="907" w:type="dxa"/>
            <w:shd w:val="clear" w:color="auto" w:fill="D9D9D9"/>
            <w:hideMark/>
          </w:tcPr>
          <w:p w:rsidR="00A53D7D" w:rsidRDefault="00A53D7D" w:rsidP="005140B4">
            <w:pPr>
              <w:pStyle w:val="OGTableofFigures"/>
              <w:rPr>
                <w:sz w:val="18"/>
              </w:rPr>
            </w:pPr>
            <w:r>
              <w:rPr>
                <w:szCs w:val="20"/>
              </w:rPr>
              <w:t>140</w:t>
            </w:r>
          </w:p>
        </w:tc>
        <w:tc>
          <w:tcPr>
            <w:tcW w:w="993" w:type="dxa"/>
            <w:shd w:val="clear" w:color="auto" w:fill="FFFFFF"/>
            <w:hideMark/>
          </w:tcPr>
          <w:p w:rsidR="00A53D7D" w:rsidRDefault="00A53D7D" w:rsidP="005140B4">
            <w:pPr>
              <w:pStyle w:val="OGTableofFigures"/>
              <w:rPr>
                <w:sz w:val="18"/>
              </w:rPr>
            </w:pPr>
            <w:r>
              <w:rPr>
                <w:szCs w:val="20"/>
              </w:rPr>
              <w:t>150</w:t>
            </w:r>
          </w:p>
        </w:tc>
        <w:tc>
          <w:tcPr>
            <w:tcW w:w="907" w:type="dxa"/>
            <w:shd w:val="clear" w:color="auto" w:fill="FFFFFF"/>
            <w:hideMark/>
          </w:tcPr>
          <w:p w:rsidR="00A53D7D" w:rsidRDefault="00A53D7D" w:rsidP="005140B4">
            <w:pPr>
              <w:pStyle w:val="OGTableofFigures"/>
              <w:rPr>
                <w:sz w:val="18"/>
              </w:rPr>
            </w:pPr>
            <w:r>
              <w:rPr>
                <w:szCs w:val="20"/>
              </w:rPr>
              <w:t>140</w:t>
            </w:r>
          </w:p>
        </w:tc>
        <w:tc>
          <w:tcPr>
            <w:tcW w:w="907" w:type="dxa"/>
            <w:shd w:val="clear" w:color="auto" w:fill="FFFFFF"/>
            <w:hideMark/>
          </w:tcPr>
          <w:p w:rsidR="00A53D7D" w:rsidRDefault="00A53D7D" w:rsidP="005140B4">
            <w:pPr>
              <w:pStyle w:val="OGTableofFigures"/>
              <w:rPr>
                <w:sz w:val="18"/>
              </w:rPr>
            </w:pPr>
            <w:r>
              <w:rPr>
                <w:szCs w:val="20"/>
              </w:rPr>
              <w:t>155</w:t>
            </w:r>
          </w:p>
        </w:tc>
      </w:tr>
      <w:tr w:rsidR="00A53D7D" w:rsidTr="005140B4">
        <w:trPr>
          <w:cantSplit/>
        </w:trPr>
        <w:tc>
          <w:tcPr>
            <w:tcW w:w="7776" w:type="dxa"/>
            <w:gridSpan w:val="6"/>
            <w:tcBorders>
              <w:bottom w:val="single" w:sz="6" w:space="0" w:color="auto"/>
            </w:tcBorders>
            <w:shd w:val="clear" w:color="auto" w:fill="FFFFFF"/>
          </w:tcPr>
          <w:p w:rsidR="00A53D7D" w:rsidRPr="00015C4E" w:rsidRDefault="00A53D7D" w:rsidP="005140B4">
            <w:pPr>
              <w:pStyle w:val="OGNotes"/>
              <w:rPr>
                <w:sz w:val="18"/>
              </w:rPr>
            </w:pPr>
            <w:r>
              <w:t>The 2013</w:t>
            </w:r>
            <w:r>
              <w:noBreakHyphen/>
              <w:t>14 expected outcome is higher than the 2013</w:t>
            </w:r>
            <w:r>
              <w:noBreakHyphen/>
              <w:t>14 target due to higher than anticipated levels of demand for the program. The number of projects is expected to return to previous levels in 2014</w:t>
            </w:r>
            <w:r>
              <w:noBreakHyphen/>
              <w:t>15.</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keepNext/>
              <w:rPr>
                <w:sz w:val="16"/>
                <w:szCs w:val="16"/>
              </w:rPr>
            </w:pPr>
            <w:r>
              <w:rPr>
                <w:szCs w:val="20"/>
              </w:rPr>
              <w:t>Regional infrastructure projects approved by Minister</w:t>
            </w:r>
          </w:p>
        </w:tc>
        <w:tc>
          <w:tcPr>
            <w:tcW w:w="907" w:type="dxa"/>
            <w:tcBorders>
              <w:top w:val="single" w:sz="6" w:space="0" w:color="auto"/>
            </w:tcBorders>
            <w:shd w:val="clear" w:color="auto" w:fill="FFFFFF"/>
            <w:hideMark/>
          </w:tcPr>
          <w:p w:rsidR="00A53D7D" w:rsidRDefault="00A53D7D" w:rsidP="005140B4">
            <w:pPr>
              <w:pStyle w:val="OGUoM"/>
              <w:keepNext/>
              <w:rPr>
                <w:sz w:val="16"/>
                <w:szCs w:val="16"/>
              </w:rPr>
            </w:pPr>
            <w:r>
              <w:rPr>
                <w:szCs w:val="20"/>
              </w:rPr>
              <w:t>number</w:t>
            </w:r>
          </w:p>
        </w:tc>
        <w:tc>
          <w:tcPr>
            <w:tcW w:w="907" w:type="dxa"/>
            <w:tcBorders>
              <w:top w:val="single" w:sz="6" w:space="0" w:color="auto"/>
            </w:tcBorders>
            <w:shd w:val="clear" w:color="auto" w:fill="D9D9D9"/>
            <w:hideMark/>
          </w:tcPr>
          <w:p w:rsidR="00A53D7D" w:rsidRDefault="00A53D7D" w:rsidP="005140B4">
            <w:pPr>
              <w:pStyle w:val="OGTableofFigures"/>
              <w:keepNext/>
              <w:rPr>
                <w:sz w:val="16"/>
                <w:szCs w:val="16"/>
              </w:rPr>
            </w:pPr>
            <w:r>
              <w:rPr>
                <w:szCs w:val="20"/>
              </w:rPr>
              <w:t>100</w:t>
            </w:r>
          </w:p>
        </w:tc>
        <w:tc>
          <w:tcPr>
            <w:tcW w:w="993"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130</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100</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172</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higher than the 2013</w:t>
            </w:r>
            <w:r>
              <w:noBreakHyphen/>
              <w:t>14 target due to a greater than expected level of interest in the grant programs.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Rural councils participating in Rural Councils Victoria (RCV) network</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per cent</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100</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100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100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100</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Quality</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tcBorders>
              <w:bottom w:val="single" w:sz="6" w:space="0" w:color="auto"/>
            </w:tcBorders>
            <w:shd w:val="clear" w:color="auto" w:fill="FFFFFF"/>
            <w:hideMark/>
          </w:tcPr>
          <w:p w:rsidR="00A53D7D" w:rsidRDefault="00A53D7D" w:rsidP="005140B4">
            <w:pPr>
              <w:pStyle w:val="OGTabText"/>
              <w:rPr>
                <w:sz w:val="18"/>
              </w:rPr>
            </w:pPr>
            <w:r>
              <w:rPr>
                <w:szCs w:val="20"/>
              </w:rPr>
              <w:t>Participant satisfaction with implementation of Regional Development Victoria (RDV) programs</w:t>
            </w:r>
          </w:p>
        </w:tc>
        <w:tc>
          <w:tcPr>
            <w:tcW w:w="907" w:type="dxa"/>
            <w:tcBorders>
              <w:bottom w:val="single" w:sz="6" w:space="0" w:color="auto"/>
            </w:tcBorders>
            <w:shd w:val="clear" w:color="auto" w:fill="FFFFFF"/>
            <w:hideMark/>
          </w:tcPr>
          <w:p w:rsidR="00A53D7D" w:rsidRDefault="00A53D7D" w:rsidP="005140B4">
            <w:pPr>
              <w:pStyle w:val="OGUoM"/>
              <w:rPr>
                <w:sz w:val="18"/>
              </w:rPr>
            </w:pPr>
            <w:r>
              <w:rPr>
                <w:szCs w:val="20"/>
              </w:rPr>
              <w:t>per cent</w:t>
            </w:r>
          </w:p>
        </w:tc>
        <w:tc>
          <w:tcPr>
            <w:tcW w:w="907" w:type="dxa"/>
            <w:tcBorders>
              <w:bottom w:val="single" w:sz="6" w:space="0" w:color="auto"/>
            </w:tcBorders>
            <w:shd w:val="clear" w:color="auto" w:fill="D9D9D9"/>
            <w:hideMark/>
          </w:tcPr>
          <w:p w:rsidR="00A53D7D" w:rsidRDefault="00A53D7D" w:rsidP="005140B4">
            <w:pPr>
              <w:pStyle w:val="OGTableofFigures"/>
              <w:rPr>
                <w:sz w:val="18"/>
              </w:rPr>
            </w:pPr>
            <w:r>
              <w:rPr>
                <w:szCs w:val="20"/>
              </w:rPr>
              <w:t>80</w:t>
            </w:r>
          </w:p>
        </w:tc>
        <w:tc>
          <w:tcPr>
            <w:tcW w:w="993" w:type="dxa"/>
            <w:tcBorders>
              <w:bottom w:val="single" w:sz="6" w:space="0" w:color="auto"/>
            </w:tcBorders>
            <w:shd w:val="clear" w:color="auto" w:fill="FFFFFF"/>
            <w:hideMark/>
          </w:tcPr>
          <w:p w:rsidR="00A53D7D" w:rsidRDefault="00A53D7D" w:rsidP="005140B4">
            <w:pPr>
              <w:pStyle w:val="OGTableofFigures"/>
              <w:rPr>
                <w:sz w:val="18"/>
              </w:rPr>
            </w:pPr>
            <w:r>
              <w:rPr>
                <w:szCs w:val="20"/>
              </w:rPr>
              <w:t>80</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rPr>
                <w:szCs w:val="20"/>
              </w:rPr>
              <w:t>80</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rPr>
                <w:szCs w:val="20"/>
              </w:rPr>
              <w:t>90</w:t>
            </w:r>
          </w:p>
        </w:tc>
      </w:tr>
      <w:tr w:rsidR="00A53D7D" w:rsidTr="005140B4">
        <w:trPr>
          <w:cantSplit/>
        </w:trPr>
        <w:tc>
          <w:tcPr>
            <w:tcW w:w="3155" w:type="dxa"/>
            <w:tcBorders>
              <w:top w:val="single" w:sz="6" w:space="0" w:color="auto"/>
              <w:bottom w:val="single" w:sz="6" w:space="0" w:color="auto"/>
            </w:tcBorders>
            <w:shd w:val="clear" w:color="auto" w:fill="FFFFFF"/>
            <w:hideMark/>
          </w:tcPr>
          <w:p w:rsidR="00A53D7D" w:rsidRDefault="00A53D7D" w:rsidP="005140B4">
            <w:pPr>
              <w:pStyle w:val="OGTabText"/>
              <w:rPr>
                <w:sz w:val="16"/>
                <w:szCs w:val="16"/>
              </w:rPr>
            </w:pPr>
            <w:r>
              <w:rPr>
                <w:szCs w:val="20"/>
              </w:rPr>
              <w:t>Putting Locals First Fund projects recommended by Regional Development Committees approved for funding</w:t>
            </w:r>
          </w:p>
        </w:tc>
        <w:tc>
          <w:tcPr>
            <w:tcW w:w="907" w:type="dxa"/>
            <w:tcBorders>
              <w:top w:val="single" w:sz="6" w:space="0" w:color="auto"/>
              <w:bottom w:val="single" w:sz="6" w:space="0" w:color="auto"/>
            </w:tcBorders>
            <w:shd w:val="clear" w:color="auto" w:fill="FFFFFF"/>
            <w:hideMark/>
          </w:tcPr>
          <w:p w:rsidR="00A53D7D" w:rsidRDefault="00A53D7D" w:rsidP="005140B4">
            <w:pPr>
              <w:pStyle w:val="OGUoM"/>
              <w:rPr>
                <w:sz w:val="16"/>
                <w:szCs w:val="16"/>
              </w:rPr>
            </w:pPr>
            <w:r>
              <w:rPr>
                <w:szCs w:val="20"/>
              </w:rPr>
              <w:t>per cent</w:t>
            </w:r>
          </w:p>
        </w:tc>
        <w:tc>
          <w:tcPr>
            <w:tcW w:w="907" w:type="dxa"/>
            <w:tcBorders>
              <w:top w:val="single" w:sz="6" w:space="0" w:color="auto"/>
              <w:bottom w:val="single" w:sz="6" w:space="0" w:color="auto"/>
            </w:tcBorders>
            <w:shd w:val="clear" w:color="auto" w:fill="D9D9D9"/>
            <w:hideMark/>
          </w:tcPr>
          <w:p w:rsidR="00A53D7D" w:rsidRDefault="00A53D7D" w:rsidP="005140B4">
            <w:pPr>
              <w:pStyle w:val="OGTableofFigures"/>
              <w:rPr>
                <w:sz w:val="16"/>
                <w:szCs w:val="16"/>
              </w:rPr>
            </w:pPr>
            <w:r>
              <w:rPr>
                <w:szCs w:val="20"/>
              </w:rPr>
              <w:t>85</w:t>
            </w:r>
          </w:p>
        </w:tc>
        <w:tc>
          <w:tcPr>
            <w:tcW w:w="993"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85</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85</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100</w:t>
            </w:r>
          </w:p>
        </w:tc>
      </w:tr>
      <w:tr w:rsidR="00A53D7D" w:rsidTr="005140B4">
        <w:trPr>
          <w:cantSplit/>
        </w:trPr>
        <w:tc>
          <w:tcPr>
            <w:tcW w:w="3155" w:type="dxa"/>
            <w:tcBorders>
              <w:top w:val="single" w:sz="6" w:space="0" w:color="auto"/>
            </w:tcBorders>
            <w:shd w:val="clear" w:color="auto" w:fill="FFFFFF"/>
            <w:hideMark/>
          </w:tcPr>
          <w:p w:rsidR="00A53D7D" w:rsidRPr="004F3EC9" w:rsidRDefault="00A53D7D" w:rsidP="005140B4">
            <w:pPr>
              <w:pStyle w:val="OGTabText"/>
              <w:rPr>
                <w:szCs w:val="20"/>
              </w:rPr>
            </w:pPr>
            <w:r>
              <w:rPr>
                <w:szCs w:val="20"/>
              </w:rPr>
              <w:t>Regional councils participating at the regional expo</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per cent</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80</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100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80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100</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higher than the 2013</w:t>
            </w:r>
            <w:r>
              <w:noBreakHyphen/>
              <w:t>14 target due to the strong support of this event by Local Government in regional Victoria.</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Timeliness</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tcBorders>
              <w:bottom w:val="single" w:sz="6" w:space="0" w:color="auto"/>
            </w:tcBorders>
            <w:shd w:val="clear" w:color="auto" w:fill="FFFFFF"/>
            <w:hideMark/>
          </w:tcPr>
          <w:p w:rsidR="00A53D7D" w:rsidRDefault="00A53D7D" w:rsidP="005140B4">
            <w:pPr>
              <w:pStyle w:val="OGTabText"/>
              <w:rPr>
                <w:sz w:val="18"/>
              </w:rPr>
            </w:pPr>
            <w:r>
              <w:rPr>
                <w:szCs w:val="20"/>
              </w:rPr>
              <w:t>Grants paid within the timeframe specified within the terms and conditions of the funding agreement: Local Government Infrastructure Program</w:t>
            </w:r>
          </w:p>
        </w:tc>
        <w:tc>
          <w:tcPr>
            <w:tcW w:w="907" w:type="dxa"/>
            <w:tcBorders>
              <w:bottom w:val="single" w:sz="6" w:space="0" w:color="auto"/>
            </w:tcBorders>
            <w:shd w:val="clear" w:color="auto" w:fill="FFFFFF"/>
            <w:hideMark/>
          </w:tcPr>
          <w:p w:rsidR="00A53D7D" w:rsidRDefault="00A53D7D" w:rsidP="005140B4">
            <w:pPr>
              <w:pStyle w:val="OGUoM"/>
              <w:rPr>
                <w:sz w:val="18"/>
              </w:rPr>
            </w:pPr>
            <w:r>
              <w:rPr>
                <w:szCs w:val="20"/>
              </w:rPr>
              <w:t>per cent</w:t>
            </w:r>
          </w:p>
        </w:tc>
        <w:tc>
          <w:tcPr>
            <w:tcW w:w="907" w:type="dxa"/>
            <w:tcBorders>
              <w:bottom w:val="single" w:sz="6" w:space="0" w:color="auto"/>
            </w:tcBorders>
            <w:shd w:val="clear" w:color="auto" w:fill="D9D9D9"/>
            <w:hideMark/>
          </w:tcPr>
          <w:p w:rsidR="00A53D7D" w:rsidRDefault="00A53D7D" w:rsidP="005140B4">
            <w:pPr>
              <w:pStyle w:val="OGTableofFigures"/>
              <w:rPr>
                <w:sz w:val="18"/>
              </w:rPr>
            </w:pPr>
            <w:r>
              <w:rPr>
                <w:szCs w:val="20"/>
              </w:rPr>
              <w:t>75</w:t>
            </w:r>
          </w:p>
        </w:tc>
        <w:tc>
          <w:tcPr>
            <w:tcW w:w="993" w:type="dxa"/>
            <w:tcBorders>
              <w:bottom w:val="single" w:sz="6" w:space="0" w:color="auto"/>
            </w:tcBorders>
            <w:shd w:val="clear" w:color="auto" w:fill="FFFFFF"/>
            <w:hideMark/>
          </w:tcPr>
          <w:p w:rsidR="00A53D7D" w:rsidRDefault="00A53D7D" w:rsidP="005140B4">
            <w:pPr>
              <w:pStyle w:val="OGTableofFigures"/>
              <w:rPr>
                <w:sz w:val="18"/>
              </w:rPr>
            </w:pPr>
            <w:r>
              <w:rPr>
                <w:szCs w:val="20"/>
              </w:rPr>
              <w:t>75</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rPr>
                <w:szCs w:val="20"/>
              </w:rPr>
              <w:t>75</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rPr>
                <w:szCs w:val="20"/>
              </w:rPr>
              <w:t>100</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Cost</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Total output cost</w:t>
            </w:r>
          </w:p>
        </w:tc>
        <w:tc>
          <w:tcPr>
            <w:tcW w:w="907" w:type="dxa"/>
            <w:shd w:val="clear" w:color="auto" w:fill="FFFFFF"/>
            <w:hideMark/>
          </w:tcPr>
          <w:p w:rsidR="00A53D7D" w:rsidRDefault="00A53D7D" w:rsidP="005140B4">
            <w:pPr>
              <w:pStyle w:val="OGUoM"/>
              <w:rPr>
                <w:sz w:val="18"/>
              </w:rPr>
            </w:pPr>
            <w:r>
              <w:rPr>
                <w:szCs w:val="20"/>
              </w:rPr>
              <w:t>number (million)</w:t>
            </w:r>
          </w:p>
        </w:tc>
        <w:tc>
          <w:tcPr>
            <w:tcW w:w="907" w:type="dxa"/>
            <w:shd w:val="clear" w:color="auto" w:fill="D9D9D9" w:themeFill="background1" w:themeFillShade="D9"/>
            <w:hideMark/>
          </w:tcPr>
          <w:p w:rsidR="00A53D7D" w:rsidRPr="00E228D2" w:rsidRDefault="00A53D7D" w:rsidP="005140B4">
            <w:pPr>
              <w:pStyle w:val="OGTableofFigures"/>
              <w:rPr>
                <w:szCs w:val="20"/>
              </w:rPr>
            </w:pPr>
            <w:r w:rsidRPr="00E228D2">
              <w:rPr>
                <w:szCs w:val="20"/>
              </w:rPr>
              <w:t>205.7</w:t>
            </w:r>
          </w:p>
        </w:tc>
        <w:tc>
          <w:tcPr>
            <w:tcW w:w="993" w:type="dxa"/>
            <w:shd w:val="clear" w:color="auto" w:fill="auto"/>
            <w:hideMark/>
          </w:tcPr>
          <w:p w:rsidR="00A53D7D" w:rsidRDefault="00A53D7D" w:rsidP="005140B4">
            <w:pPr>
              <w:pStyle w:val="OGTableofFigures"/>
              <w:rPr>
                <w:sz w:val="18"/>
              </w:rPr>
            </w:pPr>
            <w:r>
              <w:rPr>
                <w:szCs w:val="20"/>
              </w:rPr>
              <w:t>225.7</w:t>
            </w:r>
          </w:p>
        </w:tc>
        <w:tc>
          <w:tcPr>
            <w:tcW w:w="907" w:type="dxa"/>
            <w:shd w:val="clear" w:color="auto" w:fill="FFFFFF"/>
            <w:hideMark/>
          </w:tcPr>
          <w:p w:rsidR="00A53D7D" w:rsidRDefault="00A53D7D" w:rsidP="005140B4">
            <w:pPr>
              <w:pStyle w:val="OGTableofFigures"/>
              <w:rPr>
                <w:sz w:val="18"/>
              </w:rPr>
            </w:pPr>
            <w:r>
              <w:rPr>
                <w:szCs w:val="20"/>
              </w:rPr>
              <w:t>222.5</w:t>
            </w:r>
          </w:p>
        </w:tc>
        <w:tc>
          <w:tcPr>
            <w:tcW w:w="907" w:type="dxa"/>
            <w:shd w:val="clear" w:color="auto" w:fill="FFFFFF"/>
            <w:hideMark/>
          </w:tcPr>
          <w:p w:rsidR="00A53D7D" w:rsidRDefault="00A53D7D" w:rsidP="005140B4">
            <w:pPr>
              <w:pStyle w:val="OGTableofFigures"/>
              <w:rPr>
                <w:sz w:val="18"/>
              </w:rPr>
            </w:pPr>
            <w:r>
              <w:rPr>
                <w:szCs w:val="20"/>
              </w:rPr>
              <w:t>179.9</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rsidRPr="003E2502">
              <w:t>Variation between 2013</w:t>
            </w:r>
            <w:r>
              <w:noBreakHyphen/>
            </w:r>
            <w:r w:rsidRPr="003E2502">
              <w:t>14 target and 2014</w:t>
            </w:r>
            <w:r>
              <w:noBreakHyphen/>
            </w:r>
            <w:r w:rsidRPr="003E2502">
              <w:t>15 target reflects the timing in annual funding for the Marysville Convention Centre and Regional Growth Fund, together with the completion of a number of Regional Blueprint initiatives.</w:t>
            </w:r>
          </w:p>
        </w:tc>
      </w:tr>
      <w:tr w:rsidR="00A53D7D" w:rsidTr="005140B4">
        <w:trPr>
          <w:cantSplit/>
        </w:trPr>
        <w:tc>
          <w:tcPr>
            <w:tcW w:w="7776" w:type="dxa"/>
            <w:gridSpan w:val="6"/>
            <w:tcBorders>
              <w:top w:val="single" w:sz="6" w:space="0" w:color="auto"/>
            </w:tcBorders>
            <w:shd w:val="clear" w:color="auto" w:fill="FFFFFF"/>
          </w:tcPr>
          <w:p w:rsidR="00A53D7D" w:rsidRPr="00015C4E" w:rsidRDefault="00A53D7D" w:rsidP="005140B4">
            <w:pPr>
              <w:pStyle w:val="OGHeading2"/>
              <w:rPr>
                <w:sz w:val="18"/>
              </w:rPr>
            </w:pPr>
            <w:r>
              <w:rPr>
                <w:bCs/>
                <w:szCs w:val="28"/>
              </w:rPr>
              <w:t>Small Business Assistance</w:t>
            </w:r>
          </w:p>
        </w:tc>
      </w:tr>
      <w:tr w:rsidR="00A53D7D" w:rsidTr="005140B4">
        <w:trPr>
          <w:cantSplit/>
        </w:trPr>
        <w:tc>
          <w:tcPr>
            <w:tcW w:w="7776" w:type="dxa"/>
            <w:gridSpan w:val="6"/>
            <w:tcBorders>
              <w:bottom w:val="single" w:sz="6" w:space="0" w:color="auto"/>
            </w:tcBorders>
            <w:shd w:val="clear" w:color="auto" w:fill="FFFFFF"/>
          </w:tcPr>
          <w:p w:rsidR="00A53D7D" w:rsidRPr="00015C4E" w:rsidRDefault="00A53D7D" w:rsidP="005140B4">
            <w:pPr>
              <w:pStyle w:val="OGText"/>
              <w:rPr>
                <w:sz w:val="18"/>
              </w:rPr>
            </w:pPr>
            <w:r>
              <w:t>Provides business information, advisory and referral services that contribute to the growth and development of small and medium sized enterprises across Victoria.</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Quantity</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Number of business interactions with services provided by Business Victoria Online</w:t>
            </w:r>
          </w:p>
        </w:tc>
        <w:tc>
          <w:tcPr>
            <w:tcW w:w="907" w:type="dxa"/>
            <w:shd w:val="clear" w:color="auto" w:fill="FFFFFF"/>
            <w:hideMark/>
          </w:tcPr>
          <w:p w:rsidR="00A53D7D" w:rsidRDefault="00A53D7D" w:rsidP="005140B4">
            <w:pPr>
              <w:pStyle w:val="OGUoM"/>
              <w:rPr>
                <w:sz w:val="18"/>
              </w:rPr>
            </w:pPr>
            <w:r>
              <w:rPr>
                <w:szCs w:val="20"/>
              </w:rPr>
              <w:t>number</w:t>
            </w:r>
          </w:p>
        </w:tc>
        <w:tc>
          <w:tcPr>
            <w:tcW w:w="907" w:type="dxa"/>
            <w:shd w:val="clear" w:color="auto" w:fill="D9D9D9"/>
            <w:hideMark/>
          </w:tcPr>
          <w:p w:rsidR="00A53D7D" w:rsidRDefault="00A53D7D" w:rsidP="005140B4">
            <w:pPr>
              <w:pStyle w:val="OGTableofFigures"/>
              <w:rPr>
                <w:sz w:val="18"/>
              </w:rPr>
            </w:pPr>
            <w:r>
              <w:rPr>
                <w:szCs w:val="20"/>
              </w:rPr>
              <w:t>1 170 000</w:t>
            </w:r>
          </w:p>
        </w:tc>
        <w:tc>
          <w:tcPr>
            <w:tcW w:w="993" w:type="dxa"/>
            <w:shd w:val="clear" w:color="auto" w:fill="FFFFFF"/>
            <w:hideMark/>
          </w:tcPr>
          <w:p w:rsidR="00A53D7D" w:rsidRDefault="00A53D7D" w:rsidP="005140B4">
            <w:pPr>
              <w:pStyle w:val="OGTableofFigures"/>
              <w:rPr>
                <w:sz w:val="18"/>
              </w:rPr>
            </w:pPr>
            <w:r>
              <w:rPr>
                <w:szCs w:val="20"/>
              </w:rPr>
              <w:t>1 000 000</w:t>
            </w:r>
          </w:p>
        </w:tc>
        <w:tc>
          <w:tcPr>
            <w:tcW w:w="907" w:type="dxa"/>
            <w:shd w:val="clear" w:color="auto" w:fill="FFFFFF"/>
            <w:hideMark/>
          </w:tcPr>
          <w:p w:rsidR="00A53D7D" w:rsidRDefault="00A53D7D" w:rsidP="005140B4">
            <w:pPr>
              <w:pStyle w:val="OGTableofFigures"/>
              <w:rPr>
                <w:sz w:val="18"/>
              </w:rPr>
            </w:pPr>
            <w:r>
              <w:rPr>
                <w:szCs w:val="20"/>
              </w:rPr>
              <w:t>750 000</w:t>
            </w:r>
          </w:p>
        </w:tc>
        <w:tc>
          <w:tcPr>
            <w:tcW w:w="907" w:type="dxa"/>
            <w:shd w:val="clear" w:color="auto" w:fill="FFFFFF"/>
            <w:hideMark/>
          </w:tcPr>
          <w:p w:rsidR="00A53D7D" w:rsidRDefault="00A53D7D" w:rsidP="005140B4">
            <w:pPr>
              <w:pStyle w:val="OGTableofFigures"/>
              <w:rPr>
                <w:sz w:val="18"/>
              </w:rPr>
            </w:pPr>
            <w:r>
              <w:rPr>
                <w:szCs w:val="20"/>
              </w:rPr>
              <w:t>736 000</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higher than the 2013</w:t>
            </w:r>
            <w:r>
              <w:noBreakHyphen/>
              <w:t>14 target due to search engine improvements and increased customer demand for information.</w:t>
            </w:r>
          </w:p>
          <w:p w:rsidR="00A53D7D" w:rsidRPr="00015C4E" w:rsidRDefault="00A53D7D" w:rsidP="005140B4">
            <w:pPr>
              <w:pStyle w:val="OGNotes"/>
              <w:rPr>
                <w:sz w:val="18"/>
              </w:rPr>
            </w:pPr>
            <w:r>
              <w:t>The higher 2014</w:t>
            </w:r>
            <w:r>
              <w:noBreakHyphen/>
              <w:t>15 target reflects higher than expected traffic due to website redesign.</w:t>
            </w:r>
          </w:p>
        </w:tc>
      </w:tr>
      <w:tr w:rsidR="00A53D7D" w:rsidTr="005140B4">
        <w:trPr>
          <w:cantSplit/>
        </w:trPr>
        <w:tc>
          <w:tcPr>
            <w:tcW w:w="3155" w:type="dxa"/>
            <w:tcBorders>
              <w:top w:val="single" w:sz="6" w:space="0" w:color="auto"/>
              <w:bottom w:val="single" w:sz="6" w:space="0" w:color="auto"/>
            </w:tcBorders>
            <w:shd w:val="clear" w:color="auto" w:fill="FFFFFF"/>
            <w:hideMark/>
          </w:tcPr>
          <w:p w:rsidR="00A53D7D" w:rsidRDefault="00A53D7D" w:rsidP="005140B4">
            <w:pPr>
              <w:pStyle w:val="OGTabText"/>
              <w:rPr>
                <w:sz w:val="16"/>
                <w:szCs w:val="16"/>
              </w:rPr>
            </w:pPr>
            <w:r>
              <w:rPr>
                <w:szCs w:val="20"/>
              </w:rPr>
              <w:t>Number of businesses engaged with the Department</w:t>
            </w:r>
          </w:p>
        </w:tc>
        <w:tc>
          <w:tcPr>
            <w:tcW w:w="907" w:type="dxa"/>
            <w:tcBorders>
              <w:top w:val="single" w:sz="6" w:space="0" w:color="auto"/>
              <w:bottom w:val="single" w:sz="6" w:space="0" w:color="auto"/>
            </w:tcBorders>
            <w:shd w:val="clear" w:color="auto" w:fill="FFFFFF"/>
            <w:hideMark/>
          </w:tcPr>
          <w:p w:rsidR="00A53D7D" w:rsidRDefault="00A53D7D" w:rsidP="005140B4">
            <w:pPr>
              <w:pStyle w:val="OGUoM"/>
              <w:rPr>
                <w:sz w:val="16"/>
                <w:szCs w:val="16"/>
              </w:rPr>
            </w:pPr>
            <w:r>
              <w:rPr>
                <w:szCs w:val="20"/>
              </w:rPr>
              <w:t>number</w:t>
            </w:r>
          </w:p>
        </w:tc>
        <w:tc>
          <w:tcPr>
            <w:tcW w:w="907" w:type="dxa"/>
            <w:tcBorders>
              <w:top w:val="single" w:sz="6" w:space="0" w:color="auto"/>
              <w:bottom w:val="single" w:sz="6" w:space="0" w:color="auto"/>
            </w:tcBorders>
            <w:shd w:val="clear" w:color="auto" w:fill="D9D9D9"/>
            <w:hideMark/>
          </w:tcPr>
          <w:p w:rsidR="00A53D7D" w:rsidRDefault="00A53D7D" w:rsidP="005140B4">
            <w:pPr>
              <w:pStyle w:val="OGTableofFigures"/>
              <w:rPr>
                <w:sz w:val="16"/>
                <w:szCs w:val="16"/>
              </w:rPr>
            </w:pPr>
            <w:r>
              <w:rPr>
                <w:szCs w:val="20"/>
              </w:rPr>
              <w:t>12 000</w:t>
            </w:r>
          </w:p>
        </w:tc>
        <w:tc>
          <w:tcPr>
            <w:tcW w:w="993"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12 000</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12 000</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12 704</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Subscriptions to Small Business Victoria Update</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number</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70 000</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70 000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60 000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nm</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higher than the 2013</w:t>
            </w:r>
            <w:r>
              <w:noBreakHyphen/>
              <w:t>14 target as growth in social media subscribers exceeded expectation.</w:t>
            </w:r>
          </w:p>
          <w:p w:rsidR="00A53D7D" w:rsidRDefault="00A53D7D" w:rsidP="005140B4">
            <w:pPr>
              <w:pStyle w:val="OGNotes"/>
            </w:pPr>
            <w:r>
              <w:t>The higher 2014</w:t>
            </w:r>
            <w:r>
              <w:noBreakHyphen/>
              <w:t>15 target reflects more accurately the expected average number of subscriptions to the Small Business Victoria Update.</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rPr>
                <w:sz w:val="16"/>
                <w:szCs w:val="16"/>
              </w:rPr>
            </w:pPr>
            <w:r>
              <w:t>Quality</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tcBorders>
              <w:bottom w:val="single" w:sz="6" w:space="0" w:color="auto"/>
            </w:tcBorders>
            <w:shd w:val="clear" w:color="auto" w:fill="FFFFFF"/>
            <w:hideMark/>
          </w:tcPr>
          <w:p w:rsidR="00A53D7D" w:rsidRDefault="00A53D7D" w:rsidP="005140B4">
            <w:pPr>
              <w:pStyle w:val="OGTabText"/>
              <w:rPr>
                <w:sz w:val="18"/>
              </w:rPr>
            </w:pPr>
            <w:r>
              <w:rPr>
                <w:szCs w:val="20"/>
              </w:rPr>
              <w:t>Client satisfaction of small business information, referral, mentoring service and business programs</w:t>
            </w:r>
          </w:p>
        </w:tc>
        <w:tc>
          <w:tcPr>
            <w:tcW w:w="907" w:type="dxa"/>
            <w:tcBorders>
              <w:bottom w:val="single" w:sz="6" w:space="0" w:color="auto"/>
            </w:tcBorders>
            <w:shd w:val="clear" w:color="auto" w:fill="FFFFFF"/>
            <w:hideMark/>
          </w:tcPr>
          <w:p w:rsidR="00A53D7D" w:rsidRDefault="00A53D7D" w:rsidP="005140B4">
            <w:pPr>
              <w:pStyle w:val="OGUoM"/>
              <w:rPr>
                <w:sz w:val="18"/>
              </w:rPr>
            </w:pPr>
            <w:r>
              <w:rPr>
                <w:szCs w:val="20"/>
              </w:rPr>
              <w:t>per cent</w:t>
            </w:r>
          </w:p>
        </w:tc>
        <w:tc>
          <w:tcPr>
            <w:tcW w:w="907" w:type="dxa"/>
            <w:tcBorders>
              <w:bottom w:val="single" w:sz="6" w:space="0" w:color="auto"/>
            </w:tcBorders>
            <w:shd w:val="clear" w:color="auto" w:fill="D9D9D9"/>
            <w:hideMark/>
          </w:tcPr>
          <w:p w:rsidR="00A53D7D" w:rsidRDefault="00A53D7D" w:rsidP="005140B4">
            <w:pPr>
              <w:pStyle w:val="OGTableofFigures"/>
              <w:rPr>
                <w:sz w:val="18"/>
              </w:rPr>
            </w:pPr>
            <w:r>
              <w:rPr>
                <w:szCs w:val="20"/>
              </w:rPr>
              <w:t>90</w:t>
            </w:r>
          </w:p>
        </w:tc>
        <w:tc>
          <w:tcPr>
            <w:tcW w:w="993" w:type="dxa"/>
            <w:tcBorders>
              <w:bottom w:val="single" w:sz="6" w:space="0" w:color="auto"/>
            </w:tcBorders>
            <w:shd w:val="clear" w:color="auto" w:fill="FFFFFF"/>
            <w:hideMark/>
          </w:tcPr>
          <w:p w:rsidR="00A53D7D" w:rsidRDefault="00A53D7D" w:rsidP="005140B4">
            <w:pPr>
              <w:pStyle w:val="OGTableofFigures"/>
              <w:rPr>
                <w:sz w:val="18"/>
              </w:rPr>
            </w:pPr>
            <w:r>
              <w:rPr>
                <w:szCs w:val="20"/>
              </w:rPr>
              <w:t>90</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rPr>
                <w:szCs w:val="20"/>
              </w:rPr>
              <w:t>90</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rPr>
                <w:szCs w:val="20"/>
              </w:rPr>
              <w:t>93.4</w:t>
            </w:r>
          </w:p>
        </w:tc>
      </w:tr>
      <w:tr w:rsidR="00A53D7D" w:rsidTr="005140B4">
        <w:trPr>
          <w:cantSplit/>
        </w:trPr>
        <w:tc>
          <w:tcPr>
            <w:tcW w:w="3155" w:type="dxa"/>
            <w:tcBorders>
              <w:top w:val="single" w:sz="6" w:space="0" w:color="auto"/>
              <w:bottom w:val="single" w:sz="6" w:space="0" w:color="auto"/>
            </w:tcBorders>
            <w:shd w:val="clear" w:color="auto" w:fill="FFFFFF"/>
            <w:hideMark/>
          </w:tcPr>
          <w:p w:rsidR="00A53D7D" w:rsidRDefault="00A53D7D" w:rsidP="005140B4">
            <w:pPr>
              <w:pStyle w:val="OGTabText"/>
              <w:rPr>
                <w:sz w:val="16"/>
                <w:szCs w:val="16"/>
              </w:rPr>
            </w:pPr>
            <w:r>
              <w:rPr>
                <w:szCs w:val="20"/>
              </w:rPr>
              <w:t>Client satisfaction with Victorian Small Business Commissioner mediation service</w:t>
            </w:r>
          </w:p>
        </w:tc>
        <w:tc>
          <w:tcPr>
            <w:tcW w:w="907" w:type="dxa"/>
            <w:tcBorders>
              <w:top w:val="single" w:sz="6" w:space="0" w:color="auto"/>
              <w:bottom w:val="single" w:sz="6" w:space="0" w:color="auto"/>
            </w:tcBorders>
            <w:shd w:val="clear" w:color="auto" w:fill="FFFFFF"/>
            <w:hideMark/>
          </w:tcPr>
          <w:p w:rsidR="00A53D7D" w:rsidRDefault="00A53D7D" w:rsidP="005140B4">
            <w:pPr>
              <w:pStyle w:val="OGUoM"/>
              <w:rPr>
                <w:sz w:val="16"/>
                <w:szCs w:val="16"/>
              </w:rPr>
            </w:pPr>
            <w:r>
              <w:rPr>
                <w:szCs w:val="20"/>
              </w:rPr>
              <w:t>per cent</w:t>
            </w:r>
          </w:p>
        </w:tc>
        <w:tc>
          <w:tcPr>
            <w:tcW w:w="907" w:type="dxa"/>
            <w:tcBorders>
              <w:top w:val="single" w:sz="6" w:space="0" w:color="auto"/>
              <w:bottom w:val="single" w:sz="6" w:space="0" w:color="auto"/>
            </w:tcBorders>
            <w:shd w:val="clear" w:color="auto" w:fill="D9D9D9"/>
            <w:hideMark/>
          </w:tcPr>
          <w:p w:rsidR="00A53D7D" w:rsidRDefault="00A53D7D" w:rsidP="005140B4">
            <w:pPr>
              <w:pStyle w:val="OGTableofFigures"/>
              <w:rPr>
                <w:sz w:val="16"/>
                <w:szCs w:val="16"/>
              </w:rPr>
            </w:pPr>
            <w:r>
              <w:rPr>
                <w:szCs w:val="20"/>
              </w:rPr>
              <w:t>80</w:t>
            </w:r>
          </w:p>
        </w:tc>
        <w:tc>
          <w:tcPr>
            <w:tcW w:w="993"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80</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80</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94.3</w:t>
            </w:r>
          </w:p>
        </w:tc>
      </w:tr>
      <w:tr w:rsidR="00A53D7D" w:rsidTr="005140B4">
        <w:trPr>
          <w:cantSplit/>
        </w:trPr>
        <w:tc>
          <w:tcPr>
            <w:tcW w:w="3155" w:type="dxa"/>
            <w:tcBorders>
              <w:top w:val="single" w:sz="6" w:space="0" w:color="auto"/>
              <w:bottom w:val="single" w:sz="6" w:space="0" w:color="auto"/>
            </w:tcBorders>
            <w:shd w:val="clear" w:color="auto" w:fill="FFFFFF"/>
            <w:hideMark/>
          </w:tcPr>
          <w:p w:rsidR="00A53D7D" w:rsidRDefault="00A53D7D" w:rsidP="005140B4">
            <w:pPr>
              <w:pStyle w:val="OGTabText"/>
              <w:rPr>
                <w:sz w:val="16"/>
                <w:szCs w:val="16"/>
              </w:rPr>
            </w:pPr>
            <w:r>
              <w:rPr>
                <w:szCs w:val="20"/>
              </w:rPr>
              <w:t>Proportion of business disputes presented to the Small Business Commissioner successfully mediated</w:t>
            </w:r>
          </w:p>
        </w:tc>
        <w:tc>
          <w:tcPr>
            <w:tcW w:w="907" w:type="dxa"/>
            <w:tcBorders>
              <w:top w:val="single" w:sz="6" w:space="0" w:color="auto"/>
              <w:bottom w:val="single" w:sz="6" w:space="0" w:color="auto"/>
            </w:tcBorders>
            <w:shd w:val="clear" w:color="auto" w:fill="FFFFFF"/>
            <w:hideMark/>
          </w:tcPr>
          <w:p w:rsidR="00A53D7D" w:rsidRDefault="00A53D7D" w:rsidP="005140B4">
            <w:pPr>
              <w:pStyle w:val="OGUoM"/>
              <w:rPr>
                <w:sz w:val="16"/>
                <w:szCs w:val="16"/>
              </w:rPr>
            </w:pPr>
            <w:r>
              <w:rPr>
                <w:szCs w:val="20"/>
              </w:rPr>
              <w:t>per cent</w:t>
            </w:r>
          </w:p>
        </w:tc>
        <w:tc>
          <w:tcPr>
            <w:tcW w:w="907" w:type="dxa"/>
            <w:tcBorders>
              <w:top w:val="single" w:sz="6" w:space="0" w:color="auto"/>
              <w:bottom w:val="single" w:sz="6" w:space="0" w:color="auto"/>
            </w:tcBorders>
            <w:shd w:val="clear" w:color="auto" w:fill="D9D9D9"/>
            <w:hideMark/>
          </w:tcPr>
          <w:p w:rsidR="00A53D7D" w:rsidRDefault="00A53D7D" w:rsidP="005140B4">
            <w:pPr>
              <w:pStyle w:val="OGTableofFigures"/>
              <w:rPr>
                <w:sz w:val="16"/>
                <w:szCs w:val="16"/>
              </w:rPr>
            </w:pPr>
            <w:r>
              <w:rPr>
                <w:szCs w:val="20"/>
              </w:rPr>
              <w:t>75</w:t>
            </w:r>
          </w:p>
        </w:tc>
        <w:tc>
          <w:tcPr>
            <w:tcW w:w="993"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75</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75</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83.1</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Cost</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Total output cost</w:t>
            </w:r>
          </w:p>
        </w:tc>
        <w:tc>
          <w:tcPr>
            <w:tcW w:w="907" w:type="dxa"/>
            <w:shd w:val="clear" w:color="auto" w:fill="FFFFFF"/>
            <w:hideMark/>
          </w:tcPr>
          <w:p w:rsidR="00A53D7D" w:rsidRDefault="00A53D7D" w:rsidP="005140B4">
            <w:pPr>
              <w:pStyle w:val="OGUoM"/>
              <w:rPr>
                <w:sz w:val="18"/>
              </w:rPr>
            </w:pPr>
            <w:r>
              <w:rPr>
                <w:szCs w:val="20"/>
              </w:rPr>
              <w:t>number (million)</w:t>
            </w:r>
          </w:p>
        </w:tc>
        <w:tc>
          <w:tcPr>
            <w:tcW w:w="907" w:type="dxa"/>
            <w:shd w:val="clear" w:color="auto" w:fill="D9D9D9" w:themeFill="background1" w:themeFillShade="D9"/>
            <w:hideMark/>
          </w:tcPr>
          <w:p w:rsidR="00A53D7D" w:rsidRDefault="00A53D7D" w:rsidP="005140B4">
            <w:pPr>
              <w:pStyle w:val="OGTableofFigures"/>
              <w:rPr>
                <w:sz w:val="18"/>
              </w:rPr>
            </w:pPr>
            <w:r>
              <w:rPr>
                <w:szCs w:val="20"/>
              </w:rPr>
              <w:t>33.7</w:t>
            </w:r>
          </w:p>
        </w:tc>
        <w:tc>
          <w:tcPr>
            <w:tcW w:w="993" w:type="dxa"/>
            <w:shd w:val="clear" w:color="auto" w:fill="auto"/>
            <w:hideMark/>
          </w:tcPr>
          <w:p w:rsidR="00A53D7D" w:rsidRDefault="00A53D7D" w:rsidP="005140B4">
            <w:pPr>
              <w:pStyle w:val="OGTableofFigures"/>
              <w:rPr>
                <w:sz w:val="18"/>
              </w:rPr>
            </w:pPr>
            <w:r>
              <w:rPr>
                <w:szCs w:val="20"/>
              </w:rPr>
              <w:t>30.7</w:t>
            </w:r>
          </w:p>
        </w:tc>
        <w:tc>
          <w:tcPr>
            <w:tcW w:w="907" w:type="dxa"/>
            <w:shd w:val="clear" w:color="auto" w:fill="FFFFFF"/>
            <w:hideMark/>
          </w:tcPr>
          <w:p w:rsidR="00A53D7D" w:rsidRDefault="00A53D7D" w:rsidP="005140B4">
            <w:pPr>
              <w:pStyle w:val="OGTableofFigures"/>
              <w:rPr>
                <w:sz w:val="18"/>
              </w:rPr>
            </w:pPr>
            <w:r>
              <w:rPr>
                <w:szCs w:val="20"/>
              </w:rPr>
              <w:t>32.6</w:t>
            </w:r>
          </w:p>
        </w:tc>
        <w:tc>
          <w:tcPr>
            <w:tcW w:w="907" w:type="dxa"/>
            <w:shd w:val="clear" w:color="auto" w:fill="FFFFFF"/>
            <w:hideMark/>
          </w:tcPr>
          <w:p w:rsidR="00A53D7D" w:rsidRPr="00087F46" w:rsidRDefault="00A53D7D" w:rsidP="005140B4">
            <w:pPr>
              <w:pStyle w:val="OGTableofFigures"/>
              <w:rPr>
                <w:szCs w:val="20"/>
              </w:rPr>
            </w:pPr>
            <w:r w:rsidRPr="00087F46">
              <w:rPr>
                <w:szCs w:val="20"/>
              </w:rPr>
              <w:t>32.8</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rsidRPr="003E2502">
              <w:t xml:space="preserve">Variation between </w:t>
            </w:r>
            <w:r>
              <w:t xml:space="preserve">the </w:t>
            </w:r>
            <w:r w:rsidRPr="003E2502">
              <w:t>2013</w:t>
            </w:r>
            <w:r>
              <w:noBreakHyphen/>
            </w:r>
            <w:r w:rsidRPr="003E2502">
              <w:t xml:space="preserve">14 target and </w:t>
            </w:r>
            <w:r>
              <w:t xml:space="preserve">the </w:t>
            </w:r>
            <w:r w:rsidRPr="003E2502">
              <w:t>2014</w:t>
            </w:r>
            <w:r>
              <w:noBreakHyphen/>
            </w:r>
            <w:r w:rsidRPr="003E2502">
              <w:t xml:space="preserve">15 target reflects additional funding for Supporting </w:t>
            </w:r>
            <w:r>
              <w:t>S</w:t>
            </w:r>
            <w:r w:rsidRPr="003E2502">
              <w:t xml:space="preserve">mall </w:t>
            </w:r>
            <w:r>
              <w:t>B</w:t>
            </w:r>
            <w:r w:rsidRPr="003E2502">
              <w:t>usiness programs.</w:t>
            </w:r>
          </w:p>
          <w:p w:rsidR="00A53D7D" w:rsidRPr="00087F46" w:rsidRDefault="00A53D7D" w:rsidP="005140B4">
            <w:pPr>
              <w:pStyle w:val="OGNotes"/>
            </w:pPr>
            <w:r>
              <w:t>Variation between the 2013</w:t>
            </w:r>
            <w:r>
              <w:noBreakHyphen/>
              <w:t>14 target and the 2013</w:t>
            </w:r>
            <w:r>
              <w:noBreakHyphen/>
              <w:t xml:space="preserve">14 expected outcome largely reflects the timing in annual funding for the </w:t>
            </w:r>
            <w:r w:rsidRPr="004F3EC9">
              <w:rPr>
                <w:i w:val="0"/>
              </w:rPr>
              <w:t>Success Map for Small Business</w:t>
            </w:r>
            <w:r>
              <w:t xml:space="preserve"> program.</w:t>
            </w:r>
          </w:p>
        </w:tc>
      </w:tr>
      <w:tr w:rsidR="00A53D7D" w:rsidTr="005140B4">
        <w:trPr>
          <w:cantSplit/>
        </w:trPr>
        <w:tc>
          <w:tcPr>
            <w:tcW w:w="7776" w:type="dxa"/>
            <w:gridSpan w:val="6"/>
            <w:tcBorders>
              <w:top w:val="single" w:sz="6" w:space="0" w:color="auto"/>
            </w:tcBorders>
            <w:shd w:val="clear" w:color="auto" w:fill="FFFFFF"/>
          </w:tcPr>
          <w:p w:rsidR="00A53D7D" w:rsidRPr="00015C4E" w:rsidRDefault="00A53D7D" w:rsidP="005140B4">
            <w:pPr>
              <w:pStyle w:val="OGHeading2"/>
              <w:rPr>
                <w:sz w:val="18"/>
              </w:rPr>
            </w:pPr>
            <w:r>
              <w:t>Tourism and Marketing</w:t>
            </w:r>
          </w:p>
        </w:tc>
      </w:tr>
      <w:tr w:rsidR="00A53D7D" w:rsidTr="005140B4">
        <w:trPr>
          <w:cantSplit/>
        </w:trPr>
        <w:tc>
          <w:tcPr>
            <w:tcW w:w="7776" w:type="dxa"/>
            <w:gridSpan w:val="6"/>
            <w:tcBorders>
              <w:bottom w:val="single" w:sz="6" w:space="0" w:color="auto"/>
            </w:tcBorders>
            <w:shd w:val="clear" w:color="auto" w:fill="FFFFFF"/>
          </w:tcPr>
          <w:p w:rsidR="00A53D7D" w:rsidRPr="00015C4E" w:rsidRDefault="00A53D7D" w:rsidP="005140B4">
            <w:pPr>
              <w:pStyle w:val="OGText"/>
              <w:rPr>
                <w:sz w:val="18"/>
              </w:rPr>
            </w:pPr>
            <w:r>
              <w:t xml:space="preserve">Facilitates employment and longer term economic benefits of tourism, </w:t>
            </w:r>
            <w:proofErr w:type="gramStart"/>
            <w:r>
              <w:t>investment</w:t>
            </w:r>
            <w:proofErr w:type="gramEnd"/>
            <w:r>
              <w:t xml:space="preserve"> and international students coming to Victoria by positioning and marketing the State as a competitive tourism, investment and study destination.</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Quantity</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tcBorders>
              <w:bottom w:val="single" w:sz="6" w:space="0" w:color="auto"/>
            </w:tcBorders>
            <w:shd w:val="clear" w:color="auto" w:fill="FFFFFF"/>
            <w:hideMark/>
          </w:tcPr>
          <w:p w:rsidR="00A53D7D" w:rsidRDefault="00A53D7D" w:rsidP="005140B4">
            <w:pPr>
              <w:pStyle w:val="OGTabText"/>
              <w:rPr>
                <w:sz w:val="18"/>
              </w:rPr>
            </w:pPr>
            <w:r>
              <w:rPr>
                <w:szCs w:val="20"/>
              </w:rPr>
              <w:t>International marketing campaigns to position Victoria globally</w:t>
            </w:r>
          </w:p>
        </w:tc>
        <w:tc>
          <w:tcPr>
            <w:tcW w:w="907" w:type="dxa"/>
            <w:tcBorders>
              <w:bottom w:val="single" w:sz="6" w:space="0" w:color="auto"/>
            </w:tcBorders>
            <w:shd w:val="clear" w:color="auto" w:fill="FFFFFF"/>
            <w:hideMark/>
          </w:tcPr>
          <w:p w:rsidR="00A53D7D" w:rsidRDefault="00A53D7D" w:rsidP="005140B4">
            <w:pPr>
              <w:pStyle w:val="OGUoM"/>
              <w:rPr>
                <w:sz w:val="18"/>
              </w:rPr>
            </w:pPr>
            <w:r>
              <w:rPr>
                <w:szCs w:val="20"/>
              </w:rPr>
              <w:t>number</w:t>
            </w:r>
          </w:p>
        </w:tc>
        <w:tc>
          <w:tcPr>
            <w:tcW w:w="907" w:type="dxa"/>
            <w:tcBorders>
              <w:bottom w:val="single" w:sz="6" w:space="0" w:color="auto"/>
            </w:tcBorders>
            <w:shd w:val="clear" w:color="auto" w:fill="D9D9D9"/>
            <w:hideMark/>
          </w:tcPr>
          <w:p w:rsidR="00A53D7D" w:rsidRDefault="00A53D7D" w:rsidP="005140B4">
            <w:pPr>
              <w:pStyle w:val="OGTableofFigures"/>
              <w:rPr>
                <w:sz w:val="18"/>
              </w:rPr>
            </w:pPr>
            <w:r>
              <w:rPr>
                <w:szCs w:val="20"/>
              </w:rPr>
              <w:t>4</w:t>
            </w:r>
          </w:p>
        </w:tc>
        <w:tc>
          <w:tcPr>
            <w:tcW w:w="993" w:type="dxa"/>
            <w:tcBorders>
              <w:bottom w:val="single" w:sz="6" w:space="0" w:color="auto"/>
            </w:tcBorders>
            <w:shd w:val="clear" w:color="auto" w:fill="FFFFFF"/>
            <w:hideMark/>
          </w:tcPr>
          <w:p w:rsidR="00A53D7D" w:rsidRDefault="00A53D7D" w:rsidP="005140B4">
            <w:pPr>
              <w:pStyle w:val="OGTableofFigures"/>
              <w:rPr>
                <w:sz w:val="18"/>
              </w:rPr>
            </w:pPr>
            <w:r>
              <w:rPr>
                <w:szCs w:val="20"/>
              </w:rPr>
              <w:t>4</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rPr>
                <w:szCs w:val="20"/>
              </w:rPr>
              <w:t>4</w:t>
            </w:r>
          </w:p>
        </w:tc>
        <w:tc>
          <w:tcPr>
            <w:tcW w:w="907" w:type="dxa"/>
            <w:tcBorders>
              <w:bottom w:val="single" w:sz="6" w:space="0" w:color="auto"/>
            </w:tcBorders>
            <w:shd w:val="clear" w:color="auto" w:fill="FFFFFF"/>
            <w:hideMark/>
          </w:tcPr>
          <w:p w:rsidR="00A53D7D" w:rsidRDefault="00A53D7D" w:rsidP="005140B4">
            <w:pPr>
              <w:pStyle w:val="OGTableofFigures"/>
              <w:rPr>
                <w:sz w:val="18"/>
              </w:rPr>
            </w:pPr>
            <w:r>
              <w:rPr>
                <w:szCs w:val="20"/>
              </w:rPr>
              <w:t>4</w:t>
            </w:r>
          </w:p>
        </w:tc>
      </w:tr>
      <w:tr w:rsidR="00A53D7D" w:rsidTr="004E7A50">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Number of domestic overnight visitors</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number (million)</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18.5</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18.3</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18.3</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17.8</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higher 2014</w:t>
            </w:r>
            <w:r>
              <w:noBreakHyphen/>
              <w:t>15 target is based on an independent forecast by Tourism Research Australia that is influenced by the 2013</w:t>
            </w:r>
            <w:r>
              <w:noBreakHyphen/>
              <w:t>14 results.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Number of visitors (international)</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number (million)</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2.1</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1.9</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1.9</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1.9</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higher 2014</w:t>
            </w:r>
            <w:r>
              <w:noBreakHyphen/>
              <w:t>15 target reflects an independent forecast by Tourism Research Australia that is influenced by the 2013</w:t>
            </w:r>
            <w:r>
              <w:noBreakHyphen/>
              <w:t>14 results.</w:t>
            </w:r>
          </w:p>
        </w:tc>
      </w:tr>
      <w:tr w:rsidR="00A53D7D" w:rsidTr="005140B4">
        <w:trPr>
          <w:cantSplit/>
        </w:trPr>
        <w:tc>
          <w:tcPr>
            <w:tcW w:w="3155" w:type="dxa"/>
            <w:tcBorders>
              <w:top w:val="single" w:sz="6" w:space="0" w:color="auto"/>
              <w:bottom w:val="single" w:sz="6" w:space="0" w:color="auto"/>
            </w:tcBorders>
            <w:shd w:val="clear" w:color="auto" w:fill="FFFFFF"/>
            <w:hideMark/>
          </w:tcPr>
          <w:p w:rsidR="00A53D7D" w:rsidRDefault="00A53D7D" w:rsidP="005140B4">
            <w:pPr>
              <w:pStyle w:val="OGTabText"/>
              <w:rPr>
                <w:sz w:val="16"/>
                <w:szCs w:val="16"/>
              </w:rPr>
            </w:pPr>
            <w:r>
              <w:rPr>
                <w:szCs w:val="20"/>
              </w:rPr>
              <w:t>Proportion of all international students studying in Victoria</w:t>
            </w:r>
          </w:p>
        </w:tc>
        <w:tc>
          <w:tcPr>
            <w:tcW w:w="907" w:type="dxa"/>
            <w:tcBorders>
              <w:top w:val="single" w:sz="6" w:space="0" w:color="auto"/>
              <w:bottom w:val="single" w:sz="6" w:space="0" w:color="auto"/>
            </w:tcBorders>
            <w:shd w:val="clear" w:color="auto" w:fill="FFFFFF"/>
            <w:hideMark/>
          </w:tcPr>
          <w:p w:rsidR="00A53D7D" w:rsidRDefault="00A53D7D" w:rsidP="005140B4">
            <w:pPr>
              <w:pStyle w:val="OGUoM"/>
              <w:rPr>
                <w:sz w:val="16"/>
                <w:szCs w:val="16"/>
              </w:rPr>
            </w:pPr>
            <w:r>
              <w:rPr>
                <w:szCs w:val="20"/>
              </w:rPr>
              <w:t>per cent</w:t>
            </w:r>
          </w:p>
        </w:tc>
        <w:tc>
          <w:tcPr>
            <w:tcW w:w="907" w:type="dxa"/>
            <w:tcBorders>
              <w:top w:val="single" w:sz="6" w:space="0" w:color="auto"/>
              <w:bottom w:val="single" w:sz="6" w:space="0" w:color="auto"/>
            </w:tcBorders>
            <w:shd w:val="clear" w:color="auto" w:fill="D9D9D9"/>
            <w:hideMark/>
          </w:tcPr>
          <w:p w:rsidR="00A53D7D" w:rsidRDefault="00A53D7D" w:rsidP="005140B4">
            <w:pPr>
              <w:pStyle w:val="OGTableofFigures"/>
              <w:rPr>
                <w:sz w:val="16"/>
                <w:szCs w:val="16"/>
              </w:rPr>
            </w:pPr>
            <w:r>
              <w:rPr>
                <w:szCs w:val="20"/>
              </w:rPr>
              <w:t>28</w:t>
            </w:r>
          </w:p>
        </w:tc>
        <w:tc>
          <w:tcPr>
            <w:tcW w:w="993"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28.4</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28</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28.9</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Visitor Expenditure: domestic</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 billion</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14.8</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14.5</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15</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14.8</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lower than the 2013</w:t>
            </w:r>
            <w:r>
              <w:noBreakHyphen/>
              <w:t xml:space="preserve">14 target due to a decrease in per visitor, per night yield. </w:t>
            </w:r>
          </w:p>
          <w:p w:rsidR="00A53D7D" w:rsidRDefault="00A53D7D" w:rsidP="005140B4">
            <w:pPr>
              <w:pStyle w:val="OGNotes"/>
            </w:pPr>
            <w:r>
              <w:t>The 2014</w:t>
            </w:r>
            <w:r>
              <w:noBreakHyphen/>
              <w:t>15 target is based on an independent forecast by Tourism Research Australia that is influenced by 2013</w:t>
            </w:r>
            <w:r>
              <w:noBreakHyphen/>
              <w:t>14 results.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Visitor Expenditure: international</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 billion</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5.1</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4.7</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4.6</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4.5</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higher 2014</w:t>
            </w:r>
            <w:r>
              <w:noBreakHyphen/>
              <w:t>15 target reflects an independent forecast by Tourism Research Australia that is influenced by 2013</w:t>
            </w:r>
            <w:r>
              <w:noBreakHyphen/>
              <w:t>14 results.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keepNext/>
              <w:rPr>
                <w:sz w:val="16"/>
                <w:szCs w:val="16"/>
              </w:rPr>
            </w:pPr>
            <w:r>
              <w:rPr>
                <w:szCs w:val="20"/>
              </w:rPr>
              <w:t>Visitor Expenditure: regional Victoria (domestic)</w:t>
            </w:r>
          </w:p>
        </w:tc>
        <w:tc>
          <w:tcPr>
            <w:tcW w:w="907" w:type="dxa"/>
            <w:tcBorders>
              <w:top w:val="single" w:sz="6" w:space="0" w:color="auto"/>
            </w:tcBorders>
            <w:shd w:val="clear" w:color="auto" w:fill="FFFFFF"/>
            <w:hideMark/>
          </w:tcPr>
          <w:p w:rsidR="00A53D7D" w:rsidRDefault="00A53D7D" w:rsidP="005140B4">
            <w:pPr>
              <w:pStyle w:val="OGUoM"/>
              <w:keepNext/>
              <w:rPr>
                <w:sz w:val="16"/>
                <w:szCs w:val="16"/>
              </w:rPr>
            </w:pPr>
            <w:r>
              <w:rPr>
                <w:szCs w:val="20"/>
              </w:rPr>
              <w:t>$ billion</w:t>
            </w:r>
          </w:p>
        </w:tc>
        <w:tc>
          <w:tcPr>
            <w:tcW w:w="907" w:type="dxa"/>
            <w:tcBorders>
              <w:top w:val="single" w:sz="6" w:space="0" w:color="auto"/>
            </w:tcBorders>
            <w:shd w:val="clear" w:color="auto" w:fill="D9D9D9"/>
            <w:hideMark/>
          </w:tcPr>
          <w:p w:rsidR="00A53D7D" w:rsidRDefault="00A53D7D" w:rsidP="005140B4">
            <w:pPr>
              <w:pStyle w:val="OGTableofFigures"/>
              <w:keepNext/>
              <w:rPr>
                <w:sz w:val="16"/>
                <w:szCs w:val="16"/>
              </w:rPr>
            </w:pPr>
            <w:r>
              <w:rPr>
                <w:szCs w:val="20"/>
              </w:rPr>
              <w:t>6.9</w:t>
            </w:r>
          </w:p>
        </w:tc>
        <w:tc>
          <w:tcPr>
            <w:tcW w:w="993"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6.8</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7.1</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7.0</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lower than the 2013</w:t>
            </w:r>
            <w:r>
              <w:noBreakHyphen/>
              <w:t>14 target due to a decrease in the number of overnight visitors to Regional Victoria and a decline in expenditure by the day trip market.</w:t>
            </w:r>
          </w:p>
          <w:p w:rsidR="00A53D7D" w:rsidRDefault="00A53D7D" w:rsidP="005140B4">
            <w:pPr>
              <w:pStyle w:val="OGNotes"/>
            </w:pPr>
            <w:r>
              <w:t>The 2014</w:t>
            </w:r>
            <w:r>
              <w:noBreakHyphen/>
              <w:t>15 target is based on an independent forecast by Tourism Research Australia that is influenced by 2013</w:t>
            </w:r>
            <w:r>
              <w:noBreakHyphen/>
              <w:t>14 results.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keepNext/>
              <w:rPr>
                <w:sz w:val="16"/>
                <w:szCs w:val="16"/>
              </w:rPr>
            </w:pPr>
            <w:r>
              <w:rPr>
                <w:szCs w:val="20"/>
              </w:rPr>
              <w:t>Visitor Expenditure: regional Victoria (international)</w:t>
            </w:r>
          </w:p>
        </w:tc>
        <w:tc>
          <w:tcPr>
            <w:tcW w:w="907" w:type="dxa"/>
            <w:tcBorders>
              <w:top w:val="single" w:sz="6" w:space="0" w:color="auto"/>
            </w:tcBorders>
            <w:shd w:val="clear" w:color="auto" w:fill="FFFFFF"/>
            <w:hideMark/>
          </w:tcPr>
          <w:p w:rsidR="00A53D7D" w:rsidRDefault="00A53D7D" w:rsidP="005140B4">
            <w:pPr>
              <w:pStyle w:val="OGUoM"/>
              <w:keepNext/>
              <w:rPr>
                <w:sz w:val="16"/>
                <w:szCs w:val="16"/>
              </w:rPr>
            </w:pPr>
            <w:r>
              <w:rPr>
                <w:szCs w:val="20"/>
              </w:rPr>
              <w:t>$ million</w:t>
            </w:r>
          </w:p>
        </w:tc>
        <w:tc>
          <w:tcPr>
            <w:tcW w:w="907" w:type="dxa"/>
            <w:tcBorders>
              <w:top w:val="single" w:sz="6" w:space="0" w:color="auto"/>
            </w:tcBorders>
            <w:shd w:val="clear" w:color="auto" w:fill="D9D9D9"/>
            <w:hideMark/>
          </w:tcPr>
          <w:p w:rsidR="00A53D7D" w:rsidRDefault="00A53D7D" w:rsidP="005140B4">
            <w:pPr>
              <w:pStyle w:val="OGTableofFigures"/>
              <w:keepNext/>
              <w:rPr>
                <w:sz w:val="16"/>
                <w:szCs w:val="16"/>
              </w:rPr>
            </w:pPr>
            <w:r>
              <w:rPr>
                <w:szCs w:val="20"/>
              </w:rPr>
              <w:t>280</w:t>
            </w:r>
          </w:p>
        </w:tc>
        <w:tc>
          <w:tcPr>
            <w:tcW w:w="993"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280</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370</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307</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The 2013</w:t>
            </w:r>
            <w:r>
              <w:noBreakHyphen/>
              <w:t>14 expected outcome is lower than the 2013</w:t>
            </w:r>
            <w:r>
              <w:noBreakHyphen/>
              <w:t>14 target due to a decline in international visitor expenditure in regional Victoria as the growing visitation from the Eastern hemisphere markets does not typically disperse into regional Victoria.</w:t>
            </w:r>
          </w:p>
          <w:p w:rsidR="00A53D7D" w:rsidRDefault="00A53D7D" w:rsidP="005140B4">
            <w:pPr>
              <w:pStyle w:val="OGNotes"/>
            </w:pPr>
            <w:r w:rsidRPr="00E217E2">
              <w:t>The 2014</w:t>
            </w:r>
            <w:r>
              <w:noBreakHyphen/>
            </w:r>
            <w:r w:rsidRPr="00E217E2">
              <w:t>15 target is aligned to the long term trends for international visitor expenditure in regional Victoria and is consistent with the 2013</w:t>
            </w:r>
            <w:r>
              <w:noBreakHyphen/>
            </w:r>
            <w:r w:rsidRPr="00E217E2">
              <w:t>14 expected outcome.</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rPr>
                <w:sz w:val="16"/>
                <w:szCs w:val="16"/>
              </w:rPr>
            </w:pPr>
            <w:r>
              <w:t>Quality</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Value of media coverage generated: International</w:t>
            </w:r>
          </w:p>
        </w:tc>
        <w:tc>
          <w:tcPr>
            <w:tcW w:w="907" w:type="dxa"/>
            <w:shd w:val="clear" w:color="auto" w:fill="FFFFFF"/>
            <w:hideMark/>
          </w:tcPr>
          <w:p w:rsidR="00A53D7D" w:rsidRDefault="00A53D7D" w:rsidP="005140B4">
            <w:pPr>
              <w:pStyle w:val="OGUoM"/>
              <w:rPr>
                <w:sz w:val="18"/>
              </w:rPr>
            </w:pPr>
            <w:r>
              <w:rPr>
                <w:szCs w:val="20"/>
              </w:rPr>
              <w:t>$ million</w:t>
            </w:r>
          </w:p>
        </w:tc>
        <w:tc>
          <w:tcPr>
            <w:tcW w:w="907" w:type="dxa"/>
            <w:shd w:val="clear" w:color="auto" w:fill="D9D9D9"/>
            <w:hideMark/>
          </w:tcPr>
          <w:p w:rsidR="00A53D7D" w:rsidRDefault="00A53D7D" w:rsidP="005140B4">
            <w:pPr>
              <w:pStyle w:val="OGTableofFigures"/>
              <w:rPr>
                <w:sz w:val="18"/>
              </w:rPr>
            </w:pPr>
            <w:r>
              <w:rPr>
                <w:szCs w:val="20"/>
              </w:rPr>
              <w:t>40</w:t>
            </w:r>
          </w:p>
        </w:tc>
        <w:tc>
          <w:tcPr>
            <w:tcW w:w="993" w:type="dxa"/>
            <w:shd w:val="clear" w:color="auto" w:fill="FFFFFF"/>
            <w:hideMark/>
          </w:tcPr>
          <w:p w:rsidR="00A53D7D" w:rsidRDefault="00A53D7D" w:rsidP="005140B4">
            <w:pPr>
              <w:pStyle w:val="OGTableofFigures"/>
              <w:rPr>
                <w:sz w:val="18"/>
              </w:rPr>
            </w:pPr>
            <w:r>
              <w:rPr>
                <w:szCs w:val="20"/>
              </w:rPr>
              <w:t>50</w:t>
            </w:r>
          </w:p>
        </w:tc>
        <w:tc>
          <w:tcPr>
            <w:tcW w:w="907" w:type="dxa"/>
            <w:shd w:val="clear" w:color="auto" w:fill="FFFFFF"/>
            <w:hideMark/>
          </w:tcPr>
          <w:p w:rsidR="00A53D7D" w:rsidRDefault="00A53D7D" w:rsidP="005140B4">
            <w:pPr>
              <w:pStyle w:val="OGTableofFigures"/>
              <w:rPr>
                <w:sz w:val="18"/>
              </w:rPr>
            </w:pPr>
            <w:r>
              <w:rPr>
                <w:szCs w:val="20"/>
              </w:rPr>
              <w:t>40</w:t>
            </w:r>
          </w:p>
        </w:tc>
        <w:tc>
          <w:tcPr>
            <w:tcW w:w="907" w:type="dxa"/>
            <w:shd w:val="clear" w:color="auto" w:fill="FFFFFF"/>
            <w:hideMark/>
          </w:tcPr>
          <w:p w:rsidR="00A53D7D" w:rsidRDefault="00A53D7D" w:rsidP="005140B4">
            <w:pPr>
              <w:pStyle w:val="OGTableofFigures"/>
              <w:rPr>
                <w:sz w:val="18"/>
              </w:rPr>
            </w:pPr>
            <w:r>
              <w:rPr>
                <w:szCs w:val="20"/>
              </w:rPr>
              <w:t>44.46</w:t>
            </w:r>
          </w:p>
        </w:tc>
      </w:tr>
      <w:tr w:rsidR="00A53D7D" w:rsidTr="005140B4">
        <w:trPr>
          <w:cantSplit/>
        </w:trPr>
        <w:tc>
          <w:tcPr>
            <w:tcW w:w="7776" w:type="dxa"/>
            <w:gridSpan w:val="6"/>
            <w:tcBorders>
              <w:bottom w:val="single" w:sz="6" w:space="0" w:color="auto"/>
            </w:tcBorders>
            <w:shd w:val="clear" w:color="auto" w:fill="FFFFFF"/>
          </w:tcPr>
          <w:p w:rsidR="00A53D7D" w:rsidRPr="00015C4E" w:rsidRDefault="00A53D7D" w:rsidP="005140B4">
            <w:pPr>
              <w:pStyle w:val="OGNotes"/>
              <w:rPr>
                <w:sz w:val="18"/>
              </w:rPr>
            </w:pPr>
            <w:r w:rsidRPr="00087F46">
              <w:t>The 2013</w:t>
            </w:r>
            <w:r>
              <w:noBreakHyphen/>
            </w:r>
            <w:r w:rsidRPr="00087F46">
              <w:t>14 expected outcome is higher than the 2013</w:t>
            </w:r>
            <w:r>
              <w:noBreakHyphen/>
            </w:r>
            <w:r w:rsidRPr="00087F46">
              <w:t>14 target largely due to the Remote Control Tourist initiative that achieved widespread global coverage and a number of one</w:t>
            </w:r>
            <w:r>
              <w:noBreakHyphen/>
            </w:r>
            <w:r w:rsidRPr="00087F46">
              <w:t>off, high</w:t>
            </w:r>
            <w:r>
              <w:noBreakHyphen/>
            </w:r>
            <w:r w:rsidRPr="00087F46">
              <w:t>value broadcast opportunities in Korea and Japan.</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Value of media coverage generated: domestic</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 million</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20</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20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20</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20.5</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This measure reflects traditional media and does not measure the growing use of digital and social media.</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rPr>
                <w:sz w:val="16"/>
                <w:szCs w:val="16"/>
              </w:rPr>
            </w:pPr>
            <w:r>
              <w:rPr>
                <w:szCs w:val="20"/>
              </w:rPr>
              <w:t>Victoria's share of domestic tourism advertising awareness among target markets: interstate</w:t>
            </w:r>
          </w:p>
        </w:tc>
        <w:tc>
          <w:tcPr>
            <w:tcW w:w="907" w:type="dxa"/>
            <w:tcBorders>
              <w:top w:val="single" w:sz="6" w:space="0" w:color="auto"/>
            </w:tcBorders>
            <w:shd w:val="clear" w:color="auto" w:fill="FFFFFF"/>
            <w:hideMark/>
          </w:tcPr>
          <w:p w:rsidR="00A53D7D" w:rsidRDefault="00A53D7D" w:rsidP="005140B4">
            <w:pPr>
              <w:pStyle w:val="OGUoM"/>
              <w:rPr>
                <w:sz w:val="16"/>
                <w:szCs w:val="16"/>
              </w:rPr>
            </w:pPr>
            <w:r>
              <w:rPr>
                <w:szCs w:val="20"/>
              </w:rPr>
              <w:t>per cent</w:t>
            </w:r>
          </w:p>
        </w:tc>
        <w:tc>
          <w:tcPr>
            <w:tcW w:w="907" w:type="dxa"/>
            <w:tcBorders>
              <w:top w:val="single" w:sz="6" w:space="0" w:color="auto"/>
            </w:tcBorders>
            <w:shd w:val="clear" w:color="auto" w:fill="D9D9D9"/>
            <w:hideMark/>
          </w:tcPr>
          <w:p w:rsidR="00A53D7D" w:rsidRDefault="00A53D7D" w:rsidP="005140B4">
            <w:pPr>
              <w:pStyle w:val="OGTableofFigures"/>
              <w:rPr>
                <w:sz w:val="16"/>
                <w:szCs w:val="16"/>
              </w:rPr>
            </w:pPr>
            <w:r>
              <w:rPr>
                <w:szCs w:val="20"/>
              </w:rPr>
              <w:t>25</w:t>
            </w:r>
          </w:p>
        </w:tc>
        <w:tc>
          <w:tcPr>
            <w:tcW w:w="993"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25</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25</w:t>
            </w:r>
          </w:p>
        </w:tc>
        <w:tc>
          <w:tcPr>
            <w:tcW w:w="907" w:type="dxa"/>
            <w:tcBorders>
              <w:top w:val="single" w:sz="6" w:space="0" w:color="auto"/>
            </w:tcBorders>
            <w:shd w:val="clear" w:color="auto" w:fill="FFFFFF"/>
            <w:hideMark/>
          </w:tcPr>
          <w:p w:rsidR="00A53D7D" w:rsidRDefault="00A53D7D" w:rsidP="005140B4">
            <w:pPr>
              <w:pStyle w:val="OGTableofFigures"/>
              <w:rPr>
                <w:sz w:val="16"/>
                <w:szCs w:val="16"/>
              </w:rPr>
            </w:pPr>
            <w:r>
              <w:rPr>
                <w:szCs w:val="20"/>
              </w:rPr>
              <w:t>26</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This measure reflects traditional media and does not measure the growing use of digital and social media.</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Text"/>
              <w:keepNext/>
              <w:rPr>
                <w:sz w:val="16"/>
                <w:szCs w:val="16"/>
              </w:rPr>
            </w:pPr>
            <w:r>
              <w:rPr>
                <w:szCs w:val="20"/>
              </w:rPr>
              <w:t>Victoria's share of domestic tourism advertising awareness among target markets: intrastate</w:t>
            </w:r>
          </w:p>
        </w:tc>
        <w:tc>
          <w:tcPr>
            <w:tcW w:w="907" w:type="dxa"/>
            <w:tcBorders>
              <w:top w:val="single" w:sz="6" w:space="0" w:color="auto"/>
            </w:tcBorders>
            <w:shd w:val="clear" w:color="auto" w:fill="FFFFFF"/>
            <w:hideMark/>
          </w:tcPr>
          <w:p w:rsidR="00A53D7D" w:rsidRDefault="00A53D7D" w:rsidP="005140B4">
            <w:pPr>
              <w:pStyle w:val="OGUoM"/>
              <w:keepNext/>
              <w:rPr>
                <w:sz w:val="16"/>
                <w:szCs w:val="16"/>
              </w:rPr>
            </w:pPr>
            <w:r>
              <w:rPr>
                <w:szCs w:val="20"/>
              </w:rPr>
              <w:t>per cent</w:t>
            </w:r>
          </w:p>
        </w:tc>
        <w:tc>
          <w:tcPr>
            <w:tcW w:w="907" w:type="dxa"/>
            <w:tcBorders>
              <w:top w:val="single" w:sz="6" w:space="0" w:color="auto"/>
            </w:tcBorders>
            <w:shd w:val="clear" w:color="auto" w:fill="D9D9D9"/>
            <w:hideMark/>
          </w:tcPr>
          <w:p w:rsidR="00A53D7D" w:rsidRDefault="00A53D7D" w:rsidP="005140B4">
            <w:pPr>
              <w:pStyle w:val="OGTableofFigures"/>
              <w:keepNext/>
              <w:rPr>
                <w:sz w:val="16"/>
                <w:szCs w:val="16"/>
              </w:rPr>
            </w:pPr>
            <w:r>
              <w:rPr>
                <w:szCs w:val="20"/>
              </w:rPr>
              <w:t>16</w:t>
            </w:r>
          </w:p>
        </w:tc>
        <w:tc>
          <w:tcPr>
            <w:tcW w:w="993"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16</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16</w:t>
            </w:r>
          </w:p>
        </w:tc>
        <w:tc>
          <w:tcPr>
            <w:tcW w:w="907" w:type="dxa"/>
            <w:tcBorders>
              <w:top w:val="single" w:sz="6" w:space="0" w:color="auto"/>
            </w:tcBorders>
            <w:shd w:val="clear" w:color="auto" w:fill="FFFFFF"/>
            <w:hideMark/>
          </w:tcPr>
          <w:p w:rsidR="00A53D7D" w:rsidRDefault="00A53D7D" w:rsidP="005140B4">
            <w:pPr>
              <w:pStyle w:val="OGTableofFigures"/>
              <w:keepNext/>
              <w:rPr>
                <w:sz w:val="16"/>
                <w:szCs w:val="16"/>
              </w:rPr>
            </w:pPr>
            <w:r>
              <w:rPr>
                <w:szCs w:val="20"/>
              </w:rPr>
              <w:t>16</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t>This measure reflects traditional media and does not measure the growing use of digital and social media.</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rPr>
                <w:sz w:val="16"/>
                <w:szCs w:val="16"/>
              </w:rPr>
            </w:pPr>
            <w:r>
              <w:t>Cost</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Pr="00A71EE0" w:rsidRDefault="00A53D7D" w:rsidP="005140B4">
            <w:pPr>
              <w:pStyle w:val="OGTabText"/>
              <w:rPr>
                <w:szCs w:val="20"/>
              </w:rPr>
            </w:pPr>
            <w:r>
              <w:rPr>
                <w:szCs w:val="20"/>
              </w:rPr>
              <w:t>Total output cost</w:t>
            </w:r>
          </w:p>
        </w:tc>
        <w:tc>
          <w:tcPr>
            <w:tcW w:w="907" w:type="dxa"/>
            <w:shd w:val="clear" w:color="auto" w:fill="FFFFFF"/>
            <w:hideMark/>
          </w:tcPr>
          <w:p w:rsidR="00A53D7D" w:rsidRPr="00A71EE0" w:rsidRDefault="00A53D7D" w:rsidP="005140B4">
            <w:pPr>
              <w:pStyle w:val="OGUoM"/>
              <w:rPr>
                <w:szCs w:val="20"/>
              </w:rPr>
            </w:pPr>
            <w:r>
              <w:rPr>
                <w:szCs w:val="20"/>
              </w:rPr>
              <w:t>number (million)</w:t>
            </w:r>
          </w:p>
        </w:tc>
        <w:tc>
          <w:tcPr>
            <w:tcW w:w="907" w:type="dxa"/>
            <w:shd w:val="clear" w:color="auto" w:fill="D9D9D9" w:themeFill="background1" w:themeFillShade="D9"/>
            <w:hideMark/>
          </w:tcPr>
          <w:p w:rsidR="00A53D7D" w:rsidRPr="00E228D2" w:rsidRDefault="00A53D7D" w:rsidP="005140B4">
            <w:pPr>
              <w:pStyle w:val="OGTableofFigures"/>
              <w:rPr>
                <w:szCs w:val="20"/>
              </w:rPr>
            </w:pPr>
            <w:r w:rsidRPr="00E228D2">
              <w:rPr>
                <w:szCs w:val="20"/>
              </w:rPr>
              <w:t>96.6</w:t>
            </w:r>
          </w:p>
        </w:tc>
        <w:tc>
          <w:tcPr>
            <w:tcW w:w="993" w:type="dxa"/>
            <w:shd w:val="clear" w:color="auto" w:fill="auto"/>
            <w:hideMark/>
          </w:tcPr>
          <w:p w:rsidR="00A53D7D" w:rsidRDefault="00A53D7D" w:rsidP="005140B4">
            <w:pPr>
              <w:pStyle w:val="OGTableofFigures"/>
              <w:rPr>
                <w:sz w:val="18"/>
              </w:rPr>
            </w:pPr>
            <w:r>
              <w:rPr>
                <w:szCs w:val="20"/>
              </w:rPr>
              <w:t>149.6</w:t>
            </w:r>
          </w:p>
        </w:tc>
        <w:tc>
          <w:tcPr>
            <w:tcW w:w="907" w:type="dxa"/>
            <w:shd w:val="clear" w:color="auto" w:fill="FFFFFF"/>
            <w:hideMark/>
          </w:tcPr>
          <w:p w:rsidR="00A53D7D" w:rsidRDefault="00A53D7D" w:rsidP="005140B4">
            <w:pPr>
              <w:pStyle w:val="OGTableofFigures"/>
              <w:rPr>
                <w:sz w:val="18"/>
              </w:rPr>
            </w:pPr>
            <w:r>
              <w:rPr>
                <w:szCs w:val="20"/>
              </w:rPr>
              <w:t>82.7</w:t>
            </w:r>
          </w:p>
        </w:tc>
        <w:tc>
          <w:tcPr>
            <w:tcW w:w="907" w:type="dxa"/>
            <w:shd w:val="clear" w:color="auto" w:fill="FFFFFF"/>
            <w:hideMark/>
          </w:tcPr>
          <w:p w:rsidR="00A53D7D" w:rsidRDefault="00A53D7D" w:rsidP="005140B4">
            <w:pPr>
              <w:pStyle w:val="OGTableofFigures"/>
              <w:rPr>
                <w:sz w:val="18"/>
              </w:rPr>
            </w:pPr>
            <w:r>
              <w:rPr>
                <w:szCs w:val="20"/>
              </w:rPr>
              <w:t>161.4</w:t>
            </w:r>
          </w:p>
        </w:tc>
      </w:tr>
      <w:tr w:rsidR="00A53D7D" w:rsidTr="005140B4">
        <w:trPr>
          <w:cantSplit/>
        </w:trPr>
        <w:tc>
          <w:tcPr>
            <w:tcW w:w="7776" w:type="dxa"/>
            <w:gridSpan w:val="6"/>
            <w:tcBorders>
              <w:bottom w:val="single" w:sz="6" w:space="0" w:color="auto"/>
            </w:tcBorders>
            <w:shd w:val="clear" w:color="auto" w:fill="FFFFFF"/>
          </w:tcPr>
          <w:p w:rsidR="00A53D7D" w:rsidRDefault="00A53D7D" w:rsidP="005140B4">
            <w:pPr>
              <w:pStyle w:val="OGNotes"/>
            </w:pPr>
            <w:r w:rsidRPr="003E2502">
              <w:t>Variation between 2013</w:t>
            </w:r>
            <w:r>
              <w:noBreakHyphen/>
            </w:r>
            <w:r w:rsidRPr="003E2502">
              <w:t>14 target and 2014</w:t>
            </w:r>
            <w:r>
              <w:noBreakHyphen/>
            </w:r>
            <w:r w:rsidRPr="003E2502">
              <w:t xml:space="preserve">15 </w:t>
            </w:r>
            <w:r>
              <w:t>t</w:t>
            </w:r>
            <w:r w:rsidRPr="003E2502">
              <w:t xml:space="preserve">arget reflects new funding for Business events, Melbourne marketing, Air services </w:t>
            </w:r>
            <w:proofErr w:type="gramStart"/>
            <w:r w:rsidRPr="003E2502">
              <w:t>attraction</w:t>
            </w:r>
            <w:proofErr w:type="gramEnd"/>
            <w:r w:rsidRPr="003E2502">
              <w:t xml:space="preserve"> and Regional tourism.</w:t>
            </w:r>
          </w:p>
          <w:p w:rsidR="00A53D7D" w:rsidRDefault="00A53D7D" w:rsidP="005140B4">
            <w:pPr>
              <w:pStyle w:val="OGNotes"/>
            </w:pPr>
            <w:r>
              <w:t>Variation between 2013</w:t>
            </w:r>
            <w:r>
              <w:noBreakHyphen/>
              <w:t>14 target and 2013</w:t>
            </w:r>
            <w:r>
              <w:noBreakHyphen/>
              <w:t>14 expected outcome reflects additional funding received for Major Events.</w:t>
            </w:r>
          </w:p>
        </w:tc>
      </w:tr>
      <w:tr w:rsidR="00A53D7D" w:rsidTr="005140B4">
        <w:trPr>
          <w:cantSplit/>
        </w:trPr>
        <w:tc>
          <w:tcPr>
            <w:tcW w:w="7776" w:type="dxa"/>
            <w:gridSpan w:val="6"/>
            <w:tcBorders>
              <w:top w:val="single" w:sz="6" w:space="0" w:color="auto"/>
            </w:tcBorders>
            <w:shd w:val="clear" w:color="auto" w:fill="FFFFFF"/>
          </w:tcPr>
          <w:p w:rsidR="00A53D7D" w:rsidRPr="00015C4E" w:rsidRDefault="00A53D7D" w:rsidP="005140B4">
            <w:pPr>
              <w:pStyle w:val="OGHeading2"/>
              <w:rPr>
                <w:sz w:val="18"/>
              </w:rPr>
            </w:pPr>
            <w:r>
              <w:t>Trade and Export Facilitation</w:t>
            </w:r>
          </w:p>
        </w:tc>
      </w:tr>
      <w:tr w:rsidR="00A53D7D" w:rsidTr="005140B4">
        <w:trPr>
          <w:cantSplit/>
        </w:trPr>
        <w:tc>
          <w:tcPr>
            <w:tcW w:w="7776" w:type="dxa"/>
            <w:gridSpan w:val="6"/>
            <w:tcBorders>
              <w:bottom w:val="single" w:sz="6" w:space="0" w:color="auto"/>
            </w:tcBorders>
            <w:shd w:val="clear" w:color="auto" w:fill="FFFFFF"/>
          </w:tcPr>
          <w:p w:rsidR="00A53D7D" w:rsidRPr="00015C4E" w:rsidRDefault="00A53D7D" w:rsidP="005140B4">
            <w:pPr>
              <w:pStyle w:val="OGText"/>
              <w:rPr>
                <w:sz w:val="18"/>
              </w:rPr>
            </w:pPr>
            <w:r>
              <w:t>Promotes business growth opportunities by providing development assistance and facilitation services to support increased productivity and competitiveness.</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Quantity</w:t>
            </w:r>
          </w:p>
        </w:tc>
        <w:tc>
          <w:tcPr>
            <w:tcW w:w="907" w:type="dxa"/>
            <w:tcBorders>
              <w:top w:val="single" w:sz="6" w:space="0" w:color="auto"/>
            </w:tcBorders>
            <w:shd w:val="clear" w:color="auto" w:fill="FFFFFF"/>
          </w:tcPr>
          <w:p w:rsidR="00A53D7D" w:rsidRDefault="00A53D7D" w:rsidP="005140B4">
            <w:pPr>
              <w:pStyle w:val="OGUoM"/>
              <w:keepNext/>
              <w:rPr>
                <w:szCs w:val="20"/>
              </w:rPr>
            </w:pPr>
          </w:p>
        </w:tc>
        <w:tc>
          <w:tcPr>
            <w:tcW w:w="907" w:type="dxa"/>
            <w:tcBorders>
              <w:top w:val="single" w:sz="6" w:space="0" w:color="auto"/>
            </w:tcBorders>
            <w:shd w:val="clear" w:color="auto" w:fill="D9D9D9"/>
          </w:tcPr>
          <w:p w:rsidR="00A53D7D" w:rsidRDefault="00A53D7D" w:rsidP="005140B4">
            <w:pPr>
              <w:pStyle w:val="OGTableofFigures"/>
              <w:keepNext/>
              <w:rPr>
                <w:szCs w:val="20"/>
              </w:rPr>
            </w:pPr>
          </w:p>
        </w:tc>
        <w:tc>
          <w:tcPr>
            <w:tcW w:w="993" w:type="dxa"/>
            <w:tcBorders>
              <w:top w:val="single" w:sz="6" w:space="0" w:color="auto"/>
            </w:tcBorders>
            <w:shd w:val="clear" w:color="auto" w:fill="FFFFFF"/>
          </w:tcPr>
          <w:p w:rsidR="00A53D7D" w:rsidRDefault="00A53D7D" w:rsidP="005140B4">
            <w:pPr>
              <w:pStyle w:val="OGTableofFigures"/>
              <w:keepNext/>
              <w:rPr>
                <w:szCs w:val="20"/>
              </w:rPr>
            </w:pPr>
          </w:p>
        </w:tc>
        <w:tc>
          <w:tcPr>
            <w:tcW w:w="907" w:type="dxa"/>
            <w:tcBorders>
              <w:top w:val="single" w:sz="6" w:space="0" w:color="auto"/>
            </w:tcBorders>
            <w:shd w:val="clear" w:color="auto" w:fill="FFFFFF"/>
          </w:tcPr>
          <w:p w:rsidR="00A53D7D" w:rsidRDefault="00A53D7D" w:rsidP="005140B4">
            <w:pPr>
              <w:pStyle w:val="OGTableofFigures"/>
              <w:keepNext/>
              <w:rPr>
                <w:szCs w:val="20"/>
              </w:rPr>
            </w:pPr>
          </w:p>
        </w:tc>
        <w:tc>
          <w:tcPr>
            <w:tcW w:w="907" w:type="dxa"/>
            <w:tcBorders>
              <w:top w:val="single" w:sz="6" w:space="0" w:color="auto"/>
            </w:tcBorders>
            <w:shd w:val="clear" w:color="auto" w:fill="FFFFFF"/>
          </w:tcPr>
          <w:p w:rsidR="00A53D7D" w:rsidRDefault="00A53D7D" w:rsidP="005140B4">
            <w:pPr>
              <w:pStyle w:val="OGTableofFigures"/>
              <w:keepNext/>
              <w:rPr>
                <w:szCs w:val="20"/>
              </w:rPr>
            </w:pPr>
          </w:p>
        </w:tc>
      </w:tr>
      <w:tr w:rsidR="00A53D7D" w:rsidTr="005140B4">
        <w:trPr>
          <w:cantSplit/>
        </w:trPr>
        <w:tc>
          <w:tcPr>
            <w:tcW w:w="3155" w:type="dxa"/>
            <w:shd w:val="clear" w:color="auto" w:fill="FFFFFF"/>
            <w:hideMark/>
          </w:tcPr>
          <w:p w:rsidR="00A53D7D" w:rsidRDefault="00A53D7D" w:rsidP="005140B4">
            <w:pPr>
              <w:pStyle w:val="OGTabText"/>
              <w:keepNext/>
              <w:rPr>
                <w:sz w:val="18"/>
              </w:rPr>
            </w:pPr>
            <w:r>
              <w:rPr>
                <w:szCs w:val="20"/>
              </w:rPr>
              <w:t>Businesses participating in export programs</w:t>
            </w:r>
          </w:p>
        </w:tc>
        <w:tc>
          <w:tcPr>
            <w:tcW w:w="907" w:type="dxa"/>
            <w:shd w:val="clear" w:color="auto" w:fill="FFFFFF"/>
            <w:hideMark/>
          </w:tcPr>
          <w:p w:rsidR="00A53D7D" w:rsidRDefault="00A53D7D" w:rsidP="005140B4">
            <w:pPr>
              <w:pStyle w:val="OGUoM"/>
              <w:keepNext/>
              <w:rPr>
                <w:sz w:val="18"/>
              </w:rPr>
            </w:pPr>
            <w:r>
              <w:rPr>
                <w:szCs w:val="20"/>
              </w:rPr>
              <w:t>number</w:t>
            </w:r>
          </w:p>
        </w:tc>
        <w:tc>
          <w:tcPr>
            <w:tcW w:w="907" w:type="dxa"/>
            <w:shd w:val="clear" w:color="auto" w:fill="D9D9D9"/>
            <w:hideMark/>
          </w:tcPr>
          <w:p w:rsidR="00A53D7D" w:rsidRDefault="00A53D7D" w:rsidP="005140B4">
            <w:pPr>
              <w:pStyle w:val="OGTableofFigures"/>
              <w:keepNext/>
              <w:rPr>
                <w:sz w:val="18"/>
              </w:rPr>
            </w:pPr>
            <w:r>
              <w:rPr>
                <w:szCs w:val="20"/>
              </w:rPr>
              <w:t>2 420</w:t>
            </w:r>
          </w:p>
        </w:tc>
        <w:tc>
          <w:tcPr>
            <w:tcW w:w="993" w:type="dxa"/>
            <w:shd w:val="clear" w:color="auto" w:fill="FFFFFF"/>
            <w:hideMark/>
          </w:tcPr>
          <w:p w:rsidR="00A53D7D" w:rsidRDefault="00A53D7D" w:rsidP="005140B4">
            <w:pPr>
              <w:pStyle w:val="OGTableofFigures"/>
              <w:keepNext/>
              <w:rPr>
                <w:sz w:val="18"/>
              </w:rPr>
            </w:pPr>
            <w:r>
              <w:rPr>
                <w:szCs w:val="20"/>
              </w:rPr>
              <w:t>2 400</w:t>
            </w:r>
          </w:p>
        </w:tc>
        <w:tc>
          <w:tcPr>
            <w:tcW w:w="907" w:type="dxa"/>
            <w:shd w:val="clear" w:color="auto" w:fill="FFFFFF"/>
            <w:hideMark/>
          </w:tcPr>
          <w:p w:rsidR="00A53D7D" w:rsidRDefault="00A53D7D" w:rsidP="005140B4">
            <w:pPr>
              <w:pStyle w:val="OGTableofFigures"/>
              <w:keepNext/>
              <w:rPr>
                <w:sz w:val="18"/>
              </w:rPr>
            </w:pPr>
            <w:r>
              <w:rPr>
                <w:szCs w:val="20"/>
              </w:rPr>
              <w:t>2 400</w:t>
            </w:r>
          </w:p>
        </w:tc>
        <w:tc>
          <w:tcPr>
            <w:tcW w:w="907" w:type="dxa"/>
            <w:shd w:val="clear" w:color="auto" w:fill="FFFFFF"/>
            <w:hideMark/>
          </w:tcPr>
          <w:p w:rsidR="00A53D7D" w:rsidRDefault="00A53D7D" w:rsidP="005140B4">
            <w:pPr>
              <w:pStyle w:val="OGTableofFigures"/>
              <w:keepNext/>
              <w:rPr>
                <w:sz w:val="18"/>
              </w:rPr>
            </w:pPr>
            <w:r>
              <w:rPr>
                <w:szCs w:val="20"/>
              </w:rPr>
              <w:t>2 685</w:t>
            </w:r>
          </w:p>
        </w:tc>
      </w:tr>
      <w:tr w:rsidR="00A53D7D" w:rsidTr="005140B4">
        <w:trPr>
          <w:cantSplit/>
        </w:trPr>
        <w:tc>
          <w:tcPr>
            <w:tcW w:w="7776" w:type="dxa"/>
            <w:gridSpan w:val="6"/>
            <w:tcBorders>
              <w:bottom w:val="single" w:sz="6" w:space="0" w:color="auto"/>
            </w:tcBorders>
            <w:shd w:val="clear" w:color="auto" w:fill="FFFFFF"/>
          </w:tcPr>
          <w:p w:rsidR="00A53D7D" w:rsidRPr="00015C4E" w:rsidRDefault="00A53D7D" w:rsidP="005140B4">
            <w:pPr>
              <w:pStyle w:val="OGNotes"/>
              <w:rPr>
                <w:sz w:val="18"/>
              </w:rPr>
            </w:pPr>
            <w:r w:rsidRPr="00087F46">
              <w:t>The higher 2014</w:t>
            </w:r>
            <w:r>
              <w:noBreakHyphen/>
            </w:r>
            <w:r w:rsidRPr="00087F46">
              <w:t>15 target</w:t>
            </w:r>
            <w:r>
              <w:t xml:space="preserve"> </w:t>
            </w:r>
            <w:r w:rsidRPr="00087F46">
              <w:t>reflects additional funding for the Milan Expo which will take place in 2015.</w:t>
            </w:r>
            <w:r>
              <w:t xml:space="preserve"> </w:t>
            </w:r>
          </w:p>
        </w:tc>
      </w:tr>
      <w:tr w:rsidR="00A53D7D" w:rsidTr="005140B4">
        <w:trPr>
          <w:cantSplit/>
        </w:trPr>
        <w:tc>
          <w:tcPr>
            <w:tcW w:w="3155" w:type="dxa"/>
            <w:tcBorders>
              <w:top w:val="single" w:sz="6" w:space="0" w:color="auto"/>
              <w:bottom w:val="single" w:sz="6" w:space="0" w:color="auto"/>
            </w:tcBorders>
            <w:shd w:val="clear" w:color="auto" w:fill="FFFFFF"/>
            <w:hideMark/>
          </w:tcPr>
          <w:p w:rsidR="00A53D7D" w:rsidRDefault="00A53D7D" w:rsidP="005140B4">
            <w:pPr>
              <w:pStyle w:val="OGTabText"/>
              <w:rPr>
                <w:sz w:val="16"/>
                <w:szCs w:val="16"/>
              </w:rPr>
            </w:pPr>
            <w:r>
              <w:rPr>
                <w:szCs w:val="20"/>
              </w:rPr>
              <w:t>New exports facilitated in regional Victoria</w:t>
            </w:r>
          </w:p>
        </w:tc>
        <w:tc>
          <w:tcPr>
            <w:tcW w:w="907" w:type="dxa"/>
            <w:tcBorders>
              <w:top w:val="single" w:sz="6" w:space="0" w:color="auto"/>
              <w:bottom w:val="single" w:sz="6" w:space="0" w:color="auto"/>
            </w:tcBorders>
            <w:shd w:val="clear" w:color="auto" w:fill="FFFFFF"/>
            <w:hideMark/>
          </w:tcPr>
          <w:p w:rsidR="00A53D7D" w:rsidRDefault="00A53D7D" w:rsidP="005140B4">
            <w:pPr>
              <w:pStyle w:val="OGUoM"/>
              <w:rPr>
                <w:sz w:val="16"/>
                <w:szCs w:val="16"/>
              </w:rPr>
            </w:pPr>
            <w:r>
              <w:rPr>
                <w:szCs w:val="20"/>
              </w:rPr>
              <w:t>$ million</w:t>
            </w:r>
          </w:p>
        </w:tc>
        <w:tc>
          <w:tcPr>
            <w:tcW w:w="907" w:type="dxa"/>
            <w:tcBorders>
              <w:top w:val="single" w:sz="6" w:space="0" w:color="auto"/>
              <w:bottom w:val="single" w:sz="6" w:space="0" w:color="auto"/>
            </w:tcBorders>
            <w:shd w:val="clear" w:color="auto" w:fill="D9D9D9"/>
            <w:hideMark/>
          </w:tcPr>
          <w:p w:rsidR="00A53D7D" w:rsidRDefault="00A53D7D" w:rsidP="005140B4">
            <w:pPr>
              <w:pStyle w:val="OGTableofFigures"/>
              <w:rPr>
                <w:sz w:val="16"/>
                <w:szCs w:val="16"/>
              </w:rPr>
            </w:pPr>
            <w:r>
              <w:rPr>
                <w:szCs w:val="20"/>
              </w:rPr>
              <w:t>225</w:t>
            </w:r>
          </w:p>
        </w:tc>
        <w:tc>
          <w:tcPr>
            <w:tcW w:w="993"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225</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225</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308</w:t>
            </w:r>
          </w:p>
        </w:tc>
      </w:tr>
      <w:tr w:rsidR="00A53D7D" w:rsidTr="005140B4">
        <w:trPr>
          <w:cantSplit/>
        </w:trPr>
        <w:tc>
          <w:tcPr>
            <w:tcW w:w="3155" w:type="dxa"/>
            <w:tcBorders>
              <w:top w:val="single" w:sz="6" w:space="0" w:color="auto"/>
              <w:bottom w:val="single" w:sz="6" w:space="0" w:color="auto"/>
            </w:tcBorders>
            <w:shd w:val="clear" w:color="auto" w:fill="FFFFFF"/>
            <w:hideMark/>
          </w:tcPr>
          <w:p w:rsidR="00A53D7D" w:rsidRDefault="00A53D7D" w:rsidP="005140B4">
            <w:pPr>
              <w:pStyle w:val="OGTabText"/>
              <w:rPr>
                <w:sz w:val="16"/>
                <w:szCs w:val="16"/>
              </w:rPr>
            </w:pPr>
            <w:r>
              <w:rPr>
                <w:szCs w:val="20"/>
              </w:rPr>
              <w:t>Value of exports facilitated and imports replaced</w:t>
            </w:r>
          </w:p>
        </w:tc>
        <w:tc>
          <w:tcPr>
            <w:tcW w:w="907" w:type="dxa"/>
            <w:tcBorders>
              <w:top w:val="single" w:sz="6" w:space="0" w:color="auto"/>
              <w:bottom w:val="single" w:sz="6" w:space="0" w:color="auto"/>
            </w:tcBorders>
            <w:shd w:val="clear" w:color="auto" w:fill="FFFFFF"/>
            <w:hideMark/>
          </w:tcPr>
          <w:p w:rsidR="00A53D7D" w:rsidRDefault="00A53D7D" w:rsidP="005140B4">
            <w:pPr>
              <w:pStyle w:val="OGUoM"/>
              <w:rPr>
                <w:sz w:val="16"/>
                <w:szCs w:val="16"/>
              </w:rPr>
            </w:pPr>
            <w:r>
              <w:rPr>
                <w:szCs w:val="20"/>
              </w:rPr>
              <w:t>$ million</w:t>
            </w:r>
          </w:p>
        </w:tc>
        <w:tc>
          <w:tcPr>
            <w:tcW w:w="907" w:type="dxa"/>
            <w:tcBorders>
              <w:top w:val="single" w:sz="6" w:space="0" w:color="auto"/>
              <w:bottom w:val="single" w:sz="6" w:space="0" w:color="auto"/>
            </w:tcBorders>
            <w:shd w:val="clear" w:color="auto" w:fill="D9D9D9"/>
            <w:hideMark/>
          </w:tcPr>
          <w:p w:rsidR="00A53D7D" w:rsidRDefault="00A53D7D" w:rsidP="005140B4">
            <w:pPr>
              <w:pStyle w:val="OGTableofFigures"/>
              <w:rPr>
                <w:sz w:val="16"/>
                <w:szCs w:val="16"/>
              </w:rPr>
            </w:pPr>
            <w:r>
              <w:rPr>
                <w:szCs w:val="20"/>
              </w:rPr>
              <w:t>1 500</w:t>
            </w:r>
          </w:p>
        </w:tc>
        <w:tc>
          <w:tcPr>
            <w:tcW w:w="993"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1 500</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1 500</w:t>
            </w:r>
          </w:p>
        </w:tc>
        <w:tc>
          <w:tcPr>
            <w:tcW w:w="907" w:type="dxa"/>
            <w:tcBorders>
              <w:top w:val="single" w:sz="6" w:space="0" w:color="auto"/>
              <w:bottom w:val="single" w:sz="6" w:space="0" w:color="auto"/>
            </w:tcBorders>
            <w:shd w:val="clear" w:color="auto" w:fill="FFFFFF"/>
            <w:hideMark/>
          </w:tcPr>
          <w:p w:rsidR="00A53D7D" w:rsidRDefault="00A53D7D" w:rsidP="005140B4">
            <w:pPr>
              <w:pStyle w:val="OGTableofFigures"/>
              <w:rPr>
                <w:sz w:val="16"/>
                <w:szCs w:val="16"/>
              </w:rPr>
            </w:pPr>
            <w:r>
              <w:rPr>
                <w:szCs w:val="20"/>
              </w:rPr>
              <w:t>1 551</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pPr>
            <w:r>
              <w:t>Quality</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Client satisfaction with export assistance offered</w:t>
            </w:r>
          </w:p>
        </w:tc>
        <w:tc>
          <w:tcPr>
            <w:tcW w:w="907" w:type="dxa"/>
            <w:shd w:val="clear" w:color="auto" w:fill="FFFFFF"/>
            <w:hideMark/>
          </w:tcPr>
          <w:p w:rsidR="00A53D7D" w:rsidRDefault="00A53D7D" w:rsidP="005140B4">
            <w:pPr>
              <w:pStyle w:val="OGUoM"/>
              <w:rPr>
                <w:sz w:val="18"/>
              </w:rPr>
            </w:pPr>
            <w:r>
              <w:rPr>
                <w:szCs w:val="20"/>
              </w:rPr>
              <w:t>per cent</w:t>
            </w:r>
          </w:p>
        </w:tc>
        <w:tc>
          <w:tcPr>
            <w:tcW w:w="907" w:type="dxa"/>
            <w:shd w:val="clear" w:color="auto" w:fill="D9D9D9"/>
            <w:hideMark/>
          </w:tcPr>
          <w:p w:rsidR="00A53D7D" w:rsidRDefault="00A53D7D" w:rsidP="005140B4">
            <w:pPr>
              <w:pStyle w:val="OGTableofFigures"/>
              <w:rPr>
                <w:sz w:val="18"/>
              </w:rPr>
            </w:pPr>
            <w:r>
              <w:rPr>
                <w:szCs w:val="20"/>
              </w:rPr>
              <w:t>85</w:t>
            </w:r>
          </w:p>
        </w:tc>
        <w:tc>
          <w:tcPr>
            <w:tcW w:w="993" w:type="dxa"/>
            <w:shd w:val="clear" w:color="auto" w:fill="FFFFFF"/>
            <w:hideMark/>
          </w:tcPr>
          <w:p w:rsidR="00A53D7D" w:rsidRDefault="00A53D7D" w:rsidP="005140B4">
            <w:pPr>
              <w:pStyle w:val="OGTableofFigures"/>
              <w:rPr>
                <w:sz w:val="18"/>
              </w:rPr>
            </w:pPr>
            <w:r>
              <w:rPr>
                <w:szCs w:val="20"/>
              </w:rPr>
              <w:t>96</w:t>
            </w:r>
          </w:p>
        </w:tc>
        <w:tc>
          <w:tcPr>
            <w:tcW w:w="907" w:type="dxa"/>
            <w:shd w:val="clear" w:color="auto" w:fill="FFFFFF"/>
            <w:hideMark/>
          </w:tcPr>
          <w:p w:rsidR="00A53D7D" w:rsidRDefault="00A53D7D" w:rsidP="005140B4">
            <w:pPr>
              <w:pStyle w:val="OGTableofFigures"/>
              <w:rPr>
                <w:sz w:val="18"/>
              </w:rPr>
            </w:pPr>
            <w:r>
              <w:rPr>
                <w:szCs w:val="20"/>
              </w:rPr>
              <w:t>85</w:t>
            </w:r>
          </w:p>
        </w:tc>
        <w:tc>
          <w:tcPr>
            <w:tcW w:w="907" w:type="dxa"/>
            <w:shd w:val="clear" w:color="auto" w:fill="FFFFFF"/>
            <w:hideMark/>
          </w:tcPr>
          <w:p w:rsidR="00A53D7D" w:rsidRDefault="00A53D7D" w:rsidP="005140B4">
            <w:pPr>
              <w:pStyle w:val="OGTableofFigures"/>
              <w:rPr>
                <w:sz w:val="18"/>
              </w:rPr>
            </w:pPr>
            <w:r>
              <w:rPr>
                <w:szCs w:val="20"/>
              </w:rPr>
              <w:t>95.8</w:t>
            </w:r>
          </w:p>
        </w:tc>
      </w:tr>
      <w:tr w:rsidR="00A53D7D" w:rsidTr="005140B4">
        <w:trPr>
          <w:cantSplit/>
        </w:trPr>
        <w:tc>
          <w:tcPr>
            <w:tcW w:w="7776" w:type="dxa"/>
            <w:gridSpan w:val="6"/>
            <w:tcBorders>
              <w:bottom w:val="single" w:sz="6" w:space="0" w:color="auto"/>
            </w:tcBorders>
            <w:shd w:val="clear" w:color="auto" w:fill="FFFFFF"/>
          </w:tcPr>
          <w:p w:rsidR="00A53D7D" w:rsidRPr="00015C4E" w:rsidRDefault="00A53D7D" w:rsidP="005140B4">
            <w:pPr>
              <w:pStyle w:val="OGNotes"/>
              <w:rPr>
                <w:sz w:val="18"/>
              </w:rPr>
            </w:pPr>
            <w:r w:rsidRPr="00087F46">
              <w:t>The 2013</w:t>
            </w:r>
            <w:r>
              <w:noBreakHyphen/>
            </w:r>
            <w:r w:rsidRPr="00087F46">
              <w:t>14 expected outcome is higher than the 2013</w:t>
            </w:r>
            <w:r>
              <w:noBreakHyphen/>
            </w:r>
            <w:r w:rsidRPr="00087F46">
              <w:t>14 target due to high levels of satisfaction with both the services provided by the Department and the outcomes from program participation.</w:t>
            </w:r>
          </w:p>
        </w:tc>
      </w:tr>
      <w:tr w:rsidR="00A53D7D" w:rsidTr="005140B4">
        <w:trPr>
          <w:cantSplit/>
        </w:trPr>
        <w:tc>
          <w:tcPr>
            <w:tcW w:w="3155" w:type="dxa"/>
            <w:tcBorders>
              <w:top w:val="single" w:sz="6" w:space="0" w:color="auto"/>
            </w:tcBorders>
            <w:shd w:val="clear" w:color="auto" w:fill="FFFFFF"/>
            <w:hideMark/>
          </w:tcPr>
          <w:p w:rsidR="00A53D7D" w:rsidRDefault="00A53D7D" w:rsidP="005140B4">
            <w:pPr>
              <w:pStyle w:val="OGTabHead"/>
              <w:rPr>
                <w:sz w:val="16"/>
                <w:szCs w:val="16"/>
              </w:rPr>
            </w:pPr>
            <w:r>
              <w:t>Cost</w:t>
            </w:r>
          </w:p>
        </w:tc>
        <w:tc>
          <w:tcPr>
            <w:tcW w:w="907" w:type="dxa"/>
            <w:tcBorders>
              <w:top w:val="single" w:sz="6" w:space="0" w:color="auto"/>
            </w:tcBorders>
            <w:shd w:val="clear" w:color="auto" w:fill="FFFFFF"/>
          </w:tcPr>
          <w:p w:rsidR="00A53D7D" w:rsidRDefault="00A53D7D" w:rsidP="005140B4">
            <w:pPr>
              <w:pStyle w:val="OGUoM"/>
              <w:rPr>
                <w:szCs w:val="20"/>
              </w:rPr>
            </w:pPr>
          </w:p>
        </w:tc>
        <w:tc>
          <w:tcPr>
            <w:tcW w:w="907" w:type="dxa"/>
            <w:tcBorders>
              <w:top w:val="single" w:sz="6" w:space="0" w:color="auto"/>
            </w:tcBorders>
            <w:shd w:val="clear" w:color="auto" w:fill="D9D9D9"/>
          </w:tcPr>
          <w:p w:rsidR="00A53D7D" w:rsidRDefault="00A53D7D" w:rsidP="005140B4">
            <w:pPr>
              <w:pStyle w:val="OGTableofFigures"/>
              <w:rPr>
                <w:szCs w:val="20"/>
              </w:rPr>
            </w:pPr>
          </w:p>
        </w:tc>
        <w:tc>
          <w:tcPr>
            <w:tcW w:w="993"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c>
          <w:tcPr>
            <w:tcW w:w="907" w:type="dxa"/>
            <w:tcBorders>
              <w:top w:val="single" w:sz="6" w:space="0" w:color="auto"/>
            </w:tcBorders>
            <w:shd w:val="clear" w:color="auto" w:fill="FFFFFF"/>
          </w:tcPr>
          <w:p w:rsidR="00A53D7D" w:rsidRDefault="00A53D7D" w:rsidP="005140B4">
            <w:pPr>
              <w:pStyle w:val="OGTableofFigures"/>
              <w:rPr>
                <w:szCs w:val="20"/>
              </w:rPr>
            </w:pPr>
          </w:p>
        </w:tc>
      </w:tr>
      <w:tr w:rsidR="00A53D7D" w:rsidTr="005140B4">
        <w:trPr>
          <w:cantSplit/>
        </w:trPr>
        <w:tc>
          <w:tcPr>
            <w:tcW w:w="3155" w:type="dxa"/>
            <w:shd w:val="clear" w:color="auto" w:fill="FFFFFF"/>
            <w:hideMark/>
          </w:tcPr>
          <w:p w:rsidR="00A53D7D" w:rsidRDefault="00A53D7D" w:rsidP="005140B4">
            <w:pPr>
              <w:pStyle w:val="OGTabText"/>
              <w:rPr>
                <w:sz w:val="18"/>
              </w:rPr>
            </w:pPr>
            <w:r>
              <w:rPr>
                <w:szCs w:val="20"/>
              </w:rPr>
              <w:t>Total output cost</w:t>
            </w:r>
          </w:p>
        </w:tc>
        <w:tc>
          <w:tcPr>
            <w:tcW w:w="907" w:type="dxa"/>
            <w:shd w:val="clear" w:color="auto" w:fill="FFFFFF"/>
            <w:hideMark/>
          </w:tcPr>
          <w:p w:rsidR="00A53D7D" w:rsidRDefault="00A53D7D" w:rsidP="005140B4">
            <w:pPr>
              <w:pStyle w:val="OGUoM"/>
              <w:rPr>
                <w:sz w:val="18"/>
              </w:rPr>
            </w:pPr>
            <w:r>
              <w:rPr>
                <w:szCs w:val="20"/>
              </w:rPr>
              <w:t>number (million)</w:t>
            </w:r>
          </w:p>
        </w:tc>
        <w:tc>
          <w:tcPr>
            <w:tcW w:w="907" w:type="dxa"/>
            <w:shd w:val="clear" w:color="auto" w:fill="D9D9D9" w:themeFill="background1" w:themeFillShade="D9"/>
            <w:hideMark/>
          </w:tcPr>
          <w:p w:rsidR="00A53D7D" w:rsidRPr="00E228D2" w:rsidRDefault="00A53D7D" w:rsidP="005140B4">
            <w:pPr>
              <w:pStyle w:val="OGTableofFigures"/>
              <w:rPr>
                <w:szCs w:val="20"/>
              </w:rPr>
            </w:pPr>
            <w:r>
              <w:rPr>
                <w:szCs w:val="20"/>
              </w:rPr>
              <w:t>3</w:t>
            </w:r>
            <w:r w:rsidRPr="00E228D2">
              <w:rPr>
                <w:szCs w:val="20"/>
              </w:rPr>
              <w:t>8</w:t>
            </w:r>
            <w:r>
              <w:rPr>
                <w:szCs w:val="20"/>
              </w:rPr>
              <w:t>.5</w:t>
            </w:r>
          </w:p>
        </w:tc>
        <w:tc>
          <w:tcPr>
            <w:tcW w:w="993" w:type="dxa"/>
            <w:shd w:val="clear" w:color="auto" w:fill="auto"/>
            <w:hideMark/>
          </w:tcPr>
          <w:p w:rsidR="00A53D7D" w:rsidRDefault="00A53D7D" w:rsidP="005140B4">
            <w:pPr>
              <w:pStyle w:val="OGTableofFigures"/>
              <w:rPr>
                <w:sz w:val="18"/>
              </w:rPr>
            </w:pPr>
            <w:r>
              <w:rPr>
                <w:szCs w:val="20"/>
              </w:rPr>
              <w:t>30.9</w:t>
            </w:r>
          </w:p>
        </w:tc>
        <w:tc>
          <w:tcPr>
            <w:tcW w:w="907" w:type="dxa"/>
            <w:shd w:val="clear" w:color="auto" w:fill="FFFFFF"/>
            <w:hideMark/>
          </w:tcPr>
          <w:p w:rsidR="00A53D7D" w:rsidRDefault="00A53D7D" w:rsidP="005140B4">
            <w:pPr>
              <w:pStyle w:val="OGTableofFigures"/>
              <w:rPr>
                <w:sz w:val="18"/>
              </w:rPr>
            </w:pPr>
            <w:r>
              <w:rPr>
                <w:szCs w:val="20"/>
              </w:rPr>
              <w:t>34.1</w:t>
            </w:r>
          </w:p>
        </w:tc>
        <w:tc>
          <w:tcPr>
            <w:tcW w:w="907" w:type="dxa"/>
            <w:shd w:val="clear" w:color="auto" w:fill="FFFFFF"/>
            <w:hideMark/>
          </w:tcPr>
          <w:p w:rsidR="00A53D7D" w:rsidRDefault="00A53D7D" w:rsidP="005140B4">
            <w:pPr>
              <w:pStyle w:val="OGTableofFigures"/>
              <w:rPr>
                <w:sz w:val="18"/>
              </w:rPr>
            </w:pPr>
            <w:r>
              <w:rPr>
                <w:szCs w:val="20"/>
              </w:rPr>
              <w:t>31.6</w:t>
            </w:r>
          </w:p>
        </w:tc>
      </w:tr>
      <w:tr w:rsidR="00A53D7D" w:rsidTr="005140B4">
        <w:trPr>
          <w:cantSplit/>
        </w:trPr>
        <w:tc>
          <w:tcPr>
            <w:tcW w:w="7776" w:type="dxa"/>
            <w:gridSpan w:val="6"/>
            <w:tcBorders>
              <w:bottom w:val="single" w:sz="12" w:space="0" w:color="auto"/>
            </w:tcBorders>
            <w:shd w:val="clear" w:color="auto" w:fill="FFFFFF"/>
          </w:tcPr>
          <w:p w:rsidR="00A53D7D" w:rsidRDefault="00A53D7D" w:rsidP="005140B4">
            <w:pPr>
              <w:pStyle w:val="OGNotes"/>
            </w:pPr>
            <w:r w:rsidRPr="003E2502">
              <w:t>Variation between 2013</w:t>
            </w:r>
            <w:r>
              <w:noBreakHyphen/>
            </w:r>
            <w:r w:rsidRPr="003E2502">
              <w:t>14 target and 2014</w:t>
            </w:r>
            <w:r>
              <w:noBreakHyphen/>
            </w:r>
            <w:r w:rsidRPr="003E2502">
              <w:t>15 target reflects new funding received for Global Health Melbourne Plan, Fostering international business partnerships and Victoria’s international engagement in the Republic of Korea.</w:t>
            </w:r>
          </w:p>
          <w:p w:rsidR="00A53D7D" w:rsidRDefault="00A53D7D" w:rsidP="005140B4">
            <w:pPr>
              <w:pStyle w:val="OGNotes"/>
            </w:pPr>
            <w:r>
              <w:t>Variation between 2013</w:t>
            </w:r>
            <w:r>
              <w:noBreakHyphen/>
              <w:t>14 target and 2013</w:t>
            </w:r>
            <w:r>
              <w:noBreakHyphen/>
              <w:t>14 expected outcome is due to an expected carryover of expenditure from 2013</w:t>
            </w:r>
            <w:r>
              <w:noBreakHyphen/>
              <w:t>14 into 2014</w:t>
            </w:r>
            <w:r>
              <w:noBreakHyphen/>
              <w:t>15.</w:t>
            </w:r>
          </w:p>
        </w:tc>
      </w:tr>
    </w:tbl>
    <w:p w:rsidR="00A53D7D" w:rsidRDefault="00A53D7D" w:rsidP="005140B4">
      <w:pPr>
        <w:pStyle w:val="Source"/>
      </w:pPr>
      <w:r>
        <w:t xml:space="preserve">Source: Department of State Development, </w:t>
      </w:r>
      <w:proofErr w:type="gramStart"/>
      <w:r>
        <w:t>Business</w:t>
      </w:r>
      <w:proofErr w:type="gramEnd"/>
      <w:r>
        <w:t xml:space="preserve"> and Innovation</w:t>
      </w:r>
      <w:r>
        <w:fldChar w:fldCharType="begin"/>
      </w:r>
      <w:r>
        <w:instrText xml:space="preserve"> XE "</w:instrText>
      </w:r>
      <w:r w:rsidRPr="00CB5354">
        <w:instrText>Department of State Development, Business and Innovation:Developing Business and Innovation</w:instrText>
      </w:r>
      <w:r>
        <w:instrText xml:space="preserve">" \r "DSDBIDlvp" </w:instrText>
      </w:r>
      <w:r>
        <w:fldChar w:fldCharType="end"/>
      </w:r>
      <w:r>
        <w:fldChar w:fldCharType="begin"/>
      </w:r>
      <w:r>
        <w:instrText xml:space="preserve"> XE "</w:instrText>
      </w:r>
      <w:r w:rsidRPr="008F564C">
        <w:rPr>
          <w:lang w:eastAsia="en-AU"/>
        </w:rPr>
        <w:instrText>Business and Innovation</w:instrText>
      </w:r>
      <w:r>
        <w:instrText xml:space="preserve">" \r "DSDBIDlvp" </w:instrText>
      </w:r>
      <w:r>
        <w:fldChar w:fldCharType="end"/>
      </w:r>
    </w:p>
    <w:bookmarkEnd w:id="129"/>
    <w:p w:rsidR="00A53D7D" w:rsidRPr="0030275C" w:rsidRDefault="00A53D7D" w:rsidP="005140B4"/>
    <w:p w:rsidR="00A53D7D" w:rsidRDefault="00A53D7D" w:rsidP="00497606"/>
    <w:p w:rsidR="00A53D7D" w:rsidRDefault="00A53D7D" w:rsidP="004463C6">
      <w:pPr>
        <w:sectPr w:rsidR="00A53D7D" w:rsidSect="00CD2017">
          <w:footerReference w:type="even" r:id="rId36"/>
          <w:footerReference w:type="default" r:id="rId37"/>
          <w:pgSz w:w="9979" w:h="14181" w:code="138"/>
          <w:pgMar w:top="1140" w:right="1140" w:bottom="1140" w:left="1140" w:header="720" w:footer="431" w:gutter="0"/>
          <w:cols w:space="708"/>
          <w:docGrid w:linePitch="360"/>
        </w:sectPr>
      </w:pPr>
    </w:p>
    <w:p w:rsidR="00A53D7D" w:rsidRDefault="00A53D7D" w:rsidP="005140B4">
      <w:pPr>
        <w:pStyle w:val="Heading1"/>
      </w:pPr>
      <w:bookmarkStart w:id="130" w:name="_Toc386541223"/>
      <w:bookmarkStart w:id="131" w:name="_Toc407116915"/>
      <w:r>
        <w:t>Department of Transport, Planning and Local Infrastructure</w:t>
      </w:r>
      <w:bookmarkEnd w:id="130"/>
      <w:bookmarkEnd w:id="131"/>
    </w:p>
    <w:p w:rsidR="00A53D7D" w:rsidRDefault="00A53D7D" w:rsidP="005140B4">
      <w:pPr>
        <w:pStyle w:val="Heading2"/>
      </w:pPr>
      <w:r>
        <w:t>Ministerial portfolios</w:t>
      </w:r>
    </w:p>
    <w:p w:rsidR="00A53D7D" w:rsidRDefault="00A53D7D" w:rsidP="005140B4">
      <w:r w:rsidRPr="00DD4F39">
        <w:t>The Department supports the ministerial portfolios of Public Transport, Roads, Ports, Planning, Local Government and Sport and Recreation.</w:t>
      </w:r>
    </w:p>
    <w:p w:rsidR="00A53D7D" w:rsidRDefault="00A53D7D" w:rsidP="005140B4">
      <w:pPr>
        <w:pStyle w:val="Heading2"/>
      </w:pPr>
      <w:r>
        <w:t>Departmental mission statement</w:t>
      </w:r>
    </w:p>
    <w:p w:rsidR="00A53D7D" w:rsidRDefault="00A53D7D" w:rsidP="005140B4">
      <w:r>
        <w:t xml:space="preserve">The Department of Transport, </w:t>
      </w:r>
      <w:proofErr w:type="gramStart"/>
      <w:r>
        <w:t>Planning</w:t>
      </w:r>
      <w:proofErr w:type="gramEnd"/>
      <w:r>
        <w:t xml:space="preserve"> and Local Infrastructure’s purpose is to create a liveable and prosperous Victoria. It will do this by providing connected transport, land use planning and infrastructure services. This is achieved through:</w:t>
      </w:r>
    </w:p>
    <w:p w:rsidR="00A53D7D" w:rsidRDefault="00A53D7D" w:rsidP="005140B4">
      <w:pPr>
        <w:pStyle w:val="BulletText"/>
      </w:pPr>
      <w:r>
        <w:t>delivering robust land use planning, land administration, heritage and building systems;</w:t>
      </w:r>
    </w:p>
    <w:p w:rsidR="00A53D7D" w:rsidRDefault="00A53D7D" w:rsidP="005140B4">
      <w:pPr>
        <w:pStyle w:val="BulletText"/>
      </w:pPr>
      <w:r>
        <w:t>managing and improving Victoria’s transport system;</w:t>
      </w:r>
    </w:p>
    <w:p w:rsidR="00A53D7D" w:rsidRDefault="00A53D7D" w:rsidP="005140B4">
      <w:pPr>
        <w:pStyle w:val="BulletText"/>
      </w:pPr>
      <w:r>
        <w:t>supporting a responsive and accountable local government sector;</w:t>
      </w:r>
    </w:p>
    <w:p w:rsidR="00A53D7D" w:rsidRDefault="00A53D7D" w:rsidP="005140B4">
      <w:pPr>
        <w:pStyle w:val="BulletText"/>
      </w:pPr>
      <w:r>
        <w:t>planning and delivering valued improvements to local infrastructure;</w:t>
      </w:r>
    </w:p>
    <w:p w:rsidR="00A53D7D" w:rsidRDefault="00A53D7D" w:rsidP="005140B4">
      <w:pPr>
        <w:pStyle w:val="BulletText"/>
      </w:pPr>
      <w:r>
        <w:t>ensuring greater access to sport and recreation; and</w:t>
      </w:r>
    </w:p>
    <w:p w:rsidR="00A53D7D" w:rsidRDefault="00A53D7D" w:rsidP="005140B4">
      <w:pPr>
        <w:pStyle w:val="BulletText"/>
      </w:pPr>
      <w:proofErr w:type="gramStart"/>
      <w:r>
        <w:t>overseeing</w:t>
      </w:r>
      <w:proofErr w:type="gramEnd"/>
      <w:r>
        <w:t xml:space="preserve"> high quality service delivery and good governance.</w:t>
      </w:r>
    </w:p>
    <w:p w:rsidR="00A53D7D" w:rsidRDefault="00A53D7D" w:rsidP="005140B4">
      <w:pPr>
        <w:pStyle w:val="Heading2"/>
      </w:pPr>
      <w:r>
        <w:t>Departmental objectives, indicators and outputs</w:t>
      </w:r>
    </w:p>
    <w:p w:rsidR="00A53D7D" w:rsidRDefault="00A53D7D" w:rsidP="005140B4">
      <w:r w:rsidRPr="00DD4F39">
        <w:t>The Department of Transport, Planning and Local Infrastructure</w:t>
      </w:r>
      <w:r>
        <w:t>’</w:t>
      </w:r>
      <w:r w:rsidRPr="00DD4F39">
        <w:t>s objectives, indicators and linked outputs are:</w:t>
      </w:r>
    </w:p>
    <w:tbl>
      <w:tblPr>
        <w:tblW w:w="7776" w:type="dxa"/>
        <w:tblInd w:w="29" w:type="dxa"/>
        <w:tblBorders>
          <w:bottom w:val="single" w:sz="6" w:space="0" w:color="auto"/>
          <w:insideH w:val="single" w:sz="6" w:space="0" w:color="auto"/>
        </w:tblBorders>
        <w:tblLayout w:type="fixed"/>
        <w:tblCellMar>
          <w:left w:w="43" w:type="dxa"/>
          <w:right w:w="43" w:type="dxa"/>
        </w:tblCellMar>
        <w:tblLook w:val="04A0" w:firstRow="1" w:lastRow="0" w:firstColumn="1" w:lastColumn="0" w:noHBand="0" w:noVBand="1"/>
      </w:tblPr>
      <w:tblGrid>
        <w:gridCol w:w="2592"/>
        <w:gridCol w:w="2592"/>
        <w:gridCol w:w="2592"/>
      </w:tblGrid>
      <w:tr w:rsidR="00A53D7D" w:rsidRPr="00BD40EA" w:rsidTr="005140B4">
        <w:trPr>
          <w:cantSplit/>
          <w:tblHeader/>
        </w:trPr>
        <w:tc>
          <w:tcPr>
            <w:tcW w:w="2592" w:type="dxa"/>
            <w:tcBorders>
              <w:bottom w:val="single" w:sz="4" w:space="0" w:color="auto"/>
            </w:tcBorders>
            <w:shd w:val="clear" w:color="auto" w:fill="000000"/>
          </w:tcPr>
          <w:p w:rsidR="00A53D7D" w:rsidRPr="00BD40EA" w:rsidRDefault="00A53D7D" w:rsidP="005140B4">
            <w:pPr>
              <w:pStyle w:val="TabletextheadingLeft0"/>
            </w:pPr>
            <w:r w:rsidRPr="00BD40EA">
              <w:t>Departmental objectives</w:t>
            </w:r>
          </w:p>
        </w:tc>
        <w:tc>
          <w:tcPr>
            <w:tcW w:w="2592" w:type="dxa"/>
            <w:tcBorders>
              <w:bottom w:val="single" w:sz="4" w:space="0" w:color="auto"/>
            </w:tcBorders>
            <w:shd w:val="clear" w:color="auto" w:fill="000000"/>
          </w:tcPr>
          <w:p w:rsidR="00A53D7D" w:rsidRPr="00BD40EA" w:rsidRDefault="00A53D7D" w:rsidP="005140B4">
            <w:pPr>
              <w:pStyle w:val="TabletextheadingLeft0"/>
            </w:pPr>
            <w:r w:rsidRPr="00BD40EA">
              <w:t>Indicators</w:t>
            </w:r>
          </w:p>
        </w:tc>
        <w:tc>
          <w:tcPr>
            <w:tcW w:w="2592" w:type="dxa"/>
            <w:tcBorders>
              <w:bottom w:val="single" w:sz="4" w:space="0" w:color="auto"/>
            </w:tcBorders>
            <w:shd w:val="clear" w:color="auto" w:fill="000000"/>
          </w:tcPr>
          <w:p w:rsidR="00A53D7D" w:rsidRPr="00BD40EA" w:rsidRDefault="00A53D7D" w:rsidP="005140B4">
            <w:pPr>
              <w:pStyle w:val="TabletextheadingLeft0"/>
            </w:pPr>
            <w:r w:rsidRPr="00BD40EA">
              <w:t>Outputs</w:t>
            </w:r>
          </w:p>
        </w:tc>
      </w:tr>
      <w:tr w:rsidR="00A53D7D" w:rsidRPr="00BD40EA" w:rsidTr="005140B4">
        <w:trPr>
          <w:cantSplit/>
        </w:trPr>
        <w:tc>
          <w:tcPr>
            <w:tcW w:w="2592" w:type="dxa"/>
            <w:tcBorders>
              <w:top w:val="single" w:sz="4" w:space="0" w:color="auto"/>
            </w:tcBorders>
          </w:tcPr>
          <w:p w:rsidR="00A53D7D" w:rsidRPr="00A86408" w:rsidRDefault="00A53D7D" w:rsidP="005140B4">
            <w:pPr>
              <w:pStyle w:val="Tabletextnoindent"/>
              <w:rPr>
                <w:b/>
              </w:rPr>
            </w:pPr>
            <w:r w:rsidRPr="00A86408">
              <w:rPr>
                <w:b/>
              </w:rPr>
              <w:t>Higher</w:t>
            </w:r>
            <w:r>
              <w:rPr>
                <w:b/>
              </w:rPr>
              <w:noBreakHyphen/>
            </w:r>
            <w:r w:rsidRPr="00A86408">
              <w:rPr>
                <w:b/>
              </w:rPr>
              <w:t>quality transport services</w:t>
            </w:r>
          </w:p>
          <w:p w:rsidR="00A53D7D" w:rsidRPr="00BD40EA" w:rsidRDefault="00A53D7D" w:rsidP="005140B4">
            <w:pPr>
              <w:pStyle w:val="Tabletextnoindent"/>
            </w:pPr>
            <w:r w:rsidRPr="00BD40EA">
              <w:t>Plan and provide higher levels of service delivery, and improve accessibility and provide better transport information.</w:t>
            </w:r>
          </w:p>
        </w:tc>
        <w:tc>
          <w:tcPr>
            <w:tcW w:w="2592" w:type="dxa"/>
            <w:tcBorders>
              <w:top w:val="single" w:sz="4" w:space="0" w:color="auto"/>
            </w:tcBorders>
          </w:tcPr>
          <w:p w:rsidR="00A53D7D" w:rsidRPr="00BD40EA" w:rsidRDefault="00A53D7D" w:rsidP="005140B4">
            <w:pPr>
              <w:pStyle w:val="Tabletextnoindent"/>
            </w:pPr>
            <w:r w:rsidRPr="00BD40EA">
              <w:t>Public transport patronage</w:t>
            </w:r>
          </w:p>
          <w:p w:rsidR="00A53D7D" w:rsidRPr="00BD40EA" w:rsidRDefault="00A53D7D" w:rsidP="005140B4">
            <w:pPr>
              <w:pStyle w:val="Tabletextnoindent"/>
            </w:pPr>
            <w:r w:rsidRPr="00BD40EA">
              <w:t>Public transport customer satisfaction</w:t>
            </w:r>
          </w:p>
          <w:p w:rsidR="00A53D7D" w:rsidRPr="00BD40EA" w:rsidRDefault="00A53D7D" w:rsidP="005140B4">
            <w:pPr>
              <w:pStyle w:val="Tabletextnoindent"/>
            </w:pPr>
            <w:r w:rsidRPr="00BD40EA">
              <w:t>Public transport services delivered on time</w:t>
            </w:r>
          </w:p>
          <w:p w:rsidR="00A53D7D" w:rsidRPr="00BD40EA" w:rsidRDefault="00A53D7D" w:rsidP="005140B4">
            <w:pPr>
              <w:pStyle w:val="Tabletextnoindent"/>
            </w:pPr>
            <w:r w:rsidRPr="00BD40EA">
              <w:t>Scheduled public transport services delivered</w:t>
            </w:r>
          </w:p>
        </w:tc>
        <w:tc>
          <w:tcPr>
            <w:tcW w:w="2592" w:type="dxa"/>
            <w:tcBorders>
              <w:top w:val="single" w:sz="4" w:space="0" w:color="auto"/>
            </w:tcBorders>
          </w:tcPr>
          <w:p w:rsidR="00A53D7D" w:rsidRPr="00BD40EA" w:rsidRDefault="00A53D7D" w:rsidP="005140B4">
            <w:pPr>
              <w:pStyle w:val="Tabletextnoindent"/>
              <w:rPr>
                <w:lang w:val="fr-FR"/>
              </w:rPr>
            </w:pPr>
            <w:proofErr w:type="spellStart"/>
            <w:r w:rsidRPr="00BD40EA">
              <w:rPr>
                <w:lang w:val="fr-FR"/>
              </w:rPr>
              <w:t>Metropolitan</w:t>
            </w:r>
            <w:proofErr w:type="spellEnd"/>
            <w:r w:rsidRPr="00BD40EA">
              <w:rPr>
                <w:lang w:val="fr-FR"/>
              </w:rPr>
              <w:t xml:space="preserve"> Transport Services</w:t>
            </w:r>
          </w:p>
          <w:p w:rsidR="00A53D7D" w:rsidRPr="00BD40EA" w:rsidRDefault="00A53D7D" w:rsidP="005140B4">
            <w:pPr>
              <w:pStyle w:val="Tabletextnoindent"/>
              <w:rPr>
                <w:lang w:val="fr-FR"/>
              </w:rPr>
            </w:pPr>
            <w:proofErr w:type="spellStart"/>
            <w:r w:rsidRPr="00BD40EA">
              <w:rPr>
                <w:lang w:val="fr-FR"/>
              </w:rPr>
              <w:t>Regional</w:t>
            </w:r>
            <w:proofErr w:type="spellEnd"/>
            <w:r w:rsidRPr="00BD40EA">
              <w:rPr>
                <w:lang w:val="fr-FR"/>
              </w:rPr>
              <w:t xml:space="preserve"> Transport Services</w:t>
            </w:r>
          </w:p>
          <w:p w:rsidR="00A53D7D" w:rsidRPr="00BD40EA" w:rsidRDefault="00A53D7D" w:rsidP="005140B4">
            <w:pPr>
              <w:pStyle w:val="Tabletextnoindent"/>
            </w:pPr>
            <w:proofErr w:type="spellStart"/>
            <w:r w:rsidRPr="00BD40EA">
              <w:t>Statewide</w:t>
            </w:r>
            <w:proofErr w:type="spellEnd"/>
            <w:r w:rsidRPr="00BD40EA">
              <w:t xml:space="preserve"> Transport Services</w:t>
            </w:r>
          </w:p>
        </w:tc>
      </w:tr>
      <w:tr w:rsidR="00A53D7D" w:rsidRPr="00BD40EA" w:rsidTr="005140B4">
        <w:trPr>
          <w:cantSplit/>
        </w:trPr>
        <w:tc>
          <w:tcPr>
            <w:tcW w:w="2592" w:type="dxa"/>
          </w:tcPr>
          <w:p w:rsidR="00A53D7D" w:rsidRPr="00A86408" w:rsidRDefault="00A53D7D" w:rsidP="005140B4">
            <w:pPr>
              <w:pStyle w:val="Tabletextnoindent"/>
              <w:rPr>
                <w:b/>
              </w:rPr>
            </w:pPr>
            <w:r w:rsidRPr="00A86408">
              <w:rPr>
                <w:b/>
              </w:rPr>
              <w:t>Deliver effective reform and governance of local government</w:t>
            </w:r>
          </w:p>
          <w:p w:rsidR="00A53D7D" w:rsidRPr="00BD40EA" w:rsidRDefault="00A53D7D" w:rsidP="005140B4">
            <w:pPr>
              <w:pStyle w:val="Tabletextnoindent"/>
            </w:pPr>
            <w:r w:rsidRPr="00BD40EA">
              <w:t xml:space="preserve">Develop and maintain systems that support a strong, </w:t>
            </w:r>
            <w:proofErr w:type="gramStart"/>
            <w:r w:rsidRPr="00BD40EA">
              <w:t>transparent</w:t>
            </w:r>
            <w:proofErr w:type="gramEnd"/>
            <w:r w:rsidRPr="00BD40EA">
              <w:t xml:space="preserve"> and accountable system of local government.</w:t>
            </w:r>
          </w:p>
        </w:tc>
        <w:tc>
          <w:tcPr>
            <w:tcW w:w="2592" w:type="dxa"/>
          </w:tcPr>
          <w:p w:rsidR="00A53D7D" w:rsidRPr="00BD40EA" w:rsidRDefault="00A53D7D" w:rsidP="005140B4">
            <w:pPr>
              <w:pStyle w:val="Tabletextnoindent"/>
            </w:pPr>
            <w:r w:rsidRPr="00BD40EA">
              <w:t xml:space="preserve">Satisfaction with the performance of councils as measured through the Local Government Community Satisfaction Survey </w:t>
            </w:r>
          </w:p>
        </w:tc>
        <w:tc>
          <w:tcPr>
            <w:tcW w:w="2592" w:type="dxa"/>
          </w:tcPr>
          <w:p w:rsidR="00A53D7D" w:rsidRPr="00BD40EA" w:rsidRDefault="00A53D7D" w:rsidP="005140B4">
            <w:pPr>
              <w:pStyle w:val="Tabletextnoindent"/>
            </w:pPr>
            <w:r w:rsidRPr="00BD40EA">
              <w:t>Local Government</w:t>
            </w:r>
          </w:p>
          <w:p w:rsidR="00A53D7D" w:rsidRPr="00BD40EA" w:rsidRDefault="00A53D7D" w:rsidP="005140B4">
            <w:pPr>
              <w:pStyle w:val="Tabletextnoindent"/>
            </w:pPr>
          </w:p>
        </w:tc>
      </w:tr>
      <w:tr w:rsidR="00A53D7D" w:rsidRPr="00BD40EA" w:rsidTr="005140B4">
        <w:trPr>
          <w:cantSplit/>
        </w:trPr>
        <w:tc>
          <w:tcPr>
            <w:tcW w:w="2592" w:type="dxa"/>
            <w:tcBorders>
              <w:bottom w:val="single" w:sz="6" w:space="0" w:color="auto"/>
            </w:tcBorders>
          </w:tcPr>
          <w:p w:rsidR="00A53D7D" w:rsidRPr="00A86408" w:rsidRDefault="00A53D7D" w:rsidP="005140B4">
            <w:pPr>
              <w:pStyle w:val="Tabletextnoindent"/>
              <w:rPr>
                <w:b/>
              </w:rPr>
            </w:pPr>
            <w:r w:rsidRPr="00A86408">
              <w:rPr>
                <w:b/>
              </w:rPr>
              <w:t xml:space="preserve">Facilitate strategic investment in State and local infrastructure </w:t>
            </w:r>
          </w:p>
          <w:p w:rsidR="00A53D7D" w:rsidRPr="00BD40EA" w:rsidRDefault="00A53D7D" w:rsidP="005140B4">
            <w:pPr>
              <w:pStyle w:val="Tabletextnoindent"/>
            </w:pPr>
            <w:r w:rsidRPr="00BD40EA">
              <w:t xml:space="preserve">Develop proposals for State and local infrastructure projects, including sporting facilities, to stimulate growth, boost competitiveness, support population </w:t>
            </w:r>
            <w:proofErr w:type="gramStart"/>
            <w:r w:rsidRPr="00BD40EA">
              <w:t>growth</w:t>
            </w:r>
            <w:proofErr w:type="gramEnd"/>
            <w:r w:rsidRPr="00BD40EA">
              <w:t xml:space="preserve"> and build on Victoria</w:t>
            </w:r>
            <w:r>
              <w:t>’</w:t>
            </w:r>
            <w:r w:rsidRPr="00BD40EA">
              <w:t>s outstanding reputation for hosting major sporting events at world</w:t>
            </w:r>
            <w:r>
              <w:noBreakHyphen/>
            </w:r>
            <w:r w:rsidRPr="00BD40EA">
              <w:t>class facilities.</w:t>
            </w:r>
          </w:p>
        </w:tc>
        <w:tc>
          <w:tcPr>
            <w:tcW w:w="2592" w:type="dxa"/>
            <w:tcBorders>
              <w:bottom w:val="single" w:sz="6" w:space="0" w:color="auto"/>
            </w:tcBorders>
          </w:tcPr>
          <w:p w:rsidR="00A53D7D" w:rsidRPr="00BD40EA" w:rsidRDefault="00A53D7D" w:rsidP="005140B4">
            <w:pPr>
              <w:pStyle w:val="Tabletextnoindent"/>
            </w:pPr>
            <w:r w:rsidRPr="00BD40EA">
              <w:t xml:space="preserve">Total investment dollars leveraged, by type, for committed infrastructure projects </w:t>
            </w:r>
          </w:p>
          <w:p w:rsidR="00A53D7D" w:rsidRPr="00BD40EA" w:rsidRDefault="00A53D7D" w:rsidP="005140B4">
            <w:pPr>
              <w:pStyle w:val="Tabletextnoindent"/>
            </w:pPr>
            <w:r w:rsidRPr="00BD40EA">
              <w:t>Level of participation in sport and recreation equal to national average</w:t>
            </w:r>
          </w:p>
        </w:tc>
        <w:tc>
          <w:tcPr>
            <w:tcW w:w="2592" w:type="dxa"/>
            <w:tcBorders>
              <w:bottom w:val="single" w:sz="6" w:space="0" w:color="auto"/>
            </w:tcBorders>
          </w:tcPr>
          <w:p w:rsidR="00A53D7D" w:rsidRPr="00BD40EA" w:rsidRDefault="00A53D7D" w:rsidP="005140B4">
            <w:pPr>
              <w:pStyle w:val="Tabletextnoindent"/>
            </w:pPr>
            <w:r w:rsidRPr="00BD40EA">
              <w:t>Sport and Recreation</w:t>
            </w:r>
          </w:p>
        </w:tc>
      </w:tr>
      <w:tr w:rsidR="00A53D7D" w:rsidRPr="00BD40EA" w:rsidTr="005140B4">
        <w:trPr>
          <w:cantSplit/>
        </w:trPr>
        <w:tc>
          <w:tcPr>
            <w:tcW w:w="2592" w:type="dxa"/>
            <w:tcBorders>
              <w:top w:val="single" w:sz="6" w:space="0" w:color="auto"/>
              <w:bottom w:val="single" w:sz="6" w:space="0" w:color="auto"/>
            </w:tcBorders>
          </w:tcPr>
          <w:p w:rsidR="00A53D7D" w:rsidRPr="00A86408" w:rsidRDefault="00A53D7D" w:rsidP="005140B4">
            <w:pPr>
              <w:pStyle w:val="Tabletextnoindent"/>
              <w:rPr>
                <w:b/>
              </w:rPr>
            </w:pPr>
            <w:r w:rsidRPr="00A86408">
              <w:rPr>
                <w:b/>
              </w:rPr>
              <w:t>Deliver benefits for the community through effective management of Victoria</w:t>
            </w:r>
            <w:r>
              <w:rPr>
                <w:b/>
              </w:rPr>
              <w:t>’</w:t>
            </w:r>
            <w:r w:rsidRPr="00A86408">
              <w:rPr>
                <w:b/>
              </w:rPr>
              <w:t>s land assets</w:t>
            </w:r>
          </w:p>
          <w:p w:rsidR="00A53D7D" w:rsidRPr="00BD40EA" w:rsidRDefault="00A53D7D" w:rsidP="005140B4">
            <w:pPr>
              <w:pStyle w:val="Tabletextnoindent"/>
            </w:pPr>
            <w:r w:rsidRPr="00BD40EA">
              <w:t xml:space="preserve">Deliver quality land administration services to support social, </w:t>
            </w:r>
            <w:proofErr w:type="gramStart"/>
            <w:r w:rsidRPr="00BD40EA">
              <w:t>environmental</w:t>
            </w:r>
            <w:proofErr w:type="gramEnd"/>
            <w:r w:rsidRPr="00BD40EA">
              <w:t xml:space="preserve"> and economic outcomes.</w:t>
            </w:r>
          </w:p>
        </w:tc>
        <w:tc>
          <w:tcPr>
            <w:tcW w:w="2592" w:type="dxa"/>
            <w:tcBorders>
              <w:top w:val="single" w:sz="6" w:space="0" w:color="auto"/>
              <w:bottom w:val="single" w:sz="6" w:space="0" w:color="auto"/>
            </w:tcBorders>
          </w:tcPr>
          <w:p w:rsidR="00A53D7D" w:rsidRPr="00BD40EA" w:rsidRDefault="00A53D7D" w:rsidP="005140B4">
            <w:pPr>
              <w:pStyle w:val="Tabletextnoindent"/>
            </w:pPr>
            <w:r w:rsidRPr="00BD40EA">
              <w:t xml:space="preserve">Efficient provision of timely and authoritative land administration and property information services </w:t>
            </w:r>
          </w:p>
        </w:tc>
        <w:tc>
          <w:tcPr>
            <w:tcW w:w="2592" w:type="dxa"/>
            <w:tcBorders>
              <w:top w:val="single" w:sz="6" w:space="0" w:color="auto"/>
              <w:bottom w:val="single" w:sz="6" w:space="0" w:color="auto"/>
            </w:tcBorders>
          </w:tcPr>
          <w:p w:rsidR="00A53D7D" w:rsidRPr="00BD40EA" w:rsidRDefault="00A53D7D" w:rsidP="005140B4">
            <w:pPr>
              <w:pStyle w:val="Tabletextnoindent"/>
            </w:pPr>
            <w:r w:rsidRPr="00BD40EA">
              <w:t>Land Victoria</w:t>
            </w:r>
          </w:p>
        </w:tc>
      </w:tr>
      <w:tr w:rsidR="00A53D7D" w:rsidRPr="00BD40EA" w:rsidTr="005140B4">
        <w:trPr>
          <w:cantSplit/>
        </w:trPr>
        <w:tc>
          <w:tcPr>
            <w:tcW w:w="2592" w:type="dxa"/>
            <w:tcBorders>
              <w:top w:val="single" w:sz="6" w:space="0" w:color="auto"/>
            </w:tcBorders>
          </w:tcPr>
          <w:p w:rsidR="00A53D7D" w:rsidRPr="00A86408" w:rsidRDefault="00A53D7D" w:rsidP="005140B4">
            <w:pPr>
              <w:pStyle w:val="Tabletextnoindent"/>
              <w:rPr>
                <w:b/>
              </w:rPr>
            </w:pPr>
            <w:r w:rsidRPr="00A86408">
              <w:rPr>
                <w:b/>
              </w:rPr>
              <w:t>Plan for the future growth and transformation of cities and regions</w:t>
            </w:r>
          </w:p>
          <w:p w:rsidR="00A53D7D" w:rsidRPr="00BD40EA" w:rsidRDefault="00A53D7D" w:rsidP="005140B4">
            <w:pPr>
              <w:pStyle w:val="Tabletextnoindent"/>
            </w:pPr>
            <w:r w:rsidRPr="00BD40EA">
              <w:t>Develop and implement integrated long</w:t>
            </w:r>
            <w:r>
              <w:noBreakHyphen/>
            </w:r>
            <w:r w:rsidRPr="00BD40EA">
              <w:t>term plans and planning reform to manage population growth, enhance liveability and guide integrated land use and transport planning, infrastructure provision, housing supply, urban design and heritage conservation delivered through streamlined planning, building and heritage systems.</w:t>
            </w:r>
          </w:p>
        </w:tc>
        <w:tc>
          <w:tcPr>
            <w:tcW w:w="2592" w:type="dxa"/>
            <w:tcBorders>
              <w:top w:val="single" w:sz="6" w:space="0" w:color="auto"/>
            </w:tcBorders>
          </w:tcPr>
          <w:p w:rsidR="00A53D7D" w:rsidRPr="00BD40EA" w:rsidRDefault="00A53D7D" w:rsidP="005140B4">
            <w:pPr>
              <w:pStyle w:val="Tabletextnoindent"/>
            </w:pPr>
            <w:r w:rsidRPr="00BD40EA">
              <w:t>The vision for Victoria is reflected in the State Planning System</w:t>
            </w:r>
          </w:p>
          <w:p w:rsidR="00A53D7D" w:rsidRPr="00BD40EA" w:rsidRDefault="00A53D7D" w:rsidP="005140B4">
            <w:pPr>
              <w:pStyle w:val="Tabletextnoindent"/>
            </w:pPr>
            <w:r w:rsidRPr="00BD40EA">
              <w:t>Satisfaction of key stakeholders with State Planning Strategies</w:t>
            </w:r>
          </w:p>
          <w:p w:rsidR="00A53D7D" w:rsidRPr="00BD40EA" w:rsidRDefault="00A53D7D" w:rsidP="005140B4">
            <w:pPr>
              <w:pStyle w:val="Tabletextnoindent"/>
            </w:pPr>
            <w:r w:rsidRPr="00BD40EA">
              <w:t>Reforms implemented to increase the efficiency of Victoria</w:t>
            </w:r>
            <w:r>
              <w:t>’</w:t>
            </w:r>
            <w:r w:rsidRPr="00BD40EA">
              <w:t>s planning, building and heritage system</w:t>
            </w:r>
          </w:p>
        </w:tc>
        <w:tc>
          <w:tcPr>
            <w:tcW w:w="2592" w:type="dxa"/>
            <w:tcBorders>
              <w:top w:val="single" w:sz="6" w:space="0" w:color="auto"/>
            </w:tcBorders>
          </w:tcPr>
          <w:p w:rsidR="00A53D7D" w:rsidRPr="00BD40EA" w:rsidRDefault="00A53D7D" w:rsidP="005140B4">
            <w:pPr>
              <w:pStyle w:val="Tabletextnoindent"/>
            </w:pPr>
            <w:r w:rsidRPr="00BD40EA">
              <w:t>Planning, Building and Heritage</w:t>
            </w:r>
          </w:p>
        </w:tc>
      </w:tr>
      <w:tr w:rsidR="00A53D7D" w:rsidRPr="00BD40EA" w:rsidTr="005140B4">
        <w:trPr>
          <w:cantSplit/>
        </w:trPr>
        <w:tc>
          <w:tcPr>
            <w:tcW w:w="2592" w:type="dxa"/>
          </w:tcPr>
          <w:p w:rsidR="00A53D7D" w:rsidRPr="00A86408" w:rsidRDefault="00A53D7D" w:rsidP="005140B4">
            <w:pPr>
              <w:pStyle w:val="Tabletextnoindent"/>
              <w:rPr>
                <w:b/>
              </w:rPr>
            </w:pPr>
            <w:r w:rsidRPr="00A86408">
              <w:rPr>
                <w:b/>
              </w:rPr>
              <w:t>Leadership, advocacy and advice on the quality of architecture and the built environment</w:t>
            </w:r>
          </w:p>
          <w:p w:rsidR="00A53D7D" w:rsidRPr="00BD40EA" w:rsidRDefault="00A53D7D" w:rsidP="005140B4">
            <w:pPr>
              <w:pStyle w:val="Tabletextnoindent"/>
            </w:pPr>
            <w:r w:rsidRPr="00BD40EA">
              <w:t>Provide advocacy and strategic advice to government and key stakeholders to support high</w:t>
            </w:r>
            <w:r>
              <w:noBreakHyphen/>
            </w:r>
            <w:r w:rsidRPr="00BD40EA">
              <w:t>quality architectural and built environment outcomes, improve whole of government procurement processes and build on Victoria</w:t>
            </w:r>
            <w:r>
              <w:t>’</w:t>
            </w:r>
            <w:r w:rsidRPr="00BD40EA">
              <w:t>s reputation for design excellence.</w:t>
            </w:r>
          </w:p>
        </w:tc>
        <w:tc>
          <w:tcPr>
            <w:tcW w:w="2592" w:type="dxa"/>
          </w:tcPr>
          <w:p w:rsidR="00A53D7D" w:rsidRPr="00BD40EA" w:rsidRDefault="00A53D7D" w:rsidP="005140B4">
            <w:pPr>
              <w:pStyle w:val="Tabletextnoindent"/>
            </w:pPr>
            <w:r w:rsidRPr="00BD40EA">
              <w:t>The quality of the built environment has significant cultural and public value contributing to an enriched sense of place for all Victorians</w:t>
            </w:r>
          </w:p>
        </w:tc>
        <w:tc>
          <w:tcPr>
            <w:tcW w:w="2592" w:type="dxa"/>
          </w:tcPr>
          <w:p w:rsidR="00A53D7D" w:rsidRPr="00BD40EA" w:rsidRDefault="00A53D7D" w:rsidP="005140B4">
            <w:pPr>
              <w:pStyle w:val="Tabletextnoindent"/>
            </w:pPr>
            <w:r w:rsidRPr="00BD40EA">
              <w:t>Office of the Victorian Government Architect</w:t>
            </w:r>
          </w:p>
        </w:tc>
      </w:tr>
      <w:tr w:rsidR="00A53D7D" w:rsidRPr="00BD40EA" w:rsidTr="005140B4">
        <w:trPr>
          <w:cantSplit/>
        </w:trPr>
        <w:tc>
          <w:tcPr>
            <w:tcW w:w="2592" w:type="dxa"/>
            <w:tcBorders>
              <w:bottom w:val="single" w:sz="6" w:space="0" w:color="auto"/>
            </w:tcBorders>
          </w:tcPr>
          <w:p w:rsidR="00A53D7D" w:rsidRPr="00A86408" w:rsidRDefault="00A53D7D" w:rsidP="005140B4">
            <w:pPr>
              <w:pStyle w:val="Tabletextnoindent"/>
              <w:rPr>
                <w:b/>
              </w:rPr>
            </w:pPr>
            <w:r w:rsidRPr="00A86408">
              <w:rPr>
                <w:b/>
              </w:rPr>
              <w:t>Safer transport services and infrastructure</w:t>
            </w:r>
          </w:p>
          <w:p w:rsidR="00A53D7D" w:rsidRPr="00BD40EA" w:rsidRDefault="00A53D7D" w:rsidP="005140B4">
            <w:pPr>
              <w:pStyle w:val="Tabletextnoindent"/>
            </w:pPr>
            <w:r w:rsidRPr="00BD40EA">
              <w:t xml:space="preserve">Make safety improvements to transport infrastructure and systems, improve security </w:t>
            </w:r>
            <w:proofErr w:type="gramStart"/>
            <w:r w:rsidRPr="00BD40EA">
              <w:t>management</w:t>
            </w:r>
            <w:proofErr w:type="gramEnd"/>
            <w:r w:rsidRPr="00BD40EA">
              <w:t xml:space="preserve"> and implement programs to promote safer transport user behaviour.</w:t>
            </w:r>
          </w:p>
        </w:tc>
        <w:tc>
          <w:tcPr>
            <w:tcW w:w="2592" w:type="dxa"/>
            <w:tcBorders>
              <w:bottom w:val="single" w:sz="6" w:space="0" w:color="auto"/>
            </w:tcBorders>
          </w:tcPr>
          <w:p w:rsidR="00A53D7D" w:rsidRPr="00BD40EA" w:rsidRDefault="00A53D7D" w:rsidP="005140B4">
            <w:pPr>
              <w:pStyle w:val="Tabletextnoindent"/>
            </w:pPr>
            <w:r w:rsidRPr="00BD40EA">
              <w:t>Fatalities and serious injuries on the road network reduced through a strategic approach aimed at road user and vehicle regulation, road user education, safer road network operation and improving road infrastructure</w:t>
            </w:r>
          </w:p>
        </w:tc>
        <w:tc>
          <w:tcPr>
            <w:tcW w:w="2592" w:type="dxa"/>
            <w:tcBorders>
              <w:bottom w:val="single" w:sz="6" w:space="0" w:color="auto"/>
            </w:tcBorders>
          </w:tcPr>
          <w:p w:rsidR="00A53D7D" w:rsidRPr="00BD40EA" w:rsidRDefault="00A53D7D" w:rsidP="005140B4">
            <w:pPr>
              <w:pStyle w:val="Tabletextnoindent"/>
            </w:pPr>
            <w:r w:rsidRPr="00BD40EA">
              <w:t>Transport Safety Regulation and Investigations</w:t>
            </w:r>
          </w:p>
          <w:p w:rsidR="00A53D7D" w:rsidRPr="00BD40EA" w:rsidRDefault="00A53D7D" w:rsidP="005140B4">
            <w:pPr>
              <w:pStyle w:val="Tabletextnoindent"/>
            </w:pPr>
            <w:r w:rsidRPr="00BD40EA">
              <w:t>Transport Safety and Security Management</w:t>
            </w:r>
          </w:p>
        </w:tc>
      </w:tr>
      <w:tr w:rsidR="00A53D7D" w:rsidRPr="00BD40EA" w:rsidTr="005140B4">
        <w:trPr>
          <w:cantSplit/>
        </w:trPr>
        <w:tc>
          <w:tcPr>
            <w:tcW w:w="2592" w:type="dxa"/>
            <w:tcBorders>
              <w:top w:val="single" w:sz="6" w:space="0" w:color="auto"/>
              <w:bottom w:val="single" w:sz="12" w:space="0" w:color="auto"/>
            </w:tcBorders>
          </w:tcPr>
          <w:p w:rsidR="00A53D7D" w:rsidRPr="00A86408" w:rsidRDefault="00A53D7D" w:rsidP="005140B4">
            <w:pPr>
              <w:pStyle w:val="Tabletextnoindent"/>
              <w:rPr>
                <w:b/>
              </w:rPr>
            </w:pPr>
            <w:r w:rsidRPr="00A86408">
              <w:rPr>
                <w:b/>
              </w:rPr>
              <w:t>Well</w:t>
            </w:r>
            <w:r>
              <w:rPr>
                <w:b/>
              </w:rPr>
              <w:noBreakHyphen/>
            </w:r>
            <w:r w:rsidRPr="00A86408">
              <w:rPr>
                <w:b/>
              </w:rPr>
              <w:t>targeted improvements and maintenance to transport system assets</w:t>
            </w:r>
          </w:p>
          <w:p w:rsidR="00A53D7D" w:rsidRPr="00BD40EA" w:rsidRDefault="00A53D7D" w:rsidP="005140B4">
            <w:pPr>
              <w:pStyle w:val="Tabletextnoindent"/>
            </w:pPr>
            <w:r w:rsidRPr="00BD40EA">
              <w:t>Undertake strategic planning and project development for transport system investments, build and procure new transport assets, and upgrade and maintain existing transport assets.</w:t>
            </w:r>
          </w:p>
        </w:tc>
        <w:tc>
          <w:tcPr>
            <w:tcW w:w="2592" w:type="dxa"/>
            <w:tcBorders>
              <w:top w:val="single" w:sz="6" w:space="0" w:color="auto"/>
              <w:bottom w:val="single" w:sz="12" w:space="0" w:color="auto"/>
            </w:tcBorders>
          </w:tcPr>
          <w:p w:rsidR="00A53D7D" w:rsidRPr="00BD40EA" w:rsidRDefault="00A53D7D" w:rsidP="005140B4">
            <w:pPr>
              <w:pStyle w:val="Tabletextnoindent"/>
            </w:pPr>
            <w:r w:rsidRPr="00BD40EA">
              <w:t>Distressed freeway and arterial road surfaces</w:t>
            </w:r>
          </w:p>
          <w:p w:rsidR="00A53D7D" w:rsidRPr="00BD40EA" w:rsidRDefault="00A53D7D" w:rsidP="005140B4">
            <w:pPr>
              <w:pStyle w:val="Tabletextnoindent"/>
            </w:pPr>
            <w:r w:rsidRPr="00BD40EA">
              <w:t>Road travel delay on metropolitan freeways and arterials</w:t>
            </w:r>
          </w:p>
        </w:tc>
        <w:tc>
          <w:tcPr>
            <w:tcW w:w="2592" w:type="dxa"/>
            <w:tcBorders>
              <w:top w:val="single" w:sz="6" w:space="0" w:color="auto"/>
              <w:bottom w:val="single" w:sz="12" w:space="0" w:color="auto"/>
            </w:tcBorders>
          </w:tcPr>
          <w:p w:rsidR="00A53D7D" w:rsidRPr="00BD40EA" w:rsidRDefault="00A53D7D" w:rsidP="005140B4">
            <w:pPr>
              <w:pStyle w:val="Tabletextnoindent"/>
            </w:pPr>
            <w:r w:rsidRPr="00BD40EA">
              <w:t>Integrated Transport System Planning</w:t>
            </w:r>
          </w:p>
          <w:p w:rsidR="00A53D7D" w:rsidRPr="00BD40EA" w:rsidRDefault="00A53D7D" w:rsidP="005140B4">
            <w:pPr>
              <w:pStyle w:val="Tabletextnoindent"/>
            </w:pPr>
            <w:r w:rsidRPr="00BD40EA">
              <w:t>Public Transport Network Improvements and Maintenance</w:t>
            </w:r>
          </w:p>
          <w:p w:rsidR="00A53D7D" w:rsidRPr="00BD40EA" w:rsidRDefault="00A53D7D" w:rsidP="005140B4">
            <w:pPr>
              <w:pStyle w:val="Tabletextnoindent"/>
            </w:pPr>
            <w:r w:rsidRPr="00BD40EA">
              <w:t>Road Network Improvements</w:t>
            </w:r>
          </w:p>
          <w:p w:rsidR="00A53D7D" w:rsidRPr="00BD40EA" w:rsidRDefault="00A53D7D" w:rsidP="005140B4">
            <w:pPr>
              <w:pStyle w:val="Tabletextnoindent"/>
            </w:pPr>
            <w:r w:rsidRPr="00BD40EA">
              <w:t>Road Asset Management</w:t>
            </w:r>
          </w:p>
          <w:p w:rsidR="00A53D7D" w:rsidRPr="00BD40EA" w:rsidRDefault="00A53D7D" w:rsidP="005140B4">
            <w:pPr>
              <w:pStyle w:val="Tabletextnoindent"/>
            </w:pPr>
            <w:r w:rsidRPr="00BD40EA">
              <w:t>Ports and Freight Network Improvements and Maintenance</w:t>
            </w:r>
          </w:p>
        </w:tc>
      </w:tr>
    </w:tbl>
    <w:p w:rsidR="00A53D7D" w:rsidRDefault="00A53D7D" w:rsidP="005140B4">
      <w:pPr>
        <w:pStyle w:val="Source"/>
      </w:pPr>
      <w:r w:rsidRPr="00DD4F39">
        <w:t>Source: Department of Transport, Planning and Local Infrastructure</w:t>
      </w:r>
    </w:p>
    <w:p w:rsidR="00A53D7D" w:rsidRDefault="00A53D7D" w:rsidP="005140B4">
      <w:r>
        <w:br w:type="page"/>
      </w:r>
    </w:p>
    <w:p w:rsidR="00A53D7D" w:rsidRDefault="00A53D7D" w:rsidP="005140B4">
      <w:pPr>
        <w:pStyle w:val="Heading2"/>
      </w:pPr>
      <w:r>
        <w:t>Changes to the output structure</w:t>
      </w:r>
    </w:p>
    <w:p w:rsidR="00A53D7D" w:rsidRDefault="00A53D7D" w:rsidP="005140B4">
      <w:r w:rsidRPr="00DD4F39">
        <w:t>The Department made no changes to its output structure for 2014</w:t>
      </w:r>
      <w:r>
        <w:noBreakHyphen/>
      </w:r>
      <w:r w:rsidRPr="00DD4F39">
        <w:t>15.</w:t>
      </w:r>
    </w:p>
    <w:p w:rsidR="00A53D7D" w:rsidRPr="00DD4F39" w:rsidRDefault="00A53D7D" w:rsidP="005140B4">
      <w:r w:rsidRPr="00DD4F39">
        <w:t>The following table summarises the Department</w:t>
      </w:r>
      <w:r>
        <w:t>’</w:t>
      </w:r>
      <w:r w:rsidRPr="00DD4F39">
        <w:t>s total output cost:</w:t>
      </w:r>
    </w:p>
    <w:p w:rsidR="00A53D7D" w:rsidRDefault="00A53D7D" w:rsidP="005140B4">
      <w:pPr>
        <w:pStyle w:val="Tableheading"/>
      </w:pPr>
      <w:r>
        <w:t>Table 2.23:</w:t>
      </w:r>
      <w:r>
        <w:tab/>
        <w:t xml:space="preserve">Output summary </w:t>
      </w:r>
    </w:p>
    <w:p w:rsidR="00A53D7D" w:rsidRPr="00A67170"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58"/>
        <w:gridCol w:w="958"/>
        <w:gridCol w:w="958"/>
        <w:gridCol w:w="1099"/>
      </w:tblGrid>
      <w:tr w:rsidR="00A53D7D" w:rsidRPr="00A67170" w:rsidTr="005140B4">
        <w:tc>
          <w:tcPr>
            <w:tcW w:w="3803" w:type="dxa"/>
            <w:tcBorders>
              <w:top w:val="single" w:sz="4" w:space="0" w:color="auto"/>
              <w:left w:val="single" w:sz="4" w:space="0" w:color="auto"/>
              <w:bottom w:val="nil"/>
              <w:right w:val="nil"/>
            </w:tcBorders>
            <w:shd w:val="clear" w:color="auto" w:fill="000000"/>
          </w:tcPr>
          <w:p w:rsidR="00A53D7D" w:rsidRPr="00A67170" w:rsidRDefault="00A53D7D" w:rsidP="005140B4">
            <w:pPr>
              <w:pStyle w:val="Tabletext"/>
              <w:rPr>
                <w:rFonts w:eastAsiaTheme="minorEastAsia"/>
                <w:lang w:eastAsia="en-AU"/>
              </w:rPr>
            </w:pPr>
          </w:p>
        </w:tc>
        <w:tc>
          <w:tcPr>
            <w:tcW w:w="958" w:type="dxa"/>
            <w:tcBorders>
              <w:top w:val="single" w:sz="4" w:space="0" w:color="auto"/>
              <w:left w:val="nil"/>
              <w:bottom w:val="nil"/>
              <w:right w:val="nil"/>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2013-14</w:t>
            </w:r>
          </w:p>
        </w:tc>
        <w:tc>
          <w:tcPr>
            <w:tcW w:w="958" w:type="dxa"/>
            <w:tcBorders>
              <w:top w:val="single" w:sz="4" w:space="0" w:color="auto"/>
              <w:left w:val="nil"/>
              <w:bottom w:val="nil"/>
              <w:right w:val="nil"/>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2013-14</w:t>
            </w:r>
          </w:p>
        </w:tc>
        <w:tc>
          <w:tcPr>
            <w:tcW w:w="958" w:type="dxa"/>
            <w:tcBorders>
              <w:top w:val="single" w:sz="4" w:space="0" w:color="auto"/>
              <w:left w:val="nil"/>
              <w:bottom w:val="nil"/>
              <w:right w:val="nil"/>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2014-15</w:t>
            </w:r>
          </w:p>
        </w:tc>
        <w:tc>
          <w:tcPr>
            <w:tcW w:w="1099" w:type="dxa"/>
            <w:tcBorders>
              <w:top w:val="single" w:sz="4" w:space="0" w:color="auto"/>
              <w:left w:val="nil"/>
              <w:bottom w:val="nil"/>
              <w:right w:val="single" w:sz="4" w:space="0" w:color="auto"/>
            </w:tcBorders>
            <w:shd w:val="clear" w:color="auto" w:fill="000000"/>
          </w:tcPr>
          <w:p w:rsidR="00A53D7D" w:rsidRPr="00A67170" w:rsidRDefault="00A53D7D" w:rsidP="005140B4">
            <w:pPr>
              <w:pStyle w:val="Tabletextheading"/>
              <w:rPr>
                <w:rFonts w:eastAsiaTheme="minorEastAsia" w:cs="Calibri"/>
                <w:iCs/>
                <w:color w:val="000000"/>
                <w:vertAlign w:val="superscript"/>
                <w:lang w:eastAsia="en-AU"/>
              </w:rPr>
            </w:pPr>
            <w:r w:rsidRPr="00A67170">
              <w:rPr>
                <w:rFonts w:eastAsiaTheme="minorEastAsia"/>
                <w:lang w:eastAsia="en-AU"/>
              </w:rPr>
              <w:t xml:space="preserve">Variation </w:t>
            </w:r>
            <w:r w:rsidRPr="00A67170">
              <w:rPr>
                <w:rFonts w:eastAsiaTheme="minorEastAsia" w:cs="Calibri"/>
                <w:iCs/>
                <w:color w:val="FFFFFF" w:themeColor="background1"/>
                <w:vertAlign w:val="superscript"/>
                <w:lang w:eastAsia="en-AU"/>
              </w:rPr>
              <w:t>(a)</w:t>
            </w:r>
          </w:p>
        </w:tc>
      </w:tr>
      <w:tr w:rsidR="00A53D7D" w:rsidRPr="00A67170" w:rsidTr="005140B4">
        <w:tc>
          <w:tcPr>
            <w:tcW w:w="3803" w:type="dxa"/>
            <w:tcBorders>
              <w:top w:val="nil"/>
              <w:left w:val="single" w:sz="4" w:space="0" w:color="auto"/>
              <w:bottom w:val="single" w:sz="4" w:space="0" w:color="auto"/>
              <w:right w:val="nil"/>
            </w:tcBorders>
            <w:shd w:val="clear" w:color="auto" w:fill="000000"/>
          </w:tcPr>
          <w:p w:rsidR="00A53D7D" w:rsidRPr="00A67170" w:rsidRDefault="00A53D7D" w:rsidP="005140B4">
            <w:pPr>
              <w:pStyle w:val="Tabletext"/>
              <w:rPr>
                <w:rFonts w:eastAsiaTheme="minorEastAsia"/>
                <w:lang w:eastAsia="en-AU"/>
              </w:rPr>
            </w:pPr>
          </w:p>
        </w:tc>
        <w:tc>
          <w:tcPr>
            <w:tcW w:w="958" w:type="dxa"/>
            <w:tcBorders>
              <w:top w:val="nil"/>
              <w:left w:val="nil"/>
              <w:bottom w:val="single" w:sz="4" w:space="0" w:color="auto"/>
              <w:right w:val="nil"/>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Budget</w:t>
            </w:r>
          </w:p>
        </w:tc>
        <w:tc>
          <w:tcPr>
            <w:tcW w:w="958" w:type="dxa"/>
            <w:tcBorders>
              <w:top w:val="nil"/>
              <w:left w:val="nil"/>
              <w:bottom w:val="single" w:sz="4" w:space="0" w:color="auto"/>
              <w:right w:val="nil"/>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Revised</w:t>
            </w:r>
          </w:p>
        </w:tc>
        <w:tc>
          <w:tcPr>
            <w:tcW w:w="958" w:type="dxa"/>
            <w:tcBorders>
              <w:top w:val="nil"/>
              <w:left w:val="nil"/>
              <w:bottom w:val="single" w:sz="4" w:space="0" w:color="auto"/>
              <w:right w:val="nil"/>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Budget</w:t>
            </w:r>
          </w:p>
        </w:tc>
        <w:tc>
          <w:tcPr>
            <w:tcW w:w="1099" w:type="dxa"/>
            <w:tcBorders>
              <w:top w:val="nil"/>
              <w:left w:val="nil"/>
              <w:bottom w:val="single" w:sz="4" w:space="0" w:color="auto"/>
              <w:right w:val="single" w:sz="4" w:space="0" w:color="auto"/>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w:t>
            </w:r>
          </w:p>
        </w:tc>
      </w:tr>
      <w:tr w:rsidR="00A53D7D" w:rsidRPr="00A67170" w:rsidTr="005140B4">
        <w:tc>
          <w:tcPr>
            <w:tcW w:w="3803" w:type="dxa"/>
            <w:tcBorders>
              <w:top w:val="single" w:sz="4" w:space="0" w:color="auto"/>
              <w:left w:val="nil"/>
              <w:bottom w:val="nil"/>
              <w:right w:val="nil"/>
            </w:tcBorders>
          </w:tcPr>
          <w:p w:rsidR="00A53D7D" w:rsidRPr="00A67170" w:rsidRDefault="00A53D7D" w:rsidP="005140B4">
            <w:pPr>
              <w:pStyle w:val="Tabletext"/>
              <w:rPr>
                <w:rFonts w:eastAsiaTheme="minorEastAsia" w:cs="Calibri"/>
                <w:color w:val="000000"/>
                <w:vertAlign w:val="superscript"/>
                <w:lang w:eastAsia="en-AU"/>
              </w:rPr>
            </w:pPr>
            <w:r w:rsidRPr="00A67170">
              <w:rPr>
                <w:rFonts w:eastAsiaTheme="minorEastAsia"/>
                <w:lang w:eastAsia="en-AU"/>
              </w:rPr>
              <w:t xml:space="preserve">Metropolitan Transport Services </w:t>
            </w:r>
            <w:r w:rsidRPr="00A67170">
              <w:rPr>
                <w:rFonts w:eastAsiaTheme="minorEastAsia" w:cs="Calibri"/>
                <w:color w:val="000000"/>
                <w:vertAlign w:val="superscript"/>
                <w:lang w:eastAsia="en-AU"/>
              </w:rPr>
              <w:t>(b)</w:t>
            </w:r>
          </w:p>
        </w:tc>
        <w:tc>
          <w:tcPr>
            <w:tcW w:w="958" w:type="dxa"/>
            <w:tcBorders>
              <w:top w:val="single" w:sz="4" w:space="0" w:color="auto"/>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3 </w:t>
            </w:r>
            <w:r w:rsidRPr="00A67170">
              <w:rPr>
                <w:rFonts w:eastAsiaTheme="minorEastAsia" w:cs="Calibri"/>
                <w:color w:val="000000"/>
                <w:lang w:eastAsia="en-AU"/>
              </w:rPr>
              <w:t>189.0</w:t>
            </w:r>
          </w:p>
        </w:tc>
        <w:tc>
          <w:tcPr>
            <w:tcW w:w="958" w:type="dxa"/>
            <w:tcBorders>
              <w:top w:val="single" w:sz="4" w:space="0" w:color="auto"/>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2</w:t>
            </w:r>
            <w:r w:rsidRPr="00A67170">
              <w:rPr>
                <w:rFonts w:eastAsiaTheme="minorEastAsia" w:cs="Calibri"/>
                <w:color w:val="000000"/>
                <w:lang w:eastAsia="en-AU"/>
              </w:rPr>
              <w:t xml:space="preserve"> 956.9</w:t>
            </w:r>
          </w:p>
        </w:tc>
        <w:tc>
          <w:tcPr>
            <w:tcW w:w="958" w:type="dxa"/>
            <w:tcBorders>
              <w:top w:val="single" w:sz="4" w:space="0" w:color="auto"/>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2</w:t>
            </w:r>
            <w:r w:rsidRPr="00A67170">
              <w:rPr>
                <w:rFonts w:eastAsiaTheme="minorEastAsia" w:cs="Calibri"/>
                <w:color w:val="000000"/>
                <w:lang w:eastAsia="en-AU"/>
              </w:rPr>
              <w:t xml:space="preserve"> 875.2</w:t>
            </w:r>
          </w:p>
        </w:tc>
        <w:tc>
          <w:tcPr>
            <w:tcW w:w="1099" w:type="dxa"/>
            <w:tcBorders>
              <w:top w:val="single" w:sz="4" w:space="0" w:color="auto"/>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-9.8</w:t>
            </w:r>
          </w:p>
        </w:tc>
      </w:tr>
      <w:tr w:rsidR="00A53D7D" w:rsidRPr="00A67170" w:rsidTr="005140B4">
        <w:tc>
          <w:tcPr>
            <w:tcW w:w="3803" w:type="dxa"/>
            <w:tcBorders>
              <w:top w:val="nil"/>
              <w:left w:val="nil"/>
              <w:bottom w:val="nil"/>
              <w:right w:val="nil"/>
            </w:tcBorders>
          </w:tcPr>
          <w:p w:rsidR="00A53D7D" w:rsidRPr="00A67170" w:rsidRDefault="00A53D7D" w:rsidP="005140B4">
            <w:pPr>
              <w:pStyle w:val="Tabletext"/>
              <w:rPr>
                <w:rFonts w:eastAsiaTheme="minorEastAsia" w:cs="Calibri"/>
                <w:color w:val="000000"/>
                <w:vertAlign w:val="superscript"/>
                <w:lang w:eastAsia="en-AU"/>
              </w:rPr>
            </w:pPr>
            <w:r w:rsidRPr="00A67170">
              <w:rPr>
                <w:rFonts w:eastAsiaTheme="minorEastAsia"/>
                <w:lang w:eastAsia="en-AU"/>
              </w:rPr>
              <w:t xml:space="preserve">Regional Transport Services </w:t>
            </w:r>
            <w:r w:rsidRPr="00A67170">
              <w:rPr>
                <w:rFonts w:eastAsiaTheme="minorEastAsia" w:cs="Calibri"/>
                <w:color w:val="000000"/>
                <w:vertAlign w:val="superscript"/>
                <w:lang w:eastAsia="en-AU"/>
              </w:rPr>
              <w:t>(c)</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869.8</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852.2</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896.9</w:t>
            </w:r>
          </w:p>
        </w:tc>
        <w:tc>
          <w:tcPr>
            <w:tcW w:w="1099"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3.1</w:t>
            </w:r>
          </w:p>
        </w:tc>
      </w:tr>
      <w:tr w:rsidR="00A53D7D" w:rsidRPr="00A67170" w:rsidTr="005140B4">
        <w:tc>
          <w:tcPr>
            <w:tcW w:w="3803" w:type="dxa"/>
            <w:tcBorders>
              <w:top w:val="nil"/>
              <w:left w:val="nil"/>
              <w:bottom w:val="nil"/>
              <w:right w:val="nil"/>
            </w:tcBorders>
          </w:tcPr>
          <w:p w:rsidR="00A53D7D" w:rsidRPr="00A67170" w:rsidRDefault="00A53D7D" w:rsidP="005140B4">
            <w:pPr>
              <w:pStyle w:val="Tabletext"/>
              <w:rPr>
                <w:rFonts w:eastAsiaTheme="minorEastAsia"/>
                <w:lang w:eastAsia="en-AU"/>
              </w:rPr>
            </w:pPr>
            <w:proofErr w:type="spellStart"/>
            <w:r w:rsidRPr="00A67170">
              <w:rPr>
                <w:rFonts w:eastAsiaTheme="minorEastAsia"/>
                <w:lang w:eastAsia="en-AU"/>
              </w:rPr>
              <w:t>Statewide</w:t>
            </w:r>
            <w:proofErr w:type="spellEnd"/>
            <w:r w:rsidRPr="00A67170">
              <w:rPr>
                <w:rFonts w:eastAsiaTheme="minorEastAsia"/>
                <w:lang w:eastAsia="en-AU"/>
              </w:rPr>
              <w:t xml:space="preserve"> Transport Services</w:t>
            </w:r>
          </w:p>
        </w:tc>
        <w:tc>
          <w:tcPr>
            <w:tcW w:w="958"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372.5</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388.2</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390.4</w:t>
            </w:r>
          </w:p>
        </w:tc>
        <w:tc>
          <w:tcPr>
            <w:tcW w:w="1099"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4.8</w:t>
            </w:r>
          </w:p>
        </w:tc>
      </w:tr>
      <w:tr w:rsidR="00A53D7D" w:rsidRPr="00A67170" w:rsidTr="005140B4">
        <w:tc>
          <w:tcPr>
            <w:tcW w:w="3803" w:type="dxa"/>
            <w:tcBorders>
              <w:top w:val="nil"/>
              <w:left w:val="nil"/>
              <w:bottom w:val="nil"/>
              <w:right w:val="nil"/>
            </w:tcBorders>
          </w:tcPr>
          <w:p w:rsidR="00A53D7D" w:rsidRPr="00A67170" w:rsidRDefault="00A53D7D" w:rsidP="005140B4">
            <w:pPr>
              <w:pStyle w:val="Tabletext"/>
              <w:rPr>
                <w:rFonts w:eastAsiaTheme="minorEastAsia"/>
                <w:lang w:eastAsia="en-AU"/>
              </w:rPr>
            </w:pPr>
            <w:r w:rsidRPr="00A67170">
              <w:rPr>
                <w:rFonts w:eastAsiaTheme="minorEastAsia"/>
                <w:lang w:eastAsia="en-AU"/>
              </w:rPr>
              <w:t>Local Government</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57.2</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58.7</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59.7</w:t>
            </w:r>
          </w:p>
        </w:tc>
        <w:tc>
          <w:tcPr>
            <w:tcW w:w="1099"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4.4</w:t>
            </w:r>
          </w:p>
        </w:tc>
      </w:tr>
      <w:tr w:rsidR="00A53D7D" w:rsidRPr="00A67170" w:rsidTr="005140B4">
        <w:tc>
          <w:tcPr>
            <w:tcW w:w="3803" w:type="dxa"/>
            <w:tcBorders>
              <w:top w:val="nil"/>
              <w:left w:val="nil"/>
              <w:bottom w:val="nil"/>
              <w:right w:val="nil"/>
            </w:tcBorders>
          </w:tcPr>
          <w:p w:rsidR="00A53D7D" w:rsidRPr="00A67170" w:rsidRDefault="00A53D7D" w:rsidP="005140B4">
            <w:pPr>
              <w:pStyle w:val="Tabletext"/>
              <w:rPr>
                <w:rFonts w:eastAsiaTheme="minorEastAsia" w:cs="Calibri"/>
                <w:color w:val="000000"/>
                <w:vertAlign w:val="superscript"/>
                <w:lang w:eastAsia="en-AU"/>
              </w:rPr>
            </w:pPr>
            <w:r w:rsidRPr="00A67170">
              <w:rPr>
                <w:rFonts w:eastAsiaTheme="minorEastAsia"/>
                <w:lang w:eastAsia="en-AU"/>
              </w:rPr>
              <w:t xml:space="preserve">Sport and Recreation </w:t>
            </w:r>
            <w:r w:rsidRPr="00A67170">
              <w:rPr>
                <w:rFonts w:eastAsiaTheme="minorEastAsia" w:cs="Calibri"/>
                <w:color w:val="000000"/>
                <w:vertAlign w:val="superscript"/>
                <w:lang w:eastAsia="en-AU"/>
              </w:rPr>
              <w:t>(d)</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77.2</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78.3</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88.1</w:t>
            </w:r>
          </w:p>
        </w:tc>
        <w:tc>
          <w:tcPr>
            <w:tcW w:w="1099"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14.1</w:t>
            </w:r>
          </w:p>
        </w:tc>
      </w:tr>
      <w:tr w:rsidR="00A53D7D" w:rsidRPr="00A67170" w:rsidTr="005140B4">
        <w:tc>
          <w:tcPr>
            <w:tcW w:w="3803" w:type="dxa"/>
            <w:tcBorders>
              <w:top w:val="nil"/>
              <w:left w:val="nil"/>
              <w:bottom w:val="nil"/>
              <w:right w:val="nil"/>
            </w:tcBorders>
          </w:tcPr>
          <w:p w:rsidR="00A53D7D" w:rsidRPr="00A67170" w:rsidRDefault="00A53D7D" w:rsidP="005140B4">
            <w:pPr>
              <w:pStyle w:val="Tabletext"/>
              <w:rPr>
                <w:rFonts w:eastAsiaTheme="minorEastAsia"/>
                <w:lang w:eastAsia="en-AU"/>
              </w:rPr>
            </w:pPr>
            <w:r w:rsidRPr="00A67170">
              <w:rPr>
                <w:rFonts w:eastAsiaTheme="minorEastAsia"/>
                <w:lang w:eastAsia="en-AU"/>
              </w:rPr>
              <w:t>Land Victoria</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76.7</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78.4</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77.3</w:t>
            </w:r>
          </w:p>
        </w:tc>
        <w:tc>
          <w:tcPr>
            <w:tcW w:w="1099"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0.8</w:t>
            </w:r>
          </w:p>
        </w:tc>
      </w:tr>
      <w:tr w:rsidR="00A53D7D" w:rsidRPr="00A67170" w:rsidTr="005140B4">
        <w:tc>
          <w:tcPr>
            <w:tcW w:w="3803" w:type="dxa"/>
            <w:tcBorders>
              <w:top w:val="nil"/>
              <w:left w:val="nil"/>
              <w:bottom w:val="nil"/>
              <w:right w:val="nil"/>
            </w:tcBorders>
          </w:tcPr>
          <w:p w:rsidR="00A53D7D" w:rsidRPr="00A67170" w:rsidRDefault="00A53D7D" w:rsidP="005140B4">
            <w:pPr>
              <w:pStyle w:val="Tabletext"/>
              <w:rPr>
                <w:rFonts w:eastAsiaTheme="minorEastAsia" w:cs="Calibri"/>
                <w:color w:val="000000"/>
                <w:lang w:eastAsia="en-AU"/>
              </w:rPr>
            </w:pPr>
            <w:r w:rsidRPr="00A67170">
              <w:rPr>
                <w:rFonts w:eastAsiaTheme="minorEastAsia"/>
                <w:lang w:eastAsia="en-AU"/>
              </w:rPr>
              <w:t xml:space="preserve">Office of the Victorian Government </w:t>
            </w:r>
            <w:r w:rsidRPr="00A67170">
              <w:rPr>
                <w:rFonts w:eastAsiaTheme="minorEastAsia" w:cs="Calibri"/>
                <w:color w:val="000000"/>
                <w:lang w:eastAsia="en-AU"/>
              </w:rPr>
              <w:t>Architect</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1.8</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1.8</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1.8</w:t>
            </w:r>
          </w:p>
        </w:tc>
        <w:tc>
          <w:tcPr>
            <w:tcW w:w="1099"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0.0</w:t>
            </w:r>
          </w:p>
        </w:tc>
      </w:tr>
      <w:tr w:rsidR="00A53D7D" w:rsidRPr="00A67170" w:rsidTr="005140B4">
        <w:tc>
          <w:tcPr>
            <w:tcW w:w="3803" w:type="dxa"/>
            <w:tcBorders>
              <w:top w:val="nil"/>
              <w:left w:val="nil"/>
              <w:bottom w:val="nil"/>
              <w:right w:val="nil"/>
            </w:tcBorders>
          </w:tcPr>
          <w:p w:rsidR="00A53D7D" w:rsidRPr="00A67170" w:rsidRDefault="00A53D7D" w:rsidP="005140B4">
            <w:pPr>
              <w:pStyle w:val="Tabletext"/>
              <w:rPr>
                <w:rFonts w:eastAsiaTheme="minorEastAsia" w:cs="Calibri"/>
                <w:color w:val="000000"/>
                <w:lang w:eastAsia="en-AU"/>
              </w:rPr>
            </w:pPr>
            <w:r w:rsidRPr="00A67170">
              <w:rPr>
                <w:rFonts w:eastAsiaTheme="minorEastAsia"/>
                <w:lang w:eastAsia="en-AU"/>
              </w:rPr>
              <w:t>Planning,</w:t>
            </w:r>
            <w:r w:rsidRPr="00A67170">
              <w:rPr>
                <w:rFonts w:eastAsiaTheme="minorEastAsia" w:cs="Calibri"/>
                <w:color w:val="000000"/>
                <w:lang w:eastAsia="en-AU"/>
              </w:rPr>
              <w:t xml:space="preserve"> Building and Heritage</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105.9</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112.9</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109.3</w:t>
            </w:r>
          </w:p>
        </w:tc>
        <w:tc>
          <w:tcPr>
            <w:tcW w:w="1099"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3.2</w:t>
            </w:r>
          </w:p>
        </w:tc>
      </w:tr>
      <w:tr w:rsidR="00A53D7D" w:rsidRPr="00A67170" w:rsidTr="005140B4">
        <w:tc>
          <w:tcPr>
            <w:tcW w:w="3803" w:type="dxa"/>
            <w:tcBorders>
              <w:top w:val="nil"/>
              <w:left w:val="nil"/>
              <w:bottom w:val="nil"/>
              <w:right w:val="nil"/>
            </w:tcBorders>
          </w:tcPr>
          <w:p w:rsidR="00A53D7D" w:rsidRPr="00A67170" w:rsidRDefault="00A53D7D" w:rsidP="005140B4">
            <w:pPr>
              <w:pStyle w:val="Tabletext"/>
              <w:rPr>
                <w:rFonts w:eastAsiaTheme="minorEastAsia" w:cs="Calibri"/>
                <w:color w:val="000000"/>
                <w:lang w:eastAsia="en-AU"/>
              </w:rPr>
            </w:pPr>
            <w:r w:rsidRPr="00A67170">
              <w:rPr>
                <w:rFonts w:eastAsiaTheme="minorEastAsia"/>
                <w:lang w:eastAsia="en-AU"/>
              </w:rPr>
              <w:t xml:space="preserve">Transport Safety Regulation </w:t>
            </w:r>
            <w:r w:rsidRPr="00A67170">
              <w:rPr>
                <w:rFonts w:eastAsiaTheme="minorEastAsia" w:cs="Calibri"/>
                <w:color w:val="000000"/>
                <w:lang w:eastAsia="en-AU"/>
              </w:rPr>
              <w:t>and Investigations</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211.8</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227.1</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212.1</w:t>
            </w:r>
          </w:p>
        </w:tc>
        <w:tc>
          <w:tcPr>
            <w:tcW w:w="1099"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0.1</w:t>
            </w:r>
          </w:p>
        </w:tc>
      </w:tr>
      <w:tr w:rsidR="00A53D7D" w:rsidRPr="00A67170" w:rsidTr="005140B4">
        <w:tc>
          <w:tcPr>
            <w:tcW w:w="3803" w:type="dxa"/>
            <w:tcBorders>
              <w:top w:val="nil"/>
              <w:left w:val="nil"/>
              <w:bottom w:val="nil"/>
              <w:right w:val="nil"/>
            </w:tcBorders>
          </w:tcPr>
          <w:p w:rsidR="00A53D7D" w:rsidRPr="00A67170" w:rsidRDefault="00A53D7D" w:rsidP="005140B4">
            <w:pPr>
              <w:pStyle w:val="Tabletext"/>
              <w:ind w:right="-82"/>
              <w:rPr>
                <w:rFonts w:eastAsiaTheme="minorEastAsia" w:cs="Calibri"/>
                <w:color w:val="000000"/>
                <w:vertAlign w:val="superscript"/>
                <w:lang w:eastAsia="en-AU"/>
              </w:rPr>
            </w:pPr>
            <w:r w:rsidRPr="00A67170">
              <w:rPr>
                <w:rFonts w:eastAsiaTheme="minorEastAsia"/>
                <w:lang w:eastAsia="en-AU"/>
              </w:rPr>
              <w:t xml:space="preserve">Transport Safety and </w:t>
            </w:r>
            <w:r w:rsidRPr="00A67170">
              <w:rPr>
                <w:rFonts w:eastAsiaTheme="minorEastAsia" w:cs="Calibri"/>
                <w:color w:val="000000"/>
                <w:lang w:eastAsia="en-AU"/>
              </w:rPr>
              <w:t xml:space="preserve">Security Management </w:t>
            </w:r>
            <w:r w:rsidRPr="00A67170">
              <w:rPr>
                <w:rFonts w:eastAsiaTheme="minorEastAsia" w:cs="Calibri"/>
                <w:color w:val="000000"/>
                <w:vertAlign w:val="superscript"/>
                <w:lang w:eastAsia="en-AU"/>
              </w:rPr>
              <w:t>(e)</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141.9</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103.4</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116.2</w:t>
            </w:r>
          </w:p>
        </w:tc>
        <w:tc>
          <w:tcPr>
            <w:tcW w:w="1099"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-18.1</w:t>
            </w:r>
          </w:p>
        </w:tc>
      </w:tr>
      <w:tr w:rsidR="00A53D7D" w:rsidRPr="00A67170" w:rsidTr="005140B4">
        <w:tc>
          <w:tcPr>
            <w:tcW w:w="3803" w:type="dxa"/>
            <w:tcBorders>
              <w:top w:val="nil"/>
              <w:left w:val="nil"/>
              <w:bottom w:val="nil"/>
              <w:right w:val="nil"/>
            </w:tcBorders>
          </w:tcPr>
          <w:p w:rsidR="00A53D7D" w:rsidRPr="00A67170" w:rsidRDefault="00A53D7D" w:rsidP="005140B4">
            <w:pPr>
              <w:pStyle w:val="Tabletext"/>
              <w:rPr>
                <w:rFonts w:eastAsiaTheme="minorEastAsia" w:cs="Calibri"/>
                <w:color w:val="000000"/>
                <w:vertAlign w:val="superscript"/>
                <w:lang w:eastAsia="en-AU"/>
              </w:rPr>
            </w:pPr>
            <w:r w:rsidRPr="00A67170">
              <w:rPr>
                <w:rFonts w:eastAsiaTheme="minorEastAsia"/>
                <w:lang w:eastAsia="en-AU"/>
              </w:rPr>
              <w:t xml:space="preserve">Integrated Transport System Planning </w:t>
            </w:r>
            <w:r w:rsidRPr="00A67170">
              <w:rPr>
                <w:rFonts w:eastAsiaTheme="minorEastAsia" w:cs="Calibri"/>
                <w:color w:val="000000"/>
                <w:vertAlign w:val="superscript"/>
                <w:lang w:eastAsia="en-AU"/>
              </w:rPr>
              <w:t>(f)</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26.7</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28.5</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18.1</w:t>
            </w:r>
          </w:p>
        </w:tc>
        <w:tc>
          <w:tcPr>
            <w:tcW w:w="1099"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-32.2</w:t>
            </w:r>
          </w:p>
        </w:tc>
      </w:tr>
      <w:tr w:rsidR="00A53D7D" w:rsidRPr="00A67170" w:rsidTr="005140B4">
        <w:tc>
          <w:tcPr>
            <w:tcW w:w="3803" w:type="dxa"/>
            <w:tcBorders>
              <w:top w:val="nil"/>
              <w:left w:val="nil"/>
              <w:bottom w:val="nil"/>
              <w:right w:val="nil"/>
            </w:tcBorders>
          </w:tcPr>
          <w:p w:rsidR="00A53D7D" w:rsidRPr="00A67170" w:rsidRDefault="00A53D7D" w:rsidP="005140B4">
            <w:pPr>
              <w:pStyle w:val="Tabletext"/>
              <w:rPr>
                <w:rFonts w:eastAsiaTheme="minorEastAsia" w:cs="Calibri"/>
                <w:color w:val="000000"/>
                <w:vertAlign w:val="superscript"/>
                <w:lang w:eastAsia="en-AU"/>
              </w:rPr>
            </w:pPr>
            <w:r w:rsidRPr="00A67170">
              <w:rPr>
                <w:rFonts w:eastAsiaTheme="minorEastAsia"/>
                <w:lang w:eastAsia="en-AU"/>
              </w:rPr>
              <w:t xml:space="preserve">Ports </w:t>
            </w:r>
            <w:r w:rsidRPr="00A67170">
              <w:rPr>
                <w:rFonts w:eastAsiaTheme="minorEastAsia" w:cs="Calibri"/>
                <w:color w:val="000000"/>
                <w:lang w:eastAsia="en-AU"/>
              </w:rPr>
              <w:t xml:space="preserve">and Freight Network Improvements and Maintenance </w:t>
            </w:r>
            <w:r w:rsidRPr="00A67170">
              <w:rPr>
                <w:rFonts w:eastAsiaTheme="minorEastAsia" w:cs="Calibri"/>
                <w:color w:val="000000"/>
                <w:vertAlign w:val="superscript"/>
                <w:lang w:eastAsia="en-AU"/>
              </w:rPr>
              <w:t>(g)</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60.0</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67.8</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65.9</w:t>
            </w:r>
          </w:p>
        </w:tc>
        <w:tc>
          <w:tcPr>
            <w:tcW w:w="1099"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9.8</w:t>
            </w:r>
          </w:p>
        </w:tc>
      </w:tr>
      <w:tr w:rsidR="00A53D7D" w:rsidRPr="00A67170" w:rsidTr="005140B4">
        <w:tc>
          <w:tcPr>
            <w:tcW w:w="3803" w:type="dxa"/>
            <w:tcBorders>
              <w:top w:val="nil"/>
              <w:left w:val="nil"/>
              <w:bottom w:val="nil"/>
              <w:right w:val="nil"/>
            </w:tcBorders>
          </w:tcPr>
          <w:p w:rsidR="00A53D7D" w:rsidRPr="00A67170" w:rsidRDefault="00A53D7D" w:rsidP="005140B4">
            <w:pPr>
              <w:pStyle w:val="Tabletext"/>
              <w:rPr>
                <w:rFonts w:eastAsiaTheme="minorEastAsia" w:cs="Calibri"/>
                <w:color w:val="000000"/>
                <w:vertAlign w:val="superscript"/>
                <w:lang w:eastAsia="en-AU"/>
              </w:rPr>
            </w:pPr>
            <w:r w:rsidRPr="00A67170">
              <w:rPr>
                <w:rFonts w:eastAsiaTheme="minorEastAsia"/>
                <w:lang w:eastAsia="en-AU"/>
              </w:rPr>
              <w:t xml:space="preserve">Public Transport </w:t>
            </w:r>
            <w:r w:rsidRPr="00A67170">
              <w:rPr>
                <w:rFonts w:eastAsiaTheme="minorEastAsia" w:cs="Calibri"/>
                <w:color w:val="000000"/>
                <w:lang w:eastAsia="en-AU"/>
              </w:rPr>
              <w:t xml:space="preserve">Network Improvements and Maintenance </w:t>
            </w:r>
            <w:r w:rsidRPr="00A67170">
              <w:rPr>
                <w:rFonts w:eastAsiaTheme="minorEastAsia" w:cs="Calibri"/>
                <w:color w:val="000000"/>
                <w:vertAlign w:val="superscript"/>
                <w:lang w:eastAsia="en-AU"/>
              </w:rPr>
              <w:t>(h)</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73.3</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90.3</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69.7</w:t>
            </w:r>
          </w:p>
        </w:tc>
        <w:tc>
          <w:tcPr>
            <w:tcW w:w="1099"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-4.9</w:t>
            </w:r>
          </w:p>
        </w:tc>
      </w:tr>
      <w:tr w:rsidR="00A53D7D" w:rsidRPr="00A67170" w:rsidTr="005140B4">
        <w:tc>
          <w:tcPr>
            <w:tcW w:w="3803" w:type="dxa"/>
            <w:tcBorders>
              <w:top w:val="nil"/>
              <w:left w:val="nil"/>
              <w:bottom w:val="nil"/>
              <w:right w:val="nil"/>
            </w:tcBorders>
          </w:tcPr>
          <w:p w:rsidR="00A53D7D" w:rsidRPr="00A67170" w:rsidRDefault="00A53D7D" w:rsidP="005140B4">
            <w:pPr>
              <w:pStyle w:val="Tabletext"/>
              <w:rPr>
                <w:rFonts w:eastAsiaTheme="minorEastAsia" w:cs="Calibri"/>
                <w:color w:val="000000"/>
                <w:vertAlign w:val="superscript"/>
                <w:lang w:eastAsia="en-AU"/>
              </w:rPr>
            </w:pPr>
            <w:r w:rsidRPr="00A67170">
              <w:rPr>
                <w:rFonts w:eastAsiaTheme="minorEastAsia"/>
                <w:lang w:eastAsia="en-AU"/>
              </w:rPr>
              <w:t xml:space="preserve">Road Asset Management </w:t>
            </w:r>
            <w:r w:rsidRPr="00A67170">
              <w:rPr>
                <w:rFonts w:eastAsiaTheme="minorEastAsia" w:cs="Calibri"/>
                <w:color w:val="000000"/>
                <w:vertAlign w:val="superscript"/>
                <w:lang w:eastAsia="en-AU"/>
              </w:rPr>
              <w:t>(</w:t>
            </w:r>
            <w:proofErr w:type="spellStart"/>
            <w:r w:rsidRPr="00A67170">
              <w:rPr>
                <w:rFonts w:eastAsiaTheme="minorEastAsia" w:cs="Calibri"/>
                <w:color w:val="000000"/>
                <w:vertAlign w:val="superscript"/>
                <w:lang w:eastAsia="en-AU"/>
              </w:rPr>
              <w:t>i</w:t>
            </w:r>
            <w:proofErr w:type="spellEnd"/>
            <w:r w:rsidRPr="00A67170">
              <w:rPr>
                <w:rFonts w:eastAsiaTheme="minorEastAsia" w:cs="Calibri"/>
                <w:color w:val="000000"/>
                <w:vertAlign w:val="superscript"/>
                <w:lang w:eastAsia="en-AU"/>
              </w:rPr>
              <w:t>)</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436.2</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442.7</w:t>
            </w:r>
          </w:p>
        </w:tc>
        <w:tc>
          <w:tcPr>
            <w:tcW w:w="958" w:type="dxa"/>
            <w:tcBorders>
              <w:top w:val="nil"/>
              <w:left w:val="nil"/>
              <w:bottom w:val="nil"/>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445.7</w:t>
            </w:r>
          </w:p>
        </w:tc>
        <w:tc>
          <w:tcPr>
            <w:tcW w:w="1099"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2.2</w:t>
            </w:r>
          </w:p>
        </w:tc>
      </w:tr>
      <w:tr w:rsidR="00A53D7D" w:rsidRPr="00A67170" w:rsidTr="005140B4">
        <w:tc>
          <w:tcPr>
            <w:tcW w:w="3803" w:type="dxa"/>
            <w:tcBorders>
              <w:top w:val="nil"/>
              <w:left w:val="nil"/>
              <w:bottom w:val="single" w:sz="4" w:space="0" w:color="auto"/>
              <w:right w:val="nil"/>
            </w:tcBorders>
          </w:tcPr>
          <w:p w:rsidR="00A53D7D" w:rsidRPr="00A67170" w:rsidRDefault="00A53D7D" w:rsidP="005140B4">
            <w:pPr>
              <w:pStyle w:val="Tabletext"/>
              <w:rPr>
                <w:rFonts w:eastAsiaTheme="minorEastAsia" w:cs="Calibri"/>
                <w:color w:val="000000"/>
                <w:vertAlign w:val="superscript"/>
                <w:lang w:eastAsia="en-AU"/>
              </w:rPr>
            </w:pPr>
            <w:r w:rsidRPr="00A67170">
              <w:rPr>
                <w:rFonts w:eastAsiaTheme="minorEastAsia"/>
                <w:lang w:eastAsia="en-AU"/>
              </w:rPr>
              <w:t xml:space="preserve">Road Network </w:t>
            </w:r>
            <w:r w:rsidRPr="00A67170">
              <w:rPr>
                <w:rFonts w:eastAsiaTheme="minorEastAsia" w:cs="Calibri"/>
                <w:color w:val="000000"/>
                <w:lang w:eastAsia="en-AU"/>
              </w:rPr>
              <w:t xml:space="preserve">Improvements </w:t>
            </w:r>
            <w:r w:rsidRPr="00A67170">
              <w:rPr>
                <w:rFonts w:eastAsiaTheme="minorEastAsia" w:cs="Calibri"/>
                <w:color w:val="000000"/>
                <w:vertAlign w:val="superscript"/>
                <w:lang w:eastAsia="en-AU"/>
              </w:rPr>
              <w:t>(j)</w:t>
            </w:r>
          </w:p>
        </w:tc>
        <w:tc>
          <w:tcPr>
            <w:tcW w:w="958" w:type="dxa"/>
            <w:tcBorders>
              <w:top w:val="nil"/>
              <w:left w:val="nil"/>
              <w:bottom w:val="single" w:sz="4" w:space="0" w:color="auto"/>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870.1</w:t>
            </w:r>
          </w:p>
        </w:tc>
        <w:tc>
          <w:tcPr>
            <w:tcW w:w="958" w:type="dxa"/>
            <w:tcBorders>
              <w:top w:val="nil"/>
              <w:left w:val="nil"/>
              <w:bottom w:val="single" w:sz="4" w:space="0" w:color="auto"/>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lang w:eastAsia="en-AU"/>
              </w:rPr>
              <w:t xml:space="preserve"> </w:t>
            </w:r>
            <w:r w:rsidRPr="00A67170">
              <w:rPr>
                <w:rFonts w:eastAsiaTheme="minorEastAsia" w:cs="Calibri"/>
                <w:color w:val="000000"/>
                <w:lang w:eastAsia="en-AU"/>
              </w:rPr>
              <w:t>902.5</w:t>
            </w:r>
          </w:p>
        </w:tc>
        <w:tc>
          <w:tcPr>
            <w:tcW w:w="958" w:type="dxa"/>
            <w:tcBorders>
              <w:top w:val="nil"/>
              <w:left w:val="nil"/>
              <w:bottom w:val="single" w:sz="4" w:space="0" w:color="auto"/>
              <w:right w:val="nil"/>
            </w:tcBorders>
          </w:tcPr>
          <w:p w:rsidR="00A53D7D" w:rsidRPr="00A67170" w:rsidRDefault="00A53D7D" w:rsidP="005140B4">
            <w:pPr>
              <w:pStyle w:val="TableofFigures"/>
              <w:rPr>
                <w:rFonts w:eastAsiaTheme="minorEastAsia" w:cs="Calibri"/>
                <w:color w:val="000000"/>
                <w:lang w:eastAsia="en-AU"/>
              </w:rPr>
            </w:pPr>
            <w:r w:rsidRPr="00A67170">
              <w:rPr>
                <w:rFonts w:eastAsiaTheme="minorEastAsia" w:cs="Calibri"/>
                <w:color w:val="000000"/>
                <w:lang w:eastAsia="en-AU"/>
              </w:rPr>
              <w:t xml:space="preserve"> 918.4</w:t>
            </w:r>
          </w:p>
        </w:tc>
        <w:tc>
          <w:tcPr>
            <w:tcW w:w="1099" w:type="dxa"/>
            <w:tcBorders>
              <w:top w:val="nil"/>
              <w:left w:val="nil"/>
              <w:bottom w:val="single" w:sz="4" w:space="0" w:color="auto"/>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5.6</w:t>
            </w:r>
          </w:p>
        </w:tc>
      </w:tr>
      <w:tr w:rsidR="00A53D7D" w:rsidRPr="00A67170" w:rsidTr="005140B4">
        <w:tc>
          <w:tcPr>
            <w:tcW w:w="3803" w:type="dxa"/>
            <w:tcBorders>
              <w:top w:val="single" w:sz="4" w:space="0" w:color="auto"/>
              <w:left w:val="nil"/>
              <w:bottom w:val="single" w:sz="12" w:space="0" w:color="auto"/>
              <w:right w:val="nil"/>
            </w:tcBorders>
          </w:tcPr>
          <w:p w:rsidR="00A53D7D" w:rsidRPr="00A67170" w:rsidRDefault="00A53D7D" w:rsidP="005140B4">
            <w:pPr>
              <w:pStyle w:val="Tabletext"/>
              <w:rPr>
                <w:rFonts w:eastAsiaTheme="minorEastAsia"/>
                <w:b/>
                <w:lang w:eastAsia="en-AU"/>
              </w:rPr>
            </w:pPr>
            <w:r w:rsidRPr="00A67170">
              <w:rPr>
                <w:rFonts w:eastAsiaTheme="minorEastAsia"/>
                <w:b/>
                <w:lang w:eastAsia="en-AU"/>
              </w:rPr>
              <w:t>Total</w:t>
            </w:r>
          </w:p>
        </w:tc>
        <w:tc>
          <w:tcPr>
            <w:tcW w:w="958" w:type="dxa"/>
            <w:tcBorders>
              <w:top w:val="single" w:sz="4" w:space="0" w:color="auto"/>
              <w:left w:val="nil"/>
              <w:bottom w:val="single" w:sz="12" w:space="0" w:color="auto"/>
              <w:right w:val="nil"/>
            </w:tcBorders>
          </w:tcPr>
          <w:p w:rsidR="00A53D7D" w:rsidRPr="00A67170" w:rsidRDefault="00A53D7D" w:rsidP="005140B4">
            <w:pPr>
              <w:pStyle w:val="TableofFigures"/>
              <w:rPr>
                <w:rFonts w:eastAsiaTheme="minorEastAsia" w:cs="Calibri"/>
                <w:b/>
                <w:bCs/>
                <w:color w:val="000000"/>
                <w:lang w:eastAsia="en-AU"/>
              </w:rPr>
            </w:pPr>
            <w:r w:rsidRPr="00A67170">
              <w:rPr>
                <w:rFonts w:eastAsiaTheme="minorEastAsia"/>
                <w:b/>
                <w:lang w:eastAsia="en-AU"/>
              </w:rPr>
              <w:t xml:space="preserve">6 </w:t>
            </w:r>
            <w:r w:rsidRPr="00A67170">
              <w:rPr>
                <w:rFonts w:eastAsiaTheme="minorEastAsia" w:cs="Calibri"/>
                <w:b/>
                <w:bCs/>
                <w:color w:val="000000"/>
                <w:lang w:eastAsia="en-AU"/>
              </w:rPr>
              <w:t>570.1</w:t>
            </w:r>
          </w:p>
        </w:tc>
        <w:tc>
          <w:tcPr>
            <w:tcW w:w="958" w:type="dxa"/>
            <w:tcBorders>
              <w:top w:val="single" w:sz="4" w:space="0" w:color="auto"/>
              <w:left w:val="nil"/>
              <w:bottom w:val="single" w:sz="12" w:space="0" w:color="auto"/>
              <w:right w:val="nil"/>
            </w:tcBorders>
          </w:tcPr>
          <w:p w:rsidR="00A53D7D" w:rsidRPr="00A67170" w:rsidRDefault="00A53D7D" w:rsidP="005140B4">
            <w:pPr>
              <w:pStyle w:val="TableofFigures"/>
              <w:rPr>
                <w:rFonts w:eastAsiaTheme="minorEastAsia" w:cs="Calibri"/>
                <w:b/>
                <w:bCs/>
                <w:color w:val="000000"/>
                <w:lang w:eastAsia="en-AU"/>
              </w:rPr>
            </w:pPr>
            <w:r w:rsidRPr="00A67170">
              <w:rPr>
                <w:rFonts w:eastAsiaTheme="minorEastAsia"/>
                <w:b/>
                <w:lang w:eastAsia="en-AU"/>
              </w:rPr>
              <w:t>6</w:t>
            </w:r>
            <w:r w:rsidRPr="00A67170">
              <w:rPr>
                <w:rFonts w:eastAsiaTheme="minorEastAsia" w:cs="Calibri"/>
                <w:b/>
                <w:bCs/>
                <w:color w:val="000000"/>
                <w:lang w:eastAsia="en-AU"/>
              </w:rPr>
              <w:t xml:space="preserve"> 389.7</w:t>
            </w:r>
          </w:p>
        </w:tc>
        <w:tc>
          <w:tcPr>
            <w:tcW w:w="958" w:type="dxa"/>
            <w:tcBorders>
              <w:top w:val="single" w:sz="4" w:space="0" w:color="auto"/>
              <w:left w:val="nil"/>
              <w:bottom w:val="single" w:sz="12" w:space="0" w:color="auto"/>
              <w:right w:val="nil"/>
            </w:tcBorders>
          </w:tcPr>
          <w:p w:rsidR="00A53D7D" w:rsidRPr="00A67170" w:rsidRDefault="00A53D7D" w:rsidP="005140B4">
            <w:pPr>
              <w:pStyle w:val="TableofFigures"/>
              <w:rPr>
                <w:rFonts w:eastAsiaTheme="minorEastAsia" w:cs="Calibri"/>
                <w:b/>
                <w:bCs/>
                <w:color w:val="000000"/>
                <w:lang w:eastAsia="en-AU"/>
              </w:rPr>
            </w:pPr>
            <w:r w:rsidRPr="00A67170">
              <w:rPr>
                <w:rFonts w:eastAsiaTheme="minorEastAsia"/>
                <w:b/>
                <w:lang w:eastAsia="en-AU"/>
              </w:rPr>
              <w:t>6</w:t>
            </w:r>
            <w:r w:rsidRPr="00A67170">
              <w:rPr>
                <w:rFonts w:eastAsiaTheme="minorEastAsia" w:cs="Calibri"/>
                <w:b/>
                <w:bCs/>
                <w:color w:val="000000"/>
                <w:lang w:eastAsia="en-AU"/>
              </w:rPr>
              <w:t xml:space="preserve"> 344.7</w:t>
            </w:r>
          </w:p>
        </w:tc>
        <w:tc>
          <w:tcPr>
            <w:tcW w:w="1099" w:type="dxa"/>
            <w:tcBorders>
              <w:top w:val="single" w:sz="4" w:space="0" w:color="auto"/>
              <w:left w:val="nil"/>
              <w:bottom w:val="single" w:sz="12" w:space="0" w:color="auto"/>
              <w:right w:val="nil"/>
            </w:tcBorders>
          </w:tcPr>
          <w:p w:rsidR="00A53D7D" w:rsidRPr="00A67170" w:rsidRDefault="00A53D7D" w:rsidP="005140B4">
            <w:pPr>
              <w:pStyle w:val="TableofFigures"/>
              <w:rPr>
                <w:rFonts w:eastAsiaTheme="minorEastAsia"/>
                <w:b/>
                <w:lang w:eastAsia="en-AU"/>
              </w:rPr>
            </w:pPr>
            <w:r w:rsidRPr="00A67170">
              <w:rPr>
                <w:rFonts w:eastAsiaTheme="minorEastAsia"/>
                <w:b/>
                <w:lang w:eastAsia="en-AU"/>
              </w:rPr>
              <w:t>-3.4</w:t>
            </w:r>
          </w:p>
        </w:tc>
      </w:tr>
    </w:tbl>
    <w:p w:rsidR="00A53D7D" w:rsidRDefault="00A53D7D" w:rsidP="005140B4">
      <w:pPr>
        <w:pStyle w:val="Source"/>
      </w:pPr>
      <w:r>
        <w:t xml:space="preserve">Source: Department of Transport, Planning and Local Infrastructure </w:t>
      </w:r>
      <w:r w:rsidRPr="00167398">
        <w:fldChar w:fldCharType="begin"/>
      </w:r>
      <w:r w:rsidRPr="00167398">
        <w:instrText xml:space="preserve"> XE "Department of Transport, Planning and Local Infrastructure:Output summary" </w:instrText>
      </w:r>
      <w:r w:rsidRPr="00167398">
        <w:fldChar w:fldCharType="end"/>
      </w:r>
    </w:p>
    <w:p w:rsidR="00A53D7D" w:rsidRPr="00167398" w:rsidRDefault="00A53D7D" w:rsidP="005140B4">
      <w:pPr>
        <w:pStyle w:val="Notes"/>
      </w:pPr>
      <w:r w:rsidRPr="00167398">
        <w:t>Notes:</w:t>
      </w:r>
    </w:p>
    <w:p w:rsidR="00A53D7D" w:rsidRPr="00B054CA" w:rsidRDefault="00A53D7D" w:rsidP="005140B4">
      <w:pPr>
        <w:pStyle w:val="Notes"/>
      </w:pPr>
      <w:r>
        <w:t>(a)</w:t>
      </w:r>
      <w:r>
        <w:tab/>
      </w:r>
      <w:r w:rsidRPr="00B054CA">
        <w:t xml:space="preserve">Variation </w:t>
      </w:r>
      <w:r w:rsidRPr="006637D9">
        <w:rPr>
          <w:i w:val="0"/>
        </w:rPr>
        <w:t>between 2013</w:t>
      </w:r>
      <w:r w:rsidRPr="006637D9">
        <w:noBreakHyphen/>
        <w:t>14 budget and 2014</w:t>
      </w:r>
      <w:r w:rsidRPr="006637D9">
        <w:noBreakHyphen/>
        <w:t>15 budget</w:t>
      </w:r>
      <w:r w:rsidRPr="00B054CA">
        <w:t>.</w:t>
      </w:r>
    </w:p>
    <w:p w:rsidR="00A53D7D" w:rsidRPr="00B054CA" w:rsidRDefault="00A53D7D" w:rsidP="005140B4">
      <w:pPr>
        <w:pStyle w:val="Notes"/>
      </w:pPr>
      <w:r>
        <w:t>(b)</w:t>
      </w:r>
      <w:r>
        <w:tab/>
      </w:r>
      <w:r w:rsidRPr="00B054CA">
        <w:t xml:space="preserve">Variation primarily due to cessation of Ticketing Guarantee Payments. Metropolitan train and tram operators now receive a percentage of the revenue directly. </w:t>
      </w:r>
    </w:p>
    <w:p w:rsidR="00A53D7D" w:rsidRPr="00B054CA" w:rsidRDefault="00A53D7D" w:rsidP="005140B4">
      <w:pPr>
        <w:pStyle w:val="Notes"/>
      </w:pPr>
      <w:r>
        <w:t>(c)</w:t>
      </w:r>
      <w:r>
        <w:tab/>
      </w:r>
      <w:r w:rsidRPr="00B054CA">
        <w:t xml:space="preserve">Variation primarily due to new services, indexation of contract </w:t>
      </w:r>
      <w:proofErr w:type="gramStart"/>
      <w:r w:rsidRPr="00B054CA">
        <w:t>payments</w:t>
      </w:r>
      <w:proofErr w:type="gramEnd"/>
      <w:r w:rsidRPr="00B054CA">
        <w:t xml:space="preserve"> and the increase in the capital asset charge as a result of the investment in infrastructure projects.</w:t>
      </w:r>
    </w:p>
    <w:p w:rsidR="00A53D7D" w:rsidRPr="00B054CA" w:rsidRDefault="00A53D7D" w:rsidP="005140B4">
      <w:pPr>
        <w:pStyle w:val="Notes"/>
      </w:pPr>
      <w:r>
        <w:t>(d)</w:t>
      </w:r>
      <w:r>
        <w:tab/>
      </w:r>
      <w:r w:rsidRPr="00B054CA">
        <w:t>Variation primarily due to approved funding for the Strategic Sporting Infrastructure Program. This has been partially offset by projects that are to be completed in 2013</w:t>
      </w:r>
      <w:r>
        <w:noBreakHyphen/>
      </w:r>
      <w:r w:rsidRPr="00B054CA">
        <w:t xml:space="preserve">14. </w:t>
      </w:r>
    </w:p>
    <w:p w:rsidR="00A53D7D" w:rsidRPr="00B054CA" w:rsidRDefault="00A53D7D" w:rsidP="005140B4">
      <w:pPr>
        <w:pStyle w:val="Notes"/>
      </w:pPr>
      <w:r>
        <w:t>(e)</w:t>
      </w:r>
      <w:r>
        <w:tab/>
      </w:r>
      <w:r w:rsidRPr="00B054CA">
        <w:t xml:space="preserve">Variation primarily due to changes in the timing of projects, the reclassification of activities from operating to capital and reclassification of some costs to the </w:t>
      </w:r>
      <w:r>
        <w:t>‘</w:t>
      </w:r>
      <w:r w:rsidRPr="00B054CA">
        <w:t>Ports and Freight Network Improvements and Maintenance</w:t>
      </w:r>
      <w:r>
        <w:t>’</w:t>
      </w:r>
      <w:r w:rsidRPr="00B054CA">
        <w:t xml:space="preserve"> output.</w:t>
      </w:r>
    </w:p>
    <w:p w:rsidR="00A53D7D" w:rsidRPr="00B054CA" w:rsidRDefault="00A53D7D" w:rsidP="005140B4">
      <w:pPr>
        <w:pStyle w:val="Notes"/>
      </w:pPr>
      <w:r>
        <w:t>(f)</w:t>
      </w:r>
      <w:r>
        <w:tab/>
      </w:r>
      <w:r w:rsidRPr="00B054CA">
        <w:t>Variation primarily due to the completion of planning projects in 2013</w:t>
      </w:r>
      <w:r>
        <w:noBreakHyphen/>
      </w:r>
      <w:r w:rsidRPr="00B054CA">
        <w:t>14 and the achievement of government savings.</w:t>
      </w:r>
    </w:p>
    <w:p w:rsidR="00A53D7D" w:rsidRPr="00B054CA" w:rsidRDefault="00A53D7D" w:rsidP="005140B4">
      <w:pPr>
        <w:pStyle w:val="Notes"/>
      </w:pPr>
      <w:r>
        <w:t>(g)</w:t>
      </w:r>
      <w:r>
        <w:tab/>
      </w:r>
      <w:r w:rsidRPr="00B054CA">
        <w:t xml:space="preserve">Variation primarily due to the reclassification of some costs from the </w:t>
      </w:r>
      <w:r>
        <w:t>‘</w:t>
      </w:r>
      <w:r w:rsidRPr="00B054CA">
        <w:t>Transport Safety and Security Management</w:t>
      </w:r>
      <w:r>
        <w:t>’</w:t>
      </w:r>
      <w:r w:rsidRPr="00B054CA">
        <w:t xml:space="preserve"> output.</w:t>
      </w:r>
    </w:p>
    <w:p w:rsidR="00A53D7D" w:rsidRPr="00B054CA" w:rsidRDefault="00A53D7D" w:rsidP="005140B4">
      <w:pPr>
        <w:pStyle w:val="Notes"/>
      </w:pPr>
      <w:r>
        <w:t>(h)</w:t>
      </w:r>
      <w:r>
        <w:tab/>
      </w:r>
      <w:r w:rsidRPr="00B054CA">
        <w:t>Variation primarily due to additional works undertaken by Regional Rail Link on behalf of third parties winding up in 2013</w:t>
      </w:r>
      <w:r>
        <w:noBreakHyphen/>
      </w:r>
      <w:r w:rsidRPr="00B054CA">
        <w:t>14.</w:t>
      </w:r>
    </w:p>
    <w:p w:rsidR="00A53D7D" w:rsidRPr="00B054CA" w:rsidRDefault="00A53D7D" w:rsidP="005140B4">
      <w:pPr>
        <w:pStyle w:val="Notes"/>
      </w:pPr>
      <w:r>
        <w:t>(</w:t>
      </w:r>
      <w:proofErr w:type="spellStart"/>
      <w:r>
        <w:t>i</w:t>
      </w:r>
      <w:proofErr w:type="spellEnd"/>
      <w:r>
        <w:t>)</w:t>
      </w:r>
      <w:r>
        <w:tab/>
      </w:r>
      <w:r w:rsidRPr="00B054CA">
        <w:t xml:space="preserve">Variation primarily due to additional operating funding for approved road maintenance programs provided in the </w:t>
      </w:r>
      <w:r w:rsidRPr="002524A7">
        <w:t>2014</w:t>
      </w:r>
      <w:r w:rsidRPr="002524A7">
        <w:noBreakHyphen/>
        <w:t>15 budget</w:t>
      </w:r>
      <w:r w:rsidRPr="00B054CA">
        <w:t>.</w:t>
      </w:r>
    </w:p>
    <w:p w:rsidR="00A53D7D" w:rsidRPr="00B054CA" w:rsidRDefault="00A53D7D" w:rsidP="005140B4">
      <w:pPr>
        <w:pStyle w:val="Notes"/>
      </w:pPr>
      <w:r>
        <w:t>(j)</w:t>
      </w:r>
      <w:r>
        <w:tab/>
      </w:r>
      <w:r w:rsidRPr="00B054CA">
        <w:t>Variation primarily due to additional operating funding for delivery of approved road infrastructure improvement projects.</w:t>
      </w:r>
    </w:p>
    <w:p w:rsidR="00A53D7D" w:rsidRDefault="00A53D7D" w:rsidP="005140B4">
      <w:pPr>
        <w:pStyle w:val="Heading2"/>
      </w:pPr>
      <w:r>
        <w:t>Amounts available</w:t>
      </w:r>
    </w:p>
    <w:p w:rsidR="00A53D7D" w:rsidRDefault="00A53D7D" w:rsidP="005140B4">
      <w:r>
        <w:t>The following tables detail the amounts available to the Department from Parliamentary authority and income generated through transactions.</w:t>
      </w:r>
    </w:p>
    <w:p w:rsidR="00A53D7D" w:rsidRPr="00FF4594" w:rsidRDefault="00A53D7D" w:rsidP="005140B4">
      <w:r>
        <w:t>Table 2.24 outlines the Department’s income from transactions and Table 2.25 summarises the sources of Parliamentary authority available to the Department to fund the provision of outputs, additions to net asset base and payments made on behalf of the State.</w:t>
      </w:r>
    </w:p>
    <w:p w:rsidR="00A53D7D" w:rsidRDefault="00A53D7D" w:rsidP="005140B4">
      <w:pPr>
        <w:pStyle w:val="Tableheading"/>
      </w:pPr>
      <w:r>
        <w:t>Table 2.24:</w:t>
      </w:r>
      <w:r>
        <w:tab/>
        <w:t xml:space="preserve">Income from transactions </w:t>
      </w:r>
    </w:p>
    <w:p w:rsidR="00A53D7D" w:rsidRPr="00A67170"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A67170" w:rsidTr="005140B4">
        <w:tc>
          <w:tcPr>
            <w:tcW w:w="3801" w:type="dxa"/>
            <w:tcBorders>
              <w:top w:val="single" w:sz="4" w:space="0" w:color="auto"/>
              <w:left w:val="single" w:sz="4" w:space="0" w:color="auto"/>
              <w:bottom w:val="nil"/>
              <w:right w:val="nil"/>
            </w:tcBorders>
            <w:shd w:val="clear" w:color="auto" w:fill="000000"/>
          </w:tcPr>
          <w:p w:rsidR="00A53D7D" w:rsidRPr="00A67170" w:rsidRDefault="00A53D7D" w:rsidP="005140B4">
            <w:pPr>
              <w:pStyle w:val="Tabletext"/>
              <w:rPr>
                <w:rFonts w:eastAsiaTheme="minorEastAsia"/>
                <w:lang w:eastAsia="en-AU"/>
              </w:rPr>
            </w:pPr>
            <w:r w:rsidRPr="00A67170">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2012-13</w:t>
            </w:r>
          </w:p>
        </w:tc>
        <w:tc>
          <w:tcPr>
            <w:tcW w:w="993" w:type="dxa"/>
            <w:tcBorders>
              <w:top w:val="single" w:sz="4" w:space="0" w:color="auto"/>
              <w:left w:val="nil"/>
              <w:bottom w:val="nil"/>
              <w:right w:val="nil"/>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2013-14</w:t>
            </w:r>
          </w:p>
        </w:tc>
        <w:tc>
          <w:tcPr>
            <w:tcW w:w="993" w:type="dxa"/>
            <w:tcBorders>
              <w:top w:val="single" w:sz="4" w:space="0" w:color="auto"/>
              <w:left w:val="nil"/>
              <w:bottom w:val="nil"/>
              <w:right w:val="single" w:sz="4" w:space="0" w:color="auto"/>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2014-15</w:t>
            </w:r>
          </w:p>
        </w:tc>
      </w:tr>
      <w:tr w:rsidR="00A53D7D" w:rsidRPr="00A67170" w:rsidTr="005140B4">
        <w:tc>
          <w:tcPr>
            <w:tcW w:w="3801" w:type="dxa"/>
            <w:tcBorders>
              <w:top w:val="nil"/>
              <w:left w:val="single" w:sz="4" w:space="0" w:color="auto"/>
              <w:bottom w:val="single" w:sz="4" w:space="0" w:color="auto"/>
              <w:right w:val="nil"/>
            </w:tcBorders>
            <w:shd w:val="clear" w:color="auto" w:fill="000000"/>
          </w:tcPr>
          <w:p w:rsidR="00A53D7D" w:rsidRPr="00A67170" w:rsidRDefault="00A53D7D" w:rsidP="005140B4">
            <w:pPr>
              <w:pStyle w:val="Tabletext"/>
              <w:rPr>
                <w:rFonts w:eastAsiaTheme="minorEastAsia"/>
                <w:lang w:eastAsia="en-AU"/>
              </w:rPr>
            </w:pPr>
            <w:r w:rsidRPr="00A67170">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Actual</w:t>
            </w:r>
          </w:p>
        </w:tc>
        <w:tc>
          <w:tcPr>
            <w:tcW w:w="993" w:type="dxa"/>
            <w:tcBorders>
              <w:top w:val="nil"/>
              <w:left w:val="nil"/>
              <w:bottom w:val="single" w:sz="4" w:space="0" w:color="auto"/>
              <w:right w:val="nil"/>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 xml:space="preserve">Budget </w:t>
            </w:r>
          </w:p>
        </w:tc>
        <w:tc>
          <w:tcPr>
            <w:tcW w:w="993" w:type="dxa"/>
            <w:tcBorders>
              <w:top w:val="nil"/>
              <w:left w:val="nil"/>
              <w:bottom w:val="single" w:sz="4" w:space="0" w:color="auto"/>
              <w:right w:val="nil"/>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Revised</w:t>
            </w:r>
          </w:p>
        </w:tc>
        <w:tc>
          <w:tcPr>
            <w:tcW w:w="993" w:type="dxa"/>
            <w:tcBorders>
              <w:top w:val="nil"/>
              <w:left w:val="nil"/>
              <w:bottom w:val="single" w:sz="4" w:space="0" w:color="auto"/>
              <w:right w:val="single" w:sz="4" w:space="0" w:color="auto"/>
            </w:tcBorders>
            <w:shd w:val="clear" w:color="auto" w:fill="000000"/>
          </w:tcPr>
          <w:p w:rsidR="00A53D7D" w:rsidRPr="00A67170" w:rsidRDefault="00A53D7D" w:rsidP="005140B4">
            <w:pPr>
              <w:pStyle w:val="Tabletextheading"/>
              <w:rPr>
                <w:rFonts w:eastAsiaTheme="minorEastAsia"/>
                <w:lang w:eastAsia="en-AU"/>
              </w:rPr>
            </w:pPr>
            <w:r w:rsidRPr="00A67170">
              <w:rPr>
                <w:rFonts w:eastAsiaTheme="minorEastAsia"/>
                <w:lang w:eastAsia="en-AU"/>
              </w:rPr>
              <w:t>Budget</w:t>
            </w:r>
          </w:p>
        </w:tc>
      </w:tr>
      <w:tr w:rsidR="00A53D7D" w:rsidRPr="00A67170" w:rsidTr="005140B4">
        <w:tc>
          <w:tcPr>
            <w:tcW w:w="3801" w:type="dxa"/>
            <w:tcBorders>
              <w:top w:val="single" w:sz="4" w:space="0" w:color="auto"/>
              <w:left w:val="nil"/>
              <w:bottom w:val="nil"/>
              <w:right w:val="nil"/>
            </w:tcBorders>
          </w:tcPr>
          <w:p w:rsidR="00A53D7D" w:rsidRPr="00A67170" w:rsidRDefault="00A53D7D" w:rsidP="005140B4">
            <w:pPr>
              <w:pStyle w:val="Tabletext"/>
              <w:rPr>
                <w:rFonts w:eastAsiaTheme="minorEastAsia"/>
                <w:lang w:eastAsia="en-AU"/>
              </w:rPr>
            </w:pPr>
            <w:r w:rsidRPr="00A67170">
              <w:rPr>
                <w:rFonts w:eastAsiaTheme="minorEastAsia"/>
                <w:lang w:eastAsia="en-AU"/>
              </w:rPr>
              <w:t>Output appropriations</w:t>
            </w:r>
          </w:p>
        </w:tc>
        <w:tc>
          <w:tcPr>
            <w:tcW w:w="993" w:type="dxa"/>
            <w:tcBorders>
              <w:top w:val="single" w:sz="4" w:space="0" w:color="auto"/>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5 055.4</w:t>
            </w:r>
          </w:p>
        </w:tc>
        <w:tc>
          <w:tcPr>
            <w:tcW w:w="993" w:type="dxa"/>
            <w:tcBorders>
              <w:top w:val="single" w:sz="4" w:space="0" w:color="auto"/>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5 383.2</w:t>
            </w:r>
          </w:p>
        </w:tc>
        <w:tc>
          <w:tcPr>
            <w:tcW w:w="993" w:type="dxa"/>
            <w:tcBorders>
              <w:top w:val="single" w:sz="4" w:space="0" w:color="auto"/>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5 372.3</w:t>
            </w:r>
          </w:p>
        </w:tc>
        <w:tc>
          <w:tcPr>
            <w:tcW w:w="993" w:type="dxa"/>
            <w:tcBorders>
              <w:top w:val="single" w:sz="4" w:space="0" w:color="auto"/>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5 692.2</w:t>
            </w:r>
          </w:p>
        </w:tc>
      </w:tr>
      <w:tr w:rsidR="00A53D7D" w:rsidRPr="00A67170" w:rsidTr="005140B4">
        <w:tc>
          <w:tcPr>
            <w:tcW w:w="3801" w:type="dxa"/>
            <w:tcBorders>
              <w:top w:val="nil"/>
              <w:left w:val="nil"/>
              <w:bottom w:val="nil"/>
              <w:right w:val="nil"/>
            </w:tcBorders>
          </w:tcPr>
          <w:p w:rsidR="00A53D7D" w:rsidRPr="00A67170" w:rsidRDefault="00A53D7D" w:rsidP="005140B4">
            <w:pPr>
              <w:pStyle w:val="Tabletext"/>
              <w:rPr>
                <w:rFonts w:eastAsiaTheme="minorEastAsia"/>
                <w:lang w:eastAsia="en-AU"/>
              </w:rPr>
            </w:pPr>
            <w:r w:rsidRPr="00A67170">
              <w:rPr>
                <w:rFonts w:eastAsiaTheme="minorEastAsia"/>
                <w:lang w:eastAsia="en-AU"/>
              </w:rPr>
              <w:t>Special appropriations</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1.9</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7.0</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17.0</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13.9</w:t>
            </w:r>
          </w:p>
        </w:tc>
      </w:tr>
      <w:tr w:rsidR="00A53D7D" w:rsidRPr="00A67170" w:rsidTr="005140B4">
        <w:tc>
          <w:tcPr>
            <w:tcW w:w="3801" w:type="dxa"/>
            <w:tcBorders>
              <w:top w:val="nil"/>
              <w:left w:val="nil"/>
              <w:bottom w:val="nil"/>
              <w:right w:val="nil"/>
            </w:tcBorders>
          </w:tcPr>
          <w:p w:rsidR="00A53D7D" w:rsidRPr="00A67170" w:rsidRDefault="00A53D7D" w:rsidP="005140B4">
            <w:pPr>
              <w:pStyle w:val="Tabletext"/>
              <w:rPr>
                <w:rFonts w:eastAsiaTheme="minorEastAsia"/>
                <w:lang w:eastAsia="en-AU"/>
              </w:rPr>
            </w:pPr>
            <w:r w:rsidRPr="00A67170">
              <w:rPr>
                <w:rFonts w:eastAsiaTheme="minorEastAsia"/>
                <w:lang w:eastAsia="en-AU"/>
              </w:rPr>
              <w:t>Interest</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6.1</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4.3</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6.6</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6.5</w:t>
            </w:r>
          </w:p>
        </w:tc>
      </w:tr>
      <w:tr w:rsidR="00A53D7D" w:rsidRPr="00A67170" w:rsidTr="005140B4">
        <w:tc>
          <w:tcPr>
            <w:tcW w:w="3801" w:type="dxa"/>
            <w:tcBorders>
              <w:top w:val="nil"/>
              <w:left w:val="nil"/>
              <w:bottom w:val="nil"/>
              <w:right w:val="nil"/>
            </w:tcBorders>
          </w:tcPr>
          <w:p w:rsidR="00A53D7D" w:rsidRPr="00A67170" w:rsidRDefault="00A53D7D" w:rsidP="005140B4">
            <w:pPr>
              <w:pStyle w:val="Tabletext"/>
              <w:rPr>
                <w:rFonts w:eastAsiaTheme="minorEastAsia" w:cs="Calibri"/>
                <w:vertAlign w:val="superscript"/>
                <w:lang w:eastAsia="en-AU"/>
              </w:rPr>
            </w:pPr>
            <w:r w:rsidRPr="00A67170">
              <w:rPr>
                <w:rFonts w:eastAsiaTheme="minorEastAsia"/>
                <w:lang w:eastAsia="en-AU"/>
              </w:rPr>
              <w:t xml:space="preserve">Sale of goods and services </w:t>
            </w:r>
            <w:r w:rsidRPr="00A67170">
              <w:rPr>
                <w:rFonts w:eastAsiaTheme="minorEastAsia" w:cs="Calibri"/>
                <w:vertAlign w:val="superscript"/>
                <w:lang w:eastAsia="en-AU"/>
              </w:rPr>
              <w:t>(a)</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768.7</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855.9</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633.4</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396.2</w:t>
            </w:r>
          </w:p>
        </w:tc>
      </w:tr>
      <w:tr w:rsidR="00A53D7D" w:rsidRPr="00A67170" w:rsidTr="005140B4">
        <w:tc>
          <w:tcPr>
            <w:tcW w:w="3801" w:type="dxa"/>
            <w:tcBorders>
              <w:top w:val="nil"/>
              <w:left w:val="nil"/>
              <w:bottom w:val="nil"/>
              <w:right w:val="nil"/>
            </w:tcBorders>
          </w:tcPr>
          <w:p w:rsidR="00A53D7D" w:rsidRPr="00A67170" w:rsidRDefault="00A53D7D" w:rsidP="005140B4">
            <w:pPr>
              <w:pStyle w:val="Tabletext"/>
              <w:rPr>
                <w:rFonts w:eastAsiaTheme="minorEastAsia"/>
                <w:lang w:eastAsia="en-AU"/>
              </w:rPr>
            </w:pPr>
            <w:r w:rsidRPr="00A67170">
              <w:rPr>
                <w:rFonts w:eastAsiaTheme="minorEastAsia"/>
                <w:lang w:eastAsia="en-AU"/>
              </w:rPr>
              <w:t>Grants</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249.6</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281.7</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253.2</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305.7</w:t>
            </w:r>
          </w:p>
        </w:tc>
      </w:tr>
      <w:tr w:rsidR="00A53D7D" w:rsidRPr="00A67170" w:rsidTr="005140B4">
        <w:tc>
          <w:tcPr>
            <w:tcW w:w="3801" w:type="dxa"/>
            <w:tcBorders>
              <w:top w:val="nil"/>
              <w:left w:val="nil"/>
              <w:bottom w:val="nil"/>
              <w:right w:val="nil"/>
            </w:tcBorders>
          </w:tcPr>
          <w:p w:rsidR="00A53D7D" w:rsidRPr="00A67170" w:rsidRDefault="00A53D7D" w:rsidP="005140B4">
            <w:pPr>
              <w:pStyle w:val="Tabletext"/>
              <w:rPr>
                <w:rFonts w:eastAsiaTheme="minorEastAsia"/>
                <w:lang w:eastAsia="en-AU"/>
              </w:rPr>
            </w:pPr>
            <w:r w:rsidRPr="00A67170">
              <w:rPr>
                <w:rFonts w:eastAsiaTheme="minorEastAsia"/>
                <w:lang w:eastAsia="en-AU"/>
              </w:rPr>
              <w:t>Fair value of assets and services received free of charge or for nominal consideration</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54.0</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12.0</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w:t>
            </w:r>
          </w:p>
        </w:tc>
      </w:tr>
      <w:tr w:rsidR="00A53D7D" w:rsidRPr="00A67170" w:rsidTr="005140B4">
        <w:tc>
          <w:tcPr>
            <w:tcW w:w="3801" w:type="dxa"/>
            <w:tcBorders>
              <w:top w:val="nil"/>
              <w:left w:val="nil"/>
              <w:bottom w:val="nil"/>
              <w:right w:val="nil"/>
            </w:tcBorders>
          </w:tcPr>
          <w:p w:rsidR="00A53D7D" w:rsidRPr="00A67170" w:rsidRDefault="00A53D7D" w:rsidP="005140B4">
            <w:pPr>
              <w:pStyle w:val="Tabletext"/>
              <w:rPr>
                <w:rFonts w:eastAsiaTheme="minorEastAsia"/>
                <w:lang w:eastAsia="en-AU"/>
              </w:rPr>
            </w:pPr>
            <w:r w:rsidRPr="00A67170">
              <w:rPr>
                <w:rFonts w:eastAsiaTheme="minorEastAsia"/>
                <w:lang w:eastAsia="en-AU"/>
              </w:rPr>
              <w:t>Other income</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140.5</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113.3</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135.3</w:t>
            </w:r>
          </w:p>
        </w:tc>
        <w:tc>
          <w:tcPr>
            <w:tcW w:w="993" w:type="dxa"/>
            <w:tcBorders>
              <w:top w:val="nil"/>
              <w:left w:val="nil"/>
              <w:bottom w:val="nil"/>
              <w:right w:val="nil"/>
            </w:tcBorders>
          </w:tcPr>
          <w:p w:rsidR="00A53D7D" w:rsidRPr="00A67170" w:rsidRDefault="00A53D7D" w:rsidP="005140B4">
            <w:pPr>
              <w:pStyle w:val="TableofFigures"/>
              <w:rPr>
                <w:rFonts w:eastAsiaTheme="minorEastAsia"/>
                <w:lang w:eastAsia="en-AU"/>
              </w:rPr>
            </w:pPr>
            <w:r w:rsidRPr="00A67170">
              <w:rPr>
                <w:rFonts w:eastAsiaTheme="minorEastAsia"/>
                <w:lang w:eastAsia="en-AU"/>
              </w:rPr>
              <w:t xml:space="preserve"> 113.6</w:t>
            </w:r>
          </w:p>
        </w:tc>
      </w:tr>
      <w:tr w:rsidR="00A53D7D" w:rsidRPr="00A67170" w:rsidTr="005140B4">
        <w:tc>
          <w:tcPr>
            <w:tcW w:w="3801" w:type="dxa"/>
            <w:tcBorders>
              <w:top w:val="single" w:sz="6" w:space="0" w:color="auto"/>
              <w:left w:val="nil"/>
              <w:bottom w:val="single" w:sz="12" w:space="0" w:color="auto"/>
              <w:right w:val="nil"/>
            </w:tcBorders>
          </w:tcPr>
          <w:p w:rsidR="00A53D7D" w:rsidRPr="00A67170" w:rsidRDefault="00A53D7D" w:rsidP="005140B4">
            <w:pPr>
              <w:pStyle w:val="Tabletext"/>
              <w:rPr>
                <w:rFonts w:eastAsiaTheme="minorEastAsia"/>
                <w:b/>
                <w:bCs/>
                <w:lang w:eastAsia="en-AU"/>
              </w:rPr>
            </w:pPr>
            <w:r w:rsidRPr="00A67170">
              <w:rPr>
                <w:rFonts w:eastAsiaTheme="minorEastAsia"/>
                <w:b/>
                <w:bCs/>
                <w:lang w:eastAsia="en-AU"/>
              </w:rPr>
              <w:t>Total income from transactions</w:t>
            </w:r>
          </w:p>
        </w:tc>
        <w:tc>
          <w:tcPr>
            <w:tcW w:w="993" w:type="dxa"/>
            <w:tcBorders>
              <w:top w:val="single" w:sz="6" w:space="0" w:color="auto"/>
              <w:left w:val="nil"/>
              <w:bottom w:val="single" w:sz="12" w:space="0" w:color="auto"/>
              <w:right w:val="nil"/>
            </w:tcBorders>
          </w:tcPr>
          <w:p w:rsidR="00A53D7D" w:rsidRPr="00A67170" w:rsidRDefault="00A53D7D" w:rsidP="005140B4">
            <w:pPr>
              <w:pStyle w:val="TableofFigures"/>
              <w:rPr>
                <w:rFonts w:eastAsiaTheme="minorEastAsia"/>
                <w:b/>
                <w:bCs/>
                <w:lang w:eastAsia="en-AU"/>
              </w:rPr>
            </w:pPr>
            <w:r w:rsidRPr="00A67170">
              <w:rPr>
                <w:rFonts w:eastAsiaTheme="minorEastAsia"/>
                <w:b/>
                <w:bCs/>
                <w:lang w:eastAsia="en-AU"/>
              </w:rPr>
              <w:t>6 276.2</w:t>
            </w:r>
          </w:p>
        </w:tc>
        <w:tc>
          <w:tcPr>
            <w:tcW w:w="993" w:type="dxa"/>
            <w:tcBorders>
              <w:top w:val="single" w:sz="6" w:space="0" w:color="auto"/>
              <w:left w:val="nil"/>
              <w:bottom w:val="single" w:sz="12" w:space="0" w:color="auto"/>
              <w:right w:val="nil"/>
            </w:tcBorders>
          </w:tcPr>
          <w:p w:rsidR="00A53D7D" w:rsidRPr="00A67170" w:rsidRDefault="00A53D7D" w:rsidP="005140B4">
            <w:pPr>
              <w:pStyle w:val="TableofFigures"/>
              <w:rPr>
                <w:rFonts w:eastAsiaTheme="minorEastAsia"/>
                <w:b/>
                <w:bCs/>
                <w:lang w:eastAsia="en-AU"/>
              </w:rPr>
            </w:pPr>
            <w:r w:rsidRPr="00A67170">
              <w:rPr>
                <w:rFonts w:eastAsiaTheme="minorEastAsia"/>
                <w:b/>
                <w:bCs/>
                <w:lang w:eastAsia="en-AU"/>
              </w:rPr>
              <w:t>6 645.3</w:t>
            </w:r>
          </w:p>
        </w:tc>
        <w:tc>
          <w:tcPr>
            <w:tcW w:w="993" w:type="dxa"/>
            <w:tcBorders>
              <w:top w:val="single" w:sz="6" w:space="0" w:color="auto"/>
              <w:left w:val="nil"/>
              <w:bottom w:val="single" w:sz="12" w:space="0" w:color="auto"/>
              <w:right w:val="nil"/>
            </w:tcBorders>
          </w:tcPr>
          <w:p w:rsidR="00A53D7D" w:rsidRPr="00A67170" w:rsidRDefault="00A53D7D" w:rsidP="005140B4">
            <w:pPr>
              <w:pStyle w:val="TableofFigures"/>
              <w:rPr>
                <w:rFonts w:eastAsiaTheme="minorEastAsia"/>
                <w:b/>
                <w:bCs/>
                <w:lang w:eastAsia="en-AU"/>
              </w:rPr>
            </w:pPr>
            <w:r w:rsidRPr="00A67170">
              <w:rPr>
                <w:rFonts w:eastAsiaTheme="minorEastAsia"/>
                <w:b/>
                <w:bCs/>
                <w:lang w:eastAsia="en-AU"/>
              </w:rPr>
              <w:t>6 429.8</w:t>
            </w:r>
          </w:p>
        </w:tc>
        <w:tc>
          <w:tcPr>
            <w:tcW w:w="993" w:type="dxa"/>
            <w:tcBorders>
              <w:top w:val="single" w:sz="6" w:space="0" w:color="auto"/>
              <w:left w:val="nil"/>
              <w:bottom w:val="single" w:sz="12" w:space="0" w:color="auto"/>
              <w:right w:val="nil"/>
            </w:tcBorders>
          </w:tcPr>
          <w:p w:rsidR="00A53D7D" w:rsidRPr="00A67170" w:rsidRDefault="00A53D7D" w:rsidP="005140B4">
            <w:pPr>
              <w:pStyle w:val="TableofFigures"/>
              <w:rPr>
                <w:rFonts w:eastAsiaTheme="minorEastAsia"/>
                <w:b/>
                <w:bCs/>
                <w:lang w:eastAsia="en-AU"/>
              </w:rPr>
            </w:pPr>
            <w:r w:rsidRPr="00A67170">
              <w:rPr>
                <w:rFonts w:eastAsiaTheme="minorEastAsia"/>
                <w:b/>
                <w:bCs/>
                <w:lang w:eastAsia="en-AU"/>
              </w:rPr>
              <w:t>6 528.1</w:t>
            </w:r>
          </w:p>
        </w:tc>
      </w:tr>
    </w:tbl>
    <w:p w:rsidR="00A53D7D" w:rsidRDefault="00A53D7D" w:rsidP="005140B4">
      <w:pPr>
        <w:pStyle w:val="Source"/>
      </w:pPr>
      <w:r>
        <w:t xml:space="preserve">Source: Departments of Transport, Planning and Local Infrastructure and Treasury and Finance </w:t>
      </w:r>
      <w:r>
        <w:fldChar w:fldCharType="begin"/>
      </w:r>
      <w:r>
        <w:instrText xml:space="preserve"> XE "Department of Transport, Planning and Local Infrastructure</w:instrText>
      </w:r>
      <w:r w:rsidRPr="00C642EA">
        <w:instrText>:Income from transactions</w:instrText>
      </w:r>
      <w:r>
        <w:instrText xml:space="preserve">" </w:instrText>
      </w:r>
      <w:r>
        <w:fldChar w:fldCharType="end"/>
      </w:r>
    </w:p>
    <w:p w:rsidR="00A53D7D" w:rsidRPr="00B054CA" w:rsidRDefault="00A53D7D" w:rsidP="005140B4">
      <w:pPr>
        <w:pStyle w:val="Notes"/>
      </w:pPr>
      <w:r>
        <w:t>Note:</w:t>
      </w:r>
    </w:p>
    <w:p w:rsidR="00A53D7D" w:rsidRDefault="00A53D7D" w:rsidP="005140B4">
      <w:pPr>
        <w:pStyle w:val="Notes"/>
      </w:pPr>
      <w:r>
        <w:t>(a)</w:t>
      </w:r>
      <w:r>
        <w:tab/>
        <w:t>The l</w:t>
      </w:r>
      <w:r w:rsidRPr="007A3862">
        <w:t>ower sales of good and services estimated in 2014</w:t>
      </w:r>
      <w:r>
        <w:noBreakHyphen/>
      </w:r>
      <w:r w:rsidRPr="007A3862">
        <w:t xml:space="preserve">15 </w:t>
      </w:r>
      <w:proofErr w:type="gramStart"/>
      <w:r w:rsidRPr="007A3862">
        <w:t>reflect</w:t>
      </w:r>
      <w:r>
        <w:t>s</w:t>
      </w:r>
      <w:proofErr w:type="gramEnd"/>
      <w:r w:rsidRPr="007A3862">
        <w:t xml:space="preserve"> the cessation of Ticketing Guarantee Payments. Metropolitan train and tram operators now receive a percentage of fare revenue directly</w:t>
      </w:r>
      <w:r>
        <w:t>.</w:t>
      </w:r>
    </w:p>
    <w:p w:rsidR="004E7A50" w:rsidRDefault="004E7A50" w:rsidP="005140B4">
      <w:pPr>
        <w:pStyle w:val="Notes"/>
      </w:pPr>
    </w:p>
    <w:p w:rsidR="00A53D7D" w:rsidRDefault="00A53D7D" w:rsidP="005140B4">
      <w:pPr>
        <w:pStyle w:val="Tableheading"/>
      </w:pPr>
      <w:r>
        <w:t>Table 2.25:</w:t>
      </w:r>
      <w:r>
        <w:tab/>
        <w:t xml:space="preserve">Parliamentary authority for resources </w:t>
      </w:r>
    </w:p>
    <w:p w:rsidR="00A53D7D" w:rsidRPr="00B61D59"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53D7D" w:rsidRPr="00B61D59" w:rsidTr="005140B4">
        <w:tc>
          <w:tcPr>
            <w:tcW w:w="4668" w:type="dxa"/>
            <w:tcBorders>
              <w:top w:val="single" w:sz="6" w:space="0" w:color="auto"/>
              <w:left w:val="single" w:sz="6" w:space="0" w:color="auto"/>
              <w:bottom w:val="nil"/>
              <w:right w:val="nil"/>
            </w:tcBorders>
            <w:shd w:val="clear" w:color="auto" w:fill="000000"/>
          </w:tcPr>
          <w:p w:rsidR="00A53D7D" w:rsidRPr="00B61D59" w:rsidRDefault="00A53D7D" w:rsidP="005140B4">
            <w:pPr>
              <w:pStyle w:val="Tabletext"/>
              <w:rPr>
                <w:rFonts w:eastAsiaTheme="minorEastAsia"/>
                <w:lang w:eastAsia="en-AU"/>
              </w:rPr>
            </w:pPr>
            <w:r w:rsidRPr="00B61D59">
              <w:rPr>
                <w:rFonts w:eastAsiaTheme="minorEastAsia"/>
                <w:lang w:eastAsia="en-AU"/>
              </w:rPr>
              <w:t xml:space="preserve"> </w:t>
            </w:r>
          </w:p>
        </w:tc>
        <w:tc>
          <w:tcPr>
            <w:tcW w:w="1036" w:type="dxa"/>
            <w:tcBorders>
              <w:top w:val="single" w:sz="6" w:space="0" w:color="auto"/>
              <w:left w:val="nil"/>
              <w:bottom w:val="nil"/>
              <w:right w:val="nil"/>
            </w:tcBorders>
            <w:shd w:val="clear" w:color="auto" w:fill="000000"/>
          </w:tcPr>
          <w:p w:rsidR="00A53D7D" w:rsidRPr="00B61D59" w:rsidRDefault="00A53D7D" w:rsidP="005140B4">
            <w:pPr>
              <w:pStyle w:val="Tabletextheading"/>
              <w:rPr>
                <w:rFonts w:eastAsiaTheme="minorEastAsia"/>
                <w:lang w:eastAsia="en-AU"/>
              </w:rPr>
            </w:pPr>
            <w:r w:rsidRPr="00B61D59">
              <w:rPr>
                <w:rFonts w:eastAsiaTheme="minorEastAsia"/>
                <w:lang w:eastAsia="en-AU"/>
              </w:rPr>
              <w:t>2013-14</w:t>
            </w:r>
          </w:p>
        </w:tc>
        <w:tc>
          <w:tcPr>
            <w:tcW w:w="1036" w:type="dxa"/>
            <w:tcBorders>
              <w:top w:val="single" w:sz="6" w:space="0" w:color="auto"/>
              <w:left w:val="nil"/>
              <w:bottom w:val="nil"/>
              <w:right w:val="nil"/>
            </w:tcBorders>
            <w:shd w:val="clear" w:color="auto" w:fill="000000"/>
          </w:tcPr>
          <w:p w:rsidR="00A53D7D" w:rsidRPr="00B61D59" w:rsidRDefault="00A53D7D" w:rsidP="005140B4">
            <w:pPr>
              <w:pStyle w:val="Tabletextheading"/>
              <w:rPr>
                <w:rFonts w:eastAsiaTheme="minorEastAsia"/>
                <w:lang w:eastAsia="en-AU"/>
              </w:rPr>
            </w:pPr>
            <w:r w:rsidRPr="00B61D59">
              <w:rPr>
                <w:rFonts w:eastAsiaTheme="minorEastAsia"/>
                <w:lang w:eastAsia="en-AU"/>
              </w:rPr>
              <w:t>2013-14</w:t>
            </w:r>
          </w:p>
        </w:tc>
        <w:tc>
          <w:tcPr>
            <w:tcW w:w="1036" w:type="dxa"/>
            <w:tcBorders>
              <w:top w:val="single" w:sz="6" w:space="0" w:color="auto"/>
              <w:left w:val="nil"/>
              <w:bottom w:val="nil"/>
              <w:right w:val="single" w:sz="6" w:space="0" w:color="auto"/>
            </w:tcBorders>
            <w:shd w:val="clear" w:color="auto" w:fill="000000"/>
          </w:tcPr>
          <w:p w:rsidR="00A53D7D" w:rsidRPr="00B61D59" w:rsidRDefault="00A53D7D" w:rsidP="005140B4">
            <w:pPr>
              <w:pStyle w:val="Tabletextheading"/>
              <w:rPr>
                <w:rFonts w:eastAsiaTheme="minorEastAsia"/>
                <w:lang w:eastAsia="en-AU"/>
              </w:rPr>
            </w:pPr>
            <w:r w:rsidRPr="00B61D59">
              <w:rPr>
                <w:rFonts w:eastAsiaTheme="minorEastAsia"/>
                <w:lang w:eastAsia="en-AU"/>
              </w:rPr>
              <w:t>2014-15</w:t>
            </w:r>
          </w:p>
        </w:tc>
      </w:tr>
      <w:tr w:rsidR="00A53D7D" w:rsidRPr="00B61D59" w:rsidTr="005140B4">
        <w:tc>
          <w:tcPr>
            <w:tcW w:w="4668" w:type="dxa"/>
            <w:tcBorders>
              <w:top w:val="nil"/>
              <w:left w:val="single" w:sz="6" w:space="0" w:color="auto"/>
              <w:bottom w:val="single" w:sz="6" w:space="0" w:color="auto"/>
              <w:right w:val="nil"/>
            </w:tcBorders>
            <w:shd w:val="clear" w:color="auto" w:fill="000000"/>
          </w:tcPr>
          <w:p w:rsidR="00A53D7D" w:rsidRPr="00B61D59" w:rsidRDefault="00A53D7D" w:rsidP="005140B4">
            <w:pPr>
              <w:pStyle w:val="Tabletext"/>
              <w:rPr>
                <w:rFonts w:eastAsiaTheme="minorEastAsia"/>
                <w:lang w:eastAsia="en-AU"/>
              </w:rPr>
            </w:pPr>
            <w:r w:rsidRPr="00B61D59">
              <w:rPr>
                <w:rFonts w:eastAsiaTheme="minorEastAsia"/>
                <w:lang w:eastAsia="en-AU"/>
              </w:rPr>
              <w:t xml:space="preserve"> </w:t>
            </w:r>
          </w:p>
        </w:tc>
        <w:tc>
          <w:tcPr>
            <w:tcW w:w="1036" w:type="dxa"/>
            <w:tcBorders>
              <w:top w:val="nil"/>
              <w:left w:val="nil"/>
              <w:bottom w:val="single" w:sz="6" w:space="0" w:color="auto"/>
              <w:right w:val="nil"/>
            </w:tcBorders>
            <w:shd w:val="clear" w:color="auto" w:fill="000000"/>
          </w:tcPr>
          <w:p w:rsidR="00A53D7D" w:rsidRPr="00B61D59" w:rsidRDefault="00A53D7D" w:rsidP="005140B4">
            <w:pPr>
              <w:pStyle w:val="Tabletextheading"/>
              <w:rPr>
                <w:rFonts w:eastAsiaTheme="minorEastAsia"/>
                <w:lang w:eastAsia="en-AU"/>
              </w:rPr>
            </w:pPr>
            <w:r w:rsidRPr="00B61D59">
              <w:rPr>
                <w:rFonts w:eastAsiaTheme="minorEastAsia"/>
                <w:lang w:eastAsia="en-AU"/>
              </w:rPr>
              <w:t>Budget</w:t>
            </w:r>
          </w:p>
        </w:tc>
        <w:tc>
          <w:tcPr>
            <w:tcW w:w="1036" w:type="dxa"/>
            <w:tcBorders>
              <w:top w:val="nil"/>
              <w:left w:val="nil"/>
              <w:bottom w:val="single" w:sz="6" w:space="0" w:color="auto"/>
              <w:right w:val="nil"/>
            </w:tcBorders>
            <w:shd w:val="clear" w:color="auto" w:fill="000000"/>
          </w:tcPr>
          <w:p w:rsidR="00A53D7D" w:rsidRPr="00B61D59" w:rsidRDefault="00A53D7D" w:rsidP="005140B4">
            <w:pPr>
              <w:pStyle w:val="Tabletextheading"/>
              <w:rPr>
                <w:rFonts w:eastAsiaTheme="minorEastAsia"/>
                <w:lang w:eastAsia="en-AU"/>
              </w:rPr>
            </w:pPr>
            <w:r w:rsidRPr="00B61D59">
              <w:rPr>
                <w:rFonts w:eastAsiaTheme="minorEastAsia"/>
                <w:lang w:eastAsia="en-AU"/>
              </w:rPr>
              <w:t>Revised</w:t>
            </w:r>
          </w:p>
        </w:tc>
        <w:tc>
          <w:tcPr>
            <w:tcW w:w="1036" w:type="dxa"/>
            <w:tcBorders>
              <w:top w:val="nil"/>
              <w:left w:val="nil"/>
              <w:bottom w:val="single" w:sz="6" w:space="0" w:color="auto"/>
              <w:right w:val="single" w:sz="6" w:space="0" w:color="auto"/>
            </w:tcBorders>
            <w:shd w:val="clear" w:color="auto" w:fill="000000"/>
          </w:tcPr>
          <w:p w:rsidR="00A53D7D" w:rsidRPr="00B61D59" w:rsidRDefault="00A53D7D" w:rsidP="005140B4">
            <w:pPr>
              <w:pStyle w:val="Tabletextheading"/>
              <w:rPr>
                <w:rFonts w:eastAsiaTheme="minorEastAsia"/>
                <w:lang w:eastAsia="en-AU"/>
              </w:rPr>
            </w:pPr>
            <w:r w:rsidRPr="00B61D59">
              <w:rPr>
                <w:rFonts w:eastAsiaTheme="minorEastAsia"/>
                <w:lang w:eastAsia="en-AU"/>
              </w:rPr>
              <w:t>Budget</w:t>
            </w:r>
          </w:p>
        </w:tc>
      </w:tr>
      <w:tr w:rsidR="00A53D7D" w:rsidRPr="00B61D59" w:rsidTr="005140B4">
        <w:tc>
          <w:tcPr>
            <w:tcW w:w="4668" w:type="dxa"/>
            <w:tcBorders>
              <w:top w:val="nil"/>
              <w:left w:val="nil"/>
              <w:bottom w:val="nil"/>
              <w:right w:val="nil"/>
            </w:tcBorders>
            <w:shd w:val="solid" w:color="FFFFFF" w:fill="auto"/>
          </w:tcPr>
          <w:p w:rsidR="00A53D7D" w:rsidRPr="00B61D59" w:rsidRDefault="00A53D7D" w:rsidP="005140B4">
            <w:pPr>
              <w:pStyle w:val="Tabletext"/>
              <w:rPr>
                <w:rFonts w:eastAsiaTheme="minorEastAsia"/>
                <w:b/>
                <w:bCs/>
                <w:lang w:eastAsia="en-AU"/>
              </w:rPr>
            </w:pPr>
            <w:r w:rsidRPr="00B61D59">
              <w:rPr>
                <w:rFonts w:eastAsiaTheme="minorEastAsia"/>
                <w:b/>
                <w:bCs/>
                <w:lang w:eastAsia="en-AU"/>
              </w:rPr>
              <w:t>Annual appropriations</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b/>
                <w:bCs/>
                <w:lang w:eastAsia="en-AU"/>
              </w:rPr>
            </w:pPr>
            <w:r w:rsidRPr="00B61D59">
              <w:rPr>
                <w:rFonts w:eastAsiaTheme="minorEastAsia"/>
                <w:b/>
                <w:bCs/>
                <w:lang w:eastAsia="en-AU"/>
              </w:rPr>
              <w:t>6 959.0</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b/>
                <w:bCs/>
                <w:lang w:eastAsia="en-AU"/>
              </w:rPr>
            </w:pPr>
            <w:r w:rsidRPr="00B61D59">
              <w:rPr>
                <w:rFonts w:eastAsiaTheme="minorEastAsia"/>
                <w:b/>
                <w:bCs/>
                <w:lang w:eastAsia="en-AU"/>
              </w:rPr>
              <w:t>6 455.2</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b/>
                <w:bCs/>
                <w:lang w:eastAsia="en-AU"/>
              </w:rPr>
            </w:pPr>
            <w:r w:rsidRPr="00B61D59">
              <w:rPr>
                <w:rFonts w:eastAsiaTheme="minorEastAsia"/>
                <w:b/>
                <w:bCs/>
                <w:lang w:eastAsia="en-AU"/>
              </w:rPr>
              <w:t>7 204.8</w:t>
            </w:r>
          </w:p>
        </w:tc>
      </w:tr>
      <w:tr w:rsidR="00A53D7D" w:rsidRPr="00B61D59" w:rsidTr="005140B4">
        <w:tc>
          <w:tcPr>
            <w:tcW w:w="4668" w:type="dxa"/>
            <w:tcBorders>
              <w:top w:val="nil"/>
              <w:left w:val="nil"/>
              <w:bottom w:val="nil"/>
              <w:right w:val="nil"/>
            </w:tcBorders>
            <w:shd w:val="solid" w:color="FFFFFF" w:fill="auto"/>
          </w:tcPr>
          <w:p w:rsidR="00A53D7D" w:rsidRPr="00B61D59" w:rsidRDefault="00A53D7D" w:rsidP="005140B4">
            <w:pPr>
              <w:pStyle w:val="Tabletext"/>
              <w:rPr>
                <w:rFonts w:eastAsiaTheme="minorEastAsia"/>
                <w:lang w:eastAsia="en-AU"/>
              </w:rPr>
            </w:pPr>
            <w:r w:rsidRPr="00B61D59">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5 025.8</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5 069.8</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5 352.8</w:t>
            </w:r>
          </w:p>
        </w:tc>
      </w:tr>
      <w:tr w:rsidR="00A53D7D" w:rsidRPr="00B61D59" w:rsidTr="005140B4">
        <w:tc>
          <w:tcPr>
            <w:tcW w:w="4668" w:type="dxa"/>
            <w:tcBorders>
              <w:top w:val="nil"/>
              <w:left w:val="nil"/>
              <w:bottom w:val="nil"/>
              <w:right w:val="nil"/>
            </w:tcBorders>
            <w:shd w:val="solid" w:color="FFFFFF" w:fill="auto"/>
          </w:tcPr>
          <w:p w:rsidR="00A53D7D" w:rsidRPr="00B61D59" w:rsidRDefault="00A53D7D" w:rsidP="005140B4">
            <w:pPr>
              <w:pStyle w:val="Tabletext"/>
              <w:rPr>
                <w:rFonts w:eastAsiaTheme="minorEastAsia"/>
                <w:lang w:eastAsia="en-AU"/>
              </w:rPr>
            </w:pPr>
            <w:r w:rsidRPr="00B61D59">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1 932.3</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1 384.5</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1 851.1</w:t>
            </w:r>
          </w:p>
        </w:tc>
      </w:tr>
      <w:tr w:rsidR="00A53D7D" w:rsidRPr="00B61D59" w:rsidTr="005140B4">
        <w:tc>
          <w:tcPr>
            <w:tcW w:w="4668" w:type="dxa"/>
            <w:tcBorders>
              <w:top w:val="nil"/>
              <w:left w:val="nil"/>
              <w:bottom w:val="nil"/>
              <w:right w:val="nil"/>
            </w:tcBorders>
            <w:shd w:val="solid" w:color="FFFFFF" w:fill="auto"/>
          </w:tcPr>
          <w:p w:rsidR="00A53D7D" w:rsidRPr="00B61D59" w:rsidRDefault="00A53D7D" w:rsidP="005140B4">
            <w:pPr>
              <w:pStyle w:val="Tabletext"/>
              <w:rPr>
                <w:rFonts w:eastAsiaTheme="minorEastAsia"/>
                <w:lang w:eastAsia="en-AU"/>
              </w:rPr>
            </w:pPr>
            <w:r w:rsidRPr="00B61D59">
              <w:rPr>
                <w:rFonts w:eastAsiaTheme="minorEastAsia"/>
                <w:lang w:eastAsia="en-AU"/>
              </w:rPr>
              <w:t xml:space="preserve"> Payments made on behalf of the State</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0.9</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0.9</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0.9</w:t>
            </w:r>
          </w:p>
        </w:tc>
      </w:tr>
      <w:tr w:rsidR="00A53D7D" w:rsidRPr="00B61D59" w:rsidTr="005140B4">
        <w:tc>
          <w:tcPr>
            <w:tcW w:w="4668" w:type="dxa"/>
            <w:tcBorders>
              <w:top w:val="nil"/>
              <w:left w:val="nil"/>
              <w:bottom w:val="nil"/>
              <w:right w:val="nil"/>
            </w:tcBorders>
            <w:shd w:val="solid" w:color="FFFFFF" w:fill="auto"/>
          </w:tcPr>
          <w:p w:rsidR="00A53D7D" w:rsidRPr="00B61D59" w:rsidRDefault="00A53D7D" w:rsidP="005140B4">
            <w:pPr>
              <w:pStyle w:val="Tabletext"/>
              <w:rPr>
                <w:rFonts w:eastAsiaTheme="minorEastAsia"/>
                <w:lang w:eastAsia="en-AU"/>
              </w:rPr>
            </w:pPr>
            <w:r w:rsidRPr="00B61D59">
              <w:rPr>
                <w:rFonts w:eastAsiaTheme="minorEastAsia"/>
                <w:lang w:eastAsia="en-AU"/>
              </w:rPr>
              <w:t>Receipts credited to appropriations</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1 198.9</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1 127.2</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868.2</w:t>
            </w:r>
          </w:p>
        </w:tc>
      </w:tr>
      <w:tr w:rsidR="00A53D7D" w:rsidRPr="00E646BF" w:rsidTr="005140B4">
        <w:tc>
          <w:tcPr>
            <w:tcW w:w="4668" w:type="dxa"/>
            <w:tcBorders>
              <w:top w:val="nil"/>
              <w:left w:val="nil"/>
              <w:bottom w:val="nil"/>
              <w:right w:val="nil"/>
            </w:tcBorders>
            <w:shd w:val="solid" w:color="FFFFFF" w:fill="auto"/>
          </w:tcPr>
          <w:p w:rsidR="00A53D7D" w:rsidRPr="00E646BF" w:rsidRDefault="00A53D7D" w:rsidP="005140B4">
            <w:pPr>
              <w:pStyle w:val="Tabletext"/>
              <w:rPr>
                <w:rFonts w:eastAsiaTheme="minorEastAsia"/>
                <w:b/>
                <w:bCs/>
                <w:lang w:eastAsia="en-AU"/>
              </w:rPr>
            </w:pPr>
            <w:r w:rsidRPr="00E646BF">
              <w:rPr>
                <w:rFonts w:eastAsiaTheme="minorEastAsia"/>
                <w:b/>
                <w:bCs/>
                <w:lang w:eastAsia="en-AU"/>
              </w:rPr>
              <w:t>Unapplied previous years appropriation</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30.3</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420.3</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6.3</w:t>
            </w:r>
          </w:p>
        </w:tc>
      </w:tr>
      <w:tr w:rsidR="00A53D7D" w:rsidRPr="00B61D59" w:rsidTr="005140B4">
        <w:tc>
          <w:tcPr>
            <w:tcW w:w="4668" w:type="dxa"/>
            <w:tcBorders>
              <w:top w:val="nil"/>
              <w:left w:val="nil"/>
              <w:bottom w:val="nil"/>
              <w:right w:val="nil"/>
            </w:tcBorders>
            <w:shd w:val="solid" w:color="FFFFFF" w:fill="auto"/>
          </w:tcPr>
          <w:p w:rsidR="00A53D7D" w:rsidRPr="00B61D59" w:rsidRDefault="00A53D7D" w:rsidP="005140B4">
            <w:pPr>
              <w:pStyle w:val="Tabletext"/>
              <w:rPr>
                <w:rFonts w:eastAsiaTheme="minorEastAsia"/>
                <w:lang w:eastAsia="en-AU"/>
              </w:rPr>
            </w:pPr>
            <w:r w:rsidRPr="00B61D59">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29.3</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54.4</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6.3</w:t>
            </w:r>
          </w:p>
        </w:tc>
      </w:tr>
      <w:tr w:rsidR="00A53D7D" w:rsidRPr="00B61D59" w:rsidTr="005140B4">
        <w:tc>
          <w:tcPr>
            <w:tcW w:w="4668" w:type="dxa"/>
            <w:tcBorders>
              <w:top w:val="nil"/>
              <w:left w:val="nil"/>
              <w:bottom w:val="nil"/>
              <w:right w:val="nil"/>
            </w:tcBorders>
            <w:shd w:val="solid" w:color="FFFFFF" w:fill="auto"/>
          </w:tcPr>
          <w:p w:rsidR="00A53D7D" w:rsidRPr="00B61D59" w:rsidRDefault="00A53D7D" w:rsidP="005140B4">
            <w:pPr>
              <w:pStyle w:val="Tabletext"/>
              <w:rPr>
                <w:rFonts w:eastAsiaTheme="minorEastAsia"/>
                <w:lang w:eastAsia="en-AU"/>
              </w:rPr>
            </w:pPr>
            <w:r w:rsidRPr="00B61D59">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1.0</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366.0</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w:t>
            </w:r>
          </w:p>
        </w:tc>
      </w:tr>
      <w:tr w:rsidR="00A53D7D" w:rsidRPr="00B61D59" w:rsidTr="005140B4">
        <w:tc>
          <w:tcPr>
            <w:tcW w:w="4668" w:type="dxa"/>
            <w:tcBorders>
              <w:top w:val="nil"/>
              <w:left w:val="nil"/>
              <w:bottom w:val="single" w:sz="6" w:space="0" w:color="auto"/>
              <w:right w:val="nil"/>
            </w:tcBorders>
            <w:shd w:val="solid" w:color="FFFFFF" w:fill="auto"/>
          </w:tcPr>
          <w:p w:rsidR="00A53D7D" w:rsidRPr="00B61D59" w:rsidRDefault="00A53D7D" w:rsidP="005140B4">
            <w:pPr>
              <w:pStyle w:val="Tabletext"/>
              <w:rPr>
                <w:rFonts w:eastAsiaTheme="minorEastAsia"/>
                <w:lang w:eastAsia="en-AU"/>
              </w:rPr>
            </w:pPr>
            <w:r w:rsidRPr="00B61D59">
              <w:rPr>
                <w:rFonts w:eastAsiaTheme="minorEastAsia"/>
                <w:lang w:eastAsia="en-AU"/>
              </w:rPr>
              <w:t>Accumulated surplus – previously applied appropriation</w:t>
            </w:r>
          </w:p>
        </w:tc>
        <w:tc>
          <w:tcPr>
            <w:tcW w:w="1036" w:type="dxa"/>
            <w:tcBorders>
              <w:top w:val="nil"/>
              <w:left w:val="nil"/>
              <w:bottom w:val="single" w:sz="6" w:space="0" w:color="auto"/>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3.2</w:t>
            </w:r>
          </w:p>
        </w:tc>
        <w:tc>
          <w:tcPr>
            <w:tcW w:w="1036" w:type="dxa"/>
            <w:tcBorders>
              <w:top w:val="nil"/>
              <w:left w:val="nil"/>
              <w:bottom w:val="single" w:sz="6" w:space="0" w:color="auto"/>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6.2</w:t>
            </w:r>
          </w:p>
        </w:tc>
        <w:tc>
          <w:tcPr>
            <w:tcW w:w="1036" w:type="dxa"/>
            <w:tcBorders>
              <w:top w:val="nil"/>
              <w:left w:val="nil"/>
              <w:bottom w:val="single" w:sz="6" w:space="0" w:color="auto"/>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9.1</w:t>
            </w:r>
          </w:p>
        </w:tc>
      </w:tr>
      <w:tr w:rsidR="00A53D7D" w:rsidRPr="00B61D59" w:rsidTr="005140B4">
        <w:tc>
          <w:tcPr>
            <w:tcW w:w="4668" w:type="dxa"/>
            <w:tcBorders>
              <w:top w:val="nil"/>
              <w:left w:val="nil"/>
              <w:bottom w:val="nil"/>
              <w:right w:val="nil"/>
            </w:tcBorders>
            <w:shd w:val="solid" w:color="FFFFFF" w:fill="auto"/>
          </w:tcPr>
          <w:p w:rsidR="00A53D7D" w:rsidRPr="00B61D59" w:rsidRDefault="00A53D7D" w:rsidP="005140B4">
            <w:pPr>
              <w:pStyle w:val="Tabletext"/>
              <w:rPr>
                <w:rFonts w:eastAsiaTheme="minorEastAsia"/>
                <w:b/>
                <w:bCs/>
                <w:lang w:eastAsia="en-AU"/>
              </w:rPr>
            </w:pPr>
            <w:r w:rsidRPr="00B61D59">
              <w:rPr>
                <w:rFonts w:eastAsiaTheme="minorEastAsia"/>
                <w:b/>
                <w:bCs/>
                <w:lang w:eastAsia="en-AU"/>
              </w:rPr>
              <w:t>Gross annual appropriation</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b/>
                <w:bCs/>
                <w:lang w:eastAsia="en-AU"/>
              </w:rPr>
            </w:pPr>
            <w:r w:rsidRPr="00B61D59">
              <w:rPr>
                <w:rFonts w:eastAsiaTheme="minorEastAsia"/>
                <w:b/>
                <w:bCs/>
                <w:lang w:eastAsia="en-AU"/>
              </w:rPr>
              <w:t>8 191.3</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b/>
                <w:bCs/>
                <w:lang w:eastAsia="en-AU"/>
              </w:rPr>
            </w:pPr>
            <w:r w:rsidRPr="00B61D59">
              <w:rPr>
                <w:rFonts w:eastAsiaTheme="minorEastAsia"/>
                <w:b/>
                <w:bCs/>
                <w:lang w:eastAsia="en-AU"/>
              </w:rPr>
              <w:t>8 008.9</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b/>
                <w:bCs/>
                <w:lang w:eastAsia="en-AU"/>
              </w:rPr>
            </w:pPr>
            <w:r w:rsidRPr="00B61D59">
              <w:rPr>
                <w:rFonts w:eastAsiaTheme="minorEastAsia"/>
                <w:b/>
                <w:bCs/>
                <w:lang w:eastAsia="en-AU"/>
              </w:rPr>
              <w:t>8 088.4</w:t>
            </w:r>
          </w:p>
        </w:tc>
      </w:tr>
      <w:tr w:rsidR="00A53D7D" w:rsidRPr="00B61D59" w:rsidTr="005140B4">
        <w:tc>
          <w:tcPr>
            <w:tcW w:w="4668" w:type="dxa"/>
            <w:tcBorders>
              <w:top w:val="nil"/>
              <w:left w:val="nil"/>
              <w:bottom w:val="nil"/>
              <w:right w:val="nil"/>
            </w:tcBorders>
            <w:shd w:val="solid" w:color="FFFFFF" w:fill="auto"/>
          </w:tcPr>
          <w:p w:rsidR="00A53D7D" w:rsidRPr="00B61D59" w:rsidRDefault="00A53D7D" w:rsidP="005140B4">
            <w:pPr>
              <w:pStyle w:val="Tabletext"/>
              <w:rPr>
                <w:rFonts w:eastAsiaTheme="minorEastAsia"/>
                <w:lang w:eastAsia="en-AU"/>
              </w:rPr>
            </w:pPr>
            <w:r w:rsidRPr="00B61D59">
              <w:rPr>
                <w:rFonts w:eastAsiaTheme="minorEastAsia"/>
                <w:lang w:eastAsia="en-AU"/>
              </w:rPr>
              <w:t>Special appropriations</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7.0</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17.0</w:t>
            </w:r>
          </w:p>
        </w:tc>
        <w:tc>
          <w:tcPr>
            <w:tcW w:w="1036" w:type="dxa"/>
            <w:tcBorders>
              <w:top w:val="nil"/>
              <w:left w:val="nil"/>
              <w:bottom w:val="nil"/>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13.9</w:t>
            </w:r>
          </w:p>
        </w:tc>
      </w:tr>
      <w:tr w:rsidR="00A53D7D" w:rsidRPr="00B61D59" w:rsidTr="005140B4">
        <w:tc>
          <w:tcPr>
            <w:tcW w:w="4668" w:type="dxa"/>
            <w:tcBorders>
              <w:top w:val="nil"/>
              <w:left w:val="nil"/>
              <w:bottom w:val="single" w:sz="6" w:space="0" w:color="auto"/>
              <w:right w:val="nil"/>
            </w:tcBorders>
            <w:shd w:val="solid" w:color="FFFFFF" w:fill="auto"/>
          </w:tcPr>
          <w:p w:rsidR="00A53D7D" w:rsidRPr="00B61D59" w:rsidRDefault="00A53D7D" w:rsidP="005140B4">
            <w:pPr>
              <w:pStyle w:val="Tabletext"/>
              <w:rPr>
                <w:rFonts w:eastAsiaTheme="minorEastAsia"/>
                <w:lang w:eastAsia="en-AU"/>
              </w:rPr>
            </w:pPr>
            <w:r w:rsidRPr="00B61D59">
              <w:rPr>
                <w:rFonts w:eastAsiaTheme="minorEastAsia"/>
                <w:lang w:eastAsia="en-AU"/>
              </w:rPr>
              <w:t>Trust funds</w:t>
            </w:r>
          </w:p>
        </w:tc>
        <w:tc>
          <w:tcPr>
            <w:tcW w:w="1036" w:type="dxa"/>
            <w:tcBorders>
              <w:top w:val="nil"/>
              <w:left w:val="nil"/>
              <w:bottom w:val="single" w:sz="6" w:space="0" w:color="auto"/>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1 456.0</w:t>
            </w:r>
          </w:p>
        </w:tc>
        <w:tc>
          <w:tcPr>
            <w:tcW w:w="1036" w:type="dxa"/>
            <w:tcBorders>
              <w:top w:val="nil"/>
              <w:left w:val="nil"/>
              <w:bottom w:val="single" w:sz="6" w:space="0" w:color="auto"/>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937.6</w:t>
            </w:r>
          </w:p>
        </w:tc>
        <w:tc>
          <w:tcPr>
            <w:tcW w:w="1036" w:type="dxa"/>
            <w:tcBorders>
              <w:top w:val="nil"/>
              <w:left w:val="nil"/>
              <w:bottom w:val="single" w:sz="6" w:space="0" w:color="auto"/>
              <w:right w:val="nil"/>
            </w:tcBorders>
            <w:shd w:val="solid" w:color="FFFFFF" w:fill="auto"/>
          </w:tcPr>
          <w:p w:rsidR="00A53D7D" w:rsidRPr="00B61D59" w:rsidRDefault="00A53D7D" w:rsidP="005140B4">
            <w:pPr>
              <w:pStyle w:val="TableofFigures"/>
              <w:rPr>
                <w:rFonts w:eastAsiaTheme="minorEastAsia"/>
                <w:lang w:eastAsia="en-AU"/>
              </w:rPr>
            </w:pPr>
            <w:r w:rsidRPr="00B61D59">
              <w:rPr>
                <w:rFonts w:eastAsiaTheme="minorEastAsia"/>
                <w:lang w:eastAsia="en-AU"/>
              </w:rPr>
              <w:t xml:space="preserve"> 983.6</w:t>
            </w:r>
          </w:p>
        </w:tc>
      </w:tr>
      <w:tr w:rsidR="00A53D7D" w:rsidRPr="00B61D59" w:rsidTr="005140B4">
        <w:tc>
          <w:tcPr>
            <w:tcW w:w="4668" w:type="dxa"/>
            <w:tcBorders>
              <w:top w:val="nil"/>
              <w:left w:val="nil"/>
              <w:bottom w:val="single" w:sz="12" w:space="0" w:color="auto"/>
              <w:right w:val="nil"/>
            </w:tcBorders>
            <w:shd w:val="solid" w:color="FFFFFF" w:fill="auto"/>
          </w:tcPr>
          <w:p w:rsidR="00A53D7D" w:rsidRPr="00B61D59" w:rsidRDefault="00A53D7D" w:rsidP="005140B4">
            <w:pPr>
              <w:pStyle w:val="Tabletext"/>
              <w:rPr>
                <w:rFonts w:eastAsiaTheme="minorEastAsia"/>
                <w:b/>
                <w:bCs/>
                <w:lang w:eastAsia="en-AU"/>
              </w:rPr>
            </w:pPr>
            <w:r w:rsidRPr="00B61D59">
              <w:rPr>
                <w:rFonts w:eastAsiaTheme="minorEastAsia"/>
                <w:b/>
                <w:bCs/>
                <w:lang w:eastAsia="en-AU"/>
              </w:rPr>
              <w:t>Total parliamentary authority</w:t>
            </w:r>
          </w:p>
        </w:tc>
        <w:tc>
          <w:tcPr>
            <w:tcW w:w="1036" w:type="dxa"/>
            <w:tcBorders>
              <w:top w:val="nil"/>
              <w:left w:val="nil"/>
              <w:bottom w:val="single" w:sz="12" w:space="0" w:color="auto"/>
              <w:right w:val="nil"/>
            </w:tcBorders>
            <w:shd w:val="solid" w:color="FFFFFF" w:fill="auto"/>
          </w:tcPr>
          <w:p w:rsidR="00A53D7D" w:rsidRPr="00B61D59" w:rsidRDefault="00A53D7D" w:rsidP="005140B4">
            <w:pPr>
              <w:pStyle w:val="TableofFigures"/>
              <w:rPr>
                <w:rFonts w:eastAsiaTheme="minorEastAsia"/>
                <w:b/>
                <w:bCs/>
                <w:lang w:eastAsia="en-AU"/>
              </w:rPr>
            </w:pPr>
            <w:r w:rsidRPr="00B61D59">
              <w:rPr>
                <w:rFonts w:eastAsiaTheme="minorEastAsia"/>
                <w:b/>
                <w:bCs/>
                <w:lang w:eastAsia="en-AU"/>
              </w:rPr>
              <w:t>9 654.3</w:t>
            </w:r>
          </w:p>
        </w:tc>
        <w:tc>
          <w:tcPr>
            <w:tcW w:w="1036" w:type="dxa"/>
            <w:tcBorders>
              <w:top w:val="nil"/>
              <w:left w:val="nil"/>
              <w:bottom w:val="single" w:sz="12" w:space="0" w:color="auto"/>
              <w:right w:val="nil"/>
            </w:tcBorders>
            <w:shd w:val="solid" w:color="FFFFFF" w:fill="auto"/>
          </w:tcPr>
          <w:p w:rsidR="00A53D7D" w:rsidRPr="00B61D59" w:rsidRDefault="00A53D7D" w:rsidP="005140B4">
            <w:pPr>
              <w:pStyle w:val="TableofFigures"/>
              <w:rPr>
                <w:rFonts w:eastAsiaTheme="minorEastAsia"/>
                <w:b/>
                <w:bCs/>
                <w:lang w:eastAsia="en-AU"/>
              </w:rPr>
            </w:pPr>
            <w:r w:rsidRPr="00B61D59">
              <w:rPr>
                <w:rFonts w:eastAsiaTheme="minorEastAsia"/>
                <w:b/>
                <w:bCs/>
                <w:lang w:eastAsia="en-AU"/>
              </w:rPr>
              <w:t>8 963.5</w:t>
            </w:r>
          </w:p>
        </w:tc>
        <w:tc>
          <w:tcPr>
            <w:tcW w:w="1036" w:type="dxa"/>
            <w:tcBorders>
              <w:top w:val="nil"/>
              <w:left w:val="nil"/>
              <w:bottom w:val="single" w:sz="12" w:space="0" w:color="auto"/>
              <w:right w:val="nil"/>
            </w:tcBorders>
            <w:shd w:val="solid" w:color="FFFFFF" w:fill="auto"/>
          </w:tcPr>
          <w:p w:rsidR="00A53D7D" w:rsidRPr="00B61D59" w:rsidRDefault="00A53D7D" w:rsidP="005140B4">
            <w:pPr>
              <w:pStyle w:val="TableofFigures"/>
              <w:rPr>
                <w:rFonts w:eastAsiaTheme="minorEastAsia"/>
                <w:b/>
                <w:bCs/>
                <w:lang w:eastAsia="en-AU"/>
              </w:rPr>
            </w:pPr>
            <w:r w:rsidRPr="00B61D59">
              <w:rPr>
                <w:rFonts w:eastAsiaTheme="minorEastAsia"/>
                <w:b/>
                <w:bCs/>
                <w:lang w:eastAsia="en-AU"/>
              </w:rPr>
              <w:t>9 085.9</w:t>
            </w:r>
          </w:p>
        </w:tc>
      </w:tr>
    </w:tbl>
    <w:p w:rsidR="00A53D7D" w:rsidRDefault="00A53D7D" w:rsidP="005140B4">
      <w:pPr>
        <w:pStyle w:val="Source"/>
      </w:pPr>
      <w:r>
        <w:t xml:space="preserve">Source: Departments of Transport, Planning and Local Infrastructure and Treasury and Finance </w:t>
      </w:r>
      <w:r>
        <w:fldChar w:fldCharType="begin"/>
      </w:r>
      <w:r>
        <w:instrText xml:space="preserve"> XE "Department of Transport, Planning and Local Infrastructure</w:instrText>
      </w:r>
      <w:r w:rsidRPr="00ED1DC7">
        <w:instrText>:Parliamentary authority for resources</w:instrText>
      </w:r>
      <w:r>
        <w:instrText xml:space="preserve">" </w:instrText>
      </w:r>
      <w:r>
        <w:fldChar w:fldCharType="end"/>
      </w:r>
      <w:r>
        <w:t xml:space="preserve"> </w:t>
      </w:r>
    </w:p>
    <w:p w:rsidR="00A53D7D" w:rsidRPr="002524A7" w:rsidRDefault="00A53D7D" w:rsidP="005140B4"/>
    <w:p w:rsidR="00A53D7D" w:rsidRPr="00DD4F39" w:rsidRDefault="00A53D7D" w:rsidP="005140B4">
      <w:pPr>
        <w:pStyle w:val="OGHeading1"/>
        <w:rPr>
          <w:szCs w:val="22"/>
          <w:lang w:eastAsia="en-AU"/>
        </w:rPr>
      </w:pPr>
      <w:bookmarkStart w:id="132" w:name="DTPLIIntegTrans"/>
      <w:r w:rsidRPr="00DD4F39">
        <w:rPr>
          <w:lang w:eastAsia="en-AU"/>
        </w:rPr>
        <w:t>Integrated Transport Services</w:t>
      </w:r>
    </w:p>
    <w:p w:rsidR="00A53D7D" w:rsidRPr="00DD4F39" w:rsidRDefault="00A53D7D" w:rsidP="005140B4">
      <w:pPr>
        <w:pStyle w:val="OGText"/>
        <w:rPr>
          <w:szCs w:val="22"/>
          <w:lang w:eastAsia="en-AU"/>
        </w:rPr>
      </w:pPr>
      <w:r w:rsidRPr="00DD4F39">
        <w:rPr>
          <w:lang w:eastAsia="en-AU"/>
        </w:rPr>
        <w:t>This output group delivers reliable and cost effective transport services, and programs to improve the accessibility of the transport system.</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DD4F39" w:rsidTr="005140B4">
        <w:trPr>
          <w:cantSplit/>
        </w:trPr>
        <w:tc>
          <w:tcPr>
            <w:tcW w:w="7776" w:type="dxa"/>
            <w:gridSpan w:val="6"/>
            <w:tcBorders>
              <w:top w:val="nil"/>
              <w:left w:val="nil"/>
              <w:right w:val="nil"/>
            </w:tcBorders>
            <w:shd w:val="clear" w:color="auto" w:fill="auto"/>
            <w:noWrap/>
            <w:vAlign w:val="bottom"/>
          </w:tcPr>
          <w:p w:rsidR="00A53D7D" w:rsidRPr="00DD4F39" w:rsidRDefault="00A53D7D" w:rsidP="005140B4">
            <w:pPr>
              <w:pStyle w:val="OGHeading2"/>
              <w:rPr>
                <w:lang w:eastAsia="en-AU"/>
              </w:rPr>
            </w:pPr>
            <w:r w:rsidRPr="00DD4F39">
              <w:rPr>
                <w:lang w:eastAsia="en-AU"/>
              </w:rPr>
              <w:t>Metropolitan Transport Services</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Pr="00DD4F39" w:rsidRDefault="00A53D7D" w:rsidP="005140B4">
            <w:pPr>
              <w:pStyle w:val="OGText"/>
              <w:rPr>
                <w:lang w:eastAsia="en-AU"/>
              </w:rPr>
            </w:pPr>
            <w:r w:rsidRPr="00DD4F39">
              <w:rPr>
                <w:lang w:eastAsia="en-AU"/>
              </w:rPr>
              <w:t>This output provides the delivery of reliable and cost effective transport services in metropolitan Melbourne, including public transport services through contractual arrangements with private operators. This output supports the Department</w:t>
            </w:r>
            <w:r>
              <w:rPr>
                <w:lang w:eastAsia="en-AU"/>
              </w:rPr>
              <w:t>’</w:t>
            </w:r>
            <w:r w:rsidRPr="00DD4F39">
              <w:rPr>
                <w:lang w:eastAsia="en-AU"/>
              </w:rPr>
              <w:t>s objective to deliver higher</w:t>
            </w:r>
            <w:r>
              <w:rPr>
                <w:lang w:eastAsia="en-AU"/>
              </w:rPr>
              <w:noBreakHyphen/>
            </w:r>
            <w:r w:rsidRPr="00DD4F39">
              <w:rPr>
                <w:lang w:eastAsia="en-AU"/>
              </w:rPr>
              <w:t>quality transport services.</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Passengers carried: metropolitan bus services</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number (million)</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127.5</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121.4</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99.7</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115.7</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higher 2013</w:t>
            </w:r>
            <w:r>
              <w:noBreakHyphen/>
            </w:r>
            <w:r w:rsidRPr="00DD4F39">
              <w:t>14 expected outcome and 2014</w:t>
            </w:r>
            <w:r>
              <w:noBreakHyphen/>
            </w:r>
            <w:r w:rsidRPr="00DD4F39">
              <w:t xml:space="preserve">15 target reflects the most recent patronage trends and includes an expected increase in patronage as a result of a policy change from 1 January 2015 </w:t>
            </w:r>
            <w:r>
              <w:t xml:space="preserve">that </w:t>
            </w:r>
            <w:r w:rsidRPr="00DD4F39">
              <w:t>provide</w:t>
            </w:r>
            <w:r>
              <w:t>s</w:t>
            </w:r>
            <w:r w:rsidRPr="00DD4F39">
              <w:t xml:space="preserve"> free</w:t>
            </w:r>
            <w:r>
              <w:t xml:space="preserve"> travel on </w:t>
            </w:r>
            <w:r w:rsidRPr="00DD4F39">
              <w:t>trams</w:t>
            </w:r>
            <w:r>
              <w:t xml:space="preserve"> in the CBD and Docklands</w:t>
            </w:r>
            <w:r w:rsidRPr="00DD4F39">
              <w:t>,</w:t>
            </w:r>
            <w:r>
              <w:t xml:space="preserve"> and</w:t>
            </w:r>
            <w:r w:rsidRPr="00DD4F39">
              <w:t xml:space="preserve"> </w:t>
            </w:r>
            <w:r>
              <w:t>travel across Zone 1 and 2 for the price of a Zone 1 fare.</w:t>
            </w:r>
            <w:r w:rsidRPr="00DD4F39">
              <w:t xml:space="preserve"> </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Passengers carried: metropolitan train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number (million)</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253.1</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235.9</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237.2</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225.5</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2013</w:t>
            </w:r>
            <w:r>
              <w:noBreakHyphen/>
            </w:r>
            <w:r w:rsidRPr="00DD4F39">
              <w:t>14 expected outcome reflects short</w:t>
            </w:r>
            <w:r>
              <w:noBreakHyphen/>
            </w:r>
            <w:r w:rsidRPr="00DD4F39">
              <w:t>term patronage trends. The higher 2014</w:t>
            </w:r>
            <w:r>
              <w:noBreakHyphen/>
            </w:r>
            <w:r w:rsidRPr="00DD4F39">
              <w:t xml:space="preserve">15 target reflects </w:t>
            </w:r>
            <w:r>
              <w:t xml:space="preserve">the </w:t>
            </w:r>
            <w:r w:rsidRPr="00DD4F39">
              <w:t>long</w:t>
            </w:r>
            <w:r>
              <w:noBreakHyphen/>
            </w:r>
            <w:r w:rsidRPr="00DD4F39">
              <w:t>term patronage forecast and includes an expected increase in patronage as a r</w:t>
            </w:r>
            <w:r>
              <w:t>esult of a policy change from 1 </w:t>
            </w:r>
            <w:r w:rsidRPr="00DD4F39">
              <w:t xml:space="preserve">January 2015 </w:t>
            </w:r>
            <w:r>
              <w:t xml:space="preserve">that </w:t>
            </w:r>
            <w:r w:rsidRPr="00DD4F39">
              <w:t>provide</w:t>
            </w:r>
            <w:r>
              <w:t>s</w:t>
            </w:r>
            <w:r w:rsidRPr="00DD4F39">
              <w:t xml:space="preserve"> free</w:t>
            </w:r>
            <w:r>
              <w:t xml:space="preserve"> travel on </w:t>
            </w:r>
            <w:r w:rsidRPr="00DD4F39">
              <w:t>trams</w:t>
            </w:r>
            <w:r>
              <w:t xml:space="preserve"> in the CBD and Docklands</w:t>
            </w:r>
            <w:r w:rsidRPr="00DD4F39">
              <w:t>,</w:t>
            </w:r>
            <w:r>
              <w:t xml:space="preserve"> and</w:t>
            </w:r>
            <w:r w:rsidRPr="00DD4F39">
              <w:t xml:space="preserve"> </w:t>
            </w:r>
            <w:r>
              <w:t>travel across Zone 1 and 2 for the price of a Zone 1 fare</w:t>
            </w:r>
            <w:r w:rsidRPr="00DD4F39">
              <w:t>.</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Passengers carried: tram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number (million)</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193.3</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187.2</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176.3</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182.7</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higher 2013</w:t>
            </w:r>
            <w:r>
              <w:noBreakHyphen/>
            </w:r>
            <w:r w:rsidRPr="00DD4F39">
              <w:t>14 expected outcome and 2014</w:t>
            </w:r>
            <w:r>
              <w:noBreakHyphen/>
            </w:r>
            <w:r w:rsidRPr="00DD4F39">
              <w:t>15 target reflects the most recent patronage trends and indicates that tram patronage is beginning to return to long</w:t>
            </w:r>
            <w:r>
              <w:noBreakHyphen/>
            </w:r>
            <w:r w:rsidRPr="00DD4F39">
              <w:t>term forecasts and includes an expe</w:t>
            </w:r>
            <w:r>
              <w:t xml:space="preserve">cted increase in patronage as a </w:t>
            </w:r>
            <w:r w:rsidRPr="00DD4F39">
              <w:t xml:space="preserve">result of a policy change from 1 January 2015 </w:t>
            </w:r>
            <w:r>
              <w:t xml:space="preserve">that </w:t>
            </w:r>
            <w:r w:rsidRPr="00DD4F39">
              <w:t>provide</w:t>
            </w:r>
            <w:r>
              <w:t>s</w:t>
            </w:r>
            <w:r w:rsidRPr="00DD4F39">
              <w:t xml:space="preserve"> free</w:t>
            </w:r>
            <w:r>
              <w:t xml:space="preserve"> travel on </w:t>
            </w:r>
            <w:r w:rsidRPr="00DD4F39">
              <w:t>trams</w:t>
            </w:r>
            <w:r>
              <w:t xml:space="preserve"> in the CBD and Docklands</w:t>
            </w:r>
            <w:r w:rsidRPr="00DD4F39">
              <w:t>,</w:t>
            </w:r>
            <w:r>
              <w:t xml:space="preserve"> and</w:t>
            </w:r>
            <w:r w:rsidRPr="00DD4F39">
              <w:t xml:space="preserve"> </w:t>
            </w:r>
            <w:r>
              <w:t>travel across Zone 1 and 2 for the price of a Zone 1 fare</w:t>
            </w:r>
            <w:r w:rsidRPr="00DD4F39">
              <w:t>.</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Payments made for: metropolitan bus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 million</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622</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596</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628</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600</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2013</w:t>
            </w:r>
            <w:r>
              <w:noBreakHyphen/>
            </w:r>
            <w:r w:rsidRPr="00DD4F39">
              <w:t>14 expected outcome and 2014</w:t>
            </w:r>
            <w:r>
              <w:noBreakHyphen/>
            </w:r>
            <w:r w:rsidRPr="00DD4F39">
              <w:t>15 target reflects savings obtained with new bus contracts covering 30</w:t>
            </w:r>
            <w:r>
              <w:t> per cent</w:t>
            </w:r>
            <w:r w:rsidRPr="00DD4F39">
              <w:t xml:space="preserve"> of the metropolitan bus network.</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Payments made for: metropolitan train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 million</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Pr>
                <w:lang w:eastAsia="en-AU"/>
              </w:rPr>
              <w:t>765</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840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1 005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944</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2013</w:t>
            </w:r>
            <w:r>
              <w:noBreakHyphen/>
            </w:r>
            <w:r w:rsidRPr="00DD4F39">
              <w:t>14 expected outcome and 2014</w:t>
            </w:r>
            <w:r>
              <w:noBreakHyphen/>
            </w:r>
            <w:r w:rsidRPr="00DD4F39">
              <w:t xml:space="preserve">15 target reflects cessation of the Ticketing Guarantee Payment to the metropolitan train operator on 1 January 2014, following </w:t>
            </w:r>
            <w:r>
              <w:t xml:space="preserve">full </w:t>
            </w:r>
            <w:proofErr w:type="spellStart"/>
            <w:r w:rsidRPr="002524A7">
              <w:rPr>
                <w:i w:val="0"/>
              </w:rPr>
              <w:t>myki</w:t>
            </w:r>
            <w:proofErr w:type="spellEnd"/>
            <w:r w:rsidRPr="00DD4F39">
              <w:t xml:space="preserve"> implementation. During the Ticketing Guarantee Payment period, all fare revenue was received by the State and paid to </w:t>
            </w:r>
            <w:r>
              <w:t xml:space="preserve">tram and </w:t>
            </w:r>
            <w:r w:rsidRPr="00DD4F39">
              <w:t>rail operators. Since the cessation of the Ticketing Guarantee Payment, the metropolitan train operator is now receiving 40</w:t>
            </w:r>
            <w:r>
              <w:t> per cent</w:t>
            </w:r>
            <w:r w:rsidRPr="00DD4F39">
              <w:t xml:space="preserve"> of the fare revenue directly.</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Payments made for: tram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 million</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20</w:t>
            </w:r>
            <w:r>
              <w:rPr>
                <w:lang w:eastAsia="en-AU"/>
              </w:rPr>
              <w:t>3</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27</w:t>
            </w:r>
            <w:r>
              <w:rPr>
                <w:lang w:eastAsia="en-AU"/>
              </w:rPr>
              <w:t>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388</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375</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2013</w:t>
            </w:r>
            <w:r>
              <w:noBreakHyphen/>
            </w:r>
            <w:r w:rsidRPr="00DD4F39">
              <w:t>14 expected outcome and 2014</w:t>
            </w:r>
            <w:r>
              <w:noBreakHyphen/>
            </w:r>
            <w:r w:rsidRPr="00DD4F39">
              <w:t xml:space="preserve">15 target reflects cessation of the Ticketing Guarantee Payment to the tram operator on 1 January 2014, following </w:t>
            </w:r>
            <w:r>
              <w:t xml:space="preserve">full </w:t>
            </w:r>
            <w:proofErr w:type="spellStart"/>
            <w:r w:rsidRPr="002524A7">
              <w:rPr>
                <w:i w:val="0"/>
              </w:rPr>
              <w:t>myki</w:t>
            </w:r>
            <w:proofErr w:type="spellEnd"/>
            <w:r w:rsidRPr="00DD4F39">
              <w:t xml:space="preserve"> implementation. During the Ticketing Guarantee Payment period, all fare revenue was received by the State and paid to </w:t>
            </w:r>
            <w:r>
              <w:t xml:space="preserve">tram and </w:t>
            </w:r>
            <w:r w:rsidRPr="00DD4F39">
              <w:t>rail operators. Since the cessation of the Ticketing Guarantee Payment, the tram operator is now receiving 30</w:t>
            </w:r>
            <w:r>
              <w:t> per cent</w:t>
            </w:r>
            <w:r w:rsidRPr="00DD4F39">
              <w:t xml:space="preserve"> of the fare revenue directly.</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Scheduled services delivered: metropolitan bus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99.9</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99.9</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99.9</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Scheduled services delivered: metropolitan train</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99</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98.9</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98.7</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98.4</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6426F4" w:rsidRDefault="00A53D7D" w:rsidP="005140B4">
            <w:pPr>
              <w:pStyle w:val="OGNotes"/>
              <w:rPr>
                <w:szCs w:val="15"/>
              </w:rPr>
            </w:pPr>
            <w:r w:rsidRPr="006426F4">
              <w:rPr>
                <w:szCs w:val="15"/>
              </w:rPr>
              <w:t>The 2013</w:t>
            </w:r>
            <w:r>
              <w:rPr>
                <w:szCs w:val="15"/>
              </w:rPr>
              <w:noBreakHyphen/>
            </w:r>
            <w:r w:rsidRPr="006426F4">
              <w:rPr>
                <w:szCs w:val="15"/>
              </w:rPr>
              <w:t>14 expected outcome is higher than the 2013</w:t>
            </w:r>
            <w:r>
              <w:rPr>
                <w:szCs w:val="15"/>
              </w:rPr>
              <w:noBreakHyphen/>
            </w:r>
            <w:r w:rsidRPr="006426F4">
              <w:rPr>
                <w:szCs w:val="15"/>
              </w:rPr>
              <w:t>14 target due to a better than anticipated improvement in metropolitan train reliability.</w:t>
            </w:r>
          </w:p>
          <w:p w:rsidR="00A53D7D" w:rsidRPr="00DD4F39" w:rsidRDefault="00A53D7D" w:rsidP="005140B4">
            <w:pPr>
              <w:pStyle w:val="OGNotes"/>
            </w:pPr>
            <w:r w:rsidRPr="006426F4">
              <w:rPr>
                <w:szCs w:val="15"/>
              </w:rPr>
              <w:t>The higher 2014</w:t>
            </w:r>
            <w:r>
              <w:rPr>
                <w:szCs w:val="15"/>
              </w:rPr>
              <w:noBreakHyphen/>
            </w:r>
            <w:r w:rsidRPr="006426F4">
              <w:rPr>
                <w:szCs w:val="15"/>
              </w:rPr>
              <w:t>15 target reflects an expected increase in metropolitan train operator performance</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Scheduled services delivered: tram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99.5</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98.9</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99.3</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99</w:t>
            </w:r>
            <w:r>
              <w:rPr>
                <w:lang w:eastAsia="en-AU"/>
              </w:rPr>
              <w:t>.0</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Default="00A53D7D" w:rsidP="005140B4">
            <w:pPr>
              <w:pStyle w:val="OGNotes"/>
            </w:pPr>
            <w:r w:rsidRPr="00DD4F39">
              <w:t>The lower 2013</w:t>
            </w:r>
            <w:r>
              <w:noBreakHyphen/>
            </w:r>
            <w:r w:rsidRPr="00DD4F39">
              <w:t>14 expected outcome reflects the impact of adverse weather on tram services.</w:t>
            </w:r>
          </w:p>
          <w:p w:rsidR="00A53D7D" w:rsidRPr="00DD4F39" w:rsidRDefault="00A53D7D" w:rsidP="005140B4">
            <w:pPr>
              <w:pStyle w:val="OGNotes"/>
            </w:pPr>
            <w:r w:rsidRPr="00DD4F39">
              <w:t>The higher 2014</w:t>
            </w:r>
            <w:r>
              <w:noBreakHyphen/>
            </w:r>
            <w:r w:rsidRPr="00DD4F39">
              <w:t>15 target reflects an expected increase in tram operator performance.</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kilometres scheduled: metropolitan bus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km (million)</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110.8</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109.7</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114.8</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113.6</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2013</w:t>
            </w:r>
            <w:r>
              <w:noBreakHyphen/>
            </w:r>
            <w:r w:rsidRPr="00DD4F39">
              <w:t>14 expected outcome and 2014</w:t>
            </w:r>
            <w:r>
              <w:noBreakHyphen/>
            </w:r>
            <w:r w:rsidRPr="00DD4F39">
              <w:t>15 target reflects efficiencies obtained through a reduction in dead running kilometres with new bus contracts covering 30</w:t>
            </w:r>
            <w:r>
              <w:t> per cent</w:t>
            </w:r>
            <w:r w:rsidRPr="00DD4F39">
              <w:t xml:space="preserve"> of the metropolitan bus network.</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kilometres scheduled: metropolitan train</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km (million)</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22.5</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21.9</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22</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21.9</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6426F4">
              <w:rPr>
                <w:szCs w:val="15"/>
              </w:rPr>
              <w:t>The higher 2014</w:t>
            </w:r>
            <w:r>
              <w:rPr>
                <w:szCs w:val="15"/>
              </w:rPr>
              <w:noBreakHyphen/>
            </w:r>
            <w:r w:rsidRPr="006426F4">
              <w:rPr>
                <w:szCs w:val="15"/>
              </w:rPr>
              <w:t>15 target reflects planned scheduled kilometres for metropolitan train services for 2014</w:t>
            </w:r>
            <w:r>
              <w:rPr>
                <w:szCs w:val="15"/>
              </w:rPr>
              <w:noBreakHyphen/>
            </w:r>
            <w:r w:rsidRPr="006426F4">
              <w:rPr>
                <w:szCs w:val="15"/>
              </w:rPr>
              <w:t>15.</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Total kilometres scheduled: tram</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Pr>
                <w:lang w:eastAsia="en-AU"/>
              </w:rPr>
              <w:t>km (million)</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23.6</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23.6</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23.6</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23.6</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Availability of rolling stock: metropolitan trains</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94</w:t>
            </w:r>
            <w:r>
              <w:rPr>
                <w:lang w:eastAsia="en-AU"/>
              </w:rPr>
              <w:t>.0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92</w:t>
            </w:r>
            <w:r>
              <w:rPr>
                <w:lang w:eastAsia="en-AU"/>
              </w:rPr>
              <w:t>.0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94</w:t>
            </w:r>
            <w:r>
              <w:rPr>
                <w:lang w:eastAsia="en-AU"/>
              </w:rPr>
              <w:t>.0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90.2</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2013</w:t>
            </w:r>
            <w:r>
              <w:noBreakHyphen/>
            </w:r>
            <w:r w:rsidRPr="00DD4F39">
              <w:t>14 expected outcome is lower than the 2013</w:t>
            </w:r>
            <w:r>
              <w:noBreakHyphen/>
            </w:r>
            <w:r w:rsidRPr="00DD4F39">
              <w:t xml:space="preserve">14 target </w:t>
            </w:r>
            <w:r>
              <w:t>reflecting</w:t>
            </w:r>
            <w:r w:rsidRPr="00DD4F39">
              <w:t xml:space="preserve"> fleet utilisation requirements.</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Availability of rolling stock: trams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94</w:t>
            </w:r>
            <w:r>
              <w:rPr>
                <w:lang w:eastAsia="en-AU"/>
              </w:rPr>
              <w:t>.0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94</w:t>
            </w:r>
            <w:r>
              <w:rPr>
                <w:lang w:eastAsia="en-AU"/>
              </w:rPr>
              <w:t>.0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94</w:t>
            </w:r>
            <w:r>
              <w:rPr>
                <w:lang w:eastAsia="en-AU"/>
              </w:rPr>
              <w:t>.0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94.9</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Customer satisfaction index: metropolitan bus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score</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76</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76</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75</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75.5</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6426F4" w:rsidRDefault="00A53D7D" w:rsidP="005140B4">
            <w:pPr>
              <w:pStyle w:val="OGNotes"/>
              <w:rPr>
                <w:szCs w:val="15"/>
              </w:rPr>
            </w:pPr>
            <w:r w:rsidRPr="006426F4">
              <w:rPr>
                <w:szCs w:val="15"/>
              </w:rPr>
              <w:t>The 2013</w:t>
            </w:r>
            <w:r>
              <w:rPr>
                <w:szCs w:val="15"/>
              </w:rPr>
              <w:noBreakHyphen/>
            </w:r>
            <w:r w:rsidRPr="006426F4">
              <w:rPr>
                <w:szCs w:val="15"/>
              </w:rPr>
              <w:t>14 expected outcome is higher than the 2013</w:t>
            </w:r>
            <w:r>
              <w:rPr>
                <w:szCs w:val="15"/>
              </w:rPr>
              <w:noBreakHyphen/>
            </w:r>
            <w:r w:rsidRPr="006426F4">
              <w:rPr>
                <w:szCs w:val="15"/>
              </w:rPr>
              <w:t>14 target due to better than anticipated customer satisfaction with metropolitan bus services.</w:t>
            </w:r>
          </w:p>
          <w:p w:rsidR="00A53D7D" w:rsidRPr="00DD4F39" w:rsidRDefault="00A53D7D" w:rsidP="005140B4">
            <w:pPr>
              <w:pStyle w:val="OGNotes"/>
            </w:pPr>
            <w:r w:rsidRPr="006426F4">
              <w:rPr>
                <w:szCs w:val="15"/>
              </w:rPr>
              <w:t>The higher 2014</w:t>
            </w:r>
            <w:r>
              <w:rPr>
                <w:szCs w:val="15"/>
              </w:rPr>
              <w:noBreakHyphen/>
            </w:r>
            <w:r w:rsidRPr="006426F4">
              <w:rPr>
                <w:szCs w:val="15"/>
              </w:rPr>
              <w:t>15 target reflects the most recent customer satisfaction trend.</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Customer satisfaction index: metropolitan train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score</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70</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70</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69</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67</w:t>
            </w:r>
            <w:r>
              <w:rPr>
                <w:lang w:eastAsia="en-AU"/>
              </w:rPr>
              <w:t>.0</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DD4F39">
              <w:t>The 2013</w:t>
            </w:r>
            <w:r>
              <w:noBreakHyphen/>
            </w:r>
            <w:r w:rsidRPr="00DD4F39">
              <w:t>14 expected outcome is higher than the 2013</w:t>
            </w:r>
            <w:r>
              <w:noBreakHyphen/>
            </w:r>
            <w:r w:rsidRPr="00DD4F39">
              <w:t>14 target due to better than anticipated customer satisfaction with metropolitan train services.</w:t>
            </w:r>
          </w:p>
          <w:p w:rsidR="00A53D7D" w:rsidRPr="00DD4F39" w:rsidRDefault="00A53D7D" w:rsidP="005140B4">
            <w:pPr>
              <w:pStyle w:val="OGNotes"/>
            </w:pPr>
            <w:r w:rsidRPr="00DD4F39">
              <w:t>The higher 2014</w:t>
            </w:r>
            <w:r>
              <w:noBreakHyphen/>
            </w:r>
            <w:r w:rsidRPr="00DD4F39">
              <w:t>15 target reflects the most recent customer satisfaction trend.</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Customer satisfaction index: tram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score</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74</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74</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73</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73.1</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6426F4" w:rsidRDefault="00A53D7D" w:rsidP="005140B4">
            <w:pPr>
              <w:pStyle w:val="OGNotes"/>
              <w:rPr>
                <w:szCs w:val="15"/>
              </w:rPr>
            </w:pPr>
            <w:r w:rsidRPr="006426F4">
              <w:rPr>
                <w:szCs w:val="15"/>
              </w:rPr>
              <w:t>The 2013</w:t>
            </w:r>
            <w:r>
              <w:rPr>
                <w:szCs w:val="15"/>
              </w:rPr>
              <w:noBreakHyphen/>
            </w:r>
            <w:r w:rsidRPr="006426F4">
              <w:rPr>
                <w:szCs w:val="15"/>
              </w:rPr>
              <w:t>14 expected outcome is higher than the 2013</w:t>
            </w:r>
            <w:r>
              <w:rPr>
                <w:szCs w:val="15"/>
              </w:rPr>
              <w:noBreakHyphen/>
            </w:r>
            <w:r w:rsidRPr="006426F4">
              <w:rPr>
                <w:szCs w:val="15"/>
              </w:rPr>
              <w:t>14 target due to better than anticipated customer satisfaction with tram services.</w:t>
            </w:r>
          </w:p>
          <w:p w:rsidR="00A53D7D" w:rsidRPr="00DD4F39" w:rsidRDefault="00A53D7D" w:rsidP="005140B4">
            <w:pPr>
              <w:pStyle w:val="OGNotes"/>
            </w:pPr>
            <w:r w:rsidRPr="006426F4">
              <w:rPr>
                <w:szCs w:val="15"/>
              </w:rPr>
              <w:t>The higher 2014</w:t>
            </w:r>
            <w:r>
              <w:rPr>
                <w:szCs w:val="15"/>
              </w:rPr>
              <w:noBreakHyphen/>
            </w:r>
            <w:r w:rsidRPr="006426F4">
              <w:rPr>
                <w:szCs w:val="15"/>
              </w:rPr>
              <w:t>15 target reflects the most recent customer satisfaction trend.</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Metropolitan fare evasion rate</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6.5</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New performance measure for 2014</w:t>
            </w:r>
            <w:r>
              <w:noBreakHyphen/>
            </w:r>
            <w:r w:rsidRPr="00DD4F39">
              <w:t>15 to reflect the annual metropolitan fare evasion rate on public transport.</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Service punctuality for: metropolitan bus services</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95</w:t>
            </w:r>
            <w:r>
              <w:rPr>
                <w:lang w:eastAsia="en-AU"/>
              </w:rPr>
              <w:t>.0</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93</w:t>
            </w:r>
            <w:r>
              <w:rPr>
                <w:lang w:eastAsia="en-AU"/>
              </w:rPr>
              <w:t>.0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r>
              <w:rPr>
                <w:lang w:eastAsia="en-AU"/>
              </w:rPr>
              <w:t>.0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94.4</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Service punctuality for: metropolitan train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92.5</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92</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91.5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92.1</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reflects an expected increase in metropolitan train operator performance.</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Service punctuality for: tram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82.9</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82.5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82.5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81.7</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reflects an expected increase in tram operator performance.</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output cost</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2 8</w:t>
            </w:r>
            <w:r>
              <w:rPr>
                <w:lang w:eastAsia="en-AU"/>
              </w:rPr>
              <w:t>75.2</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2 956.9</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3 189.0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3 069.4</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6426F4" w:rsidRDefault="00A53D7D" w:rsidP="005140B4">
            <w:pPr>
              <w:pStyle w:val="OGNotes"/>
              <w:rPr>
                <w:szCs w:val="15"/>
              </w:rPr>
            </w:pPr>
            <w:r w:rsidRPr="006426F4">
              <w:rPr>
                <w:szCs w:val="15"/>
              </w:rPr>
              <w:t>The lower 2013</w:t>
            </w:r>
            <w:r>
              <w:rPr>
                <w:szCs w:val="15"/>
              </w:rPr>
              <w:noBreakHyphen/>
            </w:r>
            <w:r w:rsidRPr="006426F4">
              <w:rPr>
                <w:szCs w:val="15"/>
              </w:rPr>
              <w:t>14 expected outcome primarily reflects the half year impact of the cessation of the Ticketing Guarantee Payments finishing 31 December 2013. Metropolitan Train and Tram Operators now receive a percentage of fare revenue directly.</w:t>
            </w:r>
          </w:p>
          <w:p w:rsidR="00A53D7D" w:rsidRPr="006426F4" w:rsidRDefault="00A53D7D" w:rsidP="005140B4">
            <w:pPr>
              <w:pStyle w:val="OGNotes"/>
              <w:rPr>
                <w:szCs w:val="15"/>
              </w:rPr>
            </w:pPr>
            <w:r w:rsidRPr="006426F4">
              <w:rPr>
                <w:szCs w:val="15"/>
              </w:rPr>
              <w:t>The lower 2014</w:t>
            </w:r>
            <w:r>
              <w:rPr>
                <w:szCs w:val="15"/>
              </w:rPr>
              <w:noBreakHyphen/>
            </w:r>
            <w:r w:rsidRPr="006426F4">
              <w:rPr>
                <w:szCs w:val="15"/>
              </w:rPr>
              <w:t xml:space="preserve">15 target primarily reflects the full impact of the cessation of the Ticketing Guarantee Payments finishing 31 December 2013. Metropolitan Train and Tram Operators now receive a percentage of fare revenue directly. This is partly offset by the impact of the Metropolitan Fare Policy change, new services, indexation of contract </w:t>
            </w:r>
            <w:proofErr w:type="gramStart"/>
            <w:r w:rsidRPr="006426F4">
              <w:rPr>
                <w:szCs w:val="15"/>
              </w:rPr>
              <w:t>pa</w:t>
            </w:r>
            <w:r>
              <w:rPr>
                <w:szCs w:val="15"/>
              </w:rPr>
              <w:t>yments</w:t>
            </w:r>
            <w:proofErr w:type="gramEnd"/>
            <w:r>
              <w:rPr>
                <w:szCs w:val="15"/>
              </w:rPr>
              <w:t xml:space="preserve"> and the increase in the c</w:t>
            </w:r>
            <w:r w:rsidRPr="006426F4">
              <w:rPr>
                <w:szCs w:val="15"/>
              </w:rPr>
              <w:t>apital asset charge as a result of investment in infrastructure projects.</w:t>
            </w:r>
          </w:p>
          <w:p w:rsidR="00A53D7D" w:rsidRPr="00DD4F39" w:rsidRDefault="00A53D7D" w:rsidP="005140B4">
            <w:pPr>
              <w:pStyle w:val="OGNotes"/>
            </w:pPr>
            <w:r w:rsidRPr="00356377">
              <w:t>For comparative purposes, the 2012</w:t>
            </w:r>
            <w:r>
              <w:noBreakHyphen/>
            </w:r>
            <w:r w:rsidRPr="00356377">
              <w:t>13 actual is provided on the same basis as the 2013</w:t>
            </w:r>
            <w:r>
              <w:noBreakHyphen/>
            </w:r>
            <w:r w:rsidRPr="00356377">
              <w:t>14 target, 2013</w:t>
            </w:r>
            <w:r>
              <w:noBreakHyphen/>
            </w:r>
            <w:r w:rsidRPr="00356377">
              <w:t>14 expected outcome and 2014</w:t>
            </w:r>
            <w:r>
              <w:noBreakHyphen/>
            </w:r>
            <w:r w:rsidRPr="00356377">
              <w:t xml:space="preserve">15 target. It reflects the output structure changes made in the </w:t>
            </w:r>
            <w:r w:rsidRPr="00E84EC3">
              <w:rPr>
                <w:i w:val="0"/>
              </w:rPr>
              <w:t>2013</w:t>
            </w:r>
            <w:r w:rsidRPr="00E84EC3">
              <w:rPr>
                <w:i w:val="0"/>
              </w:rPr>
              <w:noBreakHyphen/>
              <w:t>14 Budget</w:t>
            </w:r>
            <w:r>
              <w:t>, Budget Paper No. </w:t>
            </w:r>
            <w:r w:rsidRPr="00356377">
              <w:t xml:space="preserve">3 for the </w:t>
            </w:r>
            <w:r>
              <w:t>‘</w:t>
            </w:r>
            <w:r w:rsidRPr="00356377">
              <w:t>Metropolitan Transport Services</w:t>
            </w:r>
            <w:r>
              <w:t>’</w:t>
            </w:r>
            <w:r w:rsidRPr="00356377">
              <w:t xml:space="preserve"> output.</w:t>
            </w:r>
          </w:p>
        </w:tc>
      </w:tr>
      <w:tr w:rsidR="00A53D7D" w:rsidRPr="00DD4F39" w:rsidTr="005140B4">
        <w:trPr>
          <w:cantSplit/>
        </w:trPr>
        <w:tc>
          <w:tcPr>
            <w:tcW w:w="7776" w:type="dxa"/>
            <w:gridSpan w:val="6"/>
            <w:tcBorders>
              <w:top w:val="single" w:sz="6" w:space="0" w:color="auto"/>
              <w:left w:val="nil"/>
              <w:right w:val="nil"/>
            </w:tcBorders>
            <w:shd w:val="clear" w:color="auto" w:fill="auto"/>
            <w:noWrap/>
            <w:vAlign w:val="bottom"/>
            <w:hideMark/>
          </w:tcPr>
          <w:p w:rsidR="00A53D7D" w:rsidRPr="00DD4F39" w:rsidRDefault="00A53D7D" w:rsidP="005140B4">
            <w:pPr>
              <w:pStyle w:val="OGHeading2"/>
              <w:rPr>
                <w:lang w:eastAsia="en-AU"/>
              </w:rPr>
            </w:pPr>
            <w:r w:rsidRPr="00DD4F39">
              <w:rPr>
                <w:lang w:eastAsia="en-AU"/>
              </w:rPr>
              <w:t>Regional Transport Services</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Pr="00DD4F39" w:rsidRDefault="00A53D7D" w:rsidP="005140B4">
            <w:pPr>
              <w:pStyle w:val="OGText"/>
              <w:rPr>
                <w:lang w:eastAsia="en-AU"/>
              </w:rPr>
            </w:pPr>
            <w:r w:rsidRPr="00DD4F39">
              <w:rPr>
                <w:lang w:eastAsia="en-AU"/>
              </w:rPr>
              <w:t>This output provides the delivery of reliable and cost effective transport services in regional Victoria, including public transport services through contractual arrangements with private operators. This output supports the Department</w:t>
            </w:r>
            <w:r>
              <w:rPr>
                <w:lang w:eastAsia="en-AU"/>
              </w:rPr>
              <w:t>’</w:t>
            </w:r>
            <w:r w:rsidRPr="00DD4F39">
              <w:rPr>
                <w:lang w:eastAsia="en-AU"/>
              </w:rPr>
              <w:t>s objective to deliver higher</w:t>
            </w:r>
            <w:r>
              <w:rPr>
                <w:lang w:eastAsia="en-AU"/>
              </w:rPr>
              <w:noBreakHyphen/>
            </w:r>
            <w:r w:rsidRPr="00DD4F39">
              <w:rPr>
                <w:lang w:eastAsia="en-AU"/>
              </w:rPr>
              <w:t>quality transport services. </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Passengers carried: regional bus services</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number (million)</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15.6</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15.2</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15</w:t>
            </w:r>
            <w:r>
              <w:rPr>
                <w:lang w:eastAsia="en-AU"/>
              </w:rPr>
              <w:t>.0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14.7</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higher 2013</w:t>
            </w:r>
            <w:r>
              <w:noBreakHyphen/>
            </w:r>
            <w:r w:rsidRPr="00DD4F39">
              <w:t>14 expected outcome and 2014</w:t>
            </w:r>
            <w:r>
              <w:noBreakHyphen/>
            </w:r>
            <w:r w:rsidRPr="00DD4F39">
              <w:t>15 target reflects recent patronage trends indicating that regional bus patronage is beginning to return to long</w:t>
            </w:r>
            <w:r>
              <w:noBreakHyphen/>
            </w:r>
            <w:r w:rsidRPr="00DD4F39">
              <w:t>term forecasts.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Passengers carried: regional train and coach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number (million)</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15.3</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14.3</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14.4</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14.7</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356377" w:rsidRDefault="00A53D7D" w:rsidP="005140B4">
            <w:pPr>
              <w:pStyle w:val="OGNotes"/>
              <w:rPr>
                <w:szCs w:val="15"/>
              </w:rPr>
            </w:pPr>
            <w:r w:rsidRPr="006426F4">
              <w:rPr>
                <w:szCs w:val="15"/>
              </w:rPr>
              <w:t>The 2014</w:t>
            </w:r>
            <w:r>
              <w:rPr>
                <w:szCs w:val="15"/>
              </w:rPr>
              <w:noBreakHyphen/>
            </w:r>
            <w:r w:rsidRPr="006426F4">
              <w:rPr>
                <w:szCs w:val="15"/>
              </w:rPr>
              <w:t>15 target</w:t>
            </w:r>
            <w:r>
              <w:rPr>
                <w:szCs w:val="15"/>
              </w:rPr>
              <w:t xml:space="preserve"> is higher than the 2013</w:t>
            </w:r>
            <w:r>
              <w:rPr>
                <w:szCs w:val="15"/>
              </w:rPr>
              <w:noBreakHyphen/>
              <w:t>14 expected outcome and the 2013</w:t>
            </w:r>
            <w:r>
              <w:rPr>
                <w:szCs w:val="15"/>
              </w:rPr>
              <w:noBreakHyphen/>
              <w:t>14 target due to the expected growth in patronage</w:t>
            </w:r>
            <w:r w:rsidRPr="006426F4">
              <w:rPr>
                <w:szCs w:val="15"/>
              </w:rPr>
              <w:t>.</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Payments made for: regional bus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 million</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108</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104</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103</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129</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reflects the indexation of contract payments.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Payments made for: regional train and coach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 million</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37</w:t>
            </w:r>
            <w:r>
              <w:rPr>
                <w:lang w:eastAsia="en-AU"/>
              </w:rPr>
              <w:t>8</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w:t>
            </w:r>
            <w:r>
              <w:rPr>
                <w:lang w:eastAsia="en-AU"/>
              </w:rPr>
              <w:t>61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392</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347</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2013</w:t>
            </w:r>
            <w:r>
              <w:noBreakHyphen/>
            </w:r>
            <w:r w:rsidRPr="00DD4F39">
              <w:t>14 expected outcome and 2014</w:t>
            </w:r>
            <w:r>
              <w:noBreakHyphen/>
            </w:r>
            <w:r w:rsidRPr="00DD4F39">
              <w:t>15 target reflect efficiencies and capitalisation of work programs under the Maintaining our Rail Network Fund.</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Scheduled services delivered: regional bus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99</w:t>
            </w:r>
            <w:r>
              <w:rPr>
                <w:lang w:eastAsia="en-AU"/>
              </w:rPr>
              <w:t>.0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99.9</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99</w:t>
            </w:r>
            <w:r>
              <w:rPr>
                <w:lang w:eastAsia="en-AU"/>
              </w:rPr>
              <w:t>.0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r>
              <w:rPr>
                <w:lang w:eastAsia="en-AU"/>
              </w:rPr>
              <w:t>.0</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Scheduled services delivered: regional train</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98.5</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98</w:t>
            </w:r>
            <w:r>
              <w:rPr>
                <w:lang w:eastAsia="en-AU"/>
              </w:rPr>
              <w:t>.0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98.5</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97.4</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kilometres scheduled: regional bus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km (million)</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23.2</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23</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23</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22.3</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reflects planned scheduled kilometres for regional bus services for 2014</w:t>
            </w:r>
            <w:r>
              <w:noBreakHyphen/>
            </w:r>
            <w:r w:rsidRPr="00DD4F39">
              <w:t>15.</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kilometres scheduled: regional train and coach</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km (million)</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22.3</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22.1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22.1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22.1</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reflects planned scheduled kilometres for regional train and coach services for 2014</w:t>
            </w:r>
            <w:r>
              <w:noBreakHyphen/>
            </w:r>
            <w:r w:rsidRPr="00DD4F39">
              <w:t>15.</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 xml:space="preserve">Availability of rolling stock: </w:t>
            </w:r>
            <w:proofErr w:type="spellStart"/>
            <w:r w:rsidRPr="00DD4F39">
              <w:rPr>
                <w:lang w:eastAsia="en-AU"/>
              </w:rPr>
              <w:t>VLocity</w:t>
            </w:r>
            <w:proofErr w:type="spellEnd"/>
            <w:r w:rsidRPr="00DD4F39">
              <w:rPr>
                <w:lang w:eastAsia="en-AU"/>
              </w:rPr>
              <w:t xml:space="preserve"> fleet</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92.5</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90</w:t>
            </w:r>
            <w:r>
              <w:rPr>
                <w:lang w:eastAsia="en-AU"/>
              </w:rPr>
              <w:t>.0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92.5</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90.2</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Customer satisfaction index: regional coach services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Pr>
                <w:lang w:eastAsia="en-AU"/>
              </w:rPr>
              <w:t>score</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81</w:t>
            </w:r>
            <w:r>
              <w:rPr>
                <w:lang w:eastAsia="en-AU"/>
              </w:rPr>
              <w:t>.0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81</w:t>
            </w:r>
            <w:r>
              <w:rPr>
                <w:lang w:eastAsia="en-AU"/>
              </w:rPr>
              <w:t>.0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81</w:t>
            </w:r>
            <w:r>
              <w:rPr>
                <w:lang w:eastAsia="en-AU"/>
              </w:rPr>
              <w:t>.0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82.1</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Customer satisfaction index: regional train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score</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77</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77</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76</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75.8</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higher 2014</w:t>
            </w:r>
            <w:r>
              <w:noBreakHyphen/>
            </w:r>
            <w:r w:rsidRPr="00DD4F39">
              <w:t>15 target and 2013</w:t>
            </w:r>
            <w:r>
              <w:noBreakHyphen/>
            </w:r>
            <w:r w:rsidRPr="00DD4F39">
              <w:t>14 expected outcome is due to better than anticipated customer satisfaction with regional train services.</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Service punctuality for: regional bus services</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94</w:t>
            </w:r>
            <w:r>
              <w:rPr>
                <w:lang w:eastAsia="en-AU"/>
              </w:rPr>
              <w:t>.0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95.5</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94</w:t>
            </w:r>
            <w:r>
              <w:rPr>
                <w:lang w:eastAsia="en-AU"/>
              </w:rPr>
              <w:t>.0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93.8</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Service punctuality for: regional train services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92</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89</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92</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83.8</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output cost</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89</w:t>
            </w:r>
            <w:r>
              <w:rPr>
                <w:lang w:eastAsia="en-AU"/>
              </w:rPr>
              <w:t>6.9</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852.2</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869.8</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841.7</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6426F4" w:rsidRDefault="00A53D7D" w:rsidP="005140B4">
            <w:pPr>
              <w:pStyle w:val="OGNotes"/>
              <w:rPr>
                <w:szCs w:val="15"/>
              </w:rPr>
            </w:pPr>
            <w:r w:rsidRPr="006426F4">
              <w:rPr>
                <w:szCs w:val="15"/>
              </w:rPr>
              <w:t>The higher 2014</w:t>
            </w:r>
            <w:r>
              <w:rPr>
                <w:szCs w:val="15"/>
              </w:rPr>
              <w:noBreakHyphen/>
            </w:r>
            <w:r w:rsidRPr="006426F4">
              <w:rPr>
                <w:szCs w:val="15"/>
              </w:rPr>
              <w:t xml:space="preserve">15 target primarily reflects the impact of new services, indexation of contract </w:t>
            </w:r>
            <w:proofErr w:type="gramStart"/>
            <w:r w:rsidRPr="006426F4">
              <w:rPr>
                <w:szCs w:val="15"/>
              </w:rPr>
              <w:t>payments</w:t>
            </w:r>
            <w:proofErr w:type="gramEnd"/>
            <w:r w:rsidRPr="006426F4">
              <w:rPr>
                <w:szCs w:val="15"/>
              </w:rPr>
              <w:t xml:space="preserve"> and the increase in the capital asset charge as a result of investment in infrastructure projects.</w:t>
            </w:r>
          </w:p>
          <w:p w:rsidR="00A53D7D" w:rsidRPr="00DD4F39" w:rsidRDefault="00A53D7D" w:rsidP="005140B4">
            <w:pPr>
              <w:pStyle w:val="OGNotes"/>
            </w:pPr>
            <w:r w:rsidRPr="00452609">
              <w:t>For comparative purposes, the 2012</w:t>
            </w:r>
            <w:r>
              <w:noBreakHyphen/>
            </w:r>
            <w:r w:rsidRPr="00452609">
              <w:t>13 actual is provided on the same basis as the 2013</w:t>
            </w:r>
            <w:r>
              <w:noBreakHyphen/>
            </w:r>
            <w:r w:rsidRPr="00452609">
              <w:t>14 target, 2013</w:t>
            </w:r>
            <w:r>
              <w:noBreakHyphen/>
            </w:r>
            <w:r w:rsidRPr="00452609">
              <w:t>14 expected outcome and 2014</w:t>
            </w:r>
            <w:r>
              <w:noBreakHyphen/>
            </w:r>
            <w:r w:rsidRPr="00452609">
              <w:t xml:space="preserve">15 target. It reflects the output structure changes made in the </w:t>
            </w:r>
            <w:r w:rsidRPr="001022A3">
              <w:rPr>
                <w:i w:val="0"/>
              </w:rPr>
              <w:t>2013</w:t>
            </w:r>
            <w:r w:rsidRPr="001022A3">
              <w:rPr>
                <w:i w:val="0"/>
              </w:rPr>
              <w:noBreakHyphen/>
              <w:t>14 Budget</w:t>
            </w:r>
            <w:r w:rsidRPr="001022A3">
              <w:t>,</w:t>
            </w:r>
            <w:r>
              <w:t xml:space="preserve"> Budget Paper No. </w:t>
            </w:r>
            <w:r w:rsidRPr="00452609">
              <w:t xml:space="preserve">3 for the </w:t>
            </w:r>
            <w:r>
              <w:t>‘</w:t>
            </w:r>
            <w:r w:rsidRPr="00452609">
              <w:t>Regional Transport Services</w:t>
            </w:r>
            <w:r>
              <w:t>’</w:t>
            </w:r>
            <w:r w:rsidRPr="00452609">
              <w:t xml:space="preserve"> output.</w:t>
            </w:r>
          </w:p>
        </w:tc>
      </w:tr>
      <w:tr w:rsidR="00A53D7D" w:rsidRPr="00DD4F39" w:rsidTr="005140B4">
        <w:trPr>
          <w:cantSplit/>
        </w:trPr>
        <w:tc>
          <w:tcPr>
            <w:tcW w:w="7776" w:type="dxa"/>
            <w:gridSpan w:val="6"/>
            <w:tcBorders>
              <w:top w:val="single" w:sz="6" w:space="0" w:color="auto"/>
              <w:left w:val="nil"/>
              <w:right w:val="nil"/>
            </w:tcBorders>
            <w:shd w:val="clear" w:color="auto" w:fill="auto"/>
            <w:noWrap/>
            <w:vAlign w:val="bottom"/>
            <w:hideMark/>
          </w:tcPr>
          <w:p w:rsidR="00A53D7D" w:rsidRPr="00DD4F39" w:rsidRDefault="00A53D7D" w:rsidP="005140B4">
            <w:pPr>
              <w:pStyle w:val="OGHeading2"/>
              <w:rPr>
                <w:lang w:eastAsia="en-AU"/>
              </w:rPr>
            </w:pPr>
            <w:proofErr w:type="spellStart"/>
            <w:r w:rsidRPr="00DD4F39">
              <w:rPr>
                <w:lang w:eastAsia="en-AU"/>
              </w:rPr>
              <w:t>Statewide</w:t>
            </w:r>
            <w:proofErr w:type="spellEnd"/>
            <w:r w:rsidRPr="00DD4F39">
              <w:rPr>
                <w:lang w:eastAsia="en-AU"/>
              </w:rPr>
              <w:t xml:space="preserve"> Transport Services</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Pr="00DD4F39" w:rsidRDefault="00A53D7D" w:rsidP="005140B4">
            <w:pPr>
              <w:pStyle w:val="OGText"/>
              <w:rPr>
                <w:lang w:eastAsia="en-AU"/>
              </w:rPr>
            </w:pPr>
            <w:r w:rsidRPr="00DD4F39">
              <w:rPr>
                <w:lang w:eastAsia="en-AU"/>
              </w:rPr>
              <w:t>This output provides the delivery of transport services, and programs to improve accessibility to the transport system delivered across Victoria. This output supports the Department</w:t>
            </w:r>
            <w:r>
              <w:rPr>
                <w:lang w:eastAsia="en-AU"/>
              </w:rPr>
              <w:t>’</w:t>
            </w:r>
            <w:r w:rsidRPr="00DD4F39">
              <w:rPr>
                <w:lang w:eastAsia="en-AU"/>
              </w:rPr>
              <w:t>s objective to deliver higher</w:t>
            </w:r>
            <w:r>
              <w:rPr>
                <w:lang w:eastAsia="en-AU"/>
              </w:rPr>
              <w:noBreakHyphen/>
            </w:r>
            <w:r w:rsidRPr="00DD4F39">
              <w:rPr>
                <w:lang w:eastAsia="en-AU"/>
              </w:rPr>
              <w:t>quality transport services.</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Multi</w:t>
            </w:r>
            <w:r>
              <w:rPr>
                <w:lang w:eastAsia="en-AU"/>
              </w:rPr>
              <w:noBreakHyphen/>
            </w:r>
            <w:r w:rsidRPr="00DD4F39">
              <w:rPr>
                <w:lang w:eastAsia="en-AU"/>
              </w:rPr>
              <w:t>Purpose Taxi Program: passenger only trips</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Pr>
                <w:lang w:eastAsia="en-AU"/>
              </w:rPr>
              <w:t>number (‘000)</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3 700</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3 700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3 700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3 927</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Multi</w:t>
            </w:r>
            <w:r>
              <w:rPr>
                <w:lang w:eastAsia="en-AU"/>
              </w:rPr>
              <w:noBreakHyphen/>
            </w:r>
            <w:r w:rsidRPr="00DD4F39">
              <w:rPr>
                <w:lang w:eastAsia="en-AU"/>
              </w:rPr>
              <w:t>Purpose Taxi Program: with wheelchair trips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Pr>
                <w:lang w:eastAsia="en-AU"/>
              </w:rPr>
              <w:t>number (‘000)</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1 000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1 000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1 000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938</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Scheduled services delivered: school bus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99</w:t>
            </w:r>
            <w:r>
              <w:rPr>
                <w:lang w:eastAsia="en-AU"/>
              </w:rPr>
              <w:t>.0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99</w:t>
            </w:r>
            <w:r>
              <w:rPr>
                <w:lang w:eastAsia="en-AU"/>
              </w:rPr>
              <w:t>.0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99</w:t>
            </w:r>
            <w:r>
              <w:rPr>
                <w:lang w:eastAsia="en-AU"/>
              </w:rPr>
              <w:t>.0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97.9</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Total kilometres scheduled: school bus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Pr>
                <w:lang w:eastAsia="en-AU"/>
              </w:rPr>
              <w:t>km (million)</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31.1</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31.1</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31.1</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31.1</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 xml:space="preserve">Calls to the </w:t>
            </w:r>
            <w:proofErr w:type="spellStart"/>
            <w:r w:rsidRPr="001022A3">
              <w:rPr>
                <w:i/>
                <w:lang w:eastAsia="en-AU"/>
              </w:rPr>
              <w:t>myki</w:t>
            </w:r>
            <w:proofErr w:type="spellEnd"/>
            <w:r w:rsidRPr="001022A3">
              <w:rPr>
                <w:i/>
                <w:lang w:eastAsia="en-AU"/>
              </w:rPr>
              <w:t xml:space="preserve"> </w:t>
            </w:r>
            <w:r w:rsidRPr="00DD4F39">
              <w:rPr>
                <w:lang w:eastAsia="en-AU"/>
              </w:rPr>
              <w:t>call centre answered within 30 seconds</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80</w:t>
            </w:r>
            <w:r>
              <w:rPr>
                <w:lang w:eastAsia="en-AU"/>
              </w:rPr>
              <w:t>.0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New performance measure for 2014</w:t>
            </w:r>
            <w:r>
              <w:noBreakHyphen/>
            </w:r>
            <w:r w:rsidRPr="00DD4F39">
              <w:t xml:space="preserve">15 to reflect the percentage of calls to the </w:t>
            </w:r>
            <w:proofErr w:type="spellStart"/>
            <w:r w:rsidRPr="002524A7">
              <w:rPr>
                <w:i w:val="0"/>
              </w:rPr>
              <w:t>myki</w:t>
            </w:r>
            <w:proofErr w:type="spellEnd"/>
            <w:r w:rsidRPr="00DD4F39">
              <w:t xml:space="preserve"> call centre answered within </w:t>
            </w:r>
            <w:r>
              <w:br/>
            </w:r>
            <w:r w:rsidRPr="00DD4F39">
              <w:t>30 seconds.</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Multi</w:t>
            </w:r>
            <w:r>
              <w:rPr>
                <w:lang w:eastAsia="en-AU"/>
              </w:rPr>
              <w:noBreakHyphen/>
            </w:r>
            <w:r w:rsidRPr="00DD4F39">
              <w:rPr>
                <w:lang w:eastAsia="en-AU"/>
              </w:rPr>
              <w:t>Purpose Taxi Program: applications assessed and completed within 14 days</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96</w:t>
            </w:r>
            <w:r>
              <w:rPr>
                <w:lang w:eastAsia="en-AU"/>
              </w:rPr>
              <w:t>.0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98</w:t>
            </w:r>
            <w:r>
              <w:rPr>
                <w:lang w:eastAsia="en-AU"/>
              </w:rPr>
              <w:t>.0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96</w:t>
            </w:r>
            <w:r>
              <w:rPr>
                <w:lang w:eastAsia="en-AU"/>
              </w:rPr>
              <w:t>.0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98</w:t>
            </w:r>
            <w:r>
              <w:rPr>
                <w:lang w:eastAsia="en-AU"/>
              </w:rPr>
              <w:t>.0</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output cost</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390.</w:t>
            </w:r>
            <w:r>
              <w:rPr>
                <w:lang w:eastAsia="en-AU"/>
              </w:rPr>
              <w:t>4</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388.2</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372.5</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361.4</w:t>
            </w:r>
          </w:p>
        </w:tc>
      </w:tr>
      <w:tr w:rsidR="00A53D7D" w:rsidRPr="00DD4F39" w:rsidTr="005140B4">
        <w:trPr>
          <w:cantSplit/>
        </w:trPr>
        <w:tc>
          <w:tcPr>
            <w:tcW w:w="7776" w:type="dxa"/>
            <w:gridSpan w:val="6"/>
            <w:tcBorders>
              <w:top w:val="nil"/>
              <w:left w:val="nil"/>
              <w:bottom w:val="single" w:sz="12" w:space="0" w:color="auto"/>
              <w:right w:val="nil"/>
            </w:tcBorders>
            <w:shd w:val="clear" w:color="auto" w:fill="auto"/>
            <w:vAlign w:val="bottom"/>
            <w:hideMark/>
          </w:tcPr>
          <w:p w:rsidR="00A53D7D" w:rsidRPr="00DD4F39" w:rsidRDefault="00A53D7D" w:rsidP="005140B4">
            <w:pPr>
              <w:pStyle w:val="OGNotes"/>
            </w:pPr>
            <w:r w:rsidRPr="00C724B1">
              <w:t>For comparative purposes, the 2012</w:t>
            </w:r>
            <w:r>
              <w:noBreakHyphen/>
            </w:r>
            <w:r w:rsidRPr="00C724B1">
              <w:t>13 actual is provided on the same basis as the 2013</w:t>
            </w:r>
            <w:r>
              <w:noBreakHyphen/>
            </w:r>
            <w:r w:rsidRPr="00C724B1">
              <w:t>14 target, 2013</w:t>
            </w:r>
            <w:r>
              <w:noBreakHyphen/>
            </w:r>
            <w:r w:rsidRPr="00C724B1">
              <w:t>14 expected outcome and 2014</w:t>
            </w:r>
            <w:r>
              <w:noBreakHyphen/>
            </w:r>
            <w:r w:rsidRPr="00C724B1">
              <w:t xml:space="preserve">15 target. It reflects the output structure changes made in the </w:t>
            </w:r>
            <w:r w:rsidRPr="00E84EC3">
              <w:rPr>
                <w:i w:val="0"/>
              </w:rPr>
              <w:t>2013</w:t>
            </w:r>
            <w:r w:rsidRPr="00E84EC3">
              <w:rPr>
                <w:i w:val="0"/>
              </w:rPr>
              <w:noBreakHyphen/>
              <w:t>14 Budget</w:t>
            </w:r>
            <w:r>
              <w:t>, Budget Paper No. </w:t>
            </w:r>
            <w:r w:rsidRPr="00C724B1">
              <w:t xml:space="preserve">3 for the </w:t>
            </w:r>
            <w:r>
              <w:t>‘</w:t>
            </w:r>
            <w:proofErr w:type="spellStart"/>
            <w:r w:rsidRPr="00C724B1">
              <w:t>Statewide</w:t>
            </w:r>
            <w:proofErr w:type="spellEnd"/>
            <w:r w:rsidRPr="00C724B1">
              <w:t xml:space="preserve"> Transport Services</w:t>
            </w:r>
            <w:r>
              <w:t>’</w:t>
            </w:r>
            <w:r w:rsidRPr="00C724B1">
              <w:t xml:space="preserve"> output</w:t>
            </w:r>
            <w:r w:rsidRPr="00DD4F39">
              <w:t>.</w:t>
            </w:r>
          </w:p>
        </w:tc>
      </w:tr>
    </w:tbl>
    <w:p w:rsidR="00A53D7D" w:rsidRDefault="00A53D7D" w:rsidP="005140B4">
      <w:pPr>
        <w:pStyle w:val="Source"/>
      </w:pPr>
      <w:r>
        <w:t>Source: Department of Transport, Planning and Local Infrastructure</w:t>
      </w:r>
      <w:r>
        <w:fldChar w:fldCharType="begin"/>
      </w:r>
      <w:r>
        <w:instrText xml:space="preserve"> XE "</w:instrText>
      </w:r>
      <w:r w:rsidRPr="00CD4D0C">
        <w:rPr>
          <w:lang w:eastAsia="en-AU"/>
        </w:rPr>
        <w:instrText>Department of Transport, Planning and Local Infrastructure</w:instrText>
      </w:r>
      <w:r w:rsidRPr="00CD4D0C">
        <w:instrText>:Integrated Transport Services</w:instrText>
      </w:r>
      <w:r>
        <w:instrText xml:space="preserve">" \r "DTPLIIntegTrans" </w:instrText>
      </w:r>
      <w:r>
        <w:fldChar w:fldCharType="end"/>
      </w:r>
      <w:r>
        <w:fldChar w:fldCharType="begin"/>
      </w:r>
      <w:r>
        <w:instrText xml:space="preserve"> XE "</w:instrText>
      </w:r>
      <w:r w:rsidRPr="00C73CEF">
        <w:rPr>
          <w:lang w:eastAsia="en-AU"/>
        </w:rPr>
        <w:instrText>Transport</w:instrText>
      </w:r>
      <w:r w:rsidRPr="00C73CEF">
        <w:instrText>:Integrated Transport Services</w:instrText>
      </w:r>
      <w:r>
        <w:instrText xml:space="preserve">" \r "DTPLIIntegTrans" </w:instrText>
      </w:r>
      <w:r>
        <w:fldChar w:fldCharType="end"/>
      </w:r>
      <w:r>
        <w:t xml:space="preserve"> </w:t>
      </w:r>
      <w:bookmarkEnd w:id="132"/>
    </w:p>
    <w:p w:rsidR="00A53D7D" w:rsidRDefault="00A53D7D" w:rsidP="005140B4">
      <w:pPr>
        <w:rPr>
          <w:lang w:eastAsia="en-AU"/>
        </w:rPr>
      </w:pPr>
      <w:r>
        <w:rPr>
          <w:lang w:eastAsia="en-AU"/>
        </w:rPr>
        <w:br w:type="page"/>
      </w:r>
    </w:p>
    <w:p w:rsidR="00A53D7D" w:rsidRPr="00DD4F39" w:rsidRDefault="00A53D7D" w:rsidP="005140B4">
      <w:pPr>
        <w:pStyle w:val="OGHeading1"/>
        <w:rPr>
          <w:lang w:eastAsia="en-AU"/>
        </w:rPr>
      </w:pPr>
      <w:bookmarkStart w:id="133" w:name="DTPLIInvestinfra"/>
      <w:r w:rsidRPr="00DD4F39">
        <w:rPr>
          <w:lang w:eastAsia="en-AU"/>
        </w:rPr>
        <w:t>Investing in Local Infrastructure</w:t>
      </w:r>
    </w:p>
    <w:p w:rsidR="00A53D7D" w:rsidRDefault="00A53D7D" w:rsidP="005140B4">
      <w:pPr>
        <w:pStyle w:val="OGText"/>
        <w:rPr>
          <w:lang w:eastAsia="en-AU"/>
        </w:rPr>
      </w:pPr>
      <w:r w:rsidRPr="00DD4F39">
        <w:rPr>
          <w:lang w:eastAsia="en-AU"/>
        </w:rPr>
        <w:t xml:space="preserve">This output group: </w:t>
      </w:r>
    </w:p>
    <w:p w:rsidR="00A53D7D" w:rsidRDefault="00A53D7D" w:rsidP="005140B4">
      <w:pPr>
        <w:pStyle w:val="OGBullet"/>
      </w:pPr>
      <w:r w:rsidRPr="00DD4F39">
        <w:t>invests in and provides support to communities, builds community infrastructure and</w:t>
      </w:r>
      <w:r>
        <w:t xml:space="preserve"> </w:t>
      </w:r>
      <w:r w:rsidRPr="00DD4F39">
        <w:t>strengthens governance and leadership;</w:t>
      </w:r>
    </w:p>
    <w:p w:rsidR="00A53D7D" w:rsidRDefault="00A53D7D" w:rsidP="005140B4">
      <w:pPr>
        <w:pStyle w:val="OGBullet"/>
      </w:pPr>
      <w:r w:rsidRPr="00DD4F39">
        <w:t>encourages and supports good practice and continuous improvement in local governance;</w:t>
      </w:r>
      <w:r>
        <w:t> </w:t>
      </w:r>
      <w:r w:rsidRPr="00DD4F39">
        <w:t>and</w:t>
      </w:r>
    </w:p>
    <w:p w:rsidR="00A53D7D" w:rsidRPr="00DD4F39" w:rsidRDefault="00A53D7D" w:rsidP="005140B4">
      <w:pPr>
        <w:pStyle w:val="OGBullet"/>
      </w:pPr>
      <w:proofErr w:type="gramStart"/>
      <w:r w:rsidRPr="00DD4F39">
        <w:t>provides</w:t>
      </w:r>
      <w:proofErr w:type="gramEnd"/>
      <w:r w:rsidRPr="00DD4F39">
        <w:t xml:space="preserve"> funding and coordination to develop and extend a range of sport and recreation opportunities in Victoria including participation, elite athlete development and hosting major sporting events.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DD4F39" w:rsidTr="005140B4">
        <w:trPr>
          <w:cantSplit/>
        </w:trPr>
        <w:tc>
          <w:tcPr>
            <w:tcW w:w="7776" w:type="dxa"/>
            <w:gridSpan w:val="6"/>
            <w:tcBorders>
              <w:top w:val="nil"/>
              <w:left w:val="nil"/>
              <w:right w:val="nil"/>
            </w:tcBorders>
            <w:shd w:val="clear" w:color="auto" w:fill="auto"/>
            <w:noWrap/>
            <w:vAlign w:val="bottom"/>
            <w:hideMark/>
          </w:tcPr>
          <w:p w:rsidR="00A53D7D" w:rsidRPr="00DD4F39" w:rsidRDefault="00A53D7D" w:rsidP="005140B4">
            <w:pPr>
              <w:pStyle w:val="OGHeading2"/>
              <w:rPr>
                <w:lang w:eastAsia="en-AU"/>
              </w:rPr>
            </w:pPr>
            <w:r w:rsidRPr="00DD4F39">
              <w:rPr>
                <w:lang w:eastAsia="en-AU"/>
              </w:rPr>
              <w:t>Local Government</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DD4F39">
              <w:rPr>
                <w:lang w:eastAsia="en-AU"/>
              </w:rPr>
              <w:t>This output delivers activities in partnership with the local government sector to develop sustainable service delivery and asset management policies and practices that maximises community value and accountability; encourage and support best practice and continuous development in local governance; administer programs that assist local government to deliver public library services and respond to and recover from natural disasters; and provide support to the Victoria Grants Commission.</w:t>
            </w:r>
          </w:p>
          <w:p w:rsidR="00A53D7D" w:rsidRPr="00DD4F39" w:rsidRDefault="00A53D7D" w:rsidP="005140B4">
            <w:pPr>
              <w:pStyle w:val="OGText"/>
              <w:rPr>
                <w:lang w:eastAsia="en-AU"/>
              </w:rPr>
            </w:pPr>
            <w:r w:rsidRPr="00DD4F39">
              <w:rPr>
                <w:lang w:eastAsia="en-AU"/>
              </w:rPr>
              <w:t>This output contributes to the Department</w:t>
            </w:r>
            <w:r>
              <w:rPr>
                <w:lang w:eastAsia="en-AU"/>
              </w:rPr>
              <w:t>’</w:t>
            </w:r>
            <w:r w:rsidRPr="00DD4F39">
              <w:rPr>
                <w:lang w:eastAsia="en-AU"/>
              </w:rPr>
              <w:t>s objective of delivering effective reform and governance of local government.</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Meetings held with Ministerial Mayors Advisory Panel</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4</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2013</w:t>
            </w:r>
            <w:r>
              <w:noBreakHyphen/>
            </w:r>
            <w:r w:rsidRPr="00DD4F39">
              <w:t>14 expected outcome is higher than the 2013</w:t>
            </w:r>
            <w:r>
              <w:noBreakHyphen/>
            </w:r>
            <w:r w:rsidRPr="00DD4F39">
              <w:t>14 target due to a request for an additional meeting.</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Percentage of grant payments made against completion of milestone deliverables under funding agreement: environmental sustainability plans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Percentage of grant payments made against completion of milestone deliverables under funding agreement: public library services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Percentage of identified councils who have met milestone criteria funded as part of the Vulnerable People in Emergencies Program</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4"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LGV</w:t>
            </w:r>
            <w:r>
              <w:rPr>
                <w:lang w:eastAsia="en-AU"/>
              </w:rPr>
              <w:t>’</w:t>
            </w:r>
            <w:r w:rsidRPr="00DD4F39">
              <w:rPr>
                <w:lang w:eastAsia="en-AU"/>
              </w:rPr>
              <w:t>s legislative and regulatory change considers stakeholder feedback and consultation with local government</w:t>
            </w:r>
          </w:p>
        </w:tc>
        <w:tc>
          <w:tcPr>
            <w:tcW w:w="907" w:type="dxa"/>
            <w:tcBorders>
              <w:top w:val="nil"/>
              <w:left w:val="nil"/>
              <w:bottom w:val="single" w:sz="4"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bottom w:val="single" w:sz="4"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nil"/>
              <w:left w:val="nil"/>
              <w:bottom w:val="single" w:sz="4"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nil"/>
              <w:left w:val="nil"/>
              <w:bottom w:val="single" w:sz="4"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nil"/>
              <w:left w:val="nil"/>
              <w:bottom w:val="single" w:sz="4"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4"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LGV</w:t>
            </w:r>
            <w:r>
              <w:rPr>
                <w:lang w:eastAsia="en-AU"/>
              </w:rPr>
              <w:t>’</w:t>
            </w:r>
            <w:r w:rsidRPr="00DD4F39">
              <w:rPr>
                <w:lang w:eastAsia="en-AU"/>
              </w:rPr>
              <w:t>s policy and program development considers stakeholder feedback and consultation with local government</w:t>
            </w:r>
          </w:p>
        </w:tc>
        <w:tc>
          <w:tcPr>
            <w:tcW w:w="907" w:type="dxa"/>
            <w:tcBorders>
              <w:top w:val="single" w:sz="4"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4"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4"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4"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4"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Complaints received by the Local Government Inspectorate assessed and actioned within five working days</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New performance measure for 2014</w:t>
            </w:r>
            <w:r>
              <w:noBreakHyphen/>
            </w:r>
            <w:r w:rsidRPr="00DD4F39">
              <w:t>15 to reflect the activities of the Local Government Inspectorate.</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Victoria Grants Commission allocations determined and consultation program completed within agreed timeframes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Total output cost</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w:t>
            </w:r>
            <w:r>
              <w:rPr>
                <w:lang w:eastAsia="en-AU"/>
              </w:rPr>
              <w:t> million</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59.7</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58.7</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57.2</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60.8</w:t>
            </w:r>
          </w:p>
        </w:tc>
      </w:tr>
      <w:tr w:rsidR="00A53D7D" w:rsidRPr="00DD4F39" w:rsidTr="005140B4">
        <w:trPr>
          <w:cantSplit/>
        </w:trPr>
        <w:tc>
          <w:tcPr>
            <w:tcW w:w="7776" w:type="dxa"/>
            <w:gridSpan w:val="6"/>
            <w:tcBorders>
              <w:top w:val="single" w:sz="6" w:space="0" w:color="auto"/>
              <w:left w:val="nil"/>
              <w:right w:val="nil"/>
            </w:tcBorders>
            <w:shd w:val="clear" w:color="auto" w:fill="auto"/>
            <w:noWrap/>
            <w:vAlign w:val="bottom"/>
            <w:hideMark/>
          </w:tcPr>
          <w:p w:rsidR="00A53D7D" w:rsidRPr="00DD4F39" w:rsidRDefault="00A53D7D" w:rsidP="005140B4">
            <w:pPr>
              <w:pStyle w:val="OGHeading2"/>
              <w:rPr>
                <w:lang w:eastAsia="en-AU"/>
              </w:rPr>
            </w:pPr>
            <w:r w:rsidRPr="00DD4F39">
              <w:rPr>
                <w:lang w:eastAsia="en-AU"/>
              </w:rPr>
              <w:t>Sport and Recreation</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DD4F39">
              <w:rPr>
                <w:lang w:eastAsia="en-AU"/>
              </w:rPr>
              <w:t xml:space="preserve">This output provides strategic leadership to the Victorian sport and recreation industry through innovation, sector </w:t>
            </w:r>
            <w:proofErr w:type="gramStart"/>
            <w:r w:rsidRPr="00DD4F39">
              <w:rPr>
                <w:lang w:eastAsia="en-AU"/>
              </w:rPr>
              <w:t>development</w:t>
            </w:r>
            <w:proofErr w:type="gramEnd"/>
            <w:r w:rsidRPr="00DD4F39">
              <w:rPr>
                <w:lang w:eastAsia="en-AU"/>
              </w:rPr>
              <w:t xml:space="preserve"> and funding support. It enhances participation in sport and active recreation and assists Victoria</w:t>
            </w:r>
            <w:r>
              <w:rPr>
                <w:lang w:eastAsia="en-AU"/>
              </w:rPr>
              <w:t>’</w:t>
            </w:r>
            <w:r w:rsidRPr="00DD4F39">
              <w:rPr>
                <w:lang w:eastAsia="en-AU"/>
              </w:rPr>
              <w:t>s elite athletes achieve their potential. This output improves community sport and recreation facilities across the state and guides the development and management of international</w:t>
            </w:r>
            <w:r>
              <w:rPr>
                <w:lang w:eastAsia="en-AU"/>
              </w:rPr>
              <w:noBreakHyphen/>
            </w:r>
            <w:r w:rsidRPr="00DD4F39">
              <w:rPr>
                <w:lang w:eastAsia="en-AU"/>
              </w:rPr>
              <w:t>level sport facilities and sporting events.</w:t>
            </w:r>
          </w:p>
          <w:p w:rsidR="00A53D7D" w:rsidRPr="00DD4F39" w:rsidRDefault="00A53D7D" w:rsidP="005140B4">
            <w:pPr>
              <w:pStyle w:val="OGText"/>
              <w:rPr>
                <w:lang w:eastAsia="en-AU"/>
              </w:rPr>
            </w:pPr>
            <w:r w:rsidRPr="00DD4F39">
              <w:rPr>
                <w:lang w:eastAsia="en-AU"/>
              </w:rPr>
              <w:t>This output contributes to the Department</w:t>
            </w:r>
            <w:r>
              <w:rPr>
                <w:lang w:eastAsia="en-AU"/>
              </w:rPr>
              <w:t>’</w:t>
            </w:r>
            <w:r w:rsidRPr="00DD4F39">
              <w:rPr>
                <w:lang w:eastAsia="en-AU"/>
              </w:rPr>
              <w:t>s objective of facilitating strategic investment in State and local infrastructure.</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Combat sports licences, registrations and permits issued</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600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650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600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657</w:t>
            </w:r>
          </w:p>
        </w:tc>
      </w:tr>
      <w:tr w:rsidR="00A53D7D" w:rsidRPr="00057414" w:rsidTr="005140B4">
        <w:trPr>
          <w:cantSplit/>
        </w:trPr>
        <w:tc>
          <w:tcPr>
            <w:tcW w:w="7776" w:type="dxa"/>
            <w:gridSpan w:val="6"/>
            <w:tcBorders>
              <w:top w:val="nil"/>
              <w:left w:val="nil"/>
              <w:bottom w:val="single" w:sz="6" w:space="0" w:color="auto"/>
            </w:tcBorders>
            <w:shd w:val="clear" w:color="000000" w:fill="FFFFFF"/>
          </w:tcPr>
          <w:p w:rsidR="00A53D7D" w:rsidRPr="00DD4F39" w:rsidRDefault="00A53D7D" w:rsidP="005140B4">
            <w:pPr>
              <w:pStyle w:val="OGNotes"/>
            </w:pPr>
            <w:r w:rsidRPr="00057414">
              <w:t>The 2013</w:t>
            </w:r>
            <w:r>
              <w:noBreakHyphen/>
            </w:r>
            <w:r w:rsidRPr="00057414">
              <w:t>14 expected outcome is higher than the 2013</w:t>
            </w:r>
            <w:r>
              <w:noBreakHyphen/>
            </w:r>
            <w:r w:rsidRPr="00057414">
              <w:t>14 target due to continued high levels of participation in the professional boxing and combat sports industry.</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Community Facility Grants: number approved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130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160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130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189</w:t>
            </w:r>
          </w:p>
        </w:tc>
      </w:tr>
      <w:tr w:rsidR="00A53D7D" w:rsidRPr="007F6F65" w:rsidTr="005140B4">
        <w:trPr>
          <w:cantSplit/>
        </w:trPr>
        <w:tc>
          <w:tcPr>
            <w:tcW w:w="7776" w:type="dxa"/>
            <w:gridSpan w:val="6"/>
            <w:tcBorders>
              <w:left w:val="nil"/>
              <w:bottom w:val="single" w:sz="6" w:space="0" w:color="auto"/>
              <w:right w:val="nil"/>
            </w:tcBorders>
            <w:shd w:val="clear" w:color="000000" w:fill="FFFFFF"/>
          </w:tcPr>
          <w:p w:rsidR="00A53D7D" w:rsidRPr="00DD4F39" w:rsidRDefault="00A53D7D" w:rsidP="005140B4">
            <w:pPr>
              <w:pStyle w:val="OGNotes"/>
            </w:pPr>
            <w:r w:rsidRPr="007F6F65">
              <w:t>The 2013</w:t>
            </w:r>
            <w:r>
              <w:noBreakHyphen/>
            </w:r>
            <w:r w:rsidRPr="007F6F65">
              <w:t>14 expected outcome is higher than the 2013</w:t>
            </w:r>
            <w:r>
              <w:noBreakHyphen/>
            </w:r>
            <w:r w:rsidRPr="007F6F65">
              <w:t>14 target due to the implementation of the Small Scale Facility Program.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Events facilitated: Sport and recreation</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keepNext/>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keepNext/>
              <w:rPr>
                <w:lang w:eastAsia="en-AU"/>
              </w:rPr>
            </w:pPr>
            <w:r w:rsidRPr="00DD4F39">
              <w:rPr>
                <w:lang w:eastAsia="en-AU"/>
              </w:rPr>
              <w:t>&gt;</w:t>
            </w:r>
            <w:r>
              <w:rPr>
                <w:lang w:eastAsia="en-AU"/>
              </w:rPr>
              <w:t xml:space="preserve"> </w:t>
            </w:r>
            <w:r w:rsidRPr="00DD4F39">
              <w:rPr>
                <w:lang w:eastAsia="en-AU"/>
              </w:rPr>
              <w:t>50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86</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&gt;</w:t>
            </w:r>
            <w:r>
              <w:rPr>
                <w:lang w:eastAsia="en-AU"/>
              </w:rPr>
              <w:t xml:space="preserve"> </w:t>
            </w:r>
            <w:r w:rsidRPr="00DD4F39">
              <w:rPr>
                <w:lang w:eastAsia="en-AU"/>
              </w:rPr>
              <w:t>50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63</w:t>
            </w:r>
          </w:p>
        </w:tc>
      </w:tr>
      <w:tr w:rsidR="00A53D7D" w:rsidRPr="00392989" w:rsidTr="005140B4">
        <w:trPr>
          <w:cantSplit/>
        </w:trPr>
        <w:tc>
          <w:tcPr>
            <w:tcW w:w="7776" w:type="dxa"/>
            <w:gridSpan w:val="6"/>
            <w:tcBorders>
              <w:left w:val="nil"/>
              <w:bottom w:val="single" w:sz="6" w:space="0" w:color="auto"/>
              <w:right w:val="nil"/>
            </w:tcBorders>
            <w:shd w:val="clear" w:color="000000" w:fill="FFFFFF"/>
          </w:tcPr>
          <w:p w:rsidR="00A53D7D" w:rsidRPr="00DD4F39" w:rsidRDefault="00A53D7D" w:rsidP="005140B4">
            <w:pPr>
              <w:pStyle w:val="OGNotes"/>
            </w:pPr>
            <w:r w:rsidRPr="00392989">
              <w:t>The 2013</w:t>
            </w:r>
            <w:r>
              <w:noBreakHyphen/>
            </w:r>
            <w:r w:rsidRPr="00392989">
              <w:t>14 expected outcome is higher than the 2013</w:t>
            </w:r>
            <w:r>
              <w:noBreakHyphen/>
            </w:r>
            <w:r w:rsidRPr="00392989">
              <w:t>14 target due to demand for event funding from a larger number of sports.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Number of projects in progress that relate to the planning and development of state level facilities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3</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3</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w:t>
            </w:r>
          </w:p>
        </w:tc>
      </w:tr>
      <w:tr w:rsidR="00A53D7D" w:rsidRPr="00392989" w:rsidTr="005140B4">
        <w:trPr>
          <w:cantSplit/>
        </w:trPr>
        <w:tc>
          <w:tcPr>
            <w:tcW w:w="7776" w:type="dxa"/>
            <w:gridSpan w:val="6"/>
            <w:tcBorders>
              <w:left w:val="nil"/>
              <w:bottom w:val="single" w:sz="6" w:space="0" w:color="auto"/>
              <w:right w:val="nil"/>
            </w:tcBorders>
            <w:shd w:val="clear" w:color="000000" w:fill="FFFFFF"/>
          </w:tcPr>
          <w:p w:rsidR="00A53D7D" w:rsidRPr="00DD4F39" w:rsidRDefault="00A53D7D" w:rsidP="005140B4">
            <w:pPr>
              <w:pStyle w:val="OGNotes"/>
            </w:pPr>
            <w:r w:rsidRPr="00392989">
              <w:t>The 2013</w:t>
            </w:r>
            <w:r>
              <w:noBreakHyphen/>
            </w:r>
            <w:r w:rsidRPr="00392989">
              <w:t>14 expected outcome is higher than the 2013</w:t>
            </w:r>
            <w:r>
              <w:noBreakHyphen/>
            </w:r>
            <w:r w:rsidRPr="00392989">
              <w:t>14 target due to the commencement of Stage 2 of the Melbourne Park redevelopment.</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Number of sports with athletes on Victorian Institute of Sport (VIS) scholarships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20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38</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20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392989" w:rsidTr="005140B4">
        <w:trPr>
          <w:cantSplit/>
        </w:trPr>
        <w:tc>
          <w:tcPr>
            <w:tcW w:w="7776" w:type="dxa"/>
            <w:gridSpan w:val="6"/>
            <w:tcBorders>
              <w:left w:val="nil"/>
              <w:bottom w:val="single" w:sz="6" w:space="0" w:color="auto"/>
              <w:right w:val="nil"/>
            </w:tcBorders>
            <w:shd w:val="clear" w:color="000000" w:fill="FFFFFF"/>
          </w:tcPr>
          <w:p w:rsidR="00A53D7D" w:rsidRPr="00DD4F39" w:rsidRDefault="00A53D7D" w:rsidP="005140B4">
            <w:pPr>
              <w:pStyle w:val="OGNotes"/>
            </w:pPr>
            <w:r w:rsidRPr="00392989">
              <w:t>The 2013</w:t>
            </w:r>
            <w:r>
              <w:noBreakHyphen/>
            </w:r>
            <w:r w:rsidRPr="00392989">
              <w:t>14 expected outcome is higher than the 2013</w:t>
            </w:r>
            <w:r>
              <w:noBreakHyphen/>
            </w:r>
            <w:r w:rsidRPr="00392989">
              <w:t>14 target due to the large number of sports which have athletes who are eligible for individual scholarships.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Sport and recreation organisations undertaking programs or activities to enhance participation</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85</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85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87</w:t>
            </w:r>
          </w:p>
        </w:tc>
      </w:tr>
      <w:tr w:rsidR="00A53D7D" w:rsidRPr="00392989" w:rsidTr="005140B4">
        <w:trPr>
          <w:cantSplit/>
        </w:trPr>
        <w:tc>
          <w:tcPr>
            <w:tcW w:w="7776" w:type="dxa"/>
            <w:gridSpan w:val="6"/>
            <w:tcBorders>
              <w:left w:val="nil"/>
              <w:bottom w:val="single" w:sz="6" w:space="0" w:color="auto"/>
              <w:right w:val="nil"/>
            </w:tcBorders>
            <w:shd w:val="clear" w:color="000000" w:fill="FFFFFF"/>
          </w:tcPr>
          <w:p w:rsidR="00A53D7D" w:rsidRPr="00DD4F39" w:rsidRDefault="00A53D7D" w:rsidP="005140B4">
            <w:pPr>
              <w:pStyle w:val="OGNotes"/>
            </w:pPr>
            <w:r w:rsidRPr="00392989">
              <w:t>The 2013</w:t>
            </w:r>
            <w:r>
              <w:noBreakHyphen/>
            </w:r>
            <w:r w:rsidRPr="00392989">
              <w:t>14 expected outcome is higher than the 2013</w:t>
            </w:r>
            <w:r>
              <w:noBreakHyphen/>
            </w:r>
            <w:r w:rsidRPr="00392989">
              <w:t>14 target due to the provision of support to a larger number of organisations.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Sporting uniform grants: number approved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600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600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623</w:t>
            </w:r>
          </w:p>
        </w:tc>
      </w:tr>
      <w:tr w:rsidR="00A53D7D" w:rsidRPr="00DD4F39" w:rsidTr="005140B4">
        <w:trPr>
          <w:cantSplit/>
        </w:trPr>
        <w:tc>
          <w:tcPr>
            <w:tcW w:w="7776" w:type="dxa"/>
            <w:gridSpan w:val="6"/>
            <w:tcBorders>
              <w:left w:val="nil"/>
              <w:bottom w:val="single" w:sz="6" w:space="0" w:color="auto"/>
              <w:right w:val="nil"/>
            </w:tcBorders>
            <w:shd w:val="clear" w:color="000000" w:fill="FFFFFF"/>
          </w:tcPr>
          <w:p w:rsidR="00A53D7D" w:rsidRPr="00DD4F39" w:rsidRDefault="00A53D7D" w:rsidP="005140B4">
            <w:pPr>
              <w:pStyle w:val="OGNotes"/>
            </w:pPr>
            <w:r w:rsidRPr="00392989">
              <w:t>The 2013</w:t>
            </w:r>
            <w:r>
              <w:noBreakHyphen/>
            </w:r>
            <w:r w:rsidRPr="00392989">
              <w:t>14 expected outcome is higher than the 2013</w:t>
            </w:r>
            <w:r>
              <w:noBreakHyphen/>
            </w:r>
            <w:r w:rsidRPr="00392989">
              <w:t>14 target due to a larger number of grants to sporting clubs through this program.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Victorian Institute of Sport scholarship holders on national teams/squads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55</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69</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55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76</w:t>
            </w:r>
          </w:p>
        </w:tc>
      </w:tr>
      <w:tr w:rsidR="00A53D7D" w:rsidRPr="00DD4F39" w:rsidTr="005140B4">
        <w:trPr>
          <w:cantSplit/>
        </w:trPr>
        <w:tc>
          <w:tcPr>
            <w:tcW w:w="7776" w:type="dxa"/>
            <w:gridSpan w:val="6"/>
            <w:tcBorders>
              <w:left w:val="nil"/>
              <w:bottom w:val="single" w:sz="6" w:space="0" w:color="auto"/>
              <w:right w:val="nil"/>
            </w:tcBorders>
            <w:shd w:val="clear" w:color="000000" w:fill="FFFFFF"/>
          </w:tcPr>
          <w:p w:rsidR="00A53D7D" w:rsidRPr="00DD4F39" w:rsidRDefault="00A53D7D" w:rsidP="005140B4">
            <w:pPr>
              <w:pStyle w:val="OGNotes"/>
            </w:pPr>
            <w:r w:rsidRPr="00392989">
              <w:t>The 2013</w:t>
            </w:r>
            <w:r>
              <w:noBreakHyphen/>
            </w:r>
            <w:r w:rsidRPr="00392989">
              <w:t>14 expected outcome is higher than the 2013</w:t>
            </w:r>
            <w:r>
              <w:noBreakHyphen/>
            </w:r>
            <w:r w:rsidRPr="00392989">
              <w:t>14 target due to the strong performance of the Victorian Institute of Sport in developing athletes who are selected in national teams and squads.</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Contract management of outdoor recreation camps meets agreed key performance indicators</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90</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&gt;</w:t>
            </w:r>
            <w:r>
              <w:rPr>
                <w:lang w:eastAsia="en-AU"/>
              </w:rPr>
              <w:t xml:space="preserve"> </w:t>
            </w:r>
            <w:r w:rsidRPr="00DD4F39">
              <w:rPr>
                <w:lang w:eastAsia="en-AU"/>
              </w:rPr>
              <w:t>90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Major events facilitated with an event plan, budget, branding and promotional activities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Annual Community Sport and Recreation Awards held</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Pr>
                <w:lang w:eastAsia="en-AU"/>
              </w:rPr>
              <w:t>d</w:t>
            </w:r>
            <w:r w:rsidRPr="00DD4F39">
              <w:rPr>
                <w:lang w:eastAsia="en-AU"/>
              </w:rPr>
              <w:t>ate</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Jun</w:t>
            </w:r>
            <w:r>
              <w:rPr>
                <w:lang w:eastAsia="en-AU"/>
              </w:rPr>
              <w:noBreakHyphen/>
              <w:t>20</w:t>
            </w:r>
            <w:r w:rsidRPr="00DD4F39">
              <w:rPr>
                <w:lang w:eastAsia="en-AU"/>
              </w:rPr>
              <w:t>15</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4</w:t>
            </w:r>
            <w:r>
              <w:rPr>
                <w:lang w:eastAsia="en-AU"/>
              </w:rPr>
              <w:noBreakHyphen/>
            </w:r>
            <w:r w:rsidRPr="00DD4F39">
              <w:rPr>
                <w:lang w:eastAsia="en-AU"/>
              </w:rPr>
              <w:t>Dec</w:t>
            </w:r>
            <w:r>
              <w:rPr>
                <w:lang w:eastAsia="en-AU"/>
              </w:rPr>
              <w:noBreakHyphen/>
              <w:t xml:space="preserve">       20</w:t>
            </w:r>
            <w:r w:rsidRPr="00DD4F39">
              <w:rPr>
                <w:lang w:eastAsia="en-AU"/>
              </w:rPr>
              <w:t>13</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Jun</w:t>
            </w:r>
            <w:r>
              <w:rPr>
                <w:lang w:eastAsia="en-AU"/>
              </w:rPr>
              <w:noBreakHyphen/>
              <w:t>20</w:t>
            </w:r>
            <w:r w:rsidRPr="00DD4F39">
              <w:rPr>
                <w:lang w:eastAsia="en-AU"/>
              </w:rPr>
              <w:t>14</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23</w:t>
            </w:r>
            <w:r>
              <w:rPr>
                <w:lang w:eastAsia="en-AU"/>
              </w:rPr>
              <w:noBreakHyphen/>
            </w:r>
            <w:r w:rsidRPr="00DD4F39">
              <w:rPr>
                <w:lang w:eastAsia="en-AU"/>
              </w:rPr>
              <w:t>Nov</w:t>
            </w:r>
            <w:r>
              <w:rPr>
                <w:lang w:eastAsia="en-AU"/>
              </w:rPr>
              <w:noBreakHyphen/>
              <w:t xml:space="preserve">  20</w:t>
            </w:r>
            <w:r w:rsidRPr="00DD4F39">
              <w:rPr>
                <w:lang w:eastAsia="en-AU"/>
              </w:rPr>
              <w:t>12</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E646BF">
            <w:pPr>
              <w:pStyle w:val="OGTabText"/>
              <w:rPr>
                <w:lang w:eastAsia="en-AU"/>
              </w:rPr>
            </w:pPr>
            <w:r w:rsidRPr="00DD4F39">
              <w:rPr>
                <w:lang w:eastAsia="en-AU"/>
              </w:rPr>
              <w:t>Completion of post event reports and economic impact assessments of each event (where required) within agreed timeframes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E646BF">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E646BF">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E646BF">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E646BF">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E646BF">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output cost</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w:t>
            </w:r>
            <w:r>
              <w:rPr>
                <w:lang w:eastAsia="en-AU"/>
              </w:rPr>
              <w:t> million</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88.1</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78.3</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77.2</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97.6</w:t>
            </w:r>
          </w:p>
        </w:tc>
      </w:tr>
      <w:tr w:rsidR="00A53D7D" w:rsidRPr="00DD4F39" w:rsidTr="005140B4">
        <w:trPr>
          <w:cantSplit/>
        </w:trPr>
        <w:tc>
          <w:tcPr>
            <w:tcW w:w="7776" w:type="dxa"/>
            <w:gridSpan w:val="6"/>
            <w:tcBorders>
              <w:top w:val="nil"/>
              <w:left w:val="nil"/>
              <w:bottom w:val="single" w:sz="12"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primarily reflects approved funding for the Strategic Sporting Infrastructure Program.</w:t>
            </w:r>
            <w:r>
              <w:t xml:space="preserve"> This has been partly offset by projects that are to be completed in 2013</w:t>
            </w:r>
            <w:r>
              <w:noBreakHyphen/>
              <w:t xml:space="preserve">14. </w:t>
            </w:r>
          </w:p>
        </w:tc>
      </w:tr>
    </w:tbl>
    <w:p w:rsidR="00A53D7D" w:rsidRDefault="00A53D7D" w:rsidP="005140B4">
      <w:pPr>
        <w:pStyle w:val="Source"/>
      </w:pPr>
      <w:r>
        <w:t>Source: Department of Transport, Planning and Local Infrastructure</w:t>
      </w:r>
      <w:r>
        <w:fldChar w:fldCharType="begin"/>
      </w:r>
      <w:r>
        <w:instrText xml:space="preserve"> XE "</w:instrText>
      </w:r>
      <w:r w:rsidRPr="00A32E3E">
        <w:rPr>
          <w:lang w:eastAsia="en-AU"/>
        </w:rPr>
        <w:instrText>Department of Transport, Planning and Local Infrastructure</w:instrText>
      </w:r>
      <w:r w:rsidRPr="00A32E3E">
        <w:instrText>:Investing in Local Infrastructure</w:instrText>
      </w:r>
      <w:r>
        <w:instrText xml:space="preserve">" \r "DTPLIInvestinfra" </w:instrText>
      </w:r>
      <w:r>
        <w:fldChar w:fldCharType="end"/>
      </w:r>
      <w:r>
        <w:fldChar w:fldCharType="begin"/>
      </w:r>
      <w:r>
        <w:instrText xml:space="preserve"> XE "</w:instrText>
      </w:r>
      <w:r w:rsidRPr="00377CE0">
        <w:rPr>
          <w:lang w:eastAsia="en-AU"/>
        </w:rPr>
        <w:instrText>Infrastructure</w:instrText>
      </w:r>
      <w:r w:rsidRPr="00377CE0">
        <w:instrText>:Investing in Local Infrastructure</w:instrText>
      </w:r>
      <w:r>
        <w:instrText xml:space="preserve">" \r "DTPLIInvestinfra" </w:instrText>
      </w:r>
      <w:r>
        <w:fldChar w:fldCharType="end"/>
      </w:r>
    </w:p>
    <w:bookmarkEnd w:id="133"/>
    <w:p w:rsidR="00A53D7D" w:rsidRDefault="00A53D7D" w:rsidP="005140B4">
      <w:pPr>
        <w:rPr>
          <w:lang w:eastAsia="en-AU"/>
        </w:rPr>
      </w:pPr>
      <w:r>
        <w:rPr>
          <w:lang w:eastAsia="en-AU"/>
        </w:rPr>
        <w:br w:type="page"/>
      </w:r>
    </w:p>
    <w:p w:rsidR="00A53D7D" w:rsidRPr="006964E3" w:rsidRDefault="00A53D7D" w:rsidP="005140B4">
      <w:pPr>
        <w:pStyle w:val="OGHeading1"/>
      </w:pPr>
      <w:bookmarkStart w:id="134" w:name="DTPLILandAdmin"/>
      <w:r w:rsidRPr="006964E3">
        <w:t>Land Administration</w:t>
      </w:r>
    </w:p>
    <w:p w:rsidR="00A53D7D" w:rsidRPr="00DD4F39" w:rsidRDefault="00A53D7D" w:rsidP="005140B4">
      <w:pPr>
        <w:pStyle w:val="OGText"/>
        <w:rPr>
          <w:lang w:eastAsia="en-AU"/>
        </w:rPr>
      </w:pPr>
      <w:r w:rsidRPr="00DD4F39">
        <w:rPr>
          <w:lang w:eastAsia="en-AU"/>
        </w:rPr>
        <w:t>This output group ensures confidence in the integrity and efficiency of land administration and property information.</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DD4F39" w:rsidTr="005140B4">
        <w:trPr>
          <w:cantSplit/>
        </w:trPr>
        <w:tc>
          <w:tcPr>
            <w:tcW w:w="7776" w:type="dxa"/>
            <w:gridSpan w:val="6"/>
            <w:tcBorders>
              <w:top w:val="nil"/>
              <w:left w:val="nil"/>
              <w:right w:val="nil"/>
            </w:tcBorders>
            <w:shd w:val="clear" w:color="auto" w:fill="auto"/>
            <w:noWrap/>
            <w:vAlign w:val="bottom"/>
            <w:hideMark/>
          </w:tcPr>
          <w:p w:rsidR="00A53D7D" w:rsidRPr="00DD4F39" w:rsidRDefault="00A53D7D" w:rsidP="005140B4">
            <w:pPr>
              <w:pStyle w:val="OGHeading2"/>
              <w:rPr>
                <w:lang w:eastAsia="en-AU"/>
              </w:rPr>
            </w:pPr>
            <w:r w:rsidRPr="00DD4F39">
              <w:rPr>
                <w:lang w:eastAsia="en-AU"/>
              </w:rPr>
              <w:t>Land Victoria</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DD4F39">
              <w:rPr>
                <w:lang w:eastAsia="en-AU"/>
              </w:rPr>
              <w:t>This output delivers activities related to land administration including the registration of land titles under the Torrens system, General Law titles, and the status of Crown land.</w:t>
            </w:r>
          </w:p>
          <w:p w:rsidR="00A53D7D" w:rsidRPr="00DD4F39" w:rsidRDefault="00A53D7D" w:rsidP="005140B4">
            <w:pPr>
              <w:pStyle w:val="OGText"/>
              <w:rPr>
                <w:lang w:eastAsia="en-AU"/>
              </w:rPr>
            </w:pPr>
            <w:r w:rsidRPr="00DD4F39">
              <w:rPr>
                <w:lang w:eastAsia="en-AU"/>
              </w:rPr>
              <w:t>This output contributes to the Department</w:t>
            </w:r>
            <w:r>
              <w:rPr>
                <w:lang w:eastAsia="en-AU"/>
              </w:rPr>
              <w:t>’</w:t>
            </w:r>
            <w:r w:rsidRPr="00DD4F39">
              <w:rPr>
                <w:lang w:eastAsia="en-AU"/>
              </w:rPr>
              <w:t>s objective of delivering benefits to the community through the effective management of Victoria</w:t>
            </w:r>
            <w:r>
              <w:rPr>
                <w:lang w:eastAsia="en-AU"/>
              </w:rPr>
              <w:t>’</w:t>
            </w:r>
            <w:r w:rsidRPr="00DD4F39">
              <w:rPr>
                <w:lang w:eastAsia="en-AU"/>
              </w:rPr>
              <w:t>s land assets.</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Planning certificates issued</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number (‘000)</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50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47</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35</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42</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higher 2014</w:t>
            </w:r>
            <w:r>
              <w:noBreakHyphen/>
            </w:r>
            <w:r w:rsidRPr="00DD4F39">
              <w:t>15 target and 2013</w:t>
            </w:r>
            <w:r>
              <w:noBreakHyphen/>
            </w:r>
            <w:r w:rsidRPr="00DD4F39">
              <w:t>14 expected outcome reflect the expected increased activity levels of planning certificate searches.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Property transfers, discharge of mortgages and registration of new mortgages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number (‘000)</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700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650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670</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higher 2014</w:t>
            </w:r>
            <w:r>
              <w:noBreakHyphen/>
            </w:r>
            <w:r w:rsidRPr="00DD4F39">
              <w:t>15 target and 2013</w:t>
            </w:r>
            <w:r>
              <w:noBreakHyphen/>
            </w:r>
            <w:r w:rsidRPr="00DD4F39">
              <w:t>14 expected outcome reflect the expected increased activity levels of the property market.</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Proportion of title searches supplied (remotely) online</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96</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96</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96</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96</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Title searches supplied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number (‘000)</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2</w:t>
            </w:r>
            <w:r>
              <w:rPr>
                <w:lang w:eastAsia="en-AU"/>
              </w:rPr>
              <w:t> </w:t>
            </w:r>
            <w:r w:rsidRPr="00DD4F39">
              <w:rPr>
                <w:lang w:eastAsia="en-AU"/>
              </w:rPr>
              <w:t>220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r>
              <w:rPr>
                <w:lang w:eastAsia="en-AU"/>
              </w:rPr>
              <w:t> </w:t>
            </w:r>
            <w:r w:rsidRPr="00DD4F39">
              <w:rPr>
                <w:lang w:eastAsia="en-AU"/>
              </w:rPr>
              <w:t>220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r>
              <w:rPr>
                <w:lang w:eastAsia="en-AU"/>
              </w:rPr>
              <w:t> </w:t>
            </w:r>
            <w:r w:rsidRPr="00DD4F39">
              <w:rPr>
                <w:lang w:eastAsia="en-AU"/>
              </w:rPr>
              <w:t>180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r>
              <w:rPr>
                <w:lang w:eastAsia="en-AU"/>
              </w:rPr>
              <w:t> </w:t>
            </w:r>
            <w:r w:rsidRPr="00DD4F39">
              <w:rPr>
                <w:lang w:eastAsia="en-AU"/>
              </w:rPr>
              <w:t>169</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higher 2014</w:t>
            </w:r>
            <w:r>
              <w:noBreakHyphen/>
            </w:r>
            <w:r w:rsidRPr="00DD4F39">
              <w:t>15 target and 2013</w:t>
            </w:r>
            <w:r>
              <w:noBreakHyphen/>
            </w:r>
            <w:r w:rsidRPr="00DD4F39">
              <w:t>14 expected outcome reflect the expected increased activity levels of property searches online.</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Government owned properties sold, bought or leased within 10</w:t>
            </w:r>
            <w:r>
              <w:rPr>
                <w:lang w:eastAsia="en-AU"/>
              </w:rPr>
              <w:t> per cent</w:t>
            </w:r>
            <w:r w:rsidRPr="00DD4F39">
              <w:rPr>
                <w:lang w:eastAsia="en-AU"/>
              </w:rPr>
              <w:t xml:space="preserve"> of valuation</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80</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80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80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85</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4E7A50">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Land dealings registered within five days</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95</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New Titles (subdivisions) created within three weeks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95</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output cost</w:t>
            </w:r>
          </w:p>
        </w:tc>
        <w:tc>
          <w:tcPr>
            <w:tcW w:w="907" w:type="dxa"/>
            <w:tcBorders>
              <w:top w:val="nil"/>
              <w:left w:val="nil"/>
              <w:bottom w:val="nil"/>
              <w:right w:val="nil"/>
            </w:tcBorders>
            <w:shd w:val="clear" w:color="000000" w:fill="FFFFFF"/>
            <w:hideMark/>
          </w:tcPr>
          <w:p w:rsidR="00A53D7D" w:rsidRPr="00DD4F39" w:rsidRDefault="00A53D7D" w:rsidP="005140B4">
            <w:pPr>
              <w:pStyle w:val="OGUoM"/>
              <w:rPr>
                <w:lang w:eastAsia="en-AU"/>
              </w:rPr>
            </w:pPr>
            <w:r w:rsidRPr="00DD4F39">
              <w:rPr>
                <w:lang w:eastAsia="en-AU"/>
              </w:rPr>
              <w:t>$</w:t>
            </w:r>
            <w:r>
              <w:rPr>
                <w:lang w:eastAsia="en-AU"/>
              </w:rPr>
              <w:t> million</w:t>
            </w:r>
          </w:p>
        </w:tc>
        <w:tc>
          <w:tcPr>
            <w:tcW w:w="907" w:type="dxa"/>
            <w:tcBorders>
              <w:top w:val="nil"/>
              <w:left w:val="nil"/>
              <w:bottom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77.3</w:t>
            </w:r>
          </w:p>
        </w:tc>
        <w:tc>
          <w:tcPr>
            <w:tcW w:w="993" w:type="dxa"/>
            <w:tcBorders>
              <w:top w:val="nil"/>
              <w:left w:val="nil"/>
              <w:bottom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78.4</w:t>
            </w:r>
          </w:p>
        </w:tc>
        <w:tc>
          <w:tcPr>
            <w:tcW w:w="907" w:type="dxa"/>
            <w:tcBorders>
              <w:top w:val="nil"/>
              <w:left w:val="nil"/>
              <w:bottom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76.7</w:t>
            </w:r>
          </w:p>
        </w:tc>
        <w:tc>
          <w:tcPr>
            <w:tcW w:w="907" w:type="dxa"/>
            <w:tcBorders>
              <w:top w:val="nil"/>
              <w:left w:val="nil"/>
              <w:bottom w:val="nil"/>
              <w:right w:val="nil"/>
            </w:tcBorders>
            <w:shd w:val="clear" w:color="000000" w:fill="FFFFFF"/>
            <w:hideMark/>
          </w:tcPr>
          <w:p w:rsidR="00A53D7D" w:rsidRPr="00DD4F39" w:rsidRDefault="00A53D7D" w:rsidP="005140B4">
            <w:pPr>
              <w:pStyle w:val="OGTableofFigures"/>
              <w:rPr>
                <w:lang w:eastAsia="en-AU"/>
              </w:rPr>
            </w:pPr>
            <w:proofErr w:type="spellStart"/>
            <w:r w:rsidRPr="00DD4F39">
              <w:rPr>
                <w:lang w:eastAsia="en-AU"/>
              </w:rPr>
              <w:t>na</w:t>
            </w:r>
            <w:proofErr w:type="spellEnd"/>
          </w:p>
        </w:tc>
      </w:tr>
      <w:tr w:rsidR="00A53D7D" w:rsidRPr="00040BD7" w:rsidTr="005140B4">
        <w:trPr>
          <w:cantSplit/>
        </w:trPr>
        <w:tc>
          <w:tcPr>
            <w:tcW w:w="7776" w:type="dxa"/>
            <w:gridSpan w:val="6"/>
            <w:tcBorders>
              <w:top w:val="nil"/>
              <w:left w:val="nil"/>
              <w:bottom w:val="single" w:sz="12" w:space="0" w:color="auto"/>
              <w:right w:val="nil"/>
            </w:tcBorders>
            <w:shd w:val="clear" w:color="000000" w:fill="FFFFFF"/>
          </w:tcPr>
          <w:p w:rsidR="00A53D7D" w:rsidRPr="00040BD7" w:rsidRDefault="00A53D7D" w:rsidP="005140B4">
            <w:pPr>
              <w:pStyle w:val="OGNotes"/>
            </w:pPr>
            <w:r w:rsidRPr="00040BD7">
              <w:t>The 2013</w:t>
            </w:r>
            <w:r w:rsidRPr="00040BD7">
              <w:noBreakHyphen/>
              <w:t>14 expected outcome is higher than the 2013</w:t>
            </w:r>
            <w:r w:rsidRPr="00040BD7">
              <w:noBreakHyphen/>
              <w:t xml:space="preserve">14 target primarily due to carryover approved after the </w:t>
            </w:r>
            <w:r w:rsidRPr="00A714BC">
              <w:rPr>
                <w:i w:val="0"/>
              </w:rPr>
              <w:t>2013</w:t>
            </w:r>
            <w:r w:rsidRPr="00A714BC">
              <w:rPr>
                <w:i w:val="0"/>
              </w:rPr>
              <w:noBreakHyphen/>
              <w:t>14 Budget</w:t>
            </w:r>
            <w:r w:rsidRPr="00040BD7">
              <w:t>.</w:t>
            </w:r>
          </w:p>
        </w:tc>
      </w:tr>
    </w:tbl>
    <w:p w:rsidR="00A53D7D" w:rsidRDefault="00A53D7D" w:rsidP="005140B4">
      <w:pPr>
        <w:pStyle w:val="Source"/>
        <w:rPr>
          <w:lang w:eastAsia="en-AU"/>
        </w:rPr>
      </w:pPr>
      <w:r>
        <w:t>Source: Department of Transport, Planning and Local Infrastructure</w:t>
      </w:r>
      <w:r>
        <w:fldChar w:fldCharType="begin"/>
      </w:r>
      <w:r>
        <w:instrText xml:space="preserve"> XE "</w:instrText>
      </w:r>
      <w:r w:rsidRPr="00156D1D">
        <w:instrText>Department of Transport, Planning and Local Infrastructure:Land Administration</w:instrText>
      </w:r>
      <w:r>
        <w:instrText xml:space="preserve">" \r "DTPLILandAdmin" </w:instrText>
      </w:r>
      <w:r>
        <w:fldChar w:fldCharType="end"/>
      </w:r>
      <w:r>
        <w:fldChar w:fldCharType="begin"/>
      </w:r>
      <w:r>
        <w:instrText xml:space="preserve"> XE "</w:instrText>
      </w:r>
      <w:r w:rsidRPr="0008381B">
        <w:instrText>Land Administration</w:instrText>
      </w:r>
      <w:r>
        <w:instrText xml:space="preserve">" \r "DTPLILandAdmin" </w:instrText>
      </w:r>
      <w:r>
        <w:fldChar w:fldCharType="end"/>
      </w:r>
      <w:r>
        <w:t xml:space="preserve"> </w:t>
      </w:r>
      <w:bookmarkEnd w:id="134"/>
      <w:r>
        <w:t xml:space="preserve">  </w:t>
      </w:r>
      <w:r>
        <w:rPr>
          <w:lang w:eastAsia="en-AU"/>
        </w:rPr>
        <w:br w:type="page"/>
      </w:r>
    </w:p>
    <w:p w:rsidR="00A53D7D" w:rsidRPr="00DD4F39" w:rsidRDefault="00A53D7D" w:rsidP="005140B4">
      <w:pPr>
        <w:pStyle w:val="OGHeading1"/>
        <w:rPr>
          <w:lang w:eastAsia="en-AU"/>
        </w:rPr>
      </w:pPr>
      <w:bookmarkStart w:id="135" w:name="DTPLIMetroReg"/>
      <w:r w:rsidRPr="00DD4F39">
        <w:rPr>
          <w:lang w:eastAsia="en-AU"/>
        </w:rPr>
        <w:t>Metropolitan and Regional Planning and Development</w:t>
      </w:r>
    </w:p>
    <w:p w:rsidR="00A53D7D" w:rsidRDefault="00A53D7D" w:rsidP="005140B4">
      <w:pPr>
        <w:pStyle w:val="OGText"/>
        <w:rPr>
          <w:lang w:eastAsia="en-AU"/>
        </w:rPr>
      </w:pPr>
      <w:r w:rsidRPr="00DD4F39">
        <w:rPr>
          <w:lang w:eastAsia="en-AU"/>
        </w:rPr>
        <w:t xml:space="preserve">This output group addresses future growth and change and creates new prosperity, more </w:t>
      </w:r>
      <w:proofErr w:type="gramStart"/>
      <w:r w:rsidRPr="00DD4F39">
        <w:rPr>
          <w:lang w:eastAsia="en-AU"/>
        </w:rPr>
        <w:t>opportunity</w:t>
      </w:r>
      <w:proofErr w:type="gramEnd"/>
      <w:r w:rsidRPr="00DD4F39">
        <w:rPr>
          <w:lang w:eastAsia="en-AU"/>
        </w:rPr>
        <w:t xml:space="preserve"> and a better quality of life in metropolitan, regional and rural Victoria by:</w:t>
      </w:r>
    </w:p>
    <w:p w:rsidR="00A53D7D" w:rsidRDefault="00A53D7D" w:rsidP="005140B4">
      <w:pPr>
        <w:pStyle w:val="OGBullet"/>
        <w:rPr>
          <w:lang w:eastAsia="en-AU"/>
        </w:rPr>
      </w:pPr>
      <w:r w:rsidRPr="00DD4F39">
        <w:rPr>
          <w:lang w:eastAsia="en-AU"/>
        </w:rPr>
        <w:t>increasing productivity to ensure Victorian businesses will be more competitive, resulting in higher incomes and living standards;</w:t>
      </w:r>
    </w:p>
    <w:p w:rsidR="00A53D7D" w:rsidRDefault="00A53D7D" w:rsidP="005140B4">
      <w:pPr>
        <w:pStyle w:val="OGBullet"/>
        <w:rPr>
          <w:lang w:eastAsia="en-AU"/>
        </w:rPr>
      </w:pPr>
      <w:r w:rsidRPr="00DD4F39">
        <w:rPr>
          <w:lang w:eastAsia="en-AU"/>
        </w:rPr>
        <w:t>facilitating land supply in growth areas whil</w:t>
      </w:r>
      <w:r>
        <w:rPr>
          <w:lang w:eastAsia="en-AU"/>
        </w:rPr>
        <w:t>e</w:t>
      </w:r>
      <w:r w:rsidRPr="00DD4F39">
        <w:rPr>
          <w:lang w:eastAsia="en-AU"/>
        </w:rPr>
        <w:t xml:space="preserve"> preserving open space and agricultural needs;</w:t>
      </w:r>
    </w:p>
    <w:p w:rsidR="00A53D7D" w:rsidRDefault="00A53D7D" w:rsidP="005140B4">
      <w:pPr>
        <w:pStyle w:val="OGBullet"/>
        <w:rPr>
          <w:lang w:eastAsia="en-AU"/>
        </w:rPr>
      </w:pPr>
      <w:r w:rsidRPr="00DD4F39">
        <w:rPr>
          <w:lang w:eastAsia="en-AU"/>
        </w:rPr>
        <w:t>providing better infrastructure, facilities and services in regional, rural and metropolitan Victoria;</w:t>
      </w:r>
    </w:p>
    <w:p w:rsidR="00A53D7D" w:rsidRDefault="00A53D7D" w:rsidP="005140B4">
      <w:pPr>
        <w:pStyle w:val="OGBullet"/>
        <w:rPr>
          <w:lang w:eastAsia="en-AU"/>
        </w:rPr>
      </w:pPr>
      <w:r w:rsidRPr="00DD4F39">
        <w:rPr>
          <w:lang w:eastAsia="en-AU"/>
        </w:rPr>
        <w:t>delivering urban renewal with quality design and architecture;</w:t>
      </w:r>
    </w:p>
    <w:p w:rsidR="00A53D7D" w:rsidRDefault="00A53D7D" w:rsidP="005140B4">
      <w:pPr>
        <w:pStyle w:val="OGBullet"/>
        <w:rPr>
          <w:lang w:eastAsia="en-AU"/>
        </w:rPr>
      </w:pPr>
      <w:r w:rsidRPr="00DD4F39">
        <w:rPr>
          <w:lang w:eastAsia="en-AU"/>
        </w:rPr>
        <w:t>streamlining planning regulation and systems;</w:t>
      </w:r>
    </w:p>
    <w:p w:rsidR="00A53D7D" w:rsidRDefault="00A53D7D" w:rsidP="005140B4">
      <w:pPr>
        <w:pStyle w:val="OGBullet"/>
        <w:rPr>
          <w:lang w:eastAsia="en-AU"/>
        </w:rPr>
      </w:pPr>
      <w:r w:rsidRPr="00DD4F39">
        <w:rPr>
          <w:lang w:eastAsia="en-AU"/>
        </w:rPr>
        <w:t>administering the planning system and statutory responsibilities of the Minister for Planning;</w:t>
      </w:r>
    </w:p>
    <w:p w:rsidR="00A53D7D" w:rsidRDefault="00A53D7D" w:rsidP="005140B4">
      <w:pPr>
        <w:pStyle w:val="OGBullet"/>
        <w:rPr>
          <w:lang w:eastAsia="en-AU"/>
        </w:rPr>
      </w:pPr>
      <w:r w:rsidRPr="00DD4F39">
        <w:rPr>
          <w:lang w:eastAsia="en-AU"/>
        </w:rPr>
        <w:t>protecting and managing Victoria</w:t>
      </w:r>
      <w:r>
        <w:rPr>
          <w:lang w:eastAsia="en-AU"/>
        </w:rPr>
        <w:t>’</w:t>
      </w:r>
      <w:r w:rsidRPr="00DD4F39">
        <w:rPr>
          <w:lang w:eastAsia="en-AU"/>
        </w:rPr>
        <w:t>s historic, cultural and natural heritage;</w:t>
      </w:r>
    </w:p>
    <w:p w:rsidR="00A53D7D" w:rsidRDefault="00A53D7D" w:rsidP="005140B4">
      <w:pPr>
        <w:pStyle w:val="OGBullet"/>
        <w:rPr>
          <w:lang w:eastAsia="en-AU"/>
        </w:rPr>
      </w:pPr>
      <w:r w:rsidRPr="00DD4F39">
        <w:rPr>
          <w:lang w:eastAsia="en-AU"/>
        </w:rPr>
        <w:t>guiding the development and implementation of strategic land use and transport plans for metropolitan and regional Victoria; and</w:t>
      </w:r>
    </w:p>
    <w:p w:rsidR="00A53D7D" w:rsidRPr="00DD4F39" w:rsidRDefault="00A53D7D" w:rsidP="005140B4">
      <w:pPr>
        <w:pStyle w:val="OGBullet"/>
        <w:rPr>
          <w:lang w:eastAsia="en-AU"/>
        </w:rPr>
      </w:pPr>
      <w:proofErr w:type="gramStart"/>
      <w:r w:rsidRPr="00DD4F39">
        <w:rPr>
          <w:lang w:eastAsia="en-AU"/>
        </w:rPr>
        <w:t>working</w:t>
      </w:r>
      <w:proofErr w:type="gramEnd"/>
      <w:r w:rsidRPr="00DD4F39">
        <w:rPr>
          <w:lang w:eastAsia="en-AU"/>
        </w:rPr>
        <w:t xml:space="preserve"> across government and with key stakeholders to encourage and support the design and procurement of high</w:t>
      </w:r>
      <w:r>
        <w:rPr>
          <w:lang w:eastAsia="en-AU"/>
        </w:rPr>
        <w:noBreakHyphen/>
      </w:r>
      <w:r w:rsidRPr="00DD4F39">
        <w:rPr>
          <w:lang w:eastAsia="en-AU"/>
        </w:rPr>
        <w:t>quality buildings, public infrastructure and public spaces.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DD4F39" w:rsidTr="005140B4">
        <w:trPr>
          <w:cantSplit/>
        </w:trPr>
        <w:tc>
          <w:tcPr>
            <w:tcW w:w="7776" w:type="dxa"/>
            <w:gridSpan w:val="6"/>
            <w:tcBorders>
              <w:top w:val="nil"/>
              <w:left w:val="nil"/>
              <w:right w:val="nil"/>
            </w:tcBorders>
            <w:shd w:val="clear" w:color="auto" w:fill="auto"/>
            <w:vAlign w:val="bottom"/>
          </w:tcPr>
          <w:p w:rsidR="00A53D7D" w:rsidRPr="00DD4F39" w:rsidRDefault="00A53D7D" w:rsidP="005140B4">
            <w:pPr>
              <w:pStyle w:val="OGHeading2"/>
              <w:rPr>
                <w:lang w:eastAsia="en-AU"/>
              </w:rPr>
            </w:pPr>
            <w:r w:rsidRPr="00DD4F39">
              <w:rPr>
                <w:lang w:eastAsia="en-AU"/>
              </w:rPr>
              <w:t>Office of the Victorian Government Architect</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DD4F39">
              <w:rPr>
                <w:lang w:eastAsia="en-AU"/>
              </w:rPr>
              <w:t>This output provides strategic leadership and advice to government and key stakeholders on architecture and the built environment.</w:t>
            </w:r>
          </w:p>
          <w:p w:rsidR="00A53D7D" w:rsidRPr="00DD4F39" w:rsidRDefault="00A53D7D" w:rsidP="005140B4">
            <w:pPr>
              <w:pStyle w:val="OGText"/>
              <w:rPr>
                <w:lang w:eastAsia="en-AU"/>
              </w:rPr>
            </w:pPr>
            <w:r w:rsidRPr="00DD4F39">
              <w:rPr>
                <w:lang w:eastAsia="en-AU"/>
              </w:rPr>
              <w:t>This output contributes to the Department</w:t>
            </w:r>
            <w:r>
              <w:rPr>
                <w:lang w:eastAsia="en-AU"/>
              </w:rPr>
              <w:t>’</w:t>
            </w:r>
            <w:r w:rsidRPr="00DD4F39">
              <w:rPr>
                <w:lang w:eastAsia="en-AU"/>
              </w:rPr>
              <w:t xml:space="preserve">s objective of leadership, </w:t>
            </w:r>
            <w:proofErr w:type="gramStart"/>
            <w:r w:rsidRPr="00DD4F39">
              <w:rPr>
                <w:lang w:eastAsia="en-AU"/>
              </w:rPr>
              <w:t>advocacy</w:t>
            </w:r>
            <w:proofErr w:type="gramEnd"/>
            <w:r w:rsidRPr="00DD4F39">
              <w:rPr>
                <w:lang w:eastAsia="en-AU"/>
              </w:rPr>
              <w:t xml:space="preserve"> and advice on the quality of architecture and the built environment.</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Design reviews of strategically significant public and private sector projects, and inception and procurement project advice</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60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55</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6426F4" w:rsidRDefault="00A53D7D" w:rsidP="005140B4">
            <w:pPr>
              <w:pStyle w:val="OGNotes"/>
              <w:rPr>
                <w:szCs w:val="15"/>
              </w:rPr>
            </w:pPr>
            <w:r w:rsidRPr="006426F4">
              <w:rPr>
                <w:szCs w:val="15"/>
              </w:rPr>
              <w:t>This performance measure renames the 2013</w:t>
            </w:r>
            <w:r>
              <w:rPr>
                <w:szCs w:val="15"/>
              </w:rPr>
              <w:noBreakHyphen/>
            </w:r>
            <w:r w:rsidRPr="006426F4">
              <w:rPr>
                <w:szCs w:val="15"/>
              </w:rPr>
              <w:t xml:space="preserve">14 performance measure </w:t>
            </w:r>
            <w:r>
              <w:rPr>
                <w:szCs w:val="15"/>
              </w:rPr>
              <w:t>‘</w:t>
            </w:r>
            <w:r w:rsidRPr="006426F4">
              <w:rPr>
                <w:szCs w:val="15"/>
              </w:rPr>
              <w:t>Design reviews of public and private sector projects of strategic significance and impact on the public realm</w:t>
            </w:r>
            <w:r>
              <w:rPr>
                <w:szCs w:val="15"/>
              </w:rPr>
              <w:t>’</w:t>
            </w:r>
            <w:r w:rsidRPr="006426F4">
              <w:rPr>
                <w:szCs w:val="15"/>
              </w:rPr>
              <w:t>. The measure name has been amended for increased clarity and to better reflect the activities of the Office of the Victorian Government Architect.</w:t>
            </w:r>
          </w:p>
          <w:p w:rsidR="00A53D7D" w:rsidRPr="00DD4F39" w:rsidRDefault="00A53D7D" w:rsidP="005140B4">
            <w:pPr>
              <w:pStyle w:val="OGNotes"/>
            </w:pPr>
            <w:r w:rsidRPr="006426F4">
              <w:rPr>
                <w:szCs w:val="15"/>
              </w:rPr>
              <w:t>The 2013</w:t>
            </w:r>
            <w:r>
              <w:rPr>
                <w:szCs w:val="15"/>
              </w:rPr>
              <w:noBreakHyphen/>
            </w:r>
            <w:r w:rsidRPr="006426F4">
              <w:rPr>
                <w:szCs w:val="15"/>
              </w:rPr>
              <w:t>14 expected outcome is higher than the 2013</w:t>
            </w:r>
            <w:r>
              <w:rPr>
                <w:szCs w:val="15"/>
              </w:rPr>
              <w:noBreakHyphen/>
            </w:r>
            <w:r w:rsidRPr="006426F4">
              <w:rPr>
                <w:szCs w:val="15"/>
              </w:rPr>
              <w:t xml:space="preserve">14 target due </w:t>
            </w:r>
            <w:r>
              <w:rPr>
                <w:szCs w:val="15"/>
              </w:rPr>
              <w:t xml:space="preserve">to a </w:t>
            </w:r>
            <w:r w:rsidRPr="006426F4">
              <w:rPr>
                <w:szCs w:val="15"/>
              </w:rPr>
              <w:t>higher than expected number of design reviews.</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Stakeholder satisfaction with quality of Office of Victorian Government Architect procurement and design advice and/or advocacy role</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80</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This performance measure renames the 2013</w:t>
            </w:r>
            <w:r>
              <w:noBreakHyphen/>
            </w:r>
            <w:r w:rsidRPr="00DD4F39">
              <w:t xml:space="preserve">14 performance measure </w:t>
            </w:r>
            <w:r>
              <w:t>‘</w:t>
            </w:r>
            <w:r w:rsidRPr="00DD4F39">
              <w:t>Stakeholder satisfaction with design and procurement advice and advocacy</w:t>
            </w:r>
            <w:r>
              <w:t>’</w:t>
            </w:r>
            <w:r w:rsidRPr="00DD4F39">
              <w:t>. The measure name has been amended for increased clarity and to better reflect the activities of the Office of the Victorian Government Architect.</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Formal letter</w:t>
            </w:r>
            <w:r>
              <w:rPr>
                <w:lang w:eastAsia="en-AU"/>
              </w:rPr>
              <w:t>s</w:t>
            </w:r>
            <w:r w:rsidRPr="00DD4F39">
              <w:rPr>
                <w:lang w:eastAsia="en-AU"/>
              </w:rPr>
              <w:t xml:space="preserve"> of Office of Victorian Government Architect advice issued within 10 days following design review</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75</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75</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75</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77</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This performance measure renames the 2013</w:t>
            </w:r>
            <w:r>
              <w:noBreakHyphen/>
            </w:r>
            <w:r w:rsidRPr="00DD4F39">
              <w:t xml:space="preserve">14 performance measure </w:t>
            </w:r>
            <w:r>
              <w:t>‘</w:t>
            </w:r>
            <w:r w:rsidRPr="00DD4F39">
              <w:t>Formal letters of advice issued within the required timeframe following the Victorian Design Review Panel session</w:t>
            </w:r>
            <w:r>
              <w:t>’</w:t>
            </w:r>
            <w:r w:rsidRPr="00DD4F39">
              <w:t>. The measure name has been amended for increased clarity and to better reflect the activities of the Office of the Victorian Government Architect.</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Total output cost</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w:t>
            </w:r>
            <w:r>
              <w:rPr>
                <w:lang w:eastAsia="en-AU"/>
              </w:rPr>
              <w:t> million</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1.8</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1.8</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1.8</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2.1</w:t>
            </w:r>
          </w:p>
        </w:tc>
      </w:tr>
      <w:tr w:rsidR="00A53D7D" w:rsidRPr="00DD4F39" w:rsidTr="005140B4">
        <w:trPr>
          <w:cantSplit/>
        </w:trPr>
        <w:tc>
          <w:tcPr>
            <w:tcW w:w="7776" w:type="dxa"/>
            <w:gridSpan w:val="6"/>
            <w:tcBorders>
              <w:top w:val="single" w:sz="6" w:space="0" w:color="auto"/>
              <w:left w:val="nil"/>
              <w:right w:val="nil"/>
            </w:tcBorders>
            <w:shd w:val="clear" w:color="auto" w:fill="auto"/>
            <w:noWrap/>
            <w:vAlign w:val="bottom"/>
            <w:hideMark/>
          </w:tcPr>
          <w:p w:rsidR="00A53D7D" w:rsidRPr="00DD4F39" w:rsidRDefault="00A53D7D" w:rsidP="005140B4">
            <w:pPr>
              <w:pStyle w:val="OGHeading2"/>
              <w:rPr>
                <w:lang w:eastAsia="en-AU"/>
              </w:rPr>
            </w:pPr>
            <w:r w:rsidRPr="00DD4F39">
              <w:rPr>
                <w:lang w:eastAsia="en-AU"/>
              </w:rPr>
              <w:t>Planning, Building and Heritage</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DD4F39">
              <w:rPr>
                <w:lang w:eastAsia="en-AU"/>
              </w:rPr>
              <w:t xml:space="preserve">This output provides programs to address the future growth and change in metropolitan and regional Victoria through: </w:t>
            </w:r>
          </w:p>
          <w:p w:rsidR="00A53D7D" w:rsidRDefault="00A53D7D" w:rsidP="005140B4">
            <w:pPr>
              <w:pStyle w:val="OGTabBullet"/>
            </w:pPr>
            <w:r w:rsidRPr="00DD4F39">
              <w:t xml:space="preserve">strategic land use planning for metropolitan and regional Victoria; </w:t>
            </w:r>
          </w:p>
          <w:p w:rsidR="00A53D7D" w:rsidRDefault="00A53D7D" w:rsidP="005140B4">
            <w:pPr>
              <w:pStyle w:val="OGTabBullet"/>
            </w:pPr>
            <w:r w:rsidRPr="00DD4F39">
              <w:t xml:space="preserve">delivering urban development, design and renewal; </w:t>
            </w:r>
          </w:p>
          <w:p w:rsidR="00A53D7D" w:rsidRDefault="00A53D7D" w:rsidP="005140B4">
            <w:pPr>
              <w:pStyle w:val="OGTabBullet"/>
            </w:pPr>
            <w:r w:rsidRPr="00DD4F39">
              <w:t xml:space="preserve">facilitating land supply in growth areas; </w:t>
            </w:r>
          </w:p>
          <w:p w:rsidR="00A53D7D" w:rsidRDefault="00A53D7D" w:rsidP="005140B4">
            <w:pPr>
              <w:pStyle w:val="OGTabBullet"/>
            </w:pPr>
            <w:r w:rsidRPr="00DD4F39">
              <w:t>streamlining Victoria</w:t>
            </w:r>
            <w:r>
              <w:t>’</w:t>
            </w:r>
            <w:r w:rsidRPr="00DD4F39">
              <w:t xml:space="preserve">s regulatory framework for planning, building and heritage; </w:t>
            </w:r>
          </w:p>
          <w:p w:rsidR="00A53D7D" w:rsidRDefault="00A53D7D" w:rsidP="005140B4">
            <w:pPr>
              <w:pStyle w:val="OGTabBullet"/>
            </w:pPr>
            <w:r w:rsidRPr="00DD4F39">
              <w:t xml:space="preserve">supporting heritage conservation and management; </w:t>
            </w:r>
          </w:p>
          <w:p w:rsidR="00A53D7D" w:rsidRDefault="00A53D7D" w:rsidP="005140B4">
            <w:pPr>
              <w:pStyle w:val="OGTabBullet"/>
            </w:pPr>
            <w:r w:rsidRPr="00DD4F39">
              <w:t xml:space="preserve">administering the statutory responsibilities of the Minister for Planning; and </w:t>
            </w:r>
          </w:p>
          <w:p w:rsidR="00A53D7D" w:rsidRDefault="00A53D7D" w:rsidP="005140B4">
            <w:pPr>
              <w:pStyle w:val="OGTabBullet"/>
            </w:pPr>
            <w:proofErr w:type="gramStart"/>
            <w:r w:rsidRPr="00DD4F39">
              <w:t>providing</w:t>
            </w:r>
            <w:proofErr w:type="gramEnd"/>
            <w:r w:rsidRPr="00DD4F39">
              <w:t xml:space="preserve"> a fair and transparent planning, building and heritage system.</w:t>
            </w:r>
          </w:p>
          <w:p w:rsidR="00A53D7D" w:rsidRPr="00DD4F39" w:rsidRDefault="00A53D7D" w:rsidP="005140B4">
            <w:pPr>
              <w:pStyle w:val="OGText"/>
              <w:rPr>
                <w:lang w:eastAsia="en-AU"/>
              </w:rPr>
            </w:pPr>
            <w:r w:rsidRPr="00DD4F39">
              <w:rPr>
                <w:lang w:eastAsia="en-AU"/>
              </w:rPr>
              <w:t>This output contributes to the Department</w:t>
            </w:r>
            <w:r>
              <w:rPr>
                <w:lang w:eastAsia="en-AU"/>
              </w:rPr>
              <w:t>’</w:t>
            </w:r>
            <w:r w:rsidRPr="00DD4F39">
              <w:rPr>
                <w:lang w:eastAsia="en-AU"/>
              </w:rPr>
              <w:t>s objective of planning for the future growth and transformation of cities and regions.</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Number of local governments undertaking work to support strategic planning for coastal settlements and areas</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Places or objects assessed for the Victorian Heritage Register</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45</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64</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2014</w:t>
            </w:r>
            <w:r>
              <w:noBreakHyphen/>
            </w:r>
            <w:r w:rsidRPr="00DD4F39">
              <w:t>15 target and 2013</w:t>
            </w:r>
            <w:r>
              <w:noBreakHyphen/>
            </w:r>
            <w:r w:rsidRPr="00DD4F39">
              <w:t>14 expected outcome reflect the downward trend of new nominations to the Victorian Heritage Register over the past five years as well as a reduction in the backlog of unassessed nominations.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057414">
              <w:rPr>
                <w:i/>
                <w:lang w:eastAsia="en-AU"/>
              </w:rPr>
              <w:t>Plan Melbourne</w:t>
            </w:r>
            <w:r w:rsidRPr="00DD4F39">
              <w:rPr>
                <w:lang w:eastAsia="en-AU"/>
              </w:rPr>
              <w:t xml:space="preserve"> prioritised </w:t>
            </w:r>
            <w:r w:rsidR="00EB7221">
              <w:rPr>
                <w:lang w:eastAsia="en-AU"/>
              </w:rPr>
              <w:t>P</w:t>
            </w:r>
            <w:r w:rsidRPr="00DD4F39">
              <w:rPr>
                <w:lang w:eastAsia="en-AU"/>
              </w:rPr>
              <w:t>lanning</w:t>
            </w:r>
            <w:r>
              <w:rPr>
                <w:lang w:eastAsia="en-AU"/>
              </w:rPr>
              <w:t>’s</w:t>
            </w:r>
            <w:r w:rsidRPr="00DD4F39">
              <w:rPr>
                <w:lang w:eastAsia="en-AU"/>
              </w:rPr>
              <w:t xml:space="preserve"> short</w:t>
            </w:r>
            <w:r>
              <w:rPr>
                <w:lang w:eastAsia="en-AU"/>
              </w:rPr>
              <w:t xml:space="preserve"> </w:t>
            </w:r>
            <w:r w:rsidRPr="00DD4F39">
              <w:rPr>
                <w:lang w:eastAsia="en-AU"/>
              </w:rPr>
              <w:t>term actions completed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54</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New measure for 2014</w:t>
            </w:r>
            <w:r>
              <w:noBreakHyphen/>
            </w:r>
            <w:r w:rsidRPr="00DD4F39">
              <w:t>15 to reflect implementation of Plan Melbourne.</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Report annually on analysis of supply, consumption and adequacy of residential and industrial land</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Research published: demographic trends and residential land</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5</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5</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5</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5</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Activities Area projects delivered against agreed project implementation documents, as set for the financial year</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80</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80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80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78</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Community Works Program/Community Support Grant projects completed meet agreed project objectives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683BDC">
              <w:t>This performance measure consolidates the 2013</w:t>
            </w:r>
            <w:r>
              <w:noBreakHyphen/>
            </w:r>
            <w:r w:rsidRPr="00683BDC">
              <w:t xml:space="preserve">14 performance measures </w:t>
            </w:r>
            <w:r>
              <w:t>‘</w:t>
            </w:r>
            <w:r w:rsidRPr="00683BDC">
              <w:t>Available funding committed to eligible projects: Community Works Program</w:t>
            </w:r>
            <w:r>
              <w:t>’</w:t>
            </w:r>
            <w:r w:rsidRPr="00683BDC">
              <w:t xml:space="preserve">, </w:t>
            </w:r>
            <w:r>
              <w:t>‘</w:t>
            </w:r>
            <w:r w:rsidRPr="00683BDC">
              <w:t>Community Support Grant projects completed meet agreed project objectives</w:t>
            </w:r>
            <w:r>
              <w:t>’</w:t>
            </w:r>
            <w:r w:rsidRPr="00683BDC">
              <w:t xml:space="preserve"> and </w:t>
            </w:r>
            <w:r>
              <w:t>‘</w:t>
            </w:r>
            <w:r w:rsidRPr="00683BDC">
              <w:t>Funded Community Support Grants projects contribute to planning and delivery of community infrastructure, or improving economic development and productivity</w:t>
            </w:r>
            <w:r>
              <w:t>’</w:t>
            </w:r>
            <w:r w:rsidRPr="00683BDC">
              <w:t xml:space="preserve"> to reflect Machinery of Government changes.</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Environmental effects statements, referrals and assessments completed in accordance with Ministerial Guidelines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Heritage certificates issued accurately</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Archaeological consents issued within 30 business days</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Average number of business days to decide a planning scheme amendment</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d</w:t>
            </w:r>
            <w:r w:rsidRPr="00DD4F39">
              <w:rPr>
                <w:lang w:eastAsia="en-AU"/>
              </w:rPr>
              <w:t>ays</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40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This performance measure renames the 2013</w:t>
            </w:r>
            <w:r>
              <w:noBreakHyphen/>
            </w:r>
            <w:r w:rsidRPr="00DD4F39">
              <w:t xml:space="preserve">14 performance measure </w:t>
            </w:r>
            <w:r>
              <w:t>‘</w:t>
            </w:r>
            <w:r w:rsidRPr="00DD4F39">
              <w:t>Average number of days to process a planning scheme amendment</w:t>
            </w:r>
            <w:r>
              <w:t>’</w:t>
            </w:r>
            <w:r w:rsidRPr="00DD4F39">
              <w:t>. The measure reports on the same activity as the previous measure and has been amended for increased clarity.</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Average number of business days to decide a planning scheme authorisation</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keepNext/>
              <w:rPr>
                <w:lang w:eastAsia="en-AU"/>
              </w:rPr>
            </w:pPr>
            <w:r>
              <w:rPr>
                <w:lang w:eastAsia="en-AU"/>
              </w:rPr>
              <w:t>d</w:t>
            </w:r>
            <w:r w:rsidRPr="00DD4F39">
              <w:rPr>
                <w:lang w:eastAsia="en-AU"/>
              </w:rPr>
              <w:t>ays</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keepNext/>
              <w:rPr>
                <w:lang w:eastAsia="en-AU"/>
              </w:rPr>
            </w:pPr>
            <w:r w:rsidRPr="00DD4F39">
              <w:rPr>
                <w:lang w:eastAsia="en-AU"/>
              </w:rPr>
              <w:t>10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10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10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This performance measure renames the 2013</w:t>
            </w:r>
            <w:r>
              <w:noBreakHyphen/>
            </w:r>
            <w:r w:rsidRPr="00DD4F39">
              <w:t xml:space="preserve">14 performance measure </w:t>
            </w:r>
            <w:r>
              <w:t>‘</w:t>
            </w:r>
            <w:r w:rsidRPr="00DD4F39">
              <w:t>Average number of days to process a planning scheme authorisation</w:t>
            </w:r>
            <w:r>
              <w:t>’</w:t>
            </w:r>
            <w:r w:rsidRPr="00DD4F39">
              <w:t>. The measure reports on the same activity as the previous measure and has been amended for increased clarity.</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Community Works/Community Support Grant payments made within 21 days of completion of agreed milestones in funding agreement</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keepNext/>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keepNext/>
              <w:rPr>
                <w:lang w:eastAsia="en-AU"/>
              </w:rPr>
            </w:pPr>
            <w:r w:rsidRPr="00DD4F39">
              <w:rPr>
                <w:lang w:eastAsia="en-AU"/>
              </w:rPr>
              <w:t>95</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683BDC">
              <w:t>This performance measure consolidates the 2013</w:t>
            </w:r>
            <w:r>
              <w:noBreakHyphen/>
            </w:r>
            <w:r w:rsidRPr="00683BDC">
              <w:t xml:space="preserve">14 performance measures </w:t>
            </w:r>
            <w:r>
              <w:t>‘</w:t>
            </w:r>
            <w:r w:rsidRPr="00683BDC">
              <w:t>Community Support Grant payments made within 21 days of completion of milestones in funding agreement</w:t>
            </w:r>
            <w:r>
              <w:t>’</w:t>
            </w:r>
            <w:r w:rsidRPr="00683BDC">
              <w:t xml:space="preserve"> and </w:t>
            </w:r>
            <w:r>
              <w:t>‘</w:t>
            </w:r>
            <w:r w:rsidRPr="00683BDC">
              <w:t xml:space="preserve">Community Support Grants completed within agreed </w:t>
            </w:r>
            <w:proofErr w:type="spellStart"/>
            <w:r w:rsidRPr="00683BDC">
              <w:t>timeframes</w:t>
            </w:r>
            <w:r>
              <w:t>’</w:t>
            </w:r>
            <w:proofErr w:type="spellEnd"/>
            <w:r w:rsidRPr="00683BDC">
              <w:t xml:space="preserve"> to reflect the combination of the previous Community Support Grants Program and the Community Works Program due to Machinery of Government changes.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Heritage permits issued within statutory timeframes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97</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2013</w:t>
            </w:r>
            <w:r>
              <w:noBreakHyphen/>
            </w:r>
            <w:r w:rsidRPr="00DD4F39">
              <w:t>14 expected outcome is lower than the 2013</w:t>
            </w:r>
            <w:r>
              <w:noBreakHyphen/>
            </w:r>
            <w:r w:rsidRPr="00DD4F39">
              <w:t>14 target due to a high volume of complex permits relating to major projects.</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Owners notified of accepted nominations to the Victorian Heritage Register within 14 days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State population projections reviewed and updated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d</w:t>
            </w:r>
            <w:r w:rsidRPr="00DD4F39">
              <w:rPr>
                <w:lang w:eastAsia="en-AU"/>
              </w:rPr>
              <w:t>ate</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Feb</w:t>
            </w:r>
            <w:r>
              <w:rPr>
                <w:lang w:eastAsia="en-AU"/>
              </w:rPr>
              <w:noBreakHyphen/>
              <w:t>20</w:t>
            </w:r>
            <w:r w:rsidRPr="00DD4F39">
              <w:rPr>
                <w:lang w:eastAsia="en-AU"/>
              </w:rPr>
              <w:t>15</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Feb</w:t>
            </w:r>
            <w:r>
              <w:rPr>
                <w:lang w:eastAsia="en-AU"/>
              </w:rPr>
              <w:noBreakHyphen/>
              <w:t>20</w:t>
            </w:r>
            <w:r w:rsidRPr="00DD4F39">
              <w:rPr>
                <w:lang w:eastAsia="en-AU"/>
              </w:rPr>
              <w:t>14</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Jun</w:t>
            </w:r>
            <w:r>
              <w:rPr>
                <w:lang w:eastAsia="en-AU"/>
              </w:rPr>
              <w:noBreakHyphen/>
              <w:t>20</w:t>
            </w:r>
            <w:r w:rsidRPr="00DD4F39">
              <w:rPr>
                <w:lang w:eastAsia="en-AU"/>
              </w:rPr>
              <w:t>14</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Feb</w:t>
            </w:r>
            <w:r>
              <w:rPr>
                <w:lang w:eastAsia="en-AU"/>
              </w:rPr>
              <w:noBreakHyphen/>
              <w:t>20</w:t>
            </w:r>
            <w:r w:rsidRPr="00DD4F39">
              <w:rPr>
                <w:lang w:eastAsia="en-AU"/>
              </w:rPr>
              <w:t>13</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2013</w:t>
            </w:r>
            <w:r>
              <w:noBreakHyphen/>
            </w:r>
            <w:r w:rsidRPr="00DD4F39">
              <w:t>14 expected outcome is set earlier than the 2013</w:t>
            </w:r>
            <w:r>
              <w:noBreakHyphen/>
            </w:r>
            <w:r w:rsidRPr="00DD4F39">
              <w:t>14 target as it is dependent on the timing of the release of relevant data by the Australian Bureau of Statistics (ABS).</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output cost</w:t>
            </w:r>
          </w:p>
        </w:tc>
        <w:tc>
          <w:tcPr>
            <w:tcW w:w="907" w:type="dxa"/>
            <w:tcBorders>
              <w:top w:val="nil"/>
              <w:left w:val="nil"/>
              <w:bottom w:val="nil"/>
              <w:right w:val="nil"/>
            </w:tcBorders>
            <w:shd w:val="clear" w:color="000000" w:fill="FFFFFF"/>
            <w:hideMark/>
          </w:tcPr>
          <w:p w:rsidR="00A53D7D" w:rsidRPr="00DD4F39" w:rsidRDefault="00A53D7D" w:rsidP="005140B4">
            <w:pPr>
              <w:pStyle w:val="OGUoM"/>
              <w:rPr>
                <w:lang w:eastAsia="en-AU"/>
              </w:rPr>
            </w:pPr>
            <w:r w:rsidRPr="00DD4F39">
              <w:rPr>
                <w:lang w:eastAsia="en-AU"/>
              </w:rPr>
              <w:t>$</w:t>
            </w:r>
            <w:r>
              <w:rPr>
                <w:lang w:eastAsia="en-AU"/>
              </w:rPr>
              <w:t> million</w:t>
            </w:r>
          </w:p>
        </w:tc>
        <w:tc>
          <w:tcPr>
            <w:tcW w:w="907" w:type="dxa"/>
            <w:tcBorders>
              <w:top w:val="nil"/>
              <w:left w:val="nil"/>
              <w:bottom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109.3</w:t>
            </w:r>
          </w:p>
        </w:tc>
        <w:tc>
          <w:tcPr>
            <w:tcW w:w="993" w:type="dxa"/>
            <w:tcBorders>
              <w:top w:val="nil"/>
              <w:left w:val="nil"/>
              <w:bottom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112.9</w:t>
            </w:r>
          </w:p>
        </w:tc>
        <w:tc>
          <w:tcPr>
            <w:tcW w:w="907" w:type="dxa"/>
            <w:tcBorders>
              <w:top w:val="nil"/>
              <w:left w:val="nil"/>
              <w:bottom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105.9</w:t>
            </w:r>
          </w:p>
        </w:tc>
        <w:tc>
          <w:tcPr>
            <w:tcW w:w="907" w:type="dxa"/>
            <w:tcBorders>
              <w:top w:val="nil"/>
              <w:left w:val="nil"/>
              <w:bottom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87.2</w:t>
            </w:r>
          </w:p>
        </w:tc>
      </w:tr>
      <w:tr w:rsidR="00A53D7D" w:rsidRPr="00DD4F39" w:rsidTr="005140B4">
        <w:trPr>
          <w:cantSplit/>
        </w:trPr>
        <w:tc>
          <w:tcPr>
            <w:tcW w:w="7776" w:type="dxa"/>
            <w:gridSpan w:val="6"/>
            <w:tcBorders>
              <w:top w:val="nil"/>
              <w:left w:val="nil"/>
              <w:bottom w:val="single" w:sz="12" w:space="0" w:color="auto"/>
              <w:right w:val="nil"/>
            </w:tcBorders>
            <w:shd w:val="clear" w:color="000000" w:fill="FFFFFF"/>
          </w:tcPr>
          <w:p w:rsidR="00A53D7D" w:rsidRPr="00FF4594" w:rsidRDefault="00A53D7D" w:rsidP="005140B4">
            <w:pPr>
              <w:pStyle w:val="OGNotes"/>
            </w:pPr>
            <w:r>
              <w:t>The 2013</w:t>
            </w:r>
            <w:r>
              <w:noBreakHyphen/>
              <w:t>14 expected outcome is higher than the 2013</w:t>
            </w:r>
            <w:r>
              <w:noBreakHyphen/>
              <w:t xml:space="preserve">14 target primarily due to carryover approved after the </w:t>
            </w:r>
            <w:r w:rsidRPr="00A714BC">
              <w:rPr>
                <w:i w:val="0"/>
              </w:rPr>
              <w:t>2013</w:t>
            </w:r>
            <w:r w:rsidRPr="00A714BC">
              <w:rPr>
                <w:i w:val="0"/>
              </w:rPr>
              <w:noBreakHyphen/>
              <w:t>14 Budget</w:t>
            </w:r>
            <w:r>
              <w:t>.</w:t>
            </w:r>
          </w:p>
        </w:tc>
      </w:tr>
    </w:tbl>
    <w:p w:rsidR="00A53D7D" w:rsidRDefault="00A53D7D" w:rsidP="005140B4">
      <w:pPr>
        <w:pStyle w:val="Source"/>
      </w:pPr>
      <w:r>
        <w:t>Source: Department of Transport, Planning and Local Infrastructure</w:t>
      </w:r>
      <w:r>
        <w:fldChar w:fldCharType="begin"/>
      </w:r>
      <w:r>
        <w:instrText xml:space="preserve"> XE "</w:instrText>
      </w:r>
      <w:r w:rsidRPr="00A30B8B">
        <w:rPr>
          <w:lang w:eastAsia="en-AU"/>
        </w:rPr>
        <w:instrText>Department of Transport, Planning and Local Infrastructure</w:instrText>
      </w:r>
      <w:r w:rsidRPr="00A30B8B">
        <w:instrText>:Metropolitan and Regional Planning and Development</w:instrText>
      </w:r>
      <w:r>
        <w:instrText xml:space="preserve">" \r "DTPLIMetroReg" </w:instrText>
      </w:r>
      <w:r>
        <w:fldChar w:fldCharType="end"/>
      </w:r>
      <w:r>
        <w:fldChar w:fldCharType="begin"/>
      </w:r>
      <w:r>
        <w:instrText xml:space="preserve"> XE "</w:instrText>
      </w:r>
      <w:r w:rsidRPr="004D3530">
        <w:rPr>
          <w:lang w:eastAsia="en-AU"/>
        </w:rPr>
        <w:instrText>Planning</w:instrText>
      </w:r>
      <w:r w:rsidRPr="004D3530">
        <w:instrText>:Metropolitan and Regional Planning and Development</w:instrText>
      </w:r>
      <w:r>
        <w:instrText xml:space="preserve">" \r "DTPLIMetroReg" </w:instrText>
      </w:r>
      <w:r>
        <w:fldChar w:fldCharType="end"/>
      </w:r>
      <w:r>
        <w:t xml:space="preserve">  </w:t>
      </w:r>
      <w:bookmarkEnd w:id="135"/>
    </w:p>
    <w:p w:rsidR="00A53D7D" w:rsidRDefault="00A53D7D" w:rsidP="005140B4">
      <w:pPr>
        <w:rPr>
          <w:lang w:eastAsia="en-AU"/>
        </w:rPr>
      </w:pPr>
      <w:r>
        <w:rPr>
          <w:lang w:eastAsia="en-AU"/>
        </w:rPr>
        <w:br w:type="page"/>
      </w:r>
    </w:p>
    <w:p w:rsidR="00A53D7D" w:rsidRPr="00DD4F39" w:rsidRDefault="00A53D7D" w:rsidP="005140B4">
      <w:pPr>
        <w:pStyle w:val="OGHeading1"/>
        <w:rPr>
          <w:lang w:eastAsia="en-AU"/>
        </w:rPr>
      </w:pPr>
      <w:bookmarkStart w:id="136" w:name="DTPLITransSafety"/>
      <w:r w:rsidRPr="00DD4F39">
        <w:rPr>
          <w:lang w:eastAsia="en-AU"/>
        </w:rPr>
        <w:t>Transport Safety and Security</w:t>
      </w:r>
    </w:p>
    <w:p w:rsidR="00A53D7D" w:rsidRPr="00DD4F39" w:rsidRDefault="00A53D7D" w:rsidP="005140B4">
      <w:pPr>
        <w:pStyle w:val="OGText"/>
        <w:rPr>
          <w:lang w:eastAsia="en-AU"/>
        </w:rPr>
      </w:pPr>
      <w:r w:rsidRPr="00DD4F39">
        <w:rPr>
          <w:lang w:eastAsia="en-AU"/>
        </w:rPr>
        <w:t>This output group delivers initiatives and regulatory activities that will improve safety on Victoria</w:t>
      </w:r>
      <w:r>
        <w:rPr>
          <w:lang w:eastAsia="en-AU"/>
        </w:rPr>
        <w:t>’</w:t>
      </w:r>
      <w:r w:rsidRPr="00DD4F39">
        <w:rPr>
          <w:lang w:eastAsia="en-AU"/>
        </w:rPr>
        <w:t xml:space="preserve">s roads, </w:t>
      </w:r>
      <w:r w:rsidRPr="00F8068E">
        <w:t>public</w:t>
      </w:r>
      <w:r w:rsidRPr="00DD4F39">
        <w:rPr>
          <w:lang w:eastAsia="en-AU"/>
        </w:rPr>
        <w:t xml:space="preserve"> </w:t>
      </w:r>
      <w:proofErr w:type="gramStart"/>
      <w:r w:rsidRPr="00DD4F39">
        <w:rPr>
          <w:lang w:eastAsia="en-AU"/>
        </w:rPr>
        <w:t>transport</w:t>
      </w:r>
      <w:proofErr w:type="gramEnd"/>
      <w:r w:rsidRPr="00DD4F39">
        <w:rPr>
          <w:lang w:eastAsia="en-AU"/>
        </w:rPr>
        <w:t xml:space="preserve"> and waterways. This output group also includes activities aimed at maintaining the security of critical transport infrastructure and ensuring preparedness to respond to emergency situations within the transport system.</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DD4F39" w:rsidTr="005140B4">
        <w:trPr>
          <w:cantSplit/>
        </w:trPr>
        <w:tc>
          <w:tcPr>
            <w:tcW w:w="7776" w:type="dxa"/>
            <w:gridSpan w:val="6"/>
            <w:tcBorders>
              <w:top w:val="nil"/>
              <w:left w:val="nil"/>
              <w:right w:val="nil"/>
            </w:tcBorders>
            <w:shd w:val="clear" w:color="auto" w:fill="auto"/>
            <w:vAlign w:val="bottom"/>
          </w:tcPr>
          <w:p w:rsidR="00A53D7D" w:rsidRPr="00DD4F39" w:rsidRDefault="00A53D7D" w:rsidP="005140B4">
            <w:pPr>
              <w:pStyle w:val="OGHeading2"/>
              <w:rPr>
                <w:lang w:eastAsia="en-AU"/>
              </w:rPr>
            </w:pPr>
            <w:r w:rsidRPr="00DD4F39">
              <w:rPr>
                <w:lang w:eastAsia="en-AU"/>
              </w:rPr>
              <w:t>Transport Safety Regulation and Investigations</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Pr="00DD4F39" w:rsidRDefault="00A53D7D" w:rsidP="005140B4">
            <w:pPr>
              <w:pStyle w:val="OGText"/>
              <w:rPr>
                <w:lang w:eastAsia="en-AU"/>
              </w:rPr>
            </w:pPr>
            <w:r w:rsidRPr="00DD4F39">
              <w:rPr>
                <w:lang w:eastAsia="en-AU"/>
              </w:rPr>
              <w:t>This output provides the regulatory framework, administration and independent safety investigations for the safe operation of transport services in Victoria. This output supports the Department</w:t>
            </w:r>
            <w:r>
              <w:rPr>
                <w:lang w:eastAsia="en-AU"/>
              </w:rPr>
              <w:t>’</w:t>
            </w:r>
            <w:r w:rsidRPr="00DD4F39">
              <w:rPr>
                <w:lang w:eastAsia="en-AU"/>
              </w:rPr>
              <w:t>s objective to provide safer transport services and infrastructure.</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Average occupancy rate of metropolitan taxis in December (period of high service demand)</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36</w:t>
            </w:r>
            <w:r>
              <w:rPr>
                <w:lang w:eastAsia="en-AU"/>
              </w:rPr>
              <w:t>.0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New performance measure for 2014</w:t>
            </w:r>
            <w:r>
              <w:noBreakHyphen/>
            </w:r>
            <w:r w:rsidRPr="00DD4F39">
              <w:t>15 to reflect the uptake of services resulting from the Government</w:t>
            </w:r>
            <w:r>
              <w:t>’</w:t>
            </w:r>
            <w:r w:rsidRPr="00DD4F39">
              <w:t>s reforms of the taxi and hire vehicle industry. It measures the level of occupancy at a time of high service demand during the year.</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Average occupancy rate of metropolitan taxis in June (period of low service demand)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33</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New performance measure for 2014</w:t>
            </w:r>
            <w:r>
              <w:noBreakHyphen/>
            </w:r>
            <w:r w:rsidRPr="00DD4F39">
              <w:t>15 to reflect the uptake of services resulting from the Government</w:t>
            </w:r>
            <w:r>
              <w:t>’</w:t>
            </w:r>
            <w:r w:rsidRPr="00DD4F39">
              <w:t>s reforms of the taxi and hire vehicle industry. It measures the level of occupancy at a time of low service demand during the year.</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Road vehicle and driver regulation: driver licences renewed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number (‘000)</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750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746</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746</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669</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higher 2014</w:t>
            </w:r>
            <w:r>
              <w:noBreakHyphen/>
            </w:r>
            <w:r w:rsidRPr="00DD4F39">
              <w:t>15 target reflects the number of licences due to expire in 2014</w:t>
            </w:r>
            <w:r>
              <w:noBreakHyphen/>
            </w:r>
            <w:r w:rsidRPr="00DD4F39">
              <w:t>15, adjusting for the estimated non</w:t>
            </w:r>
            <w:r>
              <w:noBreakHyphen/>
            </w:r>
            <w:r w:rsidRPr="00DD4F39">
              <w:t>renewal rate.</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Road vehicle and driver regulation: new driver licences issued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number (‘000)</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190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185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185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182</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higher 2014</w:t>
            </w:r>
            <w:r>
              <w:noBreakHyphen/>
            </w:r>
            <w:r w:rsidRPr="00DD4F39">
              <w:t>15 target reflects forecast growth in the number of new driver licences issued, based on demographic and economic indicators and historical movements.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Road vehicle and driver regulation: new vehicle registrations issued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number (‘000)</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544</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541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559</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540</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6426F4" w:rsidRDefault="00A53D7D" w:rsidP="005140B4">
            <w:pPr>
              <w:pStyle w:val="OGNotes"/>
              <w:rPr>
                <w:szCs w:val="15"/>
              </w:rPr>
            </w:pPr>
            <w:r w:rsidRPr="006426F4">
              <w:rPr>
                <w:szCs w:val="15"/>
              </w:rPr>
              <w:t>The lower 2014</w:t>
            </w:r>
            <w:r>
              <w:rPr>
                <w:szCs w:val="15"/>
              </w:rPr>
              <w:noBreakHyphen/>
            </w:r>
            <w:r w:rsidRPr="006426F4">
              <w:rPr>
                <w:szCs w:val="15"/>
              </w:rPr>
              <w:t>15 target reflects forecasts in the number of new vehicle registrations issued, based on demographic and economic indicators and historical movements.</w:t>
            </w:r>
          </w:p>
          <w:p w:rsidR="00A53D7D" w:rsidRPr="00DD4F39" w:rsidRDefault="00A53D7D" w:rsidP="005140B4">
            <w:pPr>
              <w:pStyle w:val="OGNotes"/>
            </w:pPr>
            <w:r w:rsidRPr="006426F4">
              <w:rPr>
                <w:szCs w:val="15"/>
              </w:rPr>
              <w:t>The 2013</w:t>
            </w:r>
            <w:r>
              <w:rPr>
                <w:szCs w:val="15"/>
              </w:rPr>
              <w:noBreakHyphen/>
            </w:r>
            <w:r w:rsidRPr="006426F4">
              <w:rPr>
                <w:szCs w:val="15"/>
              </w:rPr>
              <w:t>14 expected outcome is lower than the 2013</w:t>
            </w:r>
            <w:r>
              <w:rPr>
                <w:szCs w:val="15"/>
              </w:rPr>
              <w:noBreakHyphen/>
            </w:r>
            <w:r w:rsidRPr="006426F4">
              <w:rPr>
                <w:szCs w:val="15"/>
              </w:rPr>
              <w:t>14 target due to revised forecasts based on year to date actual data plus anticipated trends for future months by taking into account demographic and economic indicators.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Road vehicle and driver regulation: vehicle and driver information requests processed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number (‘000)</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4</w:t>
            </w:r>
            <w:r>
              <w:rPr>
                <w:lang w:eastAsia="en-AU"/>
              </w:rPr>
              <w:t> </w:t>
            </w:r>
            <w:r w:rsidRPr="00DD4F39">
              <w:rPr>
                <w:lang w:eastAsia="en-AU"/>
              </w:rPr>
              <w:t>121</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w:t>
            </w:r>
            <w:r>
              <w:rPr>
                <w:lang w:eastAsia="en-AU"/>
              </w:rPr>
              <w:t> </w:t>
            </w:r>
            <w:r w:rsidRPr="00DD4F39">
              <w:rPr>
                <w:lang w:eastAsia="en-AU"/>
              </w:rPr>
              <w:t>151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w:t>
            </w:r>
            <w:r>
              <w:rPr>
                <w:lang w:eastAsia="en-AU"/>
              </w:rPr>
              <w:t> </w:t>
            </w:r>
            <w:r w:rsidRPr="00DD4F39">
              <w:rPr>
                <w:lang w:eastAsia="en-AU"/>
              </w:rPr>
              <w:t>250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w:t>
            </w:r>
            <w:r>
              <w:rPr>
                <w:lang w:eastAsia="en-AU"/>
              </w:rPr>
              <w:t> </w:t>
            </w:r>
            <w:r w:rsidRPr="00DD4F39">
              <w:rPr>
                <w:lang w:eastAsia="en-AU"/>
              </w:rPr>
              <w:t>178</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6426F4" w:rsidRDefault="00A53D7D" w:rsidP="005140B4">
            <w:pPr>
              <w:pStyle w:val="OGNotes"/>
              <w:rPr>
                <w:szCs w:val="15"/>
              </w:rPr>
            </w:pPr>
            <w:r w:rsidRPr="006426F4">
              <w:rPr>
                <w:szCs w:val="15"/>
              </w:rPr>
              <w:t>The lower 2014</w:t>
            </w:r>
            <w:r>
              <w:rPr>
                <w:szCs w:val="15"/>
              </w:rPr>
              <w:noBreakHyphen/>
            </w:r>
            <w:r w:rsidRPr="006426F4">
              <w:rPr>
                <w:szCs w:val="15"/>
              </w:rPr>
              <w:t>15 target reflects a decrease in information requests by toll road operators.</w:t>
            </w:r>
          </w:p>
          <w:p w:rsidR="00A53D7D" w:rsidRPr="00DD4F39" w:rsidRDefault="00A53D7D" w:rsidP="005140B4">
            <w:pPr>
              <w:pStyle w:val="OGNotes"/>
            </w:pPr>
            <w:r w:rsidRPr="006426F4">
              <w:rPr>
                <w:szCs w:val="15"/>
              </w:rPr>
              <w:t>The 2013</w:t>
            </w:r>
            <w:r>
              <w:rPr>
                <w:szCs w:val="15"/>
              </w:rPr>
              <w:noBreakHyphen/>
            </w:r>
            <w:r w:rsidRPr="006426F4">
              <w:rPr>
                <w:szCs w:val="15"/>
              </w:rPr>
              <w:t>14 expected outcome is lower than the 2013</w:t>
            </w:r>
            <w:r>
              <w:rPr>
                <w:szCs w:val="15"/>
              </w:rPr>
              <w:noBreakHyphen/>
            </w:r>
            <w:r w:rsidRPr="006426F4">
              <w:rPr>
                <w:szCs w:val="15"/>
              </w:rPr>
              <w:t>14 target due to</w:t>
            </w:r>
            <w:r>
              <w:rPr>
                <w:szCs w:val="15"/>
              </w:rPr>
              <w:t xml:space="preserve"> a </w:t>
            </w:r>
            <w:r w:rsidRPr="006426F4">
              <w:rPr>
                <w:szCs w:val="15"/>
              </w:rPr>
              <w:t>revised forecast based on year to date actual data plus anticipated trends for future months.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Road vehicle and driver regulation: vehicle registration transfers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number (‘000)</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847</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852</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849</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839</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6426F4" w:rsidRDefault="00A53D7D" w:rsidP="005140B4">
            <w:pPr>
              <w:pStyle w:val="OGNotes"/>
              <w:rPr>
                <w:szCs w:val="15"/>
              </w:rPr>
            </w:pPr>
            <w:r w:rsidRPr="006426F4">
              <w:rPr>
                <w:szCs w:val="15"/>
              </w:rPr>
              <w:t>The lower 2014</w:t>
            </w:r>
            <w:r>
              <w:rPr>
                <w:szCs w:val="15"/>
              </w:rPr>
              <w:noBreakHyphen/>
            </w:r>
            <w:r w:rsidRPr="006426F4">
              <w:rPr>
                <w:szCs w:val="15"/>
              </w:rPr>
              <w:t>15 target reflects forecasts in the number of vehicle registration transfers, based on demographic and economic indicators and historical movements.</w:t>
            </w:r>
          </w:p>
          <w:p w:rsidR="00A53D7D" w:rsidRPr="00DD4F39" w:rsidRDefault="00A53D7D" w:rsidP="005140B4">
            <w:pPr>
              <w:pStyle w:val="OGNotes"/>
            </w:pPr>
            <w:r w:rsidRPr="006426F4">
              <w:rPr>
                <w:szCs w:val="15"/>
              </w:rPr>
              <w:t>The 2013</w:t>
            </w:r>
            <w:r>
              <w:rPr>
                <w:szCs w:val="15"/>
              </w:rPr>
              <w:noBreakHyphen/>
            </w:r>
            <w:r w:rsidRPr="006426F4">
              <w:rPr>
                <w:szCs w:val="15"/>
              </w:rPr>
              <w:t>14 expected outcome is higher than the 2013</w:t>
            </w:r>
            <w:r>
              <w:rPr>
                <w:szCs w:val="15"/>
              </w:rPr>
              <w:noBreakHyphen/>
            </w:r>
            <w:r w:rsidRPr="006426F4">
              <w:rPr>
                <w:szCs w:val="15"/>
              </w:rPr>
              <w:t>14 target due to revised forecasts based on year to date actual data plus anticipated trends for future months by taking into account demographic and economic indicators.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Road vehicle and driver regulation: vehicle registrations renewed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number (‘000)</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5</w:t>
            </w:r>
            <w:r>
              <w:rPr>
                <w:lang w:eastAsia="en-AU"/>
              </w:rPr>
              <w:t> </w:t>
            </w:r>
            <w:r w:rsidRPr="00DD4F39">
              <w:rPr>
                <w:lang w:eastAsia="en-AU"/>
              </w:rPr>
              <w:t>300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w:t>
            </w:r>
            <w:r>
              <w:rPr>
                <w:lang w:eastAsia="en-AU"/>
              </w:rPr>
              <w:t> </w:t>
            </w:r>
            <w:r w:rsidRPr="00DD4F39">
              <w:rPr>
                <w:lang w:eastAsia="en-AU"/>
              </w:rPr>
              <w:t>155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w:t>
            </w:r>
            <w:r>
              <w:rPr>
                <w:lang w:eastAsia="en-AU"/>
              </w:rPr>
              <w:t> </w:t>
            </w:r>
            <w:r w:rsidRPr="00DD4F39">
              <w:rPr>
                <w:lang w:eastAsia="en-AU"/>
              </w:rPr>
              <w:t>207</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w:t>
            </w:r>
            <w:r>
              <w:rPr>
                <w:lang w:eastAsia="en-AU"/>
              </w:rPr>
              <w:t> </w:t>
            </w:r>
            <w:r w:rsidRPr="00DD4F39">
              <w:rPr>
                <w:lang w:eastAsia="en-AU"/>
              </w:rPr>
              <w:t>104</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6426F4" w:rsidRDefault="00A53D7D" w:rsidP="005140B4">
            <w:pPr>
              <w:pStyle w:val="OGNotes"/>
              <w:rPr>
                <w:szCs w:val="15"/>
              </w:rPr>
            </w:pPr>
            <w:r w:rsidRPr="006426F4">
              <w:rPr>
                <w:szCs w:val="15"/>
              </w:rPr>
              <w:t>The higher 2014</w:t>
            </w:r>
            <w:r>
              <w:rPr>
                <w:szCs w:val="15"/>
              </w:rPr>
              <w:noBreakHyphen/>
            </w:r>
            <w:r w:rsidRPr="006426F4">
              <w:rPr>
                <w:szCs w:val="15"/>
              </w:rPr>
              <w:t>15 target reflects forecast growth in the number of vehicle registration renewals, based on demographic and economic indicators and historical movements.</w:t>
            </w:r>
          </w:p>
          <w:p w:rsidR="00A53D7D" w:rsidRPr="00DD4F39" w:rsidRDefault="00A53D7D" w:rsidP="005140B4">
            <w:pPr>
              <w:pStyle w:val="OGNotes"/>
            </w:pPr>
            <w:r w:rsidRPr="006426F4">
              <w:rPr>
                <w:szCs w:val="15"/>
              </w:rPr>
              <w:t>The 2013</w:t>
            </w:r>
            <w:r>
              <w:rPr>
                <w:szCs w:val="15"/>
              </w:rPr>
              <w:noBreakHyphen/>
            </w:r>
            <w:r w:rsidRPr="006426F4">
              <w:rPr>
                <w:szCs w:val="15"/>
              </w:rPr>
              <w:t>14 expected outcome is lower than the 2013</w:t>
            </w:r>
            <w:r>
              <w:rPr>
                <w:szCs w:val="15"/>
              </w:rPr>
              <w:noBreakHyphen/>
            </w:r>
            <w:r w:rsidRPr="006426F4">
              <w:rPr>
                <w:szCs w:val="15"/>
              </w:rPr>
              <w:t>14 target due to revised forecasts based on year to date actual data plus anticipated trends for future months by taking into account demographic and economic indicators.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Taxi and hire vehicle complaints and other feedback assessed, investigated and closed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3</w:t>
            </w:r>
            <w:r>
              <w:rPr>
                <w:lang w:eastAsia="en-AU"/>
              </w:rPr>
              <w:t> </w:t>
            </w:r>
            <w:r w:rsidRPr="00DD4F39">
              <w:rPr>
                <w:lang w:eastAsia="en-AU"/>
              </w:rPr>
              <w:t>351</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w:t>
            </w:r>
            <w:r>
              <w:rPr>
                <w:lang w:eastAsia="en-AU"/>
              </w:rPr>
              <w:t> </w:t>
            </w:r>
            <w:r w:rsidRPr="00DD4F39">
              <w:rPr>
                <w:lang w:eastAsia="en-AU"/>
              </w:rPr>
              <w:t>250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w:t>
            </w:r>
            <w:r>
              <w:rPr>
                <w:lang w:eastAsia="en-AU"/>
              </w:rPr>
              <w:t> </w:t>
            </w:r>
            <w:r w:rsidRPr="00DD4F39">
              <w:rPr>
                <w:lang w:eastAsia="en-AU"/>
              </w:rPr>
              <w:t>250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r>
              <w:rPr>
                <w:lang w:eastAsia="en-AU"/>
              </w:rPr>
              <w:t> </w:t>
            </w:r>
            <w:r w:rsidRPr="00DD4F39">
              <w:rPr>
                <w:lang w:eastAsia="en-AU"/>
              </w:rPr>
              <w:t>604</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6426F4" w:rsidRDefault="00A53D7D" w:rsidP="005140B4">
            <w:pPr>
              <w:pStyle w:val="OGNotes"/>
              <w:rPr>
                <w:szCs w:val="15"/>
              </w:rPr>
            </w:pPr>
            <w:r w:rsidRPr="006426F4">
              <w:rPr>
                <w:szCs w:val="15"/>
              </w:rPr>
              <w:t>This performance measure renames the 2013</w:t>
            </w:r>
            <w:r>
              <w:rPr>
                <w:szCs w:val="15"/>
              </w:rPr>
              <w:noBreakHyphen/>
            </w:r>
            <w:r w:rsidRPr="006426F4">
              <w:rPr>
                <w:szCs w:val="15"/>
              </w:rPr>
              <w:t xml:space="preserve">14 performance measures </w:t>
            </w:r>
            <w:r>
              <w:rPr>
                <w:szCs w:val="15"/>
              </w:rPr>
              <w:t>‘</w:t>
            </w:r>
            <w:r w:rsidRPr="006426F4">
              <w:rPr>
                <w:szCs w:val="15"/>
              </w:rPr>
              <w:t>Taxi and hire vehicle complaints assessed</w:t>
            </w:r>
            <w:r>
              <w:rPr>
                <w:szCs w:val="15"/>
              </w:rPr>
              <w:t>’</w:t>
            </w:r>
            <w:r w:rsidRPr="006426F4">
              <w:rPr>
                <w:szCs w:val="15"/>
              </w:rPr>
              <w:t>. The measure reports on the same activity as the previous measure and has been amended to more accurately describe the nature of communications from the industry and public managed by the Taxi Services Commission.</w:t>
            </w:r>
          </w:p>
          <w:p w:rsidR="00A53D7D" w:rsidRPr="00DD4F39" w:rsidRDefault="00A53D7D" w:rsidP="005140B4">
            <w:pPr>
              <w:pStyle w:val="OGNotes"/>
            </w:pPr>
            <w:r w:rsidRPr="006426F4">
              <w:rPr>
                <w:szCs w:val="15"/>
              </w:rPr>
              <w:t>The 2014</w:t>
            </w:r>
            <w:r>
              <w:rPr>
                <w:szCs w:val="15"/>
              </w:rPr>
              <w:noBreakHyphen/>
            </w:r>
            <w:r w:rsidRPr="006426F4">
              <w:rPr>
                <w:szCs w:val="15"/>
              </w:rPr>
              <w:t>15 target is higher than the 2013</w:t>
            </w:r>
            <w:r>
              <w:rPr>
                <w:szCs w:val="15"/>
              </w:rPr>
              <w:noBreakHyphen/>
            </w:r>
            <w:r w:rsidRPr="006426F4">
              <w:rPr>
                <w:szCs w:val="15"/>
              </w:rPr>
              <w:t>14 target and expected outcome due to an expected increase in the number of complaints and other feedback reflecting increased public awareness of service standards, resulting from the Government reforms of the taxi and hire vehicle industry that commenced on 1 July 2014.</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Taxi and hire vehicle inspections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15</w:t>
            </w:r>
            <w:r>
              <w:rPr>
                <w:lang w:eastAsia="en-AU"/>
              </w:rPr>
              <w:t> </w:t>
            </w:r>
            <w:r w:rsidRPr="00DD4F39">
              <w:rPr>
                <w:lang w:eastAsia="en-AU"/>
              </w:rPr>
              <w:t>000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17</w:t>
            </w:r>
            <w:r>
              <w:rPr>
                <w:lang w:eastAsia="en-AU"/>
              </w:rPr>
              <w:t> </w:t>
            </w:r>
            <w:r w:rsidRPr="00DD4F39">
              <w:rPr>
                <w:lang w:eastAsia="en-AU"/>
              </w:rPr>
              <w:t>000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15</w:t>
            </w:r>
            <w:r>
              <w:rPr>
                <w:lang w:eastAsia="en-AU"/>
              </w:rPr>
              <w:t> </w:t>
            </w:r>
            <w:r w:rsidRPr="00DD4F39">
              <w:rPr>
                <w:lang w:eastAsia="en-AU"/>
              </w:rPr>
              <w:t>000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24</w:t>
            </w:r>
            <w:r>
              <w:rPr>
                <w:lang w:eastAsia="en-AU"/>
              </w:rPr>
              <w:t> </w:t>
            </w:r>
            <w:r w:rsidRPr="00DD4F39">
              <w:rPr>
                <w:lang w:eastAsia="en-AU"/>
              </w:rPr>
              <w:t>910</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higher 2013</w:t>
            </w:r>
            <w:r>
              <w:noBreakHyphen/>
            </w:r>
            <w:r w:rsidRPr="00DD4F39">
              <w:t xml:space="preserve">14 expected outcome reflects an increased number of inspections required in the first quarter of the year to establish service and safety benchmarks for the new inspection data capture software introduced in July 2013. </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Taxi and hire vehicle reform recommendations implemented and completed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47</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New performance measure for 2014</w:t>
            </w:r>
            <w:r>
              <w:noBreakHyphen/>
            </w:r>
            <w:r w:rsidRPr="00DD4F39">
              <w:t>15 to reflect progress of the Government</w:t>
            </w:r>
            <w:r>
              <w:t>’</w:t>
            </w:r>
            <w:r w:rsidRPr="00DD4F39">
              <w:t xml:space="preserve">s reforms of the taxi and hire vehicle industry. </w:t>
            </w:r>
            <w:r>
              <w:t xml:space="preserve">It is anticipated that </w:t>
            </w:r>
            <w:r w:rsidRPr="00DD4F39">
              <w:t xml:space="preserve">74 of the 137 recommendations approved by the Government to reform the taxi and hire vehicle industry </w:t>
            </w:r>
            <w:r>
              <w:t>will</w:t>
            </w:r>
            <w:r w:rsidRPr="00DD4F39">
              <w:t xml:space="preserve"> be implemented by 30 June 2014. </w:t>
            </w:r>
            <w:r>
              <w:t xml:space="preserve">A further </w:t>
            </w:r>
            <w:r w:rsidRPr="00DD4F39">
              <w:t>47 recommendations are expected to be implemented in 2014</w:t>
            </w:r>
            <w:r>
              <w:noBreakHyphen/>
            </w:r>
            <w:r w:rsidRPr="00DD4F39">
              <w:t>15.</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Transport and marine safety investigations: proportion of notified accidents with passenger fatalities and/or multiple serious passenger injuries investigated</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Transport safety regulation: accredited maritime training organisations and training providers audited in accordance with risk</w:t>
            </w:r>
            <w:r>
              <w:rPr>
                <w:lang w:eastAsia="en-AU"/>
              </w:rPr>
              <w:noBreakHyphen/>
            </w:r>
            <w:r w:rsidRPr="00DD4F39">
              <w:rPr>
                <w:lang w:eastAsia="en-AU"/>
              </w:rPr>
              <w:t>based audit plan</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Transport safety regulation: audit of commercial maritime duty holders other than vessel owners and operators in accordance with risk</w:t>
            </w:r>
            <w:r>
              <w:rPr>
                <w:lang w:eastAsia="en-AU"/>
              </w:rPr>
              <w:noBreakHyphen/>
            </w:r>
            <w:r w:rsidRPr="00DD4F39">
              <w:rPr>
                <w:lang w:eastAsia="en-AU"/>
              </w:rPr>
              <w:t>based audit plan</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Transport safety regulation: commercial vessels surveyed</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Transport safety regulation: compliance inspections of vessel operating and zoning rules in designated high</w:t>
            </w:r>
            <w:r>
              <w:rPr>
                <w:lang w:eastAsia="en-AU"/>
              </w:rPr>
              <w:noBreakHyphen/>
            </w:r>
            <w:r w:rsidRPr="00DD4F39">
              <w:rPr>
                <w:lang w:eastAsia="en-AU"/>
              </w:rPr>
              <w:t>risk segments of Victorian waterways in accordance with risk</w:t>
            </w:r>
            <w:r>
              <w:rPr>
                <w:lang w:eastAsia="en-AU"/>
              </w:rPr>
              <w:noBreakHyphen/>
            </w:r>
            <w:r w:rsidRPr="00DD4F39">
              <w:rPr>
                <w:lang w:eastAsia="en-AU"/>
              </w:rPr>
              <w:t>based audit plan</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Transport safety regulation: rail safety audits/compliance inspections conducted in accordance with legislative requirements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50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57</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77</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higher 2013</w:t>
            </w:r>
            <w:r>
              <w:noBreakHyphen/>
            </w:r>
            <w:r w:rsidRPr="00DD4F39">
              <w:t>14 expected outcome is due to additional resources being available resulting from the revised timeline in completing Office of National Rail Safety Regulator (ONRSR) transition activities.</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Transport safety regulation: recreational vessel inspections undertaken in accordance with risk</w:t>
            </w:r>
            <w:r>
              <w:rPr>
                <w:lang w:eastAsia="en-AU"/>
              </w:rPr>
              <w:noBreakHyphen/>
            </w:r>
            <w:r w:rsidRPr="00DD4F39">
              <w:rPr>
                <w:lang w:eastAsia="en-AU"/>
              </w:rPr>
              <w:t>based audit plan</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 xml:space="preserve">Transport safety regulation: safety audits of bus operators conducted in accordance with </w:t>
            </w:r>
            <w:r w:rsidRPr="000753EA">
              <w:rPr>
                <w:i/>
                <w:lang w:eastAsia="en-AU"/>
              </w:rPr>
              <w:t>Bus Safety Act 2009</w:t>
            </w:r>
            <w:r w:rsidRPr="00DD4F39">
              <w:rPr>
                <w:lang w:eastAsia="en-AU"/>
              </w:rPr>
              <w:t xml:space="preserve"> (Vic) requirements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560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New performance measure for 2014</w:t>
            </w:r>
            <w:r>
              <w:noBreakHyphen/>
            </w:r>
            <w:r w:rsidRPr="00DD4F39">
              <w:t>15 to reflect</w:t>
            </w:r>
            <w:r>
              <w:t xml:space="preserve"> the</w:t>
            </w:r>
            <w:r w:rsidRPr="00DD4F39">
              <w:t xml:space="preserve"> bus safety audit program from 2014</w:t>
            </w:r>
            <w:r>
              <w:noBreakHyphen/>
            </w:r>
            <w:r w:rsidRPr="00DD4F39">
              <w:t>15 onwards which will focus on obtaining assurance that bus operators are complying with their legislated safety obligations.</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Average wait time for conventional taxis booked to arrive at peak periods of demand</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minutes</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New performance measure for 2014</w:t>
            </w:r>
            <w:r>
              <w:noBreakHyphen/>
            </w:r>
            <w:r w:rsidRPr="00DD4F39">
              <w:t>15 to measure the average wait time for conventional taxis booked, consistent with the objectives of the Government</w:t>
            </w:r>
            <w:r>
              <w:t>’</w:t>
            </w:r>
            <w:r w:rsidRPr="00DD4F39">
              <w:t>s reforms of the taxi and hire vehicle industry to improve service, promote informed passenger choice and greater competition in the market. The measure relates to conventional taxis which have been booked for trips in the metropolitan zone at peak periods of demand, which are from Friday and Saturday 10pm through to Saturday and Sunday 4am.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Average wait time for wheelchair accessible taxis booked to arrive at peak periods of demand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keepNext/>
              <w:rPr>
                <w:lang w:eastAsia="en-AU"/>
              </w:rPr>
            </w:pPr>
            <w:r>
              <w:rPr>
                <w:lang w:eastAsia="en-AU"/>
              </w:rPr>
              <w:t>minutes</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keepNext/>
              <w:rPr>
                <w:lang w:eastAsia="en-AU"/>
              </w:rPr>
            </w:pPr>
            <w:r w:rsidRPr="00DD4F39">
              <w:rPr>
                <w:lang w:eastAsia="en-AU"/>
              </w:rPr>
              <w:t>28</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New performance measure for 2014</w:t>
            </w:r>
            <w:r>
              <w:noBreakHyphen/>
            </w:r>
            <w:r w:rsidRPr="00DD4F39">
              <w:t>15 to measure the average wait time for wheelchair accessible taxis booked, consistent with the objectives of the Government</w:t>
            </w:r>
            <w:r>
              <w:t>’</w:t>
            </w:r>
            <w:r w:rsidRPr="00DD4F39">
              <w:t>s reforms of the taxi and hire vehicle industry to improve service, promote informed passenger choice and greater competition in the market. The measure relates to wheelchair accessible taxis which have been booked for trips in the metropolitan zone at peak periods of demand, which are from Friday and Saturday 10pm through to Saturday and Sunday 4am.</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Road vehicle and driver regulation: currency of vehicle registration and driver licensing records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99</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99</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99</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99</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Road vehicle and driver regulation: user satisfaction with vehicle registration and driver licensing</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&gt;85</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89</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&gt;85</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90</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Taxi services customer satisfaction: information in taxis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score</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66</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New performance measure for 2014</w:t>
            </w:r>
            <w:r>
              <w:noBreakHyphen/>
            </w:r>
            <w:r w:rsidRPr="00DD4F39">
              <w:t>15 to measure the level of customer satisfaction with the information in taxis, consistent with the objective of the Government</w:t>
            </w:r>
            <w:r>
              <w:t>’</w:t>
            </w:r>
            <w:r w:rsidRPr="00DD4F39">
              <w:t>s reforms of the taxi and hire vehicle industry to improve service and information for passengers.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Taxi services customer satisfaction: overall satisfaction index</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score</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71</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70</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70</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69.1</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6426F4" w:rsidRDefault="00A53D7D" w:rsidP="005140B4">
            <w:pPr>
              <w:pStyle w:val="OGNotes"/>
              <w:rPr>
                <w:szCs w:val="15"/>
              </w:rPr>
            </w:pPr>
            <w:r w:rsidRPr="006426F4">
              <w:rPr>
                <w:szCs w:val="15"/>
              </w:rPr>
              <w:t>This performance measure renames the 2013</w:t>
            </w:r>
            <w:r>
              <w:rPr>
                <w:szCs w:val="15"/>
              </w:rPr>
              <w:noBreakHyphen/>
            </w:r>
            <w:r w:rsidRPr="006426F4">
              <w:rPr>
                <w:szCs w:val="15"/>
              </w:rPr>
              <w:t xml:space="preserve">14 performance measure </w:t>
            </w:r>
            <w:r>
              <w:rPr>
                <w:szCs w:val="15"/>
              </w:rPr>
              <w:t>‘</w:t>
            </w:r>
            <w:r w:rsidRPr="006426F4">
              <w:rPr>
                <w:szCs w:val="15"/>
              </w:rPr>
              <w:t>Taxi services customer satisfaction index</w:t>
            </w:r>
            <w:r>
              <w:rPr>
                <w:szCs w:val="15"/>
              </w:rPr>
              <w:t>’</w:t>
            </w:r>
            <w:r w:rsidRPr="006426F4">
              <w:rPr>
                <w:szCs w:val="15"/>
              </w:rPr>
              <w:t>. The measure reports on the same activity as the previous measure and has been amended to distinguish it from two new customer satisfaction measures being introduced in 2014</w:t>
            </w:r>
            <w:r>
              <w:rPr>
                <w:szCs w:val="15"/>
              </w:rPr>
              <w:noBreakHyphen/>
            </w:r>
            <w:r w:rsidRPr="006426F4">
              <w:rPr>
                <w:szCs w:val="15"/>
              </w:rPr>
              <w:t>15.</w:t>
            </w:r>
          </w:p>
          <w:p w:rsidR="00A53D7D" w:rsidRPr="00DD4F39" w:rsidRDefault="00A53D7D" w:rsidP="005140B4">
            <w:pPr>
              <w:pStyle w:val="OGNotes"/>
            </w:pPr>
            <w:r w:rsidRPr="006426F4">
              <w:rPr>
                <w:szCs w:val="15"/>
              </w:rPr>
              <w:t>The 2014</w:t>
            </w:r>
            <w:r>
              <w:rPr>
                <w:szCs w:val="15"/>
              </w:rPr>
              <w:noBreakHyphen/>
            </w:r>
            <w:r w:rsidRPr="006426F4">
              <w:rPr>
                <w:szCs w:val="15"/>
              </w:rPr>
              <w:t>15 target is higher than the 2013</w:t>
            </w:r>
            <w:r>
              <w:rPr>
                <w:szCs w:val="15"/>
              </w:rPr>
              <w:noBreakHyphen/>
            </w:r>
            <w:r w:rsidRPr="006426F4">
              <w:rPr>
                <w:szCs w:val="15"/>
              </w:rPr>
              <w:t>14 target and expected outcome due to an expectation that customer satisfaction with taxis will continue to increase with further implementation of the Government reforms of the taxi and hire vehicle industry.</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Taxi services customer satisfaction: safety of journeys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score</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73</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New performance measure for 2014</w:t>
            </w:r>
            <w:r>
              <w:noBreakHyphen/>
            </w:r>
            <w:r w:rsidRPr="00DD4F39">
              <w:t>15 to measure the level of customer satisfaction with the safety of journeys, consistent with the objective of the Government</w:t>
            </w:r>
            <w:r>
              <w:t>’</w:t>
            </w:r>
            <w:r w:rsidRPr="00DD4F39">
              <w:t>s reforms of the taxi and hire vehicle industry to improve safety for passengers.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Taxis and hire vehicles conform to safety and quality standards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80</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80</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80</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78</w:t>
            </w:r>
            <w:r>
              <w:rPr>
                <w:lang w:eastAsia="en-AU"/>
              </w:rPr>
              <w:t>.0</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This performance measure renames the 2013</w:t>
            </w:r>
            <w:r>
              <w:noBreakHyphen/>
            </w:r>
            <w:r w:rsidRPr="00DD4F39">
              <w:t xml:space="preserve">14 performance measure </w:t>
            </w:r>
            <w:r>
              <w:t>‘</w:t>
            </w:r>
            <w:r w:rsidRPr="00DD4F39">
              <w:t>Taxis and hire vehicles conform to quality standards</w:t>
            </w:r>
            <w:r>
              <w:t>’</w:t>
            </w:r>
            <w:r w:rsidRPr="00DD4F39">
              <w:t xml:space="preserve">. The performance </w:t>
            </w:r>
            <w:proofErr w:type="gramStart"/>
            <w:r w:rsidRPr="00DD4F39">
              <w:t>measure consolidates the quality focus of the previous measure with safety, consistent with the Government</w:t>
            </w:r>
            <w:r>
              <w:t>’</w:t>
            </w:r>
            <w:r w:rsidRPr="00DD4F39">
              <w:t>s reforms of the taxi and hire</w:t>
            </w:r>
            <w:proofErr w:type="gramEnd"/>
            <w:r w:rsidRPr="00DD4F39">
              <w:t xml:space="preserve"> vehicle industry to improve services for customers and address safety concerns of customers and drivers.</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keepNext/>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keepNext/>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keepNext/>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New country and regional taxi and other commercial passenger vehicle licence applications processed within 60 days</w:t>
            </w:r>
          </w:p>
        </w:tc>
        <w:tc>
          <w:tcPr>
            <w:tcW w:w="907" w:type="dxa"/>
            <w:tcBorders>
              <w:top w:val="nil"/>
              <w:left w:val="nil"/>
              <w:right w:val="nil"/>
            </w:tcBorders>
            <w:shd w:val="clear" w:color="000000" w:fill="FFFFFF"/>
            <w:hideMark/>
          </w:tcPr>
          <w:p w:rsidR="00A53D7D" w:rsidRPr="00DD4F39" w:rsidRDefault="00A53D7D" w:rsidP="005140B4">
            <w:pPr>
              <w:pStyle w:val="OGUoM"/>
              <w:keepNext/>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keepNext/>
              <w:rPr>
                <w:lang w:eastAsia="en-AU"/>
              </w:rPr>
            </w:pPr>
            <w:r w:rsidRPr="00DD4F39">
              <w:rPr>
                <w:lang w:eastAsia="en-AU"/>
              </w:rPr>
              <w:t>85</w:t>
            </w:r>
            <w:r>
              <w:rPr>
                <w:lang w:eastAsia="en-AU"/>
              </w:rPr>
              <w:t>.0</w:t>
            </w:r>
          </w:p>
        </w:tc>
        <w:tc>
          <w:tcPr>
            <w:tcW w:w="993" w:type="dxa"/>
            <w:tcBorders>
              <w:top w:val="nil"/>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New performance measure for 2014</w:t>
            </w:r>
            <w:r>
              <w:noBreakHyphen/>
            </w:r>
            <w:r w:rsidRPr="00DD4F39">
              <w:t>15 to reflect the Taxi Services Commission</w:t>
            </w:r>
            <w:r>
              <w:t>’</w:t>
            </w:r>
            <w:r w:rsidRPr="00DD4F39">
              <w:t>s responsiveness to processing licence applications. The issuing of licences in the new country and regional zones under the Government</w:t>
            </w:r>
            <w:r>
              <w:t>’</w:t>
            </w:r>
            <w:r w:rsidRPr="00DD4F39">
              <w:t xml:space="preserve">s reforms of the taxi and hire vehicle industry will be subject to industry and community consultation to establish whether it is in the interests of consumers to issue additional licences in these zones. The processing period is from the date </w:t>
            </w:r>
            <w:r>
              <w:t>of submission of the application,</w:t>
            </w:r>
            <w:r w:rsidRPr="00DD4F39">
              <w:t xml:space="preserve"> allows for the necessary </w:t>
            </w:r>
            <w:proofErr w:type="gramStart"/>
            <w:r w:rsidRPr="00DD4F39">
              <w:t>consultation</w:t>
            </w:r>
            <w:proofErr w:type="gramEnd"/>
            <w:r w:rsidRPr="00DD4F39">
              <w:t xml:space="preserve"> and ends with the date of a recommendation being provided for the Commission</w:t>
            </w:r>
            <w:r>
              <w:t>’</w:t>
            </w:r>
            <w:r w:rsidRPr="00DD4F39">
              <w:t>s approval to issue the licence or refuse the application.</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New metropolitan, urban and large regional taxi and other commercial passenger vehicle licence applications processed within 21</w:t>
            </w:r>
            <w:r>
              <w:rPr>
                <w:lang w:eastAsia="en-AU"/>
              </w:rPr>
              <w:t> </w:t>
            </w:r>
            <w:r w:rsidRPr="00DD4F39">
              <w:rPr>
                <w:lang w:eastAsia="en-AU"/>
              </w:rPr>
              <w:t>days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85</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New performance measure for 2014</w:t>
            </w:r>
            <w:r>
              <w:noBreakHyphen/>
            </w:r>
            <w:r w:rsidRPr="00DD4F39">
              <w:t>15 to reflect the Taxi Services Commission</w:t>
            </w:r>
            <w:r>
              <w:t>’</w:t>
            </w:r>
            <w:r w:rsidRPr="00DD4F39">
              <w:t xml:space="preserve">s responsiveness to processing licences, which will be available </w:t>
            </w:r>
            <w:r>
              <w:t>‘</w:t>
            </w:r>
            <w:r w:rsidRPr="00DD4F39">
              <w:t>as of right</w:t>
            </w:r>
            <w:r>
              <w:t>’</w:t>
            </w:r>
            <w:r w:rsidRPr="00DD4F39">
              <w:t xml:space="preserve"> under the Government</w:t>
            </w:r>
            <w:r>
              <w:t>’</w:t>
            </w:r>
            <w:r w:rsidRPr="00DD4F39">
              <w:t>s reforms of the taxi and hire vehicle industry for services offered in the new metropolitan, urban and large regional zones. The processing period is from the date of submission of the application until the date of licence offer.</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New taxi, hire vehicle and bus driver accreditation applications processed within 14 days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85</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85</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85</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r>
              <w:rPr>
                <w:lang w:eastAsia="en-AU"/>
              </w:rPr>
              <w:t>.0</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This performance measure renames the 2013</w:t>
            </w:r>
            <w:r>
              <w:noBreakHyphen/>
            </w:r>
            <w:r w:rsidRPr="00DD4F39">
              <w:t xml:space="preserve">14 performance measure </w:t>
            </w:r>
            <w:r>
              <w:t>‘</w:t>
            </w:r>
            <w:r w:rsidRPr="00DD4F39">
              <w:t>Taxi and hire vehicle driver accreditation applications processed within 14 days</w:t>
            </w:r>
            <w:r>
              <w:t>’</w:t>
            </w:r>
            <w:r w:rsidRPr="00DD4F39">
              <w:t>. The measure reports on the same activity as the previous measure and has been amended for increased clarity.</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Road vehicle and driver regulation: average speed of calls answered in VicRoads call centres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Pr>
                <w:lang w:eastAsia="en-AU"/>
              </w:rPr>
              <w:t>s</w:t>
            </w:r>
            <w:r w:rsidRPr="00DD4F39">
              <w:rPr>
                <w:lang w:eastAsia="en-AU"/>
              </w:rPr>
              <w:t>econds</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240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240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240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 xml:space="preserve">Road vehicle and </w:t>
            </w:r>
            <w:bookmarkStart w:id="137" w:name="_GoBack"/>
            <w:bookmarkEnd w:id="137"/>
            <w:r w:rsidRPr="00DD4F39">
              <w:rPr>
                <w:lang w:eastAsia="en-AU"/>
              </w:rPr>
              <w:t>driver regulation: customers served within 10</w:t>
            </w:r>
            <w:r>
              <w:rPr>
                <w:lang w:eastAsia="en-AU"/>
              </w:rPr>
              <w:t> </w:t>
            </w:r>
            <w:r w:rsidRPr="00DD4F39">
              <w:rPr>
                <w:lang w:eastAsia="en-AU"/>
              </w:rPr>
              <w:t>minutes in VicRoads Customer Service Centres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80</w:t>
            </w:r>
            <w:r>
              <w:rPr>
                <w:lang w:eastAsia="en-AU"/>
              </w:rPr>
              <w:t>.0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Pr>
                <w:lang w:eastAsia="en-AU"/>
              </w:rPr>
              <w:t>80.0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Pr>
                <w:lang w:eastAsia="en-AU"/>
              </w:rPr>
              <w:t>80.0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Pr>
                <w:lang w:eastAsia="en-AU"/>
              </w:rPr>
              <w:t>77.0</w:t>
            </w:r>
          </w:p>
        </w:tc>
      </w:tr>
      <w:tr w:rsidR="0058080C" w:rsidRPr="009B3704" w:rsidTr="005140B4">
        <w:trPr>
          <w:cantSplit/>
        </w:trPr>
        <w:tc>
          <w:tcPr>
            <w:tcW w:w="3155" w:type="dxa"/>
          </w:tcPr>
          <w:p w:rsidR="0058080C" w:rsidRPr="00A35B07" w:rsidRDefault="0058080C" w:rsidP="005140B4">
            <w:pPr>
              <w:pStyle w:val="OGTabText"/>
              <w:rPr>
                <w:lang w:eastAsia="en-AU"/>
              </w:rPr>
            </w:pPr>
            <w:r w:rsidRPr="00A35B07">
              <w:rPr>
                <w:lang w:eastAsia="en-AU"/>
              </w:rPr>
              <w:t>Road vehicle and driver regulation: new and renewed driving instructor authority applications processed within 14 days</w:t>
            </w:r>
          </w:p>
        </w:tc>
        <w:tc>
          <w:tcPr>
            <w:tcW w:w="907" w:type="dxa"/>
            <w:noWrap/>
          </w:tcPr>
          <w:p w:rsidR="0058080C" w:rsidRPr="00A35B07" w:rsidRDefault="0058080C" w:rsidP="005140B4">
            <w:pPr>
              <w:pStyle w:val="OGUoM"/>
              <w:rPr>
                <w:lang w:eastAsia="en-AU"/>
              </w:rPr>
            </w:pPr>
            <w:r w:rsidRPr="00A35B07">
              <w:rPr>
                <w:lang w:eastAsia="en-AU"/>
              </w:rPr>
              <w:t>per cent</w:t>
            </w:r>
          </w:p>
        </w:tc>
        <w:tc>
          <w:tcPr>
            <w:tcW w:w="907" w:type="dxa"/>
            <w:shd w:val="clear" w:color="auto" w:fill="D9D9D9"/>
            <w:noWrap/>
          </w:tcPr>
          <w:p w:rsidR="0058080C" w:rsidRPr="00911402" w:rsidRDefault="0058080C" w:rsidP="005140B4">
            <w:pPr>
              <w:pStyle w:val="OGTableofFigures"/>
              <w:rPr>
                <w:lang w:eastAsia="en-AU"/>
              </w:rPr>
            </w:pPr>
            <w:r>
              <w:rPr>
                <w:lang w:eastAsia="en-AU"/>
              </w:rPr>
              <w:t>85.0</w:t>
            </w:r>
          </w:p>
        </w:tc>
        <w:tc>
          <w:tcPr>
            <w:tcW w:w="993" w:type="dxa"/>
            <w:noWrap/>
          </w:tcPr>
          <w:p w:rsidR="0058080C" w:rsidRPr="009B3704" w:rsidRDefault="0058080C" w:rsidP="005140B4">
            <w:pPr>
              <w:pStyle w:val="OGTableofFigures"/>
              <w:rPr>
                <w:lang w:eastAsia="en-AU"/>
              </w:rPr>
            </w:pPr>
            <w:r>
              <w:rPr>
                <w:lang w:eastAsia="en-AU"/>
              </w:rPr>
              <w:t>85.0</w:t>
            </w:r>
          </w:p>
        </w:tc>
        <w:tc>
          <w:tcPr>
            <w:tcW w:w="907" w:type="dxa"/>
            <w:noWrap/>
          </w:tcPr>
          <w:p w:rsidR="0058080C" w:rsidRPr="009B3704" w:rsidRDefault="0058080C" w:rsidP="005140B4">
            <w:pPr>
              <w:pStyle w:val="OGTableofFigures"/>
              <w:rPr>
                <w:lang w:eastAsia="en-AU"/>
              </w:rPr>
            </w:pPr>
            <w:r w:rsidRPr="009B3704">
              <w:rPr>
                <w:lang w:eastAsia="en-AU"/>
              </w:rPr>
              <w:t>85</w:t>
            </w:r>
            <w:r>
              <w:rPr>
                <w:lang w:eastAsia="en-AU"/>
              </w:rPr>
              <w:t>.0</w:t>
            </w:r>
          </w:p>
        </w:tc>
        <w:tc>
          <w:tcPr>
            <w:tcW w:w="907" w:type="dxa"/>
            <w:noWrap/>
          </w:tcPr>
          <w:p w:rsidR="0058080C" w:rsidRPr="009B3704" w:rsidRDefault="0058080C" w:rsidP="005140B4">
            <w:pPr>
              <w:pStyle w:val="OGTableofFigures"/>
              <w:rPr>
                <w:lang w:eastAsia="en-AU"/>
              </w:rPr>
            </w:pPr>
            <w:r>
              <w:rPr>
                <w:lang w:eastAsia="en-AU"/>
              </w:rPr>
              <w:t>98.0</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Taxi and hire vehicle complaints investigated and closed within 45</w:t>
            </w:r>
            <w:r>
              <w:rPr>
                <w:lang w:eastAsia="en-AU"/>
              </w:rPr>
              <w:t> </w:t>
            </w:r>
            <w:r w:rsidRPr="00DD4F39">
              <w:rPr>
                <w:lang w:eastAsia="en-AU"/>
              </w:rPr>
              <w:t>days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85</w:t>
            </w:r>
            <w:r>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78</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85</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74</w:t>
            </w:r>
            <w:r>
              <w:rPr>
                <w:lang w:eastAsia="en-AU"/>
              </w:rPr>
              <w:t>.0</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2013</w:t>
            </w:r>
            <w:r>
              <w:noBreakHyphen/>
            </w:r>
            <w:r w:rsidRPr="00DD4F39">
              <w:t>14 expected outcome is lower than the 2013</w:t>
            </w:r>
            <w:r>
              <w:noBreakHyphen/>
            </w:r>
            <w:r w:rsidRPr="00DD4F39">
              <w:t>14 target due to the higher proportion of serious and complex complaints and longer investigation times. Efficiency in investigating and closing complaints has continued to improve and is expected to return to historical levels later in 2014</w:t>
            </w:r>
            <w:r>
              <w:noBreakHyphen/>
            </w:r>
            <w:r w:rsidRPr="00DD4F39">
              <w:t>15, as taxi booking companies and operators gradually take increased responsibility for complaints management under the Governmen</w:t>
            </w:r>
            <w:r>
              <w:t>t’s</w:t>
            </w:r>
            <w:r w:rsidRPr="00DD4F39">
              <w:t xml:space="preserve"> reforms of the industry. </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Taxi and hire vehicle: calls to the Taxi Services Commission call centre answered within 20 seconds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keepNext/>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keepNext/>
              <w:rPr>
                <w:lang w:eastAsia="en-AU"/>
              </w:rPr>
            </w:pPr>
            <w:r w:rsidRPr="00DD4F39">
              <w:rPr>
                <w:lang w:eastAsia="en-AU"/>
              </w:rPr>
              <w:t>59.4</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57</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68</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61.6</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6426F4" w:rsidRDefault="00A53D7D" w:rsidP="005140B4">
            <w:pPr>
              <w:pStyle w:val="OGNotes"/>
              <w:rPr>
                <w:szCs w:val="15"/>
              </w:rPr>
            </w:pPr>
            <w:r w:rsidRPr="006426F4">
              <w:rPr>
                <w:szCs w:val="15"/>
              </w:rPr>
              <w:t>This performance measure renames the 2013</w:t>
            </w:r>
            <w:r>
              <w:rPr>
                <w:szCs w:val="15"/>
              </w:rPr>
              <w:noBreakHyphen/>
            </w:r>
            <w:r w:rsidRPr="006426F4">
              <w:rPr>
                <w:szCs w:val="15"/>
              </w:rPr>
              <w:t xml:space="preserve">14 performance measure </w:t>
            </w:r>
            <w:r>
              <w:rPr>
                <w:szCs w:val="15"/>
              </w:rPr>
              <w:t>‘</w:t>
            </w:r>
            <w:r w:rsidRPr="006426F4">
              <w:rPr>
                <w:szCs w:val="15"/>
              </w:rPr>
              <w:t>Taxi and hire vehicle: calls to the Victorian Taxi Directorate call centre answered within 20 seconds</w:t>
            </w:r>
            <w:r>
              <w:rPr>
                <w:szCs w:val="15"/>
              </w:rPr>
              <w:t>’</w:t>
            </w:r>
            <w:r w:rsidRPr="006426F4">
              <w:rPr>
                <w:szCs w:val="15"/>
              </w:rPr>
              <w:t>. The measure updates the title of the Government</w:t>
            </w:r>
            <w:r>
              <w:rPr>
                <w:szCs w:val="15"/>
              </w:rPr>
              <w:t>’</w:t>
            </w:r>
            <w:r w:rsidRPr="006426F4">
              <w:rPr>
                <w:szCs w:val="15"/>
              </w:rPr>
              <w:t>s regulator from the Victorian Taxi Directorate to the Taxi Services Commission.</w:t>
            </w:r>
          </w:p>
          <w:p w:rsidR="00A53D7D" w:rsidRPr="006426F4" w:rsidRDefault="00A53D7D" w:rsidP="005140B4">
            <w:pPr>
              <w:pStyle w:val="OGNotes"/>
              <w:rPr>
                <w:szCs w:val="15"/>
              </w:rPr>
            </w:pPr>
            <w:r w:rsidRPr="006426F4">
              <w:rPr>
                <w:szCs w:val="15"/>
              </w:rPr>
              <w:t>The 2013</w:t>
            </w:r>
            <w:r>
              <w:rPr>
                <w:szCs w:val="15"/>
              </w:rPr>
              <w:noBreakHyphen/>
            </w:r>
            <w:r w:rsidRPr="006426F4">
              <w:rPr>
                <w:szCs w:val="15"/>
              </w:rPr>
              <w:t>14 expected outcome is lower than the 2013</w:t>
            </w:r>
            <w:r>
              <w:rPr>
                <w:szCs w:val="15"/>
              </w:rPr>
              <w:noBreakHyphen/>
            </w:r>
            <w:r w:rsidRPr="006426F4">
              <w:rPr>
                <w:szCs w:val="15"/>
              </w:rPr>
              <w:t>14 target due to a further increase in calls received (76,323 for July 2013 to February 2014, compared to 68,102 for the same period in 2012</w:t>
            </w:r>
            <w:r>
              <w:rPr>
                <w:szCs w:val="15"/>
              </w:rPr>
              <w:noBreakHyphen/>
            </w:r>
            <w:r w:rsidRPr="006426F4">
              <w:rPr>
                <w:szCs w:val="15"/>
              </w:rPr>
              <w:t>13), and in the average length of calls (172 seconds for July 2013 to February 2014 compared to 158 seconds for the same period in 2012</w:t>
            </w:r>
            <w:r>
              <w:rPr>
                <w:szCs w:val="15"/>
              </w:rPr>
              <w:noBreakHyphen/>
            </w:r>
            <w:r w:rsidRPr="006426F4">
              <w:rPr>
                <w:szCs w:val="15"/>
              </w:rPr>
              <w:t>13).</w:t>
            </w:r>
          </w:p>
          <w:p w:rsidR="00A53D7D" w:rsidRPr="006426F4" w:rsidRDefault="00A53D7D" w:rsidP="005140B4">
            <w:pPr>
              <w:pStyle w:val="OGNotes"/>
              <w:rPr>
                <w:szCs w:val="15"/>
              </w:rPr>
            </w:pPr>
            <w:r w:rsidRPr="006426F4">
              <w:rPr>
                <w:szCs w:val="15"/>
              </w:rPr>
              <w:t>Increased numbers and length of calls equate to a 22</w:t>
            </w:r>
            <w:r>
              <w:rPr>
                <w:szCs w:val="15"/>
              </w:rPr>
              <w:t> per cent</w:t>
            </w:r>
            <w:r w:rsidRPr="006426F4">
              <w:rPr>
                <w:szCs w:val="15"/>
              </w:rPr>
              <w:t xml:space="preserve"> increase in demand, and reflect that the call centre is continuing to manage a wider range of enquiries, including accreditation and licensing matters, and queries relating to taxi and hire vehicle reforms.</w:t>
            </w:r>
          </w:p>
          <w:p w:rsidR="00A53D7D" w:rsidRPr="00DD4F39" w:rsidRDefault="00A53D7D" w:rsidP="005140B4">
            <w:pPr>
              <w:pStyle w:val="OGNotes"/>
            </w:pPr>
            <w:r w:rsidRPr="006426F4">
              <w:rPr>
                <w:szCs w:val="15"/>
              </w:rPr>
              <w:t>The 2014</w:t>
            </w:r>
            <w:r>
              <w:rPr>
                <w:szCs w:val="15"/>
              </w:rPr>
              <w:noBreakHyphen/>
            </w:r>
            <w:r w:rsidRPr="006426F4">
              <w:rPr>
                <w:szCs w:val="15"/>
              </w:rPr>
              <w:t>15 target is higher than the 2013</w:t>
            </w:r>
            <w:r>
              <w:rPr>
                <w:szCs w:val="15"/>
              </w:rPr>
              <w:noBreakHyphen/>
            </w:r>
            <w:r w:rsidRPr="006426F4">
              <w:rPr>
                <w:szCs w:val="15"/>
              </w:rPr>
              <w:t>14 expected outcome due to the expectation that calls relating to the reforms will decrease in the second half of 2014</w:t>
            </w:r>
            <w:r>
              <w:rPr>
                <w:szCs w:val="15"/>
              </w:rPr>
              <w:noBreakHyphen/>
            </w:r>
            <w:r w:rsidRPr="006426F4">
              <w:rPr>
                <w:szCs w:val="15"/>
              </w:rPr>
              <w:t>15.</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Transport and marine safety investigations: accidents/incidents assessed within two days of notification to determine need for detailed investigation</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Transport and marine safety investigations: average time taken to complete investigations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m</w:t>
            </w:r>
            <w:r w:rsidRPr="00DD4F39">
              <w:rPr>
                <w:lang w:eastAsia="en-AU"/>
              </w:rPr>
              <w:t>onths</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12</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13</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12</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12</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2013</w:t>
            </w:r>
            <w:r>
              <w:noBreakHyphen/>
            </w:r>
            <w:r w:rsidRPr="00DD4F39">
              <w:t>14 expected outcome is higher than the 2013</w:t>
            </w:r>
            <w:r>
              <w:noBreakHyphen/>
            </w:r>
            <w:r w:rsidRPr="00DD4F39">
              <w:t>14 target due to transitioning to Australian Transport Safety Bureau (ATSB) investigation and reporting requirements in accordance with the Collaboration Agreement between the ATSB and the Victorian Chief Investigator, Transport Safety signed on 14 January 2013.</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 xml:space="preserve">Transport safety regulation: applications for bus operator registration and safety accreditation processed on time in accordance with </w:t>
            </w:r>
            <w:r w:rsidRPr="000753EA">
              <w:rPr>
                <w:i/>
                <w:lang w:eastAsia="en-AU"/>
              </w:rPr>
              <w:t>Bus Safety Act 2009</w:t>
            </w:r>
            <w:r w:rsidRPr="00DD4F39">
              <w:rPr>
                <w:lang w:eastAsia="en-AU"/>
              </w:rPr>
              <w:t xml:space="preserve"> (Vic) requirements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This performance measure is proposed to consolidate the 2013</w:t>
            </w:r>
            <w:r>
              <w:noBreakHyphen/>
            </w:r>
            <w:r w:rsidRPr="00DD4F39">
              <w:t xml:space="preserve">14 performance measures </w:t>
            </w:r>
            <w:r>
              <w:t>‘</w:t>
            </w:r>
            <w:r w:rsidRPr="00DD4F39">
              <w:t>Transport safety regulation: applications for bus operators registrations processed on time</w:t>
            </w:r>
            <w:r>
              <w:t>’</w:t>
            </w:r>
            <w:r w:rsidRPr="00DD4F39">
              <w:t xml:space="preserve"> and </w:t>
            </w:r>
            <w:r>
              <w:t>‘</w:t>
            </w:r>
            <w:r w:rsidRPr="00DD4F39">
              <w:t>Transport safety regulation: applications for bus safety accreditation processed on time</w:t>
            </w:r>
            <w:r>
              <w:t>’</w:t>
            </w:r>
            <w:r w:rsidRPr="00DD4F39">
              <w:t xml:space="preserve"> to better reflect the regulatory activities in accordance with </w:t>
            </w:r>
            <w:r w:rsidRPr="0037121C">
              <w:rPr>
                <w:i w:val="0"/>
              </w:rPr>
              <w:t>Bus Safety Act 2009</w:t>
            </w:r>
            <w:r>
              <w:t xml:space="preserve"> </w:t>
            </w:r>
            <w:r w:rsidRPr="00DD4F39">
              <w:t>(Vic) requirements.</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Transport safety regulation: applications for rail accreditation and variations to accreditation processed on time</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output cost</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212.</w:t>
            </w:r>
            <w:r>
              <w:rPr>
                <w:lang w:eastAsia="en-AU"/>
              </w:rPr>
              <w:t>1</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227.1</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211.8</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196.1</w:t>
            </w:r>
          </w:p>
        </w:tc>
      </w:tr>
      <w:tr w:rsidR="00A53D7D" w:rsidRPr="00DD4F39" w:rsidTr="005140B4">
        <w:trPr>
          <w:cantSplit/>
        </w:trPr>
        <w:tc>
          <w:tcPr>
            <w:tcW w:w="7776" w:type="dxa"/>
            <w:gridSpan w:val="6"/>
            <w:tcBorders>
              <w:left w:val="nil"/>
              <w:bottom w:val="single" w:sz="6" w:space="0" w:color="auto"/>
              <w:right w:val="nil"/>
            </w:tcBorders>
            <w:shd w:val="clear" w:color="000000" w:fill="FFFFFF"/>
          </w:tcPr>
          <w:p w:rsidR="00A53D7D" w:rsidRPr="00DD4F39" w:rsidRDefault="00A53D7D" w:rsidP="005140B4">
            <w:pPr>
              <w:pStyle w:val="OGNotes"/>
            </w:pPr>
            <w:r w:rsidRPr="007A3862">
              <w:t>The 2013</w:t>
            </w:r>
            <w:r>
              <w:noBreakHyphen/>
            </w:r>
            <w:r w:rsidRPr="007A3862">
              <w:t>14 expected outcome is higher than the 2013</w:t>
            </w:r>
            <w:r>
              <w:noBreakHyphen/>
            </w:r>
            <w:r w:rsidRPr="007A3862">
              <w:t>14 target and 2014</w:t>
            </w:r>
            <w:r>
              <w:noBreakHyphen/>
            </w:r>
            <w:r w:rsidRPr="007A3862">
              <w:t>15 target primarily due to carryover and other one</w:t>
            </w:r>
            <w:r>
              <w:noBreakHyphen/>
            </w:r>
            <w:r w:rsidRPr="007A3862">
              <w:t xml:space="preserve">off funding allocated after the </w:t>
            </w:r>
            <w:r w:rsidRPr="00A714BC">
              <w:rPr>
                <w:i w:val="0"/>
              </w:rPr>
              <w:t>2013</w:t>
            </w:r>
            <w:r w:rsidRPr="00A714BC">
              <w:rPr>
                <w:i w:val="0"/>
              </w:rPr>
              <w:noBreakHyphen/>
              <w:t>14 Budget</w:t>
            </w:r>
            <w:r>
              <w:t>.</w:t>
            </w:r>
          </w:p>
        </w:tc>
      </w:tr>
      <w:tr w:rsidR="00A53D7D" w:rsidRPr="00DD4F39" w:rsidTr="005140B4">
        <w:trPr>
          <w:cantSplit/>
        </w:trPr>
        <w:tc>
          <w:tcPr>
            <w:tcW w:w="7776" w:type="dxa"/>
            <w:gridSpan w:val="6"/>
            <w:tcBorders>
              <w:top w:val="single" w:sz="6" w:space="0" w:color="auto"/>
              <w:left w:val="nil"/>
              <w:right w:val="nil"/>
            </w:tcBorders>
            <w:shd w:val="clear" w:color="000000" w:fill="FFFFFF"/>
          </w:tcPr>
          <w:p w:rsidR="00A53D7D" w:rsidRPr="00DD4F39" w:rsidRDefault="00A53D7D" w:rsidP="005140B4">
            <w:pPr>
              <w:pStyle w:val="OGHeading2"/>
              <w:rPr>
                <w:lang w:eastAsia="en-AU"/>
              </w:rPr>
            </w:pPr>
            <w:r w:rsidRPr="00DD4F39">
              <w:rPr>
                <w:lang w:eastAsia="en-AU"/>
              </w:rPr>
              <w:t>Transport Safety and Security Management</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Pr="00DD4F39" w:rsidRDefault="00A53D7D" w:rsidP="005140B4">
            <w:pPr>
              <w:pStyle w:val="OGText"/>
              <w:rPr>
                <w:lang w:eastAsia="en-AU"/>
              </w:rPr>
            </w:pPr>
            <w:r w:rsidRPr="00DD4F39">
              <w:rPr>
                <w:lang w:eastAsia="en-AU"/>
              </w:rPr>
              <w:t>This output provides programs and initiatives that improve the safety characteristics of transport system infrastructure, including the marine environment, and that promote safer behaviour by transport users. This output also provides for management of security risks to transport services and the preparedness of the State and transport operators to respond to emergency situations within the transport system. This output supports the Department</w:t>
            </w:r>
            <w:r>
              <w:rPr>
                <w:lang w:eastAsia="en-AU"/>
              </w:rPr>
              <w:t>’</w:t>
            </w:r>
            <w:r w:rsidRPr="00DD4F39">
              <w:rPr>
                <w:lang w:eastAsia="en-AU"/>
              </w:rPr>
              <w:t>s objective to provide safer transport services and infrastructure.</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Public railway crossings upgraded</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20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21</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21</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44</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lower 2014</w:t>
            </w:r>
            <w:r>
              <w:noBreakHyphen/>
            </w:r>
            <w:r w:rsidRPr="00DD4F39">
              <w:t>15 target reflects the number of projects that are expected to be delivered under the 2014</w:t>
            </w:r>
            <w:r>
              <w:noBreakHyphen/>
            </w:r>
            <w:r w:rsidRPr="00DD4F39">
              <w:t>15 program.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Road safety projects/initiatives completed: safe road users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13</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17</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17</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lower than the 2013</w:t>
            </w:r>
            <w:r>
              <w:rPr>
                <w:szCs w:val="15"/>
              </w:rPr>
              <w:noBreakHyphen/>
            </w:r>
            <w:r w:rsidRPr="002425A8">
              <w:rPr>
                <w:szCs w:val="15"/>
              </w:rPr>
              <w:t>14 target due to four projects originally targeted for completion in 2013</w:t>
            </w:r>
            <w:r>
              <w:rPr>
                <w:szCs w:val="15"/>
              </w:rPr>
              <w:noBreakHyphen/>
            </w:r>
            <w:r w:rsidRPr="002425A8">
              <w:rPr>
                <w:szCs w:val="15"/>
              </w:rPr>
              <w:t>14, now scheduled to be completed in 2014</w:t>
            </w:r>
            <w:r>
              <w:rPr>
                <w:szCs w:val="15"/>
              </w:rPr>
              <w:noBreakHyphen/>
            </w:r>
            <w:r w:rsidRPr="002425A8">
              <w:rPr>
                <w:szCs w:val="15"/>
              </w:rPr>
              <w:t>15.</w:t>
            </w:r>
          </w:p>
          <w:p w:rsidR="00A53D7D" w:rsidRPr="00DD4F39" w:rsidRDefault="00A53D7D" w:rsidP="005140B4">
            <w:pPr>
              <w:pStyle w:val="OGNotes"/>
            </w:pPr>
            <w:r w:rsidRPr="002425A8">
              <w:rPr>
                <w:szCs w:val="15"/>
              </w:rPr>
              <w:t>The lower 2014</w:t>
            </w:r>
            <w:r>
              <w:rPr>
                <w:szCs w:val="15"/>
              </w:rPr>
              <w:noBreakHyphen/>
            </w:r>
            <w:r w:rsidRPr="002425A8">
              <w:rPr>
                <w:szCs w:val="15"/>
              </w:rPr>
              <w:t>15 target reflects the number of projects that are expected to be delivered under the 2014</w:t>
            </w:r>
            <w:r>
              <w:rPr>
                <w:szCs w:val="15"/>
              </w:rPr>
              <w:noBreakHyphen/>
            </w:r>
            <w:r w:rsidRPr="002425A8">
              <w:rPr>
                <w:szCs w:val="15"/>
              </w:rPr>
              <w:t>15 program.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Road safety projects/initiatives completed: safe roads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135</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181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174</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higher than the 2013</w:t>
            </w:r>
            <w:r>
              <w:rPr>
                <w:szCs w:val="15"/>
              </w:rPr>
              <w:noBreakHyphen/>
            </w:r>
            <w:r w:rsidRPr="002425A8">
              <w:rPr>
                <w:szCs w:val="15"/>
              </w:rPr>
              <w:t xml:space="preserve">14 target due to acceleration of the Safer Road Infrastructure Program. </w:t>
            </w:r>
          </w:p>
          <w:p w:rsidR="00A53D7D" w:rsidRPr="00DD4F39" w:rsidRDefault="00A53D7D" w:rsidP="005140B4">
            <w:pPr>
              <w:pStyle w:val="OGNotes"/>
            </w:pPr>
            <w:r w:rsidRPr="002425A8">
              <w:rPr>
                <w:szCs w:val="15"/>
              </w:rPr>
              <w:t>The higher 2014</w:t>
            </w:r>
            <w:r>
              <w:rPr>
                <w:szCs w:val="15"/>
              </w:rPr>
              <w:noBreakHyphen/>
            </w:r>
            <w:r w:rsidRPr="002425A8">
              <w:rPr>
                <w:szCs w:val="15"/>
              </w:rPr>
              <w:t>15 target reflects the number of projects that are expected to be delivered under the 2014</w:t>
            </w:r>
            <w:r>
              <w:rPr>
                <w:szCs w:val="15"/>
              </w:rPr>
              <w:noBreakHyphen/>
            </w:r>
            <w:r w:rsidRPr="002425A8">
              <w:rPr>
                <w:szCs w:val="15"/>
              </w:rPr>
              <w:t>15 program.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Road safety projects/initiatives completed: safe vehicles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keepNext/>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keepNext/>
              <w:rPr>
                <w:lang w:eastAsia="en-AU"/>
              </w:rPr>
            </w:pPr>
            <w:r w:rsidRPr="00DD4F39">
              <w:rPr>
                <w:lang w:eastAsia="en-AU"/>
              </w:rPr>
              <w:t>3</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7</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reflects the number of projects that are expected to be delivered under the 2014</w:t>
            </w:r>
            <w:r>
              <w:noBreakHyphen/>
            </w:r>
            <w:r w:rsidRPr="00DD4F39">
              <w:t>15 program.</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Security and emergency management exercises coordinated or contributed to by the Department of Transport, Planning and Local Infrastructure</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8</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8</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8</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Victorian marine pollution response exercises conducted by the Department of Transport, Planning and Local Infrastructure</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2</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3</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 xml:space="preserve">Audited Port Safety and Environment Management Plans compliant with the </w:t>
            </w:r>
            <w:r w:rsidRPr="000753EA">
              <w:rPr>
                <w:i/>
                <w:lang w:eastAsia="en-AU"/>
              </w:rPr>
              <w:t>Port Management Act 1995</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This performance measure renames the 2013</w:t>
            </w:r>
            <w:r>
              <w:noBreakHyphen/>
            </w:r>
            <w:r w:rsidRPr="00DD4F39">
              <w:t xml:space="preserve">14 performance measure </w:t>
            </w:r>
            <w:r>
              <w:t>‘</w:t>
            </w:r>
            <w:r w:rsidRPr="00DD4F39">
              <w:t xml:space="preserve">Audited Port Safety and Environment Management Plans compliant with the </w:t>
            </w:r>
            <w:r w:rsidRPr="0037121C">
              <w:rPr>
                <w:i w:val="0"/>
              </w:rPr>
              <w:t>Port Management Act 1995</w:t>
            </w:r>
            <w:r>
              <w:t>’</w:t>
            </w:r>
            <w:r w:rsidRPr="00DD4F39">
              <w:t>. The measure reports on the same activity as the previous measure and has been amended to increase its clarity.</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Proportion of reported marine pollution incidents that are monitored against the Victorian State Marine Pollution Contingency Plan and gazetted directions for regional control authorities</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This performance measure renames the 2013</w:t>
            </w:r>
            <w:r>
              <w:noBreakHyphen/>
            </w:r>
            <w:r w:rsidRPr="00DD4F39">
              <w:t xml:space="preserve">14 performance measure </w:t>
            </w:r>
            <w:r>
              <w:t>‘</w:t>
            </w:r>
            <w:r w:rsidRPr="00DD4F39">
              <w:t>Proportion of reported marine pollution incidents that are reviewed against the Victorian State Marine Pollution Contingency Plan and gazetted directions for regional control authorities</w:t>
            </w:r>
            <w:r>
              <w:t>’</w:t>
            </w:r>
            <w:r w:rsidRPr="00DD4F39">
              <w:t>. The measure reports on the same activity as the previous measure and has been amended to more accurately describe the action as reporting marine pollution incidents monitored rather than reviewed.</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 xml:space="preserve">Review of risk management plans of declared essential services and supervision of exercises to test the plans against the prescribed standards in the </w:t>
            </w:r>
            <w:r w:rsidRPr="000753EA">
              <w:rPr>
                <w:i/>
                <w:lang w:eastAsia="en-AU"/>
              </w:rPr>
              <w:t>Terrorism (Community Protection) Act 2003</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Road safety projects completed within agreed scope and standards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E646BF">
            <w:pPr>
              <w:pStyle w:val="OGTabHead"/>
              <w:rPr>
                <w:lang w:eastAsia="en-AU"/>
              </w:rPr>
            </w:pPr>
            <w:r w:rsidRPr="00DD4F39">
              <w:rPr>
                <w:lang w:eastAsia="en-AU"/>
              </w:rPr>
              <w:t>Timeliness</w:t>
            </w:r>
          </w:p>
        </w:tc>
        <w:tc>
          <w:tcPr>
            <w:tcW w:w="907" w:type="dxa"/>
            <w:tcBorders>
              <w:top w:val="single" w:sz="6" w:space="0" w:color="auto"/>
              <w:left w:val="nil"/>
              <w:right w:val="nil"/>
            </w:tcBorders>
            <w:shd w:val="clear" w:color="auto" w:fill="auto"/>
            <w:noWrap/>
            <w:vAlign w:val="bottom"/>
            <w:hideMark/>
          </w:tcPr>
          <w:p w:rsidR="00A53D7D" w:rsidRPr="00DD4F39" w:rsidRDefault="00A53D7D" w:rsidP="00E646BF">
            <w:pPr>
              <w:pStyle w:val="OGUoM"/>
              <w:keepNext/>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E646BF">
            <w:pPr>
              <w:pStyle w:val="OGTableofFigures"/>
              <w:keepNext/>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E646BF">
            <w:pPr>
              <w:pStyle w:val="OGTableofFigures"/>
              <w:keepNext/>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E646BF">
            <w:pPr>
              <w:pStyle w:val="OGTableofFigures"/>
              <w:keepNext/>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E646BF">
            <w:pPr>
              <w:pStyle w:val="OGTableofFigures"/>
              <w:keepNext/>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E646BF">
            <w:pPr>
              <w:pStyle w:val="OGTabText"/>
              <w:keepNext/>
              <w:rPr>
                <w:lang w:eastAsia="en-AU"/>
              </w:rPr>
            </w:pPr>
            <w:r w:rsidRPr="00DD4F39">
              <w:rPr>
                <w:lang w:eastAsia="en-AU"/>
              </w:rPr>
              <w:t>Initiate marine pollution response action within 60 minutes of incident notification</w:t>
            </w:r>
          </w:p>
        </w:tc>
        <w:tc>
          <w:tcPr>
            <w:tcW w:w="907" w:type="dxa"/>
            <w:tcBorders>
              <w:top w:val="nil"/>
              <w:left w:val="nil"/>
              <w:bottom w:val="single" w:sz="6" w:space="0" w:color="auto"/>
              <w:right w:val="nil"/>
            </w:tcBorders>
            <w:shd w:val="clear" w:color="000000" w:fill="FFFFFF"/>
            <w:hideMark/>
          </w:tcPr>
          <w:p w:rsidR="00A53D7D" w:rsidRPr="00DD4F39" w:rsidRDefault="00A53D7D" w:rsidP="00E646BF">
            <w:pPr>
              <w:pStyle w:val="OGUoM"/>
              <w:keepNext/>
              <w:rPr>
                <w:lang w:eastAsia="en-AU"/>
              </w:rPr>
            </w:pPr>
            <w:r w:rsidRPr="00DD4F39">
              <w:rPr>
                <w:lang w:eastAsia="en-AU"/>
              </w:rPr>
              <w:t>per cent</w:t>
            </w:r>
          </w:p>
        </w:tc>
        <w:tc>
          <w:tcPr>
            <w:tcW w:w="907" w:type="dxa"/>
            <w:tcBorders>
              <w:top w:val="nil"/>
              <w:left w:val="nil"/>
              <w:bottom w:val="single" w:sz="6" w:space="0" w:color="auto"/>
              <w:right w:val="nil"/>
            </w:tcBorders>
            <w:shd w:val="clear" w:color="auto" w:fill="D9D9D9"/>
            <w:hideMark/>
          </w:tcPr>
          <w:p w:rsidR="00A53D7D" w:rsidRPr="00DD4F39" w:rsidRDefault="00A53D7D" w:rsidP="00E646BF">
            <w:pPr>
              <w:pStyle w:val="OGTableofFigures"/>
              <w:keepNext/>
              <w:rPr>
                <w:lang w:eastAsia="en-AU"/>
              </w:rPr>
            </w:pPr>
            <w:r w:rsidRPr="00DD4F39">
              <w:rPr>
                <w:lang w:eastAsia="en-AU"/>
              </w:rPr>
              <w:t>100</w:t>
            </w:r>
          </w:p>
        </w:tc>
        <w:tc>
          <w:tcPr>
            <w:tcW w:w="993" w:type="dxa"/>
            <w:tcBorders>
              <w:top w:val="nil"/>
              <w:left w:val="nil"/>
              <w:bottom w:val="single" w:sz="6" w:space="0" w:color="auto"/>
              <w:right w:val="nil"/>
            </w:tcBorders>
            <w:shd w:val="clear" w:color="000000" w:fill="FFFFFF"/>
            <w:hideMark/>
          </w:tcPr>
          <w:p w:rsidR="00A53D7D" w:rsidRPr="00DD4F39" w:rsidRDefault="00A53D7D" w:rsidP="00E646BF">
            <w:pPr>
              <w:pStyle w:val="OGTableofFigures"/>
              <w:keepNext/>
              <w:rPr>
                <w:lang w:eastAsia="en-AU"/>
              </w:rPr>
            </w:pPr>
            <w:r w:rsidRPr="00DD4F39">
              <w:rPr>
                <w:lang w:eastAsia="en-AU"/>
              </w:rPr>
              <w:t>100</w:t>
            </w:r>
          </w:p>
        </w:tc>
        <w:tc>
          <w:tcPr>
            <w:tcW w:w="907" w:type="dxa"/>
            <w:tcBorders>
              <w:top w:val="nil"/>
              <w:left w:val="nil"/>
              <w:bottom w:val="single" w:sz="6" w:space="0" w:color="auto"/>
              <w:right w:val="nil"/>
            </w:tcBorders>
            <w:shd w:val="clear" w:color="000000" w:fill="FFFFFF"/>
            <w:hideMark/>
          </w:tcPr>
          <w:p w:rsidR="00A53D7D" w:rsidRPr="00DD4F39" w:rsidRDefault="00A53D7D" w:rsidP="00E646BF">
            <w:pPr>
              <w:pStyle w:val="OGTableofFigures"/>
              <w:keepNext/>
              <w:rPr>
                <w:lang w:eastAsia="en-AU"/>
              </w:rPr>
            </w:pPr>
            <w:r w:rsidRPr="00DD4F39">
              <w:rPr>
                <w:lang w:eastAsia="en-AU"/>
              </w:rPr>
              <w:t>100</w:t>
            </w:r>
          </w:p>
        </w:tc>
        <w:tc>
          <w:tcPr>
            <w:tcW w:w="907" w:type="dxa"/>
            <w:tcBorders>
              <w:top w:val="nil"/>
              <w:left w:val="nil"/>
              <w:bottom w:val="single" w:sz="6" w:space="0" w:color="auto"/>
              <w:right w:val="nil"/>
            </w:tcBorders>
            <w:shd w:val="clear" w:color="000000" w:fill="FFFFFF"/>
            <w:hideMark/>
          </w:tcPr>
          <w:p w:rsidR="00A53D7D" w:rsidRPr="00DD4F39" w:rsidRDefault="00A53D7D" w:rsidP="00E646BF">
            <w:pPr>
              <w:pStyle w:val="OGTableofFigures"/>
              <w:keepNext/>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Portfolio input to government response to infrastructure security and/or emergency management reviews provided within the required timeframes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keepNext/>
              <w:rPr>
                <w:lang w:eastAsia="en-AU"/>
              </w:rPr>
            </w:pPr>
            <w:r w:rsidRPr="00DD4F39">
              <w:rPr>
                <w:lang w:eastAsia="en-AU"/>
              </w:rPr>
              <w:t>Road safety programmed works completed within agreed timeframes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keepNext/>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keepNext/>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81</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output cost</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Pr>
                <w:lang w:eastAsia="en-AU"/>
              </w:rPr>
              <w:t>116.2</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103.4</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141.9</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110.3</w:t>
            </w:r>
          </w:p>
        </w:tc>
      </w:tr>
      <w:tr w:rsidR="00A53D7D" w:rsidRPr="00DD4F39" w:rsidTr="005140B4">
        <w:trPr>
          <w:cantSplit/>
        </w:trPr>
        <w:tc>
          <w:tcPr>
            <w:tcW w:w="7776" w:type="dxa"/>
            <w:gridSpan w:val="6"/>
            <w:tcBorders>
              <w:top w:val="nil"/>
              <w:left w:val="nil"/>
              <w:bottom w:val="single" w:sz="12"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lower than the 2013</w:t>
            </w:r>
            <w:r>
              <w:rPr>
                <w:szCs w:val="15"/>
              </w:rPr>
              <w:noBreakHyphen/>
            </w:r>
            <w:r w:rsidRPr="002425A8">
              <w:rPr>
                <w:szCs w:val="15"/>
              </w:rPr>
              <w:t>14 target primarily due to the re</w:t>
            </w:r>
            <w:r>
              <w:rPr>
                <w:szCs w:val="15"/>
              </w:rPr>
              <w:noBreakHyphen/>
            </w:r>
            <w:r w:rsidRPr="002425A8">
              <w:rPr>
                <w:szCs w:val="15"/>
              </w:rPr>
              <w:t>phasing</w:t>
            </w:r>
            <w:r>
              <w:rPr>
                <w:szCs w:val="15"/>
              </w:rPr>
              <w:t xml:space="preserve"> </w:t>
            </w:r>
            <w:r w:rsidRPr="002425A8">
              <w:rPr>
                <w:szCs w:val="15"/>
              </w:rPr>
              <w:t>of activities from 2013</w:t>
            </w:r>
            <w:r>
              <w:rPr>
                <w:szCs w:val="15"/>
              </w:rPr>
              <w:noBreakHyphen/>
            </w:r>
            <w:r w:rsidRPr="002425A8">
              <w:rPr>
                <w:szCs w:val="15"/>
              </w:rPr>
              <w:t>14 to 2014</w:t>
            </w:r>
            <w:r>
              <w:rPr>
                <w:szCs w:val="15"/>
              </w:rPr>
              <w:noBreakHyphen/>
            </w:r>
            <w:r w:rsidRPr="002425A8">
              <w:rPr>
                <w:szCs w:val="15"/>
              </w:rPr>
              <w:t>15.</w:t>
            </w:r>
          </w:p>
          <w:p w:rsidR="00A53D7D" w:rsidRPr="00DD4F39" w:rsidRDefault="00A53D7D" w:rsidP="005140B4">
            <w:pPr>
              <w:pStyle w:val="OGNotes"/>
            </w:pPr>
            <w:r w:rsidRPr="002425A8">
              <w:rPr>
                <w:szCs w:val="15"/>
              </w:rPr>
              <w:t>The 2014</w:t>
            </w:r>
            <w:r>
              <w:rPr>
                <w:szCs w:val="15"/>
              </w:rPr>
              <w:noBreakHyphen/>
            </w:r>
            <w:r w:rsidRPr="002425A8">
              <w:rPr>
                <w:szCs w:val="15"/>
              </w:rPr>
              <w:t>15 target</w:t>
            </w:r>
            <w:r>
              <w:rPr>
                <w:szCs w:val="15"/>
              </w:rPr>
              <w:t xml:space="preserve"> is higher than the </w:t>
            </w:r>
            <w:r w:rsidRPr="002425A8">
              <w:rPr>
                <w:szCs w:val="15"/>
              </w:rPr>
              <w:t>2013</w:t>
            </w:r>
            <w:r>
              <w:rPr>
                <w:szCs w:val="15"/>
              </w:rPr>
              <w:noBreakHyphen/>
            </w:r>
            <w:r w:rsidRPr="002425A8">
              <w:rPr>
                <w:szCs w:val="15"/>
              </w:rPr>
              <w:t>14 expected outcome primarily due to the re</w:t>
            </w:r>
            <w:r>
              <w:rPr>
                <w:szCs w:val="15"/>
              </w:rPr>
              <w:noBreakHyphen/>
            </w:r>
            <w:r w:rsidRPr="002425A8">
              <w:rPr>
                <w:szCs w:val="15"/>
              </w:rPr>
              <w:t>phasing of activities from 2013</w:t>
            </w:r>
            <w:r>
              <w:rPr>
                <w:szCs w:val="15"/>
              </w:rPr>
              <w:noBreakHyphen/>
            </w:r>
            <w:r w:rsidRPr="002425A8">
              <w:rPr>
                <w:szCs w:val="15"/>
              </w:rPr>
              <w:t>14 to 2014</w:t>
            </w:r>
            <w:r>
              <w:rPr>
                <w:szCs w:val="15"/>
              </w:rPr>
              <w:noBreakHyphen/>
            </w:r>
            <w:r w:rsidRPr="002425A8">
              <w:rPr>
                <w:szCs w:val="15"/>
              </w:rPr>
              <w:t>15. The 2014</w:t>
            </w:r>
            <w:r>
              <w:rPr>
                <w:szCs w:val="15"/>
              </w:rPr>
              <w:noBreakHyphen/>
              <w:t>15 t</w:t>
            </w:r>
            <w:r w:rsidRPr="002425A8">
              <w:rPr>
                <w:szCs w:val="15"/>
              </w:rPr>
              <w:t>arget is lower than the 2013</w:t>
            </w:r>
            <w:r>
              <w:rPr>
                <w:szCs w:val="15"/>
              </w:rPr>
              <w:noBreakHyphen/>
            </w:r>
            <w:r w:rsidRPr="002425A8">
              <w:rPr>
                <w:szCs w:val="15"/>
              </w:rPr>
              <w:t xml:space="preserve">14 target primarily due to changes in the timing of projects, the reclassification of activities from operating to capital and reclassification of some costs to the </w:t>
            </w:r>
            <w:r>
              <w:rPr>
                <w:szCs w:val="15"/>
              </w:rPr>
              <w:t>‘</w:t>
            </w:r>
            <w:r w:rsidRPr="002425A8">
              <w:rPr>
                <w:szCs w:val="15"/>
              </w:rPr>
              <w:t>Ports and Freight Network Improvements and Maintenance</w:t>
            </w:r>
            <w:r>
              <w:rPr>
                <w:szCs w:val="15"/>
              </w:rPr>
              <w:t>’</w:t>
            </w:r>
            <w:r w:rsidRPr="002425A8">
              <w:rPr>
                <w:szCs w:val="15"/>
              </w:rPr>
              <w:t xml:space="preserve"> output.</w:t>
            </w:r>
          </w:p>
        </w:tc>
      </w:tr>
    </w:tbl>
    <w:p w:rsidR="00A53D7D" w:rsidRDefault="00A53D7D" w:rsidP="005140B4">
      <w:pPr>
        <w:pStyle w:val="Source"/>
      </w:pPr>
      <w:r>
        <w:t>Source: Department of Transport, Planning and Local Infrastructure</w:t>
      </w:r>
      <w:r>
        <w:fldChar w:fldCharType="begin"/>
      </w:r>
      <w:r>
        <w:instrText xml:space="preserve"> XE "</w:instrText>
      </w:r>
      <w:r w:rsidRPr="005F1943">
        <w:rPr>
          <w:lang w:eastAsia="en-AU"/>
        </w:rPr>
        <w:instrText>Department of Transport, Planning and Local Infrastructure</w:instrText>
      </w:r>
      <w:r w:rsidRPr="005F1943">
        <w:instrText>:Transport Safety and Security</w:instrText>
      </w:r>
      <w:r>
        <w:instrText xml:space="preserve">" \r "DTPLITransSafety" </w:instrText>
      </w:r>
      <w:r>
        <w:fldChar w:fldCharType="end"/>
      </w:r>
      <w:r>
        <w:fldChar w:fldCharType="begin"/>
      </w:r>
      <w:r>
        <w:instrText xml:space="preserve"> XE "</w:instrText>
      </w:r>
      <w:r w:rsidRPr="00E67B8B">
        <w:rPr>
          <w:lang w:eastAsia="en-AU"/>
        </w:rPr>
        <w:instrText>Transport</w:instrText>
      </w:r>
      <w:r w:rsidRPr="00E67B8B">
        <w:instrText>:Transport Safety and Security</w:instrText>
      </w:r>
      <w:r>
        <w:instrText xml:space="preserve">" \r "DTPLITransSafety" </w:instrText>
      </w:r>
      <w:r>
        <w:fldChar w:fldCharType="end"/>
      </w:r>
      <w:r>
        <w:t xml:space="preserve"> </w:t>
      </w:r>
    </w:p>
    <w:bookmarkEnd w:id="136"/>
    <w:p w:rsidR="00A53D7D" w:rsidRDefault="00A53D7D" w:rsidP="005140B4">
      <w:pPr>
        <w:rPr>
          <w:lang w:eastAsia="en-AU"/>
        </w:rPr>
      </w:pPr>
      <w:r>
        <w:rPr>
          <w:lang w:eastAsia="en-AU"/>
        </w:rPr>
        <w:br w:type="page"/>
      </w:r>
    </w:p>
    <w:p w:rsidR="00A53D7D" w:rsidRPr="00DD4F39" w:rsidRDefault="00A53D7D" w:rsidP="005140B4">
      <w:pPr>
        <w:pStyle w:val="OGHeading1"/>
        <w:rPr>
          <w:lang w:eastAsia="en-AU"/>
        </w:rPr>
      </w:pPr>
      <w:bookmarkStart w:id="138" w:name="DTPLITransMaint"/>
      <w:r w:rsidRPr="00DD4F39">
        <w:rPr>
          <w:lang w:eastAsia="en-AU"/>
        </w:rPr>
        <w:t>Transport System Development and Maintenance</w:t>
      </w:r>
    </w:p>
    <w:p w:rsidR="00A53D7D" w:rsidRPr="00DD4F39" w:rsidRDefault="00A53D7D" w:rsidP="005140B4">
      <w:pPr>
        <w:pStyle w:val="OGText"/>
        <w:rPr>
          <w:lang w:eastAsia="en-AU"/>
        </w:rPr>
      </w:pPr>
      <w:r w:rsidRPr="00DD4F39">
        <w:rPr>
          <w:lang w:eastAsia="en-AU"/>
        </w:rPr>
        <w:t xml:space="preserve">This output group delivers strategic transport infrastructure planning to improve the transport system, capital initiatives to increase the capacity, </w:t>
      </w:r>
      <w:proofErr w:type="gramStart"/>
      <w:r w:rsidRPr="00DD4F39">
        <w:rPr>
          <w:lang w:eastAsia="en-AU"/>
        </w:rPr>
        <w:t>efficiency</w:t>
      </w:r>
      <w:proofErr w:type="gramEnd"/>
      <w:r w:rsidRPr="00DD4F39">
        <w:rPr>
          <w:lang w:eastAsia="en-AU"/>
        </w:rPr>
        <w:t xml:space="preserve"> and safety of the transport system, and maintenance programs to maintain the quality of the transport system.</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DD4F39" w:rsidTr="005140B4">
        <w:trPr>
          <w:cantSplit/>
        </w:trPr>
        <w:tc>
          <w:tcPr>
            <w:tcW w:w="7776" w:type="dxa"/>
            <w:gridSpan w:val="6"/>
            <w:tcBorders>
              <w:top w:val="nil"/>
              <w:left w:val="nil"/>
              <w:right w:val="nil"/>
            </w:tcBorders>
            <w:shd w:val="clear" w:color="auto" w:fill="auto"/>
            <w:vAlign w:val="bottom"/>
          </w:tcPr>
          <w:p w:rsidR="00A53D7D" w:rsidRPr="00DD4F39" w:rsidRDefault="00A53D7D" w:rsidP="005140B4">
            <w:pPr>
              <w:pStyle w:val="OGHeading2"/>
              <w:rPr>
                <w:lang w:eastAsia="en-AU"/>
              </w:rPr>
            </w:pPr>
            <w:r w:rsidRPr="00DD4F39">
              <w:rPr>
                <w:lang w:eastAsia="en-AU"/>
              </w:rPr>
              <w:t>Integrated Transport System Planning</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Pr="00DD4F39" w:rsidRDefault="00A53D7D" w:rsidP="005140B4">
            <w:pPr>
              <w:pStyle w:val="OGText"/>
              <w:rPr>
                <w:lang w:eastAsia="en-AU"/>
              </w:rPr>
            </w:pPr>
            <w:r w:rsidRPr="00DD4F39">
              <w:rPr>
                <w:lang w:eastAsia="en-AU"/>
              </w:rPr>
              <w:t>This output delivers activities to plan improvements to the transport system. This output supports the Department</w:t>
            </w:r>
            <w:r>
              <w:rPr>
                <w:lang w:eastAsia="en-AU"/>
              </w:rPr>
              <w:t>’</w:t>
            </w:r>
            <w:r w:rsidRPr="00DD4F39">
              <w:rPr>
                <w:lang w:eastAsia="en-AU"/>
              </w:rPr>
              <w:t>s objective to deliver well</w:t>
            </w:r>
            <w:r>
              <w:rPr>
                <w:lang w:eastAsia="en-AU"/>
              </w:rPr>
              <w:noBreakHyphen/>
            </w:r>
            <w:r w:rsidRPr="00DD4F39">
              <w:rPr>
                <w:lang w:eastAsia="en-AU"/>
              </w:rPr>
              <w:t>targeted improvements and maintenance to transport system assets.</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Integrated transport planning to support urban renewal projects</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6</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6</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6</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6</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Planning projects for major transport infrastructure requiring Commonwealth funding</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3</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516113" w:rsidTr="005140B4">
        <w:trPr>
          <w:cantSplit/>
        </w:trPr>
        <w:tc>
          <w:tcPr>
            <w:tcW w:w="7776" w:type="dxa"/>
            <w:gridSpan w:val="6"/>
            <w:tcBorders>
              <w:left w:val="nil"/>
              <w:right w:val="nil"/>
            </w:tcBorders>
            <w:shd w:val="clear" w:color="000000" w:fill="FFFFFF"/>
          </w:tcPr>
          <w:p w:rsidR="00A53D7D" w:rsidRPr="00DD4F39" w:rsidRDefault="00A53D7D" w:rsidP="005140B4">
            <w:pPr>
              <w:pStyle w:val="OGNotes"/>
            </w:pPr>
            <w:r w:rsidRPr="00DD4F39">
              <w:t>The 2014</w:t>
            </w:r>
            <w:r>
              <w:noBreakHyphen/>
            </w:r>
            <w:r w:rsidRPr="00DD4F39">
              <w:t xml:space="preserve">15 target reflects the major transport infrastructure planning projects that will require Commonwealth funding which are </w:t>
            </w:r>
            <w:r>
              <w:t>‘</w:t>
            </w:r>
            <w:r w:rsidRPr="00DD4F39">
              <w:t>East West Link</w:t>
            </w:r>
            <w:r>
              <w:t xml:space="preserve">’, ‘Port of Hastings </w:t>
            </w:r>
            <w:proofErr w:type="gramStart"/>
            <w:r>
              <w:t>Development’</w:t>
            </w:r>
            <w:proofErr w:type="gramEnd"/>
            <w:r w:rsidRPr="00DD4F39">
              <w:t xml:space="preserve"> and </w:t>
            </w:r>
            <w:r>
              <w:t>‘</w:t>
            </w:r>
            <w:r w:rsidRPr="00DD4F39">
              <w:t>Western Interstate Freight Terminal</w:t>
            </w:r>
            <w:r>
              <w:t>’</w:t>
            </w:r>
            <w:r w:rsidRPr="00DD4F39">
              <w:t>.</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 xml:space="preserve">Planning projects for </w:t>
            </w:r>
            <w:r>
              <w:rPr>
                <w:lang w:eastAsia="en-AU"/>
              </w:rPr>
              <w:t xml:space="preserve">other </w:t>
            </w:r>
            <w:r w:rsidRPr="00DD4F39">
              <w:rPr>
                <w:lang w:eastAsia="en-AU"/>
              </w:rPr>
              <w:t>major transport infrastructure</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Pr>
                <w:lang w:eastAsia="en-AU"/>
              </w:rPr>
              <w:t>4</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t>New performance measure for 2014</w:t>
            </w:r>
            <w:r>
              <w:noBreakHyphen/>
              <w:t>15 to reflect significant transport infrastructure planning projects.</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Avalon Airport rail link: select a preferred rail corridor</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d</w:t>
            </w:r>
            <w:r w:rsidRPr="00DD4F39">
              <w:rPr>
                <w:lang w:eastAsia="en-AU"/>
              </w:rPr>
              <w:t>ate</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proofErr w:type="spellStart"/>
            <w:r w:rsidRPr="00DD4F39">
              <w:rPr>
                <w:lang w:eastAsia="en-AU"/>
              </w:rPr>
              <w:t>qtr</w:t>
            </w:r>
            <w:proofErr w:type="spellEnd"/>
            <w:r w:rsidRPr="00DD4F39">
              <w:rPr>
                <w:lang w:eastAsia="en-AU"/>
              </w:rPr>
              <w:t xml:space="preserve"> 1</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proofErr w:type="spellStart"/>
            <w:r w:rsidRPr="00DD4F39">
              <w:rPr>
                <w:lang w:eastAsia="en-AU"/>
              </w:rPr>
              <w:t>na</w:t>
            </w:r>
            <w:proofErr w:type="spellEnd"/>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proofErr w:type="spellStart"/>
            <w:r w:rsidRPr="00DD4F39">
              <w:rPr>
                <w:lang w:eastAsia="en-AU"/>
              </w:rPr>
              <w:t>qtr</w:t>
            </w:r>
            <w:proofErr w:type="spellEnd"/>
            <w:r w:rsidRPr="00DD4F39">
              <w:rPr>
                <w:lang w:eastAsia="en-AU"/>
              </w:rPr>
              <w:t xml:space="preserve"> 1</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proofErr w:type="spellStart"/>
            <w:r w:rsidRPr="00DD4F39">
              <w:rPr>
                <w:lang w:eastAsia="en-AU"/>
              </w:rPr>
              <w:t>na</w:t>
            </w:r>
            <w:proofErr w:type="spellEnd"/>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2014</w:t>
            </w:r>
            <w:r>
              <w:noBreakHyphen/>
            </w:r>
            <w:r w:rsidRPr="00DD4F39">
              <w:t>15 target and 2013</w:t>
            </w:r>
            <w:r>
              <w:noBreakHyphen/>
            </w:r>
            <w:r w:rsidRPr="00DD4F39">
              <w:t>14 expected outcome reflect a revised schedule which ensures consideration is given to the findings of the Avalon Airport draft master plan and Plan Melbourne. Both documents were released in 2013 and are expected to be finalised in 2014.</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Port of Hastings: studies completed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A26DC0">
              <w:t>The higher 2014</w:t>
            </w:r>
            <w:r>
              <w:noBreakHyphen/>
            </w:r>
            <w:r w:rsidRPr="00A26DC0">
              <w:t>15 target reflects the progress of the project.</w:t>
            </w:r>
          </w:p>
          <w:p w:rsidR="00A53D7D" w:rsidRPr="00DD4F39" w:rsidRDefault="00A53D7D" w:rsidP="005140B4">
            <w:pPr>
              <w:pStyle w:val="OGNotes"/>
            </w:pPr>
            <w:r w:rsidRPr="00DD4F39">
              <w:t>This performance measure renames the 2013</w:t>
            </w:r>
            <w:r>
              <w:noBreakHyphen/>
            </w:r>
            <w:r w:rsidRPr="00DD4F39">
              <w:t xml:space="preserve">14 performance measure </w:t>
            </w:r>
            <w:r>
              <w:t>‘</w:t>
            </w:r>
            <w:r w:rsidRPr="00DD4F39">
              <w:t>Port of Hastings: pre</w:t>
            </w:r>
            <w:r>
              <w:noBreakHyphen/>
            </w:r>
            <w:r w:rsidRPr="00DD4F39">
              <w:t>feasibility studies completed</w:t>
            </w:r>
            <w:r>
              <w:t>’</w:t>
            </w:r>
            <w:r w:rsidRPr="00DD4F39">
              <w:t>. Th</w:t>
            </w:r>
            <w:r>
              <w:t>e measure</w:t>
            </w:r>
            <w:r w:rsidRPr="00DD4F39">
              <w:t xml:space="preserve"> has been renamed to more accurately reflect the activities being undertaken.</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output cost</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18.</w:t>
            </w:r>
            <w:r>
              <w:rPr>
                <w:lang w:eastAsia="en-AU"/>
              </w:rPr>
              <w:t>1</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28.5</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26.7</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51</w:t>
            </w:r>
            <w:r>
              <w:rPr>
                <w:lang w:eastAsia="en-AU"/>
              </w:rPr>
              <w:t>.0</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2014</w:t>
            </w:r>
            <w:r>
              <w:noBreakHyphen/>
            </w:r>
            <w:r w:rsidRPr="00DD4F39">
              <w:t>15 target primarily reflects the</w:t>
            </w:r>
            <w:proofErr w:type="gramStart"/>
            <w:r w:rsidRPr="00DD4F39">
              <w:t>  completion</w:t>
            </w:r>
            <w:proofErr w:type="gramEnd"/>
            <w:r w:rsidRPr="00DD4F39">
              <w:t xml:space="preserve"> of planning projects in 2013</w:t>
            </w:r>
            <w:r>
              <w:noBreakHyphen/>
            </w:r>
            <w:r w:rsidRPr="00DD4F39">
              <w:t xml:space="preserve">14 and the achievement of </w:t>
            </w:r>
            <w:r>
              <w:t>G</w:t>
            </w:r>
            <w:r w:rsidRPr="00DD4F39">
              <w:t>overnment savings</w:t>
            </w:r>
            <w:r>
              <w:t>.</w:t>
            </w:r>
          </w:p>
        </w:tc>
      </w:tr>
      <w:tr w:rsidR="00A53D7D" w:rsidRPr="00DD4F39" w:rsidTr="005140B4">
        <w:trPr>
          <w:cantSplit/>
        </w:trPr>
        <w:tc>
          <w:tcPr>
            <w:tcW w:w="7776" w:type="dxa"/>
            <w:gridSpan w:val="6"/>
            <w:tcBorders>
              <w:top w:val="single" w:sz="6" w:space="0" w:color="auto"/>
              <w:left w:val="nil"/>
              <w:right w:val="nil"/>
            </w:tcBorders>
            <w:shd w:val="clear" w:color="auto" w:fill="auto"/>
            <w:vAlign w:val="bottom"/>
          </w:tcPr>
          <w:p w:rsidR="00A53D7D" w:rsidRPr="00DD4F39" w:rsidRDefault="00A53D7D" w:rsidP="005140B4">
            <w:pPr>
              <w:pStyle w:val="OGHeading2"/>
              <w:rPr>
                <w:lang w:eastAsia="en-AU"/>
              </w:rPr>
            </w:pPr>
            <w:r w:rsidRPr="00DD4F39">
              <w:rPr>
                <w:lang w:eastAsia="en-AU"/>
              </w:rPr>
              <w:t>Ports and Freight Network Improvements and Maintenance</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Pr="00DD4F39" w:rsidRDefault="00A53D7D" w:rsidP="005140B4">
            <w:pPr>
              <w:pStyle w:val="OGText"/>
              <w:rPr>
                <w:lang w:eastAsia="en-AU"/>
              </w:rPr>
            </w:pPr>
            <w:r w:rsidRPr="00DD4F39">
              <w:rPr>
                <w:lang w:eastAsia="en-AU"/>
              </w:rPr>
              <w:t xml:space="preserve">This output delivers capital initiatives to increase the capacity, </w:t>
            </w:r>
            <w:proofErr w:type="gramStart"/>
            <w:r w:rsidRPr="00DD4F39">
              <w:rPr>
                <w:lang w:eastAsia="en-AU"/>
              </w:rPr>
              <w:t>efficiency</w:t>
            </w:r>
            <w:proofErr w:type="gramEnd"/>
            <w:r w:rsidRPr="00DD4F39">
              <w:rPr>
                <w:lang w:eastAsia="en-AU"/>
              </w:rPr>
              <w:t xml:space="preserve"> and safety of the freight and logistics sector, and programs to maintain the quality of ports and freight network assets. This output supports the Department</w:t>
            </w:r>
            <w:r>
              <w:rPr>
                <w:lang w:eastAsia="en-AU"/>
              </w:rPr>
              <w:t>’</w:t>
            </w:r>
            <w:r w:rsidRPr="00DD4F39">
              <w:rPr>
                <w:lang w:eastAsia="en-AU"/>
              </w:rPr>
              <w:t>s objective to deliver well</w:t>
            </w:r>
            <w:r>
              <w:rPr>
                <w:lang w:eastAsia="en-AU"/>
              </w:rPr>
              <w:noBreakHyphen/>
            </w:r>
            <w:r w:rsidRPr="00DD4F39">
              <w:rPr>
                <w:lang w:eastAsia="en-AU"/>
              </w:rPr>
              <w:t>targeted improvements and maintenance to transport system assets.</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Annual Boating Safety and Facilities Grant Program funding committed</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This performance measure is transferred directly from the 2013</w:t>
            </w:r>
            <w:r>
              <w:noBreakHyphen/>
            </w:r>
            <w:r w:rsidRPr="00DD4F39">
              <w:t xml:space="preserve">14 </w:t>
            </w:r>
            <w:r>
              <w:t>‘</w:t>
            </w:r>
            <w:r w:rsidRPr="00DD4F39">
              <w:t>Transport Safety and Security Management</w:t>
            </w:r>
            <w:r>
              <w:t>’</w:t>
            </w:r>
            <w:r w:rsidRPr="00DD4F39">
              <w:t xml:space="preserve"> output.</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Containers transported by rail under the Mode Shift Incentive Scheme program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50 000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49 000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49 000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35 213</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higher 2014</w:t>
            </w:r>
            <w:r>
              <w:noBreakHyphen/>
            </w:r>
            <w:r w:rsidRPr="00DD4F39">
              <w:t>15 target reflects a greater number of participants due to the continuation of the program over the next four years.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Road</w:t>
            </w:r>
            <w:r>
              <w:rPr>
                <w:lang w:eastAsia="en-AU"/>
              </w:rPr>
              <w:noBreakHyphen/>
            </w:r>
            <w:r w:rsidRPr="00DD4F39">
              <w:rPr>
                <w:lang w:eastAsia="en-AU"/>
              </w:rPr>
              <w:t>based freight accessibility and reliability improvement projects completed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2</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2014</w:t>
            </w:r>
            <w:r>
              <w:noBreakHyphen/>
            </w:r>
            <w:r w:rsidRPr="00DD4F39">
              <w:t>15 target reflects the number of projects that are expected to be delivered under the 2014</w:t>
            </w:r>
            <w:r>
              <w:noBreakHyphen/>
            </w:r>
            <w:r w:rsidRPr="00DD4F39">
              <w:t>15 program. It is expected that projects will be completed in 2015</w:t>
            </w:r>
            <w:r>
              <w:noBreakHyphen/>
            </w:r>
            <w:r w:rsidRPr="00DD4F39">
              <w:t>16 and onwards, as projects in this program often span multiple years.</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Number of accessible local ports</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14</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14</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14</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14</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Road</w:t>
            </w:r>
            <w:r>
              <w:rPr>
                <w:lang w:eastAsia="en-AU"/>
              </w:rPr>
              <w:noBreakHyphen/>
            </w:r>
            <w:r w:rsidRPr="00DD4F39">
              <w:rPr>
                <w:lang w:eastAsia="en-AU"/>
              </w:rPr>
              <w:t>based freight accessibility and reliability projects completed within specified scope and standards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Progress in facilitating the development of a Metropolitan Intermodal System</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5</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New performance measure for 2014</w:t>
            </w:r>
            <w:r>
              <w:noBreakHyphen/>
            </w:r>
            <w:r w:rsidRPr="00DD4F39">
              <w:t>15 to reflect the cumulative progress in facilitating the development of a Metropolitan Intermodal System.</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Road</w:t>
            </w:r>
            <w:r>
              <w:rPr>
                <w:lang w:eastAsia="en-AU"/>
              </w:rPr>
              <w:noBreakHyphen/>
            </w:r>
            <w:r w:rsidRPr="00DD4F39">
              <w:rPr>
                <w:lang w:eastAsia="en-AU"/>
              </w:rPr>
              <w:t>based freight accessibility and reliability projects completed within agreed timeframes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keepNext/>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keepNext/>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keepNext/>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Total output cost</w:t>
            </w:r>
          </w:p>
        </w:tc>
        <w:tc>
          <w:tcPr>
            <w:tcW w:w="907" w:type="dxa"/>
            <w:tcBorders>
              <w:top w:val="nil"/>
              <w:left w:val="nil"/>
              <w:right w:val="nil"/>
            </w:tcBorders>
            <w:shd w:val="clear" w:color="000000" w:fill="FFFFFF"/>
            <w:hideMark/>
          </w:tcPr>
          <w:p w:rsidR="00A53D7D" w:rsidRPr="00DD4F39" w:rsidRDefault="00A53D7D" w:rsidP="005140B4">
            <w:pPr>
              <w:pStyle w:val="OGUoM"/>
              <w:keepNext/>
              <w:rPr>
                <w:lang w:eastAsia="en-AU"/>
              </w:rPr>
            </w:pPr>
            <w:r>
              <w:rPr>
                <w:lang w:eastAsia="en-AU"/>
              </w:rPr>
              <w:t>$ million</w:t>
            </w:r>
          </w:p>
        </w:tc>
        <w:tc>
          <w:tcPr>
            <w:tcW w:w="907" w:type="dxa"/>
            <w:tcBorders>
              <w:top w:val="nil"/>
              <w:left w:val="nil"/>
              <w:right w:val="nil"/>
            </w:tcBorders>
            <w:shd w:val="clear" w:color="auto" w:fill="D9D9D9"/>
            <w:hideMark/>
          </w:tcPr>
          <w:p w:rsidR="00A53D7D" w:rsidRPr="00DD4F39" w:rsidRDefault="00A53D7D" w:rsidP="005140B4">
            <w:pPr>
              <w:pStyle w:val="OGTableofFigures"/>
              <w:keepNext/>
              <w:rPr>
                <w:lang w:eastAsia="en-AU"/>
              </w:rPr>
            </w:pPr>
            <w:r>
              <w:rPr>
                <w:lang w:eastAsia="en-AU"/>
              </w:rPr>
              <w:t>65.9</w:t>
            </w:r>
          </w:p>
        </w:tc>
        <w:tc>
          <w:tcPr>
            <w:tcW w:w="993" w:type="dxa"/>
            <w:tcBorders>
              <w:top w:val="nil"/>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67.8</w:t>
            </w:r>
          </w:p>
        </w:tc>
        <w:tc>
          <w:tcPr>
            <w:tcW w:w="907" w:type="dxa"/>
            <w:tcBorders>
              <w:top w:val="nil"/>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60</w:t>
            </w:r>
            <w:r>
              <w:rPr>
                <w:lang w:eastAsia="en-AU"/>
              </w:rPr>
              <w:t>.0</w:t>
            </w:r>
          </w:p>
        </w:tc>
        <w:tc>
          <w:tcPr>
            <w:tcW w:w="907" w:type="dxa"/>
            <w:tcBorders>
              <w:top w:val="nil"/>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65.3</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higher than the 2013</w:t>
            </w:r>
            <w:r>
              <w:rPr>
                <w:szCs w:val="15"/>
              </w:rPr>
              <w:noBreakHyphen/>
            </w:r>
            <w:r w:rsidRPr="002425A8">
              <w:rPr>
                <w:szCs w:val="15"/>
              </w:rPr>
              <w:t>14 target as it includes the re</w:t>
            </w:r>
            <w:r>
              <w:rPr>
                <w:szCs w:val="15"/>
              </w:rPr>
              <w:noBreakHyphen/>
            </w:r>
            <w:r w:rsidRPr="002425A8">
              <w:rPr>
                <w:szCs w:val="15"/>
              </w:rPr>
              <w:t>phasing of activities from 2012</w:t>
            </w:r>
            <w:r>
              <w:rPr>
                <w:szCs w:val="15"/>
              </w:rPr>
              <w:noBreakHyphen/>
            </w:r>
            <w:r w:rsidRPr="002425A8">
              <w:rPr>
                <w:szCs w:val="15"/>
              </w:rPr>
              <w:t>13 to 2013</w:t>
            </w:r>
            <w:r>
              <w:rPr>
                <w:szCs w:val="15"/>
              </w:rPr>
              <w:noBreakHyphen/>
            </w:r>
            <w:r w:rsidRPr="002425A8">
              <w:rPr>
                <w:szCs w:val="15"/>
              </w:rPr>
              <w:t>14 and projects approved post the 2013</w:t>
            </w:r>
            <w:r>
              <w:rPr>
                <w:szCs w:val="15"/>
              </w:rPr>
              <w:noBreakHyphen/>
              <w:t>14 b</w:t>
            </w:r>
            <w:r w:rsidRPr="002425A8">
              <w:rPr>
                <w:szCs w:val="15"/>
              </w:rPr>
              <w:t>udget.</w:t>
            </w:r>
          </w:p>
          <w:p w:rsidR="00A53D7D" w:rsidRPr="002425A8" w:rsidRDefault="00A53D7D" w:rsidP="005140B4">
            <w:pPr>
              <w:pStyle w:val="OGNotes"/>
              <w:rPr>
                <w:szCs w:val="15"/>
              </w:rPr>
            </w:pPr>
            <w:r w:rsidRPr="002425A8">
              <w:rPr>
                <w:szCs w:val="15"/>
              </w:rPr>
              <w:t>The higher 2014</w:t>
            </w:r>
            <w:r>
              <w:rPr>
                <w:szCs w:val="15"/>
              </w:rPr>
              <w:noBreakHyphen/>
            </w:r>
            <w:r w:rsidRPr="002425A8">
              <w:rPr>
                <w:szCs w:val="15"/>
              </w:rPr>
              <w:t xml:space="preserve">15 target primarily reflects the reclassification of some costs from the </w:t>
            </w:r>
            <w:r>
              <w:rPr>
                <w:szCs w:val="15"/>
              </w:rPr>
              <w:t>‘</w:t>
            </w:r>
            <w:r w:rsidRPr="002425A8">
              <w:rPr>
                <w:szCs w:val="15"/>
              </w:rPr>
              <w:t>Transport Safety and Security Management</w:t>
            </w:r>
            <w:r>
              <w:rPr>
                <w:szCs w:val="15"/>
              </w:rPr>
              <w:t>’</w:t>
            </w:r>
            <w:r w:rsidRPr="002425A8">
              <w:rPr>
                <w:szCs w:val="15"/>
              </w:rPr>
              <w:t xml:space="preserve"> output.</w:t>
            </w:r>
          </w:p>
          <w:p w:rsidR="00A53D7D" w:rsidRPr="00DD4F39" w:rsidRDefault="00A53D7D" w:rsidP="005140B4">
            <w:pPr>
              <w:pStyle w:val="OGNotes"/>
            </w:pPr>
            <w:r w:rsidRPr="00740CAE">
              <w:t>For comparative purposes, the 2012</w:t>
            </w:r>
            <w:r>
              <w:noBreakHyphen/>
            </w:r>
            <w:r w:rsidRPr="00740CAE">
              <w:t>13 actual is provided on the same basis as the 2013</w:t>
            </w:r>
            <w:r>
              <w:noBreakHyphen/>
            </w:r>
            <w:r w:rsidRPr="00740CAE">
              <w:t xml:space="preserve">14 expected outcome and </w:t>
            </w:r>
            <w:r>
              <w:t xml:space="preserve">the </w:t>
            </w:r>
            <w:r w:rsidRPr="00740CAE">
              <w:t>2014</w:t>
            </w:r>
            <w:r>
              <w:noBreakHyphen/>
            </w:r>
            <w:r w:rsidRPr="00740CAE">
              <w:t xml:space="preserve">15 target. It reflects the output structure changes made in the </w:t>
            </w:r>
            <w:r w:rsidRPr="00780988">
              <w:rPr>
                <w:i w:val="0"/>
              </w:rPr>
              <w:t>2013</w:t>
            </w:r>
            <w:r w:rsidRPr="00780988">
              <w:rPr>
                <w:i w:val="0"/>
              </w:rPr>
              <w:noBreakHyphen/>
              <w:t>14</w:t>
            </w:r>
            <w:r>
              <w:rPr>
                <w:i w:val="0"/>
              </w:rPr>
              <w:t xml:space="preserve"> </w:t>
            </w:r>
            <w:r w:rsidRPr="00780988">
              <w:rPr>
                <w:i w:val="0"/>
              </w:rPr>
              <w:t>Budget</w:t>
            </w:r>
            <w:r>
              <w:t>, Budget Paper No. </w:t>
            </w:r>
            <w:r w:rsidRPr="00740CAE">
              <w:t xml:space="preserve">3 for the </w:t>
            </w:r>
            <w:r>
              <w:t>‘</w:t>
            </w:r>
            <w:r w:rsidRPr="00740CAE">
              <w:t>Ports and Freight Network Improvements and Maintenance</w:t>
            </w:r>
            <w:r>
              <w:t>’</w:t>
            </w:r>
            <w:r w:rsidRPr="00740CAE">
              <w:t xml:space="preserve"> output.</w:t>
            </w:r>
          </w:p>
        </w:tc>
      </w:tr>
      <w:tr w:rsidR="00A53D7D" w:rsidRPr="00DD4F39" w:rsidTr="005140B4">
        <w:trPr>
          <w:cantSplit/>
        </w:trPr>
        <w:tc>
          <w:tcPr>
            <w:tcW w:w="7776" w:type="dxa"/>
            <w:gridSpan w:val="6"/>
            <w:tcBorders>
              <w:top w:val="single" w:sz="6" w:space="0" w:color="auto"/>
              <w:left w:val="nil"/>
              <w:right w:val="nil"/>
            </w:tcBorders>
            <w:shd w:val="clear" w:color="auto" w:fill="auto"/>
            <w:vAlign w:val="bottom"/>
          </w:tcPr>
          <w:p w:rsidR="00A53D7D" w:rsidRPr="00DD4F39" w:rsidRDefault="00A53D7D" w:rsidP="005140B4">
            <w:pPr>
              <w:pStyle w:val="OGHeading2"/>
              <w:rPr>
                <w:lang w:eastAsia="en-AU"/>
              </w:rPr>
            </w:pPr>
            <w:r w:rsidRPr="00DD4F39">
              <w:rPr>
                <w:lang w:eastAsia="en-AU"/>
              </w:rPr>
              <w:t>Public Transport Network Improvements and Maintenance</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Pr="00DD4F39" w:rsidRDefault="00A53D7D" w:rsidP="005140B4">
            <w:pPr>
              <w:pStyle w:val="OGText"/>
              <w:rPr>
                <w:lang w:eastAsia="en-AU"/>
              </w:rPr>
            </w:pPr>
            <w:r w:rsidRPr="00DD4F39">
              <w:rPr>
                <w:lang w:eastAsia="en-AU"/>
              </w:rPr>
              <w:t xml:space="preserve">This output delivers capital initiatives to increase the capacity, efficiency, </w:t>
            </w:r>
            <w:proofErr w:type="gramStart"/>
            <w:r w:rsidRPr="00DD4F39">
              <w:rPr>
                <w:lang w:eastAsia="en-AU"/>
              </w:rPr>
              <w:t>safety</w:t>
            </w:r>
            <w:proofErr w:type="gramEnd"/>
            <w:r w:rsidRPr="00DD4F39">
              <w:rPr>
                <w:lang w:eastAsia="en-AU"/>
              </w:rPr>
              <w:t xml:space="preserve"> and accessibility of the public transport network, and programs to maintain the quality of public transport network infrastructure. This output supports the Department</w:t>
            </w:r>
            <w:r>
              <w:rPr>
                <w:lang w:eastAsia="en-AU"/>
              </w:rPr>
              <w:t>’</w:t>
            </w:r>
            <w:r w:rsidRPr="00DD4F39">
              <w:rPr>
                <w:lang w:eastAsia="en-AU"/>
              </w:rPr>
              <w:t>s objective to deliver well</w:t>
            </w:r>
            <w:r>
              <w:rPr>
                <w:lang w:eastAsia="en-AU"/>
              </w:rPr>
              <w:noBreakHyphen/>
            </w:r>
            <w:r w:rsidRPr="00DD4F39">
              <w:rPr>
                <w:lang w:eastAsia="en-AU"/>
              </w:rPr>
              <w:t>targeted improvements and maintenance to transport system assets.</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0753EA">
              <w:rPr>
                <w:i/>
                <w:lang w:eastAsia="en-AU"/>
              </w:rPr>
              <w:t>Disability Discrimination Act 1992</w:t>
            </w:r>
            <w:r w:rsidRPr="00DD4F39">
              <w:rPr>
                <w:lang w:eastAsia="en-AU"/>
              </w:rPr>
              <w:t xml:space="preserve"> access to public transport: bus stops upgraded</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244</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415</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415</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This performance measure renames the 2013</w:t>
            </w:r>
            <w:r>
              <w:rPr>
                <w:szCs w:val="15"/>
              </w:rPr>
              <w:noBreakHyphen/>
            </w:r>
            <w:r w:rsidRPr="002425A8">
              <w:rPr>
                <w:szCs w:val="15"/>
              </w:rPr>
              <w:t xml:space="preserve">14 performance measure </w:t>
            </w:r>
            <w:r>
              <w:rPr>
                <w:szCs w:val="15"/>
              </w:rPr>
              <w:t>‘</w:t>
            </w:r>
            <w:r w:rsidRPr="002425A8">
              <w:rPr>
                <w:szCs w:val="15"/>
              </w:rPr>
              <w:t>Disability Discrimination Act access to public transport: bus stops upgraded</w:t>
            </w:r>
            <w:r>
              <w:rPr>
                <w:szCs w:val="15"/>
              </w:rPr>
              <w:t>’</w:t>
            </w:r>
            <w:r w:rsidRPr="002425A8">
              <w:rPr>
                <w:szCs w:val="15"/>
              </w:rPr>
              <w:t>. The measure reports on the same activity as the previous measure and has been amended to increase its clarity.</w:t>
            </w:r>
          </w:p>
          <w:p w:rsidR="00A53D7D" w:rsidRPr="00DD4F39" w:rsidRDefault="00A53D7D" w:rsidP="005140B4">
            <w:pPr>
              <w:pStyle w:val="OGNotes"/>
            </w:pPr>
            <w:r w:rsidRPr="002425A8">
              <w:rPr>
                <w:szCs w:val="15"/>
              </w:rPr>
              <w:t>The lower 2014</w:t>
            </w:r>
            <w:r>
              <w:rPr>
                <w:szCs w:val="15"/>
              </w:rPr>
              <w:noBreakHyphen/>
            </w:r>
            <w:r w:rsidRPr="002425A8">
              <w:rPr>
                <w:szCs w:val="15"/>
              </w:rPr>
              <w:t>15 target reflects the number of projects that are expected to be delivered under the available funding for the 2014</w:t>
            </w:r>
            <w:r>
              <w:rPr>
                <w:szCs w:val="15"/>
              </w:rPr>
              <w:noBreakHyphen/>
            </w:r>
            <w:r w:rsidRPr="002425A8">
              <w:rPr>
                <w:szCs w:val="15"/>
              </w:rPr>
              <w:t>15 program.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0753EA">
              <w:rPr>
                <w:i/>
                <w:lang w:eastAsia="en-AU"/>
              </w:rPr>
              <w:t>Disability Discrimination Act 1992</w:t>
            </w:r>
            <w:r w:rsidRPr="00DD4F39">
              <w:rPr>
                <w:lang w:eastAsia="en-AU"/>
              </w:rPr>
              <w:t xml:space="preserve"> access to public transport: metropolitan railway stations improved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77</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77</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22</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This performance measure renames the 2013</w:t>
            </w:r>
            <w:r>
              <w:rPr>
                <w:szCs w:val="15"/>
              </w:rPr>
              <w:noBreakHyphen/>
            </w:r>
            <w:r w:rsidRPr="002425A8">
              <w:rPr>
                <w:szCs w:val="15"/>
              </w:rPr>
              <w:t xml:space="preserve">14 performance measure </w:t>
            </w:r>
            <w:r>
              <w:rPr>
                <w:szCs w:val="15"/>
              </w:rPr>
              <w:t>‘</w:t>
            </w:r>
            <w:r w:rsidRPr="002425A8">
              <w:rPr>
                <w:szCs w:val="15"/>
              </w:rPr>
              <w:t>Disability Discrimination Act access to public transport: metropolitan railway stations improved</w:t>
            </w:r>
            <w:r>
              <w:rPr>
                <w:szCs w:val="15"/>
              </w:rPr>
              <w:t>’</w:t>
            </w:r>
            <w:r w:rsidRPr="002425A8">
              <w:rPr>
                <w:szCs w:val="15"/>
              </w:rPr>
              <w:t>. The measure reports on the same activity as the previous measure and has been amended to increase its clarity.</w:t>
            </w:r>
          </w:p>
          <w:p w:rsidR="00A53D7D" w:rsidRPr="00DD4F39" w:rsidRDefault="00A53D7D" w:rsidP="005140B4">
            <w:pPr>
              <w:pStyle w:val="OGNotes"/>
            </w:pPr>
            <w:r w:rsidRPr="002425A8">
              <w:rPr>
                <w:szCs w:val="15"/>
              </w:rPr>
              <w:t>The higher 2014</w:t>
            </w:r>
            <w:r>
              <w:rPr>
                <w:szCs w:val="15"/>
              </w:rPr>
              <w:noBreakHyphen/>
            </w:r>
            <w:r w:rsidRPr="002425A8">
              <w:rPr>
                <w:szCs w:val="15"/>
              </w:rPr>
              <w:t>15 target reflects the number of projects that are expected to be delivered under the 2014</w:t>
            </w:r>
            <w:r>
              <w:rPr>
                <w:szCs w:val="15"/>
              </w:rPr>
              <w:noBreakHyphen/>
            </w:r>
            <w:r w:rsidRPr="002425A8">
              <w:rPr>
                <w:szCs w:val="15"/>
              </w:rPr>
              <w:t>15 program.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0753EA">
              <w:rPr>
                <w:i/>
                <w:lang w:eastAsia="en-AU"/>
              </w:rPr>
              <w:t>Disability Discrimination Act 1992</w:t>
            </w:r>
            <w:r w:rsidRPr="00DD4F39">
              <w:rPr>
                <w:lang w:eastAsia="en-AU"/>
              </w:rPr>
              <w:t xml:space="preserve"> access to public transport: regional railway stations improved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18</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14</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This performance measure renames the 2013</w:t>
            </w:r>
            <w:r>
              <w:rPr>
                <w:szCs w:val="15"/>
              </w:rPr>
              <w:noBreakHyphen/>
            </w:r>
            <w:r w:rsidRPr="002425A8">
              <w:rPr>
                <w:szCs w:val="15"/>
              </w:rPr>
              <w:t xml:space="preserve">14 performance measure </w:t>
            </w:r>
            <w:r>
              <w:rPr>
                <w:szCs w:val="15"/>
              </w:rPr>
              <w:t>‘</w:t>
            </w:r>
            <w:r w:rsidRPr="002425A8">
              <w:rPr>
                <w:szCs w:val="15"/>
              </w:rPr>
              <w:t>Disability Discrimination Act access to public transport: regional railway stations improved</w:t>
            </w:r>
            <w:r>
              <w:rPr>
                <w:szCs w:val="15"/>
              </w:rPr>
              <w:t>’</w:t>
            </w:r>
            <w:r w:rsidRPr="002425A8">
              <w:rPr>
                <w:szCs w:val="15"/>
              </w:rPr>
              <w:t>. The measure reports on the same activity as the previous measure and has been amended to increase its clarity.</w:t>
            </w:r>
          </w:p>
          <w:p w:rsidR="00A53D7D" w:rsidRPr="00DD4F39" w:rsidRDefault="00A53D7D" w:rsidP="005140B4">
            <w:pPr>
              <w:pStyle w:val="OGNotes"/>
            </w:pPr>
            <w:r w:rsidRPr="002425A8">
              <w:rPr>
                <w:szCs w:val="15"/>
              </w:rPr>
              <w:t>The higher 2014</w:t>
            </w:r>
            <w:r>
              <w:rPr>
                <w:szCs w:val="15"/>
              </w:rPr>
              <w:noBreakHyphen/>
            </w:r>
            <w:r w:rsidRPr="002425A8">
              <w:rPr>
                <w:szCs w:val="15"/>
              </w:rPr>
              <w:t>15 target reflects the number of projects that are expected to be delivered under the 2014</w:t>
            </w:r>
            <w:r>
              <w:rPr>
                <w:szCs w:val="15"/>
              </w:rPr>
              <w:noBreakHyphen/>
            </w:r>
            <w:r w:rsidRPr="002425A8">
              <w:rPr>
                <w:szCs w:val="15"/>
              </w:rPr>
              <w:t>15 program.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Level access tram stop upgraded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18</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reflects the number of projects that are expected to be delivered under the 2014</w:t>
            </w:r>
            <w:r>
              <w:noBreakHyphen/>
            </w:r>
            <w:r w:rsidRPr="00DD4F39">
              <w:t>15 program.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Progress of Regional Rail Link expenditure</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keepNext/>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keepNext/>
              <w:rPr>
                <w:lang w:eastAsia="en-AU"/>
              </w:rPr>
            </w:pPr>
            <w:r>
              <w:rPr>
                <w:lang w:eastAsia="en-AU"/>
              </w:rPr>
              <w:t>94</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Pr>
                <w:lang w:eastAsia="en-AU"/>
              </w:rPr>
              <w:t>80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Pr>
                <w:lang w:eastAsia="en-AU"/>
              </w:rPr>
              <w:t>80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Pr>
                <w:lang w:eastAsia="en-AU"/>
              </w:rPr>
              <w:t>49</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This performance measure renames the 2013</w:t>
            </w:r>
            <w:r>
              <w:rPr>
                <w:szCs w:val="15"/>
              </w:rPr>
              <w:noBreakHyphen/>
            </w:r>
            <w:r w:rsidRPr="002425A8">
              <w:rPr>
                <w:szCs w:val="15"/>
              </w:rPr>
              <w:t xml:space="preserve">14 performance measure </w:t>
            </w:r>
            <w:r>
              <w:rPr>
                <w:szCs w:val="15"/>
              </w:rPr>
              <w:t>‘</w:t>
            </w:r>
            <w:r w:rsidRPr="002425A8">
              <w:rPr>
                <w:szCs w:val="15"/>
              </w:rPr>
              <w:t>Progress of Regional Rail Link</w:t>
            </w:r>
            <w:r>
              <w:rPr>
                <w:szCs w:val="15"/>
              </w:rPr>
              <w:t>’</w:t>
            </w:r>
            <w:r w:rsidRPr="002425A8">
              <w:rPr>
                <w:szCs w:val="15"/>
              </w:rPr>
              <w:t>. The measure reports on the same activity as the previous measure and has been amended to increase its clarity.</w:t>
            </w:r>
          </w:p>
          <w:p w:rsidR="00A53D7D" w:rsidRPr="006A5FE9" w:rsidRDefault="00A53D7D" w:rsidP="005140B4">
            <w:pPr>
              <w:pStyle w:val="OGNotes"/>
              <w:rPr>
                <w:szCs w:val="15"/>
              </w:rPr>
            </w:pPr>
            <w:r w:rsidRPr="002425A8">
              <w:rPr>
                <w:szCs w:val="15"/>
              </w:rPr>
              <w:t xml:space="preserve">The percentage progress reflects cumulative expenditure for the project compared to the total approved budget, and </w:t>
            </w:r>
            <w:r>
              <w:rPr>
                <w:szCs w:val="15"/>
              </w:rPr>
              <w:t>is</w:t>
            </w:r>
            <w:r w:rsidRPr="002425A8">
              <w:rPr>
                <w:szCs w:val="15"/>
              </w:rPr>
              <w:t xml:space="preserve"> calculated using the revised approved Total Estimated Investment of </w:t>
            </w:r>
            <w:r>
              <w:rPr>
                <w:szCs w:val="15"/>
              </w:rPr>
              <w:t>$4.1 billion</w:t>
            </w:r>
            <w:r w:rsidRPr="002425A8">
              <w:rPr>
                <w:szCs w:val="15"/>
              </w:rPr>
              <w:t xml:space="preserve"> for the project. Based on the previous approved budget of $4.8</w:t>
            </w:r>
            <w:r>
              <w:rPr>
                <w:szCs w:val="15"/>
              </w:rPr>
              <w:t> billion</w:t>
            </w:r>
            <w:r w:rsidRPr="002425A8">
              <w:rPr>
                <w:szCs w:val="15"/>
              </w:rPr>
              <w:t>, the 2013</w:t>
            </w:r>
            <w:r>
              <w:rPr>
                <w:szCs w:val="15"/>
              </w:rPr>
              <w:noBreakHyphen/>
            </w:r>
            <w:r w:rsidRPr="002425A8">
              <w:rPr>
                <w:szCs w:val="15"/>
              </w:rPr>
              <w:t>14 target is 67</w:t>
            </w:r>
            <w:r>
              <w:rPr>
                <w:szCs w:val="15"/>
              </w:rPr>
              <w:t> per cent</w:t>
            </w:r>
            <w:r w:rsidRPr="002425A8">
              <w:rPr>
                <w:szCs w:val="15"/>
              </w:rPr>
              <w:t xml:space="preserve"> as reported in </w:t>
            </w:r>
            <w:r w:rsidRPr="00A714BC">
              <w:rPr>
                <w:i w:val="0"/>
                <w:szCs w:val="15"/>
              </w:rPr>
              <w:t xml:space="preserve">the </w:t>
            </w:r>
            <w:r w:rsidRPr="000C5143">
              <w:rPr>
                <w:i w:val="0"/>
                <w:szCs w:val="15"/>
              </w:rPr>
              <w:t>2013</w:t>
            </w:r>
            <w:r w:rsidRPr="000C5143">
              <w:rPr>
                <w:i w:val="0"/>
                <w:szCs w:val="15"/>
              </w:rPr>
              <w:noBreakHyphen/>
              <w:t xml:space="preserve">14 </w:t>
            </w:r>
            <w:r>
              <w:rPr>
                <w:i w:val="0"/>
                <w:szCs w:val="15"/>
              </w:rPr>
              <w:t>B</w:t>
            </w:r>
            <w:r w:rsidRPr="000C5143">
              <w:rPr>
                <w:i w:val="0"/>
                <w:szCs w:val="15"/>
              </w:rPr>
              <w:t>udget</w:t>
            </w:r>
            <w:r w:rsidRPr="00A714BC">
              <w:rPr>
                <w:i w:val="0"/>
                <w:szCs w:val="15"/>
              </w:rPr>
              <w:t>,</w:t>
            </w:r>
            <w:r w:rsidRPr="002425A8">
              <w:rPr>
                <w:szCs w:val="15"/>
              </w:rPr>
              <w:t xml:space="preserve"> and the 2012</w:t>
            </w:r>
            <w:r>
              <w:rPr>
                <w:szCs w:val="15"/>
              </w:rPr>
              <w:noBreakHyphen/>
            </w:r>
            <w:r w:rsidRPr="002425A8">
              <w:rPr>
                <w:szCs w:val="15"/>
              </w:rPr>
              <w:t>13 actual is 41</w:t>
            </w:r>
            <w:r>
              <w:rPr>
                <w:szCs w:val="15"/>
              </w:rPr>
              <w:t> per cent</w:t>
            </w:r>
            <w:r w:rsidRPr="002425A8">
              <w:rPr>
                <w:szCs w:val="15"/>
              </w:rPr>
              <w:t xml:space="preserve"> as reported in the </w:t>
            </w:r>
            <w:r w:rsidRPr="000C5143">
              <w:rPr>
                <w:i w:val="0"/>
                <w:szCs w:val="15"/>
              </w:rPr>
              <w:t>2012</w:t>
            </w:r>
            <w:r w:rsidRPr="000C5143">
              <w:rPr>
                <w:i w:val="0"/>
                <w:szCs w:val="15"/>
              </w:rPr>
              <w:noBreakHyphen/>
              <w:t xml:space="preserve">13 Department of Transport, </w:t>
            </w:r>
            <w:proofErr w:type="gramStart"/>
            <w:r w:rsidRPr="000C5143">
              <w:rPr>
                <w:i w:val="0"/>
                <w:szCs w:val="15"/>
              </w:rPr>
              <w:t>Planning</w:t>
            </w:r>
            <w:proofErr w:type="gramEnd"/>
            <w:r w:rsidRPr="000C5143">
              <w:rPr>
                <w:i w:val="0"/>
                <w:szCs w:val="15"/>
              </w:rPr>
              <w:t xml:space="preserve"> and Local Infrastructure (DTPLI) Annual Report</w:t>
            </w:r>
            <w:r w:rsidRPr="002425A8">
              <w:rPr>
                <w:szCs w:val="15"/>
              </w:rPr>
              <w:t>.</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Public transport network improvement: minor projects completed</w:t>
            </w:r>
            <w:r>
              <w:rPr>
                <w:lang w:eastAsia="en-AU"/>
              </w:rPr>
              <w:t xml:space="preserve"> – </w:t>
            </w:r>
            <w:r w:rsidRPr="00DD4F39">
              <w:rPr>
                <w:lang w:eastAsia="en-AU"/>
              </w:rPr>
              <w:t>bus</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2</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Public transport network improvement: minor projects completed</w:t>
            </w:r>
            <w:r>
              <w:rPr>
                <w:lang w:eastAsia="en-AU"/>
              </w:rPr>
              <w:t xml:space="preserve"> – </w:t>
            </w:r>
            <w:r w:rsidRPr="00DD4F39">
              <w:rPr>
                <w:lang w:eastAsia="en-AU"/>
              </w:rPr>
              <w:t>train</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2013</w:t>
            </w:r>
            <w:r>
              <w:noBreakHyphen/>
            </w:r>
            <w:r w:rsidRPr="00DD4F39">
              <w:t>14 expected outcome is lower than the 2013</w:t>
            </w:r>
            <w:r>
              <w:noBreakHyphen/>
            </w:r>
            <w:r w:rsidRPr="00DD4F39">
              <w:t xml:space="preserve">14 target due to coordination of </w:t>
            </w:r>
            <w:r>
              <w:t xml:space="preserve">the </w:t>
            </w:r>
            <w:r w:rsidRPr="00DD4F39">
              <w:t>works program with other capital works, and site contamination issues which impacted two projects. The higher 2014</w:t>
            </w:r>
            <w:r>
              <w:noBreakHyphen/>
            </w:r>
            <w:r w:rsidRPr="00DD4F39">
              <w:t>15 target reflects the number of projects that are expected to be delivered in 2014</w:t>
            </w:r>
            <w:r>
              <w:noBreakHyphen/>
            </w:r>
            <w:r w:rsidRPr="00DD4F39">
              <w:t>15.</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Public transport network improvement: minor projects completed</w:t>
            </w:r>
            <w:r>
              <w:rPr>
                <w:lang w:eastAsia="en-AU"/>
              </w:rPr>
              <w:t xml:space="preserve"> – </w:t>
            </w:r>
            <w:r w:rsidRPr="00DD4F39">
              <w:rPr>
                <w:lang w:eastAsia="en-AU"/>
              </w:rPr>
              <w:t>tram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2</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reflects the number of projects that are expected to be delivered in 2014</w:t>
            </w:r>
            <w:r>
              <w:noBreakHyphen/>
            </w:r>
            <w:r w:rsidRPr="00DD4F39">
              <w:t>15</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Public transport network improvement: multimodal projects completed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3</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reflects the number of projects that are expected to be delivered in 2014</w:t>
            </w:r>
            <w:r>
              <w:noBreakHyphen/>
            </w:r>
            <w:r w:rsidRPr="00DD4F39">
              <w:t>15.</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4E7A50">
            <w:pPr>
              <w:pStyle w:val="OGTabText"/>
              <w:rPr>
                <w:lang w:eastAsia="en-AU"/>
              </w:rPr>
            </w:pPr>
            <w:r w:rsidRPr="00DD4F39">
              <w:rPr>
                <w:lang w:eastAsia="en-AU"/>
              </w:rPr>
              <w:t>Tram</w:t>
            </w:r>
            <w:r>
              <w:rPr>
                <w:lang w:eastAsia="en-AU"/>
              </w:rPr>
              <w:t xml:space="preserve"> – </w:t>
            </w:r>
            <w:r w:rsidRPr="00DD4F39">
              <w:rPr>
                <w:lang w:eastAsia="en-AU"/>
              </w:rPr>
              <w:t>procurement of new rolling</w:t>
            </w:r>
            <w:r w:rsidR="004E7A50">
              <w:rPr>
                <w:lang w:eastAsia="en-AU"/>
              </w:rPr>
              <w:t> </w:t>
            </w:r>
            <w:r w:rsidRPr="00DD4F39">
              <w:rPr>
                <w:lang w:eastAsia="en-AU"/>
              </w:rPr>
              <w:t>stock</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43</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36</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36</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20</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reflects the progress of the project.</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W</w:t>
            </w:r>
            <w:r>
              <w:rPr>
                <w:lang w:eastAsia="en-AU"/>
              </w:rPr>
              <w:noBreakHyphen/>
            </w:r>
            <w:r w:rsidRPr="00DD4F39">
              <w:rPr>
                <w:lang w:eastAsia="en-AU"/>
              </w:rPr>
              <w:t>Class Trams fully restored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lower 2014</w:t>
            </w:r>
            <w:r>
              <w:noBreakHyphen/>
            </w:r>
            <w:r w:rsidRPr="00DD4F39">
              <w:t>15 target reflects the number of trams that are expected to be delivered under the 2014</w:t>
            </w:r>
            <w:r>
              <w:noBreakHyphen/>
            </w:r>
            <w:r w:rsidRPr="00DD4F39">
              <w:t>15 program.</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Public transport network improvement: performance against master project schedule</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90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88</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90</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2013</w:t>
            </w:r>
            <w:r>
              <w:noBreakHyphen/>
            </w:r>
            <w:r w:rsidRPr="00DD4F39">
              <w:t>14 expected outcome is lower than the 2013</w:t>
            </w:r>
            <w:r>
              <w:noBreakHyphen/>
            </w:r>
            <w:r w:rsidRPr="00DD4F39">
              <w:t>14 target due to the rescheduling of some milestones.</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Major periodic maintenance works completed against plan: metropolitan train network</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99</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Major periodic maintenance works completed against plan: regional train network</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78</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4E7A50">
            <w:pPr>
              <w:pStyle w:val="OGTabText"/>
              <w:rPr>
                <w:lang w:eastAsia="en-AU"/>
              </w:rPr>
            </w:pPr>
            <w:r w:rsidRPr="00DD4F39">
              <w:rPr>
                <w:lang w:eastAsia="en-AU"/>
              </w:rPr>
              <w:t>Major periodic maintenance works</w:t>
            </w:r>
            <w:r w:rsidR="004E7A50">
              <w:rPr>
                <w:lang w:eastAsia="en-AU"/>
              </w:rPr>
              <w:t> </w:t>
            </w:r>
            <w:r w:rsidRPr="00DD4F39">
              <w:rPr>
                <w:lang w:eastAsia="en-AU"/>
              </w:rPr>
              <w:t>completed against plan: tram</w:t>
            </w:r>
            <w:r w:rsidR="004E7A50">
              <w:rPr>
                <w:lang w:eastAsia="en-AU"/>
              </w:rPr>
              <w:t> </w:t>
            </w:r>
            <w:r w:rsidRPr="00DD4F39">
              <w:rPr>
                <w:lang w:eastAsia="en-AU"/>
              </w:rPr>
              <w:t>network</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91</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output cost</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Pr>
                <w:lang w:eastAsia="en-AU"/>
              </w:rPr>
              <w:t>69.7</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90.3</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73.3</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136.7</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higher than the 2013</w:t>
            </w:r>
            <w:r>
              <w:rPr>
                <w:szCs w:val="15"/>
              </w:rPr>
              <w:noBreakHyphen/>
            </w:r>
            <w:r w:rsidRPr="002425A8">
              <w:rPr>
                <w:szCs w:val="15"/>
              </w:rPr>
              <w:t>14 target primarily due to additional works undertaken by Regional Rail Link on behalf of third parties.</w:t>
            </w:r>
          </w:p>
          <w:p w:rsidR="00A53D7D" w:rsidRPr="00DD4F39" w:rsidRDefault="00A53D7D" w:rsidP="005140B4">
            <w:pPr>
              <w:pStyle w:val="OGNotes"/>
            </w:pPr>
            <w:r w:rsidRPr="002425A8">
              <w:rPr>
                <w:szCs w:val="15"/>
              </w:rPr>
              <w:t>The 2014</w:t>
            </w:r>
            <w:r>
              <w:rPr>
                <w:szCs w:val="15"/>
              </w:rPr>
              <w:noBreakHyphen/>
            </w:r>
            <w:r w:rsidRPr="002425A8">
              <w:rPr>
                <w:szCs w:val="15"/>
              </w:rPr>
              <w:t>15 target is lower than the 2013</w:t>
            </w:r>
            <w:r>
              <w:rPr>
                <w:szCs w:val="15"/>
              </w:rPr>
              <w:noBreakHyphen/>
            </w:r>
            <w:r w:rsidRPr="002425A8">
              <w:rPr>
                <w:szCs w:val="15"/>
              </w:rPr>
              <w:t xml:space="preserve">14 target and </w:t>
            </w:r>
            <w:r>
              <w:rPr>
                <w:szCs w:val="15"/>
              </w:rPr>
              <w:t>2013</w:t>
            </w:r>
            <w:r>
              <w:rPr>
                <w:szCs w:val="15"/>
              </w:rPr>
              <w:noBreakHyphen/>
              <w:t xml:space="preserve">14 </w:t>
            </w:r>
            <w:r w:rsidRPr="002425A8">
              <w:rPr>
                <w:szCs w:val="15"/>
              </w:rPr>
              <w:t>expected outcome primarily due to additional works undertaken by Regional Rail Link on behalf of third parties winding up in 2013</w:t>
            </w:r>
            <w:r>
              <w:rPr>
                <w:szCs w:val="15"/>
              </w:rPr>
              <w:noBreakHyphen/>
            </w:r>
            <w:r w:rsidRPr="002425A8">
              <w:rPr>
                <w:szCs w:val="15"/>
              </w:rPr>
              <w:t>14.</w:t>
            </w:r>
          </w:p>
        </w:tc>
      </w:tr>
      <w:tr w:rsidR="00A53D7D" w:rsidRPr="00DD4F39" w:rsidTr="005140B4">
        <w:trPr>
          <w:cantSplit/>
        </w:trPr>
        <w:tc>
          <w:tcPr>
            <w:tcW w:w="7776" w:type="dxa"/>
            <w:gridSpan w:val="6"/>
            <w:tcBorders>
              <w:top w:val="single" w:sz="6" w:space="0" w:color="auto"/>
              <w:left w:val="nil"/>
              <w:right w:val="nil"/>
            </w:tcBorders>
            <w:shd w:val="clear" w:color="auto" w:fill="auto"/>
            <w:noWrap/>
            <w:vAlign w:val="bottom"/>
            <w:hideMark/>
          </w:tcPr>
          <w:p w:rsidR="00A53D7D" w:rsidRPr="00DD4F39" w:rsidRDefault="00A53D7D" w:rsidP="005140B4">
            <w:pPr>
              <w:pStyle w:val="OGHeading2"/>
              <w:rPr>
                <w:lang w:eastAsia="en-AU"/>
              </w:rPr>
            </w:pPr>
            <w:r w:rsidRPr="00DD4F39">
              <w:rPr>
                <w:lang w:eastAsia="en-AU"/>
              </w:rPr>
              <w:t>Road Asset Management</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Pr="00DD4F39" w:rsidRDefault="00A53D7D" w:rsidP="005140B4">
            <w:pPr>
              <w:pStyle w:val="OGText"/>
              <w:rPr>
                <w:lang w:eastAsia="en-AU"/>
              </w:rPr>
            </w:pPr>
            <w:r w:rsidRPr="00DD4F39">
              <w:rPr>
                <w:lang w:eastAsia="en-AU"/>
              </w:rPr>
              <w:t>This output provides programs to maintain the quality of Victoria</w:t>
            </w:r>
            <w:r>
              <w:rPr>
                <w:lang w:eastAsia="en-AU"/>
              </w:rPr>
              <w:t>’</w:t>
            </w:r>
            <w:r w:rsidRPr="00DD4F39">
              <w:rPr>
                <w:lang w:eastAsia="en-AU"/>
              </w:rPr>
              <w:t>s arterial road network. This output supports the Department</w:t>
            </w:r>
            <w:r>
              <w:rPr>
                <w:lang w:eastAsia="en-AU"/>
              </w:rPr>
              <w:t>’</w:t>
            </w:r>
            <w:r w:rsidRPr="00DD4F39">
              <w:rPr>
                <w:lang w:eastAsia="en-AU"/>
              </w:rPr>
              <w:t>s objective to deliver well</w:t>
            </w:r>
            <w:r>
              <w:rPr>
                <w:lang w:eastAsia="en-AU"/>
              </w:rPr>
              <w:noBreakHyphen/>
            </w:r>
            <w:r w:rsidRPr="00DD4F39">
              <w:rPr>
                <w:lang w:eastAsia="en-AU"/>
              </w:rPr>
              <w:t>targeted improvements and maintenance to transport system assets.</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4"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Bridges maintained: metropolitan</w:t>
            </w:r>
          </w:p>
        </w:tc>
        <w:tc>
          <w:tcPr>
            <w:tcW w:w="907" w:type="dxa"/>
            <w:tcBorders>
              <w:top w:val="nil"/>
              <w:left w:val="nil"/>
              <w:bottom w:val="single" w:sz="4"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nil"/>
              <w:left w:val="nil"/>
              <w:bottom w:val="single" w:sz="4"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925</w:t>
            </w:r>
          </w:p>
        </w:tc>
        <w:tc>
          <w:tcPr>
            <w:tcW w:w="993" w:type="dxa"/>
            <w:tcBorders>
              <w:top w:val="nil"/>
              <w:left w:val="nil"/>
              <w:bottom w:val="single" w:sz="4"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925</w:t>
            </w:r>
          </w:p>
        </w:tc>
        <w:tc>
          <w:tcPr>
            <w:tcW w:w="907" w:type="dxa"/>
            <w:tcBorders>
              <w:top w:val="nil"/>
              <w:left w:val="nil"/>
              <w:bottom w:val="single" w:sz="4"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925</w:t>
            </w:r>
          </w:p>
        </w:tc>
        <w:tc>
          <w:tcPr>
            <w:tcW w:w="907" w:type="dxa"/>
            <w:tcBorders>
              <w:top w:val="nil"/>
              <w:left w:val="nil"/>
              <w:bottom w:val="single" w:sz="4"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920</w:t>
            </w:r>
          </w:p>
        </w:tc>
      </w:tr>
      <w:tr w:rsidR="00A53D7D" w:rsidRPr="00DD4F39" w:rsidTr="005140B4">
        <w:trPr>
          <w:cantSplit/>
        </w:trPr>
        <w:tc>
          <w:tcPr>
            <w:tcW w:w="3155" w:type="dxa"/>
            <w:tcBorders>
              <w:top w:val="single" w:sz="4"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Bridges maintained: regional</w:t>
            </w:r>
          </w:p>
        </w:tc>
        <w:tc>
          <w:tcPr>
            <w:tcW w:w="907" w:type="dxa"/>
            <w:tcBorders>
              <w:top w:val="single" w:sz="4"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4"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2</w:t>
            </w:r>
            <w:r>
              <w:rPr>
                <w:lang w:eastAsia="en-AU"/>
              </w:rPr>
              <w:t> </w:t>
            </w:r>
            <w:r w:rsidRPr="00DD4F39">
              <w:rPr>
                <w:lang w:eastAsia="en-AU"/>
              </w:rPr>
              <w:t>255</w:t>
            </w:r>
          </w:p>
        </w:tc>
        <w:tc>
          <w:tcPr>
            <w:tcW w:w="993" w:type="dxa"/>
            <w:tcBorders>
              <w:top w:val="single" w:sz="4"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r>
              <w:rPr>
                <w:lang w:eastAsia="en-AU"/>
              </w:rPr>
              <w:t> </w:t>
            </w:r>
            <w:r w:rsidRPr="00DD4F39">
              <w:rPr>
                <w:lang w:eastAsia="en-AU"/>
              </w:rPr>
              <w:t>255</w:t>
            </w:r>
          </w:p>
        </w:tc>
        <w:tc>
          <w:tcPr>
            <w:tcW w:w="907" w:type="dxa"/>
            <w:tcBorders>
              <w:top w:val="single" w:sz="4"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r>
              <w:rPr>
                <w:lang w:eastAsia="en-AU"/>
              </w:rPr>
              <w:t> </w:t>
            </w:r>
            <w:r w:rsidRPr="00DD4F39">
              <w:rPr>
                <w:lang w:eastAsia="en-AU"/>
              </w:rPr>
              <w:t>255</w:t>
            </w:r>
          </w:p>
        </w:tc>
        <w:tc>
          <w:tcPr>
            <w:tcW w:w="907" w:type="dxa"/>
            <w:tcBorders>
              <w:top w:val="single" w:sz="4"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r>
              <w:rPr>
                <w:lang w:eastAsia="en-AU"/>
              </w:rPr>
              <w:t> </w:t>
            </w:r>
            <w:r w:rsidRPr="00DD4F39">
              <w:rPr>
                <w:lang w:eastAsia="en-AU"/>
              </w:rPr>
              <w:t>253</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Country Roads and Bridges initiative: number of rural municipal applications funded</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40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40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40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40</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Pavement resurfaced: metropolitan</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m</w:t>
            </w:r>
            <w:r w:rsidRPr="002425A8">
              <w:rPr>
                <w:vertAlign w:val="superscript"/>
                <w:lang w:eastAsia="en-AU"/>
              </w:rPr>
              <w:t>2</w:t>
            </w:r>
            <w:r w:rsidRPr="00DD4F39">
              <w:rPr>
                <w:lang w:eastAsia="en-AU"/>
              </w:rPr>
              <w:t xml:space="preserve"> (</w:t>
            </w:r>
            <w:r>
              <w:rPr>
                <w:lang w:eastAsia="en-AU"/>
              </w:rPr>
              <w:t>‘</w:t>
            </w:r>
            <w:r w:rsidRPr="00DD4F39">
              <w:rPr>
                <w:lang w:eastAsia="en-AU"/>
              </w:rPr>
              <w:t>000)</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w:t>
            </w:r>
            <w:r>
              <w:rPr>
                <w:lang w:eastAsia="en-AU"/>
              </w:rPr>
              <w:t> </w:t>
            </w:r>
            <w:r w:rsidRPr="00DD4F39">
              <w:rPr>
                <w:lang w:eastAsia="en-AU"/>
              </w:rPr>
              <w:t>250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r>
              <w:rPr>
                <w:lang w:eastAsia="en-AU"/>
              </w:rPr>
              <w:t> </w:t>
            </w:r>
            <w:r w:rsidRPr="00DD4F39">
              <w:rPr>
                <w:lang w:eastAsia="en-AU"/>
              </w:rPr>
              <w:t>200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r>
              <w:rPr>
                <w:lang w:eastAsia="en-AU"/>
              </w:rPr>
              <w:t> </w:t>
            </w:r>
            <w:r w:rsidRPr="00DD4F39">
              <w:rPr>
                <w:lang w:eastAsia="en-AU"/>
              </w:rPr>
              <w:t>200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r>
              <w:rPr>
                <w:lang w:eastAsia="en-AU"/>
              </w:rPr>
              <w:t> </w:t>
            </w:r>
            <w:r w:rsidRPr="00DD4F39">
              <w:rPr>
                <w:lang w:eastAsia="en-AU"/>
              </w:rPr>
              <w:t>183</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reflects the additional investment in road resurfacing.</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Pavement resurfaced: regional</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m</w:t>
            </w:r>
            <w:r w:rsidRPr="002425A8">
              <w:rPr>
                <w:vertAlign w:val="superscript"/>
                <w:lang w:eastAsia="en-AU"/>
              </w:rPr>
              <w:t>2</w:t>
            </w:r>
            <w:r w:rsidRPr="00DD4F39">
              <w:rPr>
                <w:lang w:eastAsia="en-AU"/>
              </w:rPr>
              <w:t xml:space="preserve"> (</w:t>
            </w:r>
            <w:r>
              <w:rPr>
                <w:lang w:eastAsia="en-AU"/>
              </w:rPr>
              <w:t>‘</w:t>
            </w:r>
            <w:r w:rsidRPr="00DD4F39">
              <w:rPr>
                <w:lang w:eastAsia="en-AU"/>
              </w:rPr>
              <w:t>000)</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7</w:t>
            </w:r>
            <w:r>
              <w:rPr>
                <w:lang w:eastAsia="en-AU"/>
              </w:rPr>
              <w:t> </w:t>
            </w:r>
            <w:r w:rsidRPr="00DD4F39">
              <w:rPr>
                <w:lang w:eastAsia="en-AU"/>
              </w:rPr>
              <w:t>050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w:t>
            </w:r>
            <w:r>
              <w:rPr>
                <w:lang w:eastAsia="en-AU"/>
              </w:rPr>
              <w:t> </w:t>
            </w:r>
            <w:r w:rsidRPr="00DD4F39">
              <w:rPr>
                <w:lang w:eastAsia="en-AU"/>
              </w:rPr>
              <w:t>900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6</w:t>
            </w:r>
            <w:r>
              <w:rPr>
                <w:lang w:eastAsia="en-AU"/>
              </w:rPr>
              <w:t> </w:t>
            </w:r>
            <w:r w:rsidRPr="00DD4F39">
              <w:rPr>
                <w:lang w:eastAsia="en-AU"/>
              </w:rPr>
              <w:t>900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w:t>
            </w:r>
            <w:r>
              <w:rPr>
                <w:lang w:eastAsia="en-AU"/>
              </w:rPr>
              <w:t> </w:t>
            </w:r>
            <w:r w:rsidRPr="00DD4F39">
              <w:rPr>
                <w:lang w:eastAsia="en-AU"/>
              </w:rPr>
              <w:t>991</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reflects the additional investment in road resurfacing.</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Road network maintained: metropolitan</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lane</w:t>
            </w:r>
            <w:r>
              <w:rPr>
                <w:lang w:eastAsia="en-AU"/>
              </w:rPr>
              <w:noBreakHyphen/>
              <w:t>km</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12</w:t>
            </w:r>
            <w:r>
              <w:rPr>
                <w:lang w:eastAsia="en-AU"/>
              </w:rPr>
              <w:t> </w:t>
            </w:r>
            <w:r w:rsidRPr="00DD4F39">
              <w:rPr>
                <w:lang w:eastAsia="en-AU"/>
              </w:rPr>
              <w:t>196</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12</w:t>
            </w:r>
            <w:r>
              <w:rPr>
                <w:lang w:eastAsia="en-AU"/>
              </w:rPr>
              <w:t> </w:t>
            </w:r>
            <w:r w:rsidRPr="00DD4F39">
              <w:rPr>
                <w:lang w:eastAsia="en-AU"/>
              </w:rPr>
              <w:t>196</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12</w:t>
            </w:r>
            <w:r>
              <w:rPr>
                <w:lang w:eastAsia="en-AU"/>
              </w:rPr>
              <w:t> </w:t>
            </w:r>
            <w:r w:rsidRPr="00DD4F39">
              <w:rPr>
                <w:lang w:eastAsia="en-AU"/>
              </w:rPr>
              <w:t>225</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11</w:t>
            </w:r>
            <w:r>
              <w:rPr>
                <w:lang w:eastAsia="en-AU"/>
              </w:rPr>
              <w:t> </w:t>
            </w:r>
            <w:r w:rsidRPr="00DD4F39">
              <w:rPr>
                <w:lang w:eastAsia="en-AU"/>
              </w:rPr>
              <w:t>852</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2014</w:t>
            </w:r>
            <w:r>
              <w:noBreakHyphen/>
            </w:r>
            <w:r w:rsidRPr="00DD4F39">
              <w:t>15 target and 2013</w:t>
            </w:r>
            <w:r>
              <w:noBreakHyphen/>
            </w:r>
            <w:r w:rsidRPr="00DD4F39">
              <w:t>14 expected outcome corrects an error in the 2013</w:t>
            </w:r>
            <w:r>
              <w:noBreakHyphen/>
            </w:r>
            <w:r w:rsidRPr="00DD4F39">
              <w:t xml:space="preserve">14 target that was published in the </w:t>
            </w:r>
            <w:r w:rsidRPr="000C5143">
              <w:rPr>
                <w:i w:val="0"/>
              </w:rPr>
              <w:t>2013</w:t>
            </w:r>
            <w:r w:rsidRPr="000C5143">
              <w:rPr>
                <w:i w:val="0"/>
              </w:rPr>
              <w:noBreakHyphen/>
              <w:t>14 Budget</w:t>
            </w:r>
            <w:r w:rsidRPr="00DD4F39">
              <w:t>.</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Road network maintained: regional</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Pr>
                <w:lang w:eastAsia="en-AU"/>
              </w:rPr>
              <w:t>lane</w:t>
            </w:r>
            <w:r>
              <w:rPr>
                <w:lang w:eastAsia="en-AU"/>
              </w:rPr>
              <w:noBreakHyphen/>
              <w:t>km</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41</w:t>
            </w:r>
            <w:r>
              <w:rPr>
                <w:lang w:eastAsia="en-AU"/>
              </w:rPr>
              <w:t> </w:t>
            </w:r>
            <w:r w:rsidRPr="00DD4F39">
              <w:rPr>
                <w:lang w:eastAsia="en-AU"/>
              </w:rPr>
              <w:t>415</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41</w:t>
            </w:r>
            <w:r>
              <w:rPr>
                <w:lang w:eastAsia="en-AU"/>
              </w:rPr>
              <w:t> </w:t>
            </w:r>
            <w:r w:rsidRPr="00DD4F39">
              <w:rPr>
                <w:lang w:eastAsia="en-AU"/>
              </w:rPr>
              <w:t>415</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41</w:t>
            </w:r>
            <w:r>
              <w:rPr>
                <w:lang w:eastAsia="en-AU"/>
              </w:rPr>
              <w:t> </w:t>
            </w:r>
            <w:r w:rsidRPr="00DD4F39">
              <w:rPr>
                <w:lang w:eastAsia="en-AU"/>
              </w:rPr>
              <w:t>415</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41</w:t>
            </w:r>
            <w:r>
              <w:rPr>
                <w:lang w:eastAsia="en-AU"/>
              </w:rPr>
              <w:t> </w:t>
            </w:r>
            <w:r w:rsidRPr="00DD4F39">
              <w:rPr>
                <w:lang w:eastAsia="en-AU"/>
              </w:rPr>
              <w:t>659</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Bridges that are acceptable for legal load vehicles: metropolitan</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99.4</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99.5</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99.2</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99.3</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2014</w:t>
            </w:r>
            <w:r>
              <w:noBreakHyphen/>
            </w:r>
            <w:r w:rsidRPr="00DD4F39">
              <w:t>15 target relative to the 2013</w:t>
            </w:r>
            <w:r>
              <w:noBreakHyphen/>
            </w:r>
            <w:r w:rsidRPr="00DD4F39">
              <w:t>14 expected outcome reflects a small increase in the number of bridges with load restrictions.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Bridges that are acceptable for legal load vehicles: regional</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99.5</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99.6</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99.3</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99.6</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2014</w:t>
            </w:r>
            <w:r>
              <w:noBreakHyphen/>
            </w:r>
            <w:r w:rsidRPr="00DD4F39">
              <w:t>15 target relative to the 2013</w:t>
            </w:r>
            <w:r>
              <w:noBreakHyphen/>
            </w:r>
            <w:r w:rsidRPr="00DD4F39">
              <w:t>14 expected outcome reflects a small increase in the number of bridges with load restrictions.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Proportion of distressed road pavements: metropolitan</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keepNext/>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keepNext/>
              <w:rPr>
                <w:lang w:eastAsia="en-AU"/>
              </w:rPr>
            </w:pPr>
            <w:r w:rsidRPr="00DD4F39">
              <w:rPr>
                <w:lang w:eastAsia="en-AU"/>
              </w:rPr>
              <w:t>8.4</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8</w:t>
            </w:r>
            <w:r>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9.9</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7.6</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lower than the 2013</w:t>
            </w:r>
            <w:r>
              <w:rPr>
                <w:szCs w:val="15"/>
              </w:rPr>
              <w:noBreakHyphen/>
            </w:r>
            <w:r w:rsidRPr="002425A8">
              <w:rPr>
                <w:szCs w:val="15"/>
              </w:rPr>
              <w:t xml:space="preserve">14 target due to a change in </w:t>
            </w:r>
            <w:r>
              <w:rPr>
                <w:szCs w:val="15"/>
              </w:rPr>
              <w:t xml:space="preserve">the </w:t>
            </w:r>
            <w:r w:rsidRPr="002425A8">
              <w:rPr>
                <w:szCs w:val="15"/>
              </w:rPr>
              <w:t xml:space="preserve">methodology of calculating </w:t>
            </w:r>
            <w:r>
              <w:rPr>
                <w:szCs w:val="15"/>
              </w:rPr>
              <w:t xml:space="preserve">the </w:t>
            </w:r>
            <w:r w:rsidRPr="002425A8">
              <w:rPr>
                <w:szCs w:val="15"/>
              </w:rPr>
              <w:t>proportion of distressed road pavements.</w:t>
            </w:r>
          </w:p>
          <w:p w:rsidR="00A53D7D" w:rsidRPr="00DD4F39" w:rsidRDefault="00A53D7D" w:rsidP="005140B4">
            <w:pPr>
              <w:pStyle w:val="OGNotes"/>
            </w:pPr>
            <w:r w:rsidRPr="002425A8">
              <w:rPr>
                <w:szCs w:val="15"/>
              </w:rPr>
              <w:t>The higher 2014</w:t>
            </w:r>
            <w:r>
              <w:rPr>
                <w:szCs w:val="15"/>
              </w:rPr>
              <w:noBreakHyphen/>
            </w:r>
            <w:r w:rsidRPr="002425A8">
              <w:rPr>
                <w:szCs w:val="15"/>
              </w:rPr>
              <w:t>15 target relative to the 2013</w:t>
            </w:r>
            <w:r>
              <w:rPr>
                <w:szCs w:val="15"/>
              </w:rPr>
              <w:noBreakHyphen/>
            </w:r>
            <w:r w:rsidRPr="002425A8">
              <w:rPr>
                <w:szCs w:val="15"/>
              </w:rPr>
              <w:t xml:space="preserve">14 expected outcome reflects the rate of deterioration of pavement condition. The additional investment in road maintenance provided in the </w:t>
            </w:r>
            <w:r w:rsidRPr="006637D9">
              <w:rPr>
                <w:i w:val="0"/>
                <w:szCs w:val="15"/>
              </w:rPr>
              <w:t>2014</w:t>
            </w:r>
            <w:r w:rsidRPr="006637D9">
              <w:rPr>
                <w:i w:val="0"/>
                <w:szCs w:val="15"/>
              </w:rPr>
              <w:noBreakHyphen/>
              <w:t>15 Budget</w:t>
            </w:r>
            <w:r w:rsidRPr="002425A8">
              <w:rPr>
                <w:szCs w:val="15"/>
              </w:rPr>
              <w:t xml:space="preserve"> will reduce the level of distressed road pavements beyond 2014</w:t>
            </w:r>
            <w:r>
              <w:rPr>
                <w:szCs w:val="15"/>
              </w:rPr>
              <w:noBreakHyphen/>
            </w:r>
            <w:r w:rsidRPr="002425A8">
              <w:rPr>
                <w:szCs w:val="15"/>
              </w:rPr>
              <w:t>15.</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Proportion of distressed road pavements: regional</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8.3</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7.9</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9.2</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7.4</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lower than the 2013</w:t>
            </w:r>
            <w:r>
              <w:rPr>
                <w:szCs w:val="15"/>
              </w:rPr>
              <w:noBreakHyphen/>
            </w:r>
            <w:r w:rsidRPr="002425A8">
              <w:rPr>
                <w:szCs w:val="15"/>
              </w:rPr>
              <w:t xml:space="preserve">14 target is due to a change </w:t>
            </w:r>
            <w:r>
              <w:rPr>
                <w:szCs w:val="15"/>
              </w:rPr>
              <w:t>in the</w:t>
            </w:r>
            <w:r w:rsidRPr="002425A8">
              <w:rPr>
                <w:szCs w:val="15"/>
              </w:rPr>
              <w:t xml:space="preserve"> methodology of calculating </w:t>
            </w:r>
            <w:r>
              <w:rPr>
                <w:szCs w:val="15"/>
              </w:rPr>
              <w:t xml:space="preserve">the </w:t>
            </w:r>
            <w:r w:rsidRPr="002425A8">
              <w:rPr>
                <w:szCs w:val="15"/>
              </w:rPr>
              <w:t>proportion of distressed road pavements.</w:t>
            </w:r>
          </w:p>
          <w:p w:rsidR="00A53D7D" w:rsidRPr="00DD4F39" w:rsidRDefault="00A53D7D" w:rsidP="005140B4">
            <w:pPr>
              <w:pStyle w:val="OGNotes"/>
            </w:pPr>
            <w:r w:rsidRPr="002425A8">
              <w:rPr>
                <w:szCs w:val="15"/>
              </w:rPr>
              <w:t>The higher 2014</w:t>
            </w:r>
            <w:r>
              <w:rPr>
                <w:szCs w:val="15"/>
              </w:rPr>
              <w:noBreakHyphen/>
            </w:r>
            <w:r w:rsidRPr="002425A8">
              <w:rPr>
                <w:szCs w:val="15"/>
              </w:rPr>
              <w:t>15 target relative to the 2013</w:t>
            </w:r>
            <w:r>
              <w:rPr>
                <w:szCs w:val="15"/>
              </w:rPr>
              <w:noBreakHyphen/>
            </w:r>
            <w:r w:rsidRPr="002425A8">
              <w:rPr>
                <w:szCs w:val="15"/>
              </w:rPr>
              <w:t xml:space="preserve">14 expected outcome reflects the rate of deterioration of pavement condition. The additional investment in road maintenance provided in the </w:t>
            </w:r>
            <w:r w:rsidRPr="00A714BC">
              <w:rPr>
                <w:i w:val="0"/>
                <w:szCs w:val="15"/>
              </w:rPr>
              <w:t>2014</w:t>
            </w:r>
            <w:r w:rsidRPr="00A714BC">
              <w:rPr>
                <w:i w:val="0"/>
                <w:szCs w:val="15"/>
              </w:rPr>
              <w:noBreakHyphen/>
              <w:t>15 Budget</w:t>
            </w:r>
            <w:r w:rsidRPr="002425A8">
              <w:rPr>
                <w:szCs w:val="15"/>
              </w:rPr>
              <w:t xml:space="preserve"> will reduce the level of distressed road pavements beyond 2014</w:t>
            </w:r>
            <w:r>
              <w:rPr>
                <w:szCs w:val="15"/>
              </w:rPr>
              <w:noBreakHyphen/>
            </w:r>
            <w:r w:rsidRPr="002425A8">
              <w:rPr>
                <w:szCs w:val="15"/>
              </w:rPr>
              <w:t>15.</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Annual road maintenance program completed within agreed timeframes: metropolitan</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nil"/>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Annual road maintenance program completed within agreed timeframes: regional</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100</w:t>
            </w:r>
          </w:p>
        </w:tc>
      </w:tr>
      <w:tr w:rsidR="00A53D7D" w:rsidRPr="00DD4F39" w:rsidTr="005140B4">
        <w:trPr>
          <w:cantSplit/>
        </w:trPr>
        <w:tc>
          <w:tcPr>
            <w:tcW w:w="3155" w:type="dxa"/>
            <w:tcBorders>
              <w:top w:val="single" w:sz="6" w:space="0" w:color="auto"/>
              <w:left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Total output cost</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Pr>
                <w:lang w:eastAsia="en-AU"/>
              </w:rPr>
              <w:t>445.7</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442.7</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436.2</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447.5</w:t>
            </w:r>
          </w:p>
        </w:tc>
      </w:tr>
      <w:tr w:rsidR="00A53D7D" w:rsidRPr="00C50BF0" w:rsidTr="005140B4">
        <w:trPr>
          <w:cantSplit/>
        </w:trPr>
        <w:tc>
          <w:tcPr>
            <w:tcW w:w="7776" w:type="dxa"/>
            <w:gridSpan w:val="6"/>
            <w:tcBorders>
              <w:top w:val="nil"/>
              <w:left w:val="nil"/>
              <w:bottom w:val="single" w:sz="6" w:space="0" w:color="auto"/>
              <w:right w:val="nil"/>
            </w:tcBorders>
            <w:shd w:val="clear" w:color="000000" w:fill="FFFFFF"/>
          </w:tcPr>
          <w:p w:rsidR="00A53D7D" w:rsidRPr="00C50BF0" w:rsidRDefault="00A53D7D" w:rsidP="005140B4">
            <w:pPr>
              <w:pStyle w:val="OGNotes"/>
              <w:rPr>
                <w:szCs w:val="15"/>
              </w:rPr>
            </w:pPr>
            <w:r w:rsidRPr="00C50BF0">
              <w:rPr>
                <w:szCs w:val="15"/>
              </w:rPr>
              <w:t xml:space="preserve">The higher </w:t>
            </w:r>
            <w:r>
              <w:rPr>
                <w:szCs w:val="15"/>
              </w:rPr>
              <w:t>2013</w:t>
            </w:r>
            <w:r>
              <w:rPr>
                <w:szCs w:val="15"/>
              </w:rPr>
              <w:noBreakHyphen/>
              <w:t xml:space="preserve">14 expected outcome and the </w:t>
            </w:r>
            <w:r w:rsidRPr="00C50BF0">
              <w:rPr>
                <w:szCs w:val="15"/>
              </w:rPr>
              <w:t>2014</w:t>
            </w:r>
            <w:r>
              <w:rPr>
                <w:szCs w:val="15"/>
              </w:rPr>
              <w:noBreakHyphen/>
            </w:r>
            <w:r w:rsidRPr="00C50BF0">
              <w:rPr>
                <w:szCs w:val="15"/>
              </w:rPr>
              <w:t>15 target primarily reflects</w:t>
            </w:r>
            <w:r>
              <w:rPr>
                <w:szCs w:val="15"/>
              </w:rPr>
              <w:t xml:space="preserve"> additional operating funding for approved road maintenance programs provided in the </w:t>
            </w:r>
            <w:r w:rsidRPr="006637D9">
              <w:rPr>
                <w:i w:val="0"/>
                <w:szCs w:val="15"/>
              </w:rPr>
              <w:t>2014</w:t>
            </w:r>
            <w:r w:rsidRPr="006637D9">
              <w:rPr>
                <w:i w:val="0"/>
                <w:szCs w:val="15"/>
              </w:rPr>
              <w:noBreakHyphen/>
              <w:t>15 Budget</w:t>
            </w:r>
            <w:r>
              <w:rPr>
                <w:szCs w:val="15"/>
              </w:rPr>
              <w:t>.</w:t>
            </w:r>
          </w:p>
        </w:tc>
      </w:tr>
      <w:tr w:rsidR="00A53D7D" w:rsidRPr="00DD4F39" w:rsidTr="005140B4">
        <w:trPr>
          <w:cantSplit/>
        </w:trPr>
        <w:tc>
          <w:tcPr>
            <w:tcW w:w="7776" w:type="dxa"/>
            <w:gridSpan w:val="6"/>
            <w:tcBorders>
              <w:top w:val="single" w:sz="6" w:space="0" w:color="auto"/>
              <w:left w:val="nil"/>
              <w:right w:val="nil"/>
            </w:tcBorders>
            <w:shd w:val="clear" w:color="auto" w:fill="auto"/>
            <w:noWrap/>
            <w:vAlign w:val="bottom"/>
            <w:hideMark/>
          </w:tcPr>
          <w:p w:rsidR="00A53D7D" w:rsidRPr="00DD4F39" w:rsidRDefault="00A53D7D" w:rsidP="005140B4">
            <w:pPr>
              <w:pStyle w:val="OGHeading2"/>
              <w:rPr>
                <w:lang w:eastAsia="en-AU"/>
              </w:rPr>
            </w:pPr>
            <w:r w:rsidRPr="00DD4F39">
              <w:rPr>
                <w:lang w:eastAsia="en-AU"/>
              </w:rPr>
              <w:t>Road Network Improvements</w:t>
            </w:r>
          </w:p>
        </w:tc>
      </w:tr>
      <w:tr w:rsidR="00A53D7D" w:rsidRPr="00DD4F39" w:rsidTr="005140B4">
        <w:trPr>
          <w:cantSplit/>
        </w:trPr>
        <w:tc>
          <w:tcPr>
            <w:tcW w:w="7776" w:type="dxa"/>
            <w:gridSpan w:val="6"/>
            <w:tcBorders>
              <w:left w:val="nil"/>
              <w:bottom w:val="single" w:sz="6" w:space="0" w:color="auto"/>
              <w:right w:val="nil"/>
            </w:tcBorders>
            <w:shd w:val="clear" w:color="auto" w:fill="auto"/>
            <w:vAlign w:val="bottom"/>
            <w:hideMark/>
          </w:tcPr>
          <w:p w:rsidR="00A53D7D" w:rsidRPr="00DD4F39" w:rsidRDefault="00A53D7D" w:rsidP="005140B4">
            <w:pPr>
              <w:pStyle w:val="OGText"/>
              <w:rPr>
                <w:lang w:eastAsia="en-AU"/>
              </w:rPr>
            </w:pPr>
            <w:r w:rsidRPr="00DD4F39">
              <w:rPr>
                <w:lang w:eastAsia="en-AU"/>
              </w:rPr>
              <w:t>This output delivers network improvement initiatives to develop new links in Victoria</w:t>
            </w:r>
            <w:r>
              <w:rPr>
                <w:lang w:eastAsia="en-AU"/>
              </w:rPr>
              <w:t>’</w:t>
            </w:r>
            <w:r w:rsidRPr="00DD4F39">
              <w:rPr>
                <w:lang w:eastAsia="en-AU"/>
              </w:rPr>
              <w:t>s arterial road network and to upgrade the safety of roads, as well as projects to reduce congestion and improve reliability and travel times. This output supports the Department</w:t>
            </w:r>
            <w:r>
              <w:rPr>
                <w:lang w:eastAsia="en-AU"/>
              </w:rPr>
              <w:t>’</w:t>
            </w:r>
            <w:r w:rsidRPr="00DD4F39">
              <w:rPr>
                <w:lang w:eastAsia="en-AU"/>
              </w:rPr>
              <w:t>s objective to deliver well</w:t>
            </w:r>
            <w:r>
              <w:rPr>
                <w:lang w:eastAsia="en-AU"/>
              </w:rPr>
              <w:noBreakHyphen/>
            </w:r>
            <w:r w:rsidRPr="00DD4F39">
              <w:rPr>
                <w:lang w:eastAsia="en-AU"/>
              </w:rPr>
              <w:t>targeted improvements and maintenance to transport system assets.</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Quantity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Bridge strengthening and replacement projects completed: metropolitan</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2014</w:t>
            </w:r>
            <w:r>
              <w:noBreakHyphen/>
            </w:r>
            <w:r w:rsidRPr="00DD4F39">
              <w:t>15 target reflects the number of projects expected to be delivered under the 2014</w:t>
            </w:r>
            <w:r>
              <w:noBreakHyphen/>
            </w:r>
            <w:r w:rsidRPr="00DD4F39">
              <w:t>15 program. It is expected that projects will be completed in 2015</w:t>
            </w:r>
            <w:r>
              <w:noBreakHyphen/>
            </w:r>
            <w:r w:rsidRPr="00DD4F39">
              <w:t>16 and onwards, as projects in this program often span multiple years.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Bridge strengthening and replacement projects completed: regional</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keepNext/>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keepNext/>
              <w:rPr>
                <w:lang w:eastAsia="en-AU"/>
              </w:rPr>
            </w:pPr>
            <w:r w:rsidRPr="00DD4F39">
              <w:rPr>
                <w:lang w:eastAsia="en-AU"/>
              </w:rPr>
              <w:t>4</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6</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6</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4</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DD4F39" w:rsidRDefault="00A53D7D" w:rsidP="005140B4">
            <w:pPr>
              <w:pStyle w:val="OGNotes"/>
            </w:pPr>
            <w:r w:rsidRPr="00DD4F39">
              <w:t>The lower 2014</w:t>
            </w:r>
            <w:r>
              <w:noBreakHyphen/>
            </w:r>
            <w:r w:rsidRPr="00DD4F39">
              <w:t>15 target reflects the number of projects expected to be delivered under the 2014</w:t>
            </w:r>
            <w:r>
              <w:noBreakHyphen/>
            </w:r>
            <w:r w:rsidRPr="00DD4F39">
              <w:t>15 program. It is expected that projects will be completed in 2015</w:t>
            </w:r>
            <w:r>
              <w:noBreakHyphen/>
            </w:r>
            <w:r w:rsidRPr="00DD4F39">
              <w:t>16 and onwards, as projects in this program often span multiple years.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Bus/tram route and other high occupancy vehicle improvements completed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lower than the 2013</w:t>
            </w:r>
            <w:r>
              <w:rPr>
                <w:szCs w:val="15"/>
              </w:rPr>
              <w:noBreakHyphen/>
            </w:r>
            <w:r w:rsidRPr="002425A8">
              <w:rPr>
                <w:szCs w:val="15"/>
              </w:rPr>
              <w:t>14 target due to one project that was originally targeted for completion in 2013</w:t>
            </w:r>
            <w:r>
              <w:rPr>
                <w:szCs w:val="15"/>
              </w:rPr>
              <w:noBreakHyphen/>
            </w:r>
            <w:r w:rsidRPr="002425A8">
              <w:rPr>
                <w:szCs w:val="15"/>
              </w:rPr>
              <w:t>14 now expected to be discontinued.</w:t>
            </w:r>
          </w:p>
          <w:p w:rsidR="00A53D7D" w:rsidRPr="00DD4F39" w:rsidRDefault="00A53D7D" w:rsidP="005140B4">
            <w:pPr>
              <w:pStyle w:val="OGNotes"/>
            </w:pPr>
            <w:r w:rsidRPr="002425A8">
              <w:rPr>
                <w:szCs w:val="15"/>
              </w:rPr>
              <w:t>The lower 2014</w:t>
            </w:r>
            <w:r>
              <w:rPr>
                <w:szCs w:val="15"/>
              </w:rPr>
              <w:noBreakHyphen/>
            </w:r>
            <w:r w:rsidRPr="002425A8">
              <w:rPr>
                <w:szCs w:val="15"/>
              </w:rPr>
              <w:t>15 target reflects that no projects are expected to be delivered under the 2014</w:t>
            </w:r>
            <w:r>
              <w:rPr>
                <w:szCs w:val="15"/>
              </w:rPr>
              <w:noBreakHyphen/>
            </w:r>
            <w:r w:rsidRPr="002425A8">
              <w:rPr>
                <w:szCs w:val="15"/>
              </w:rPr>
              <w:t>15 program.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Congestion projects completed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higher than the 2013</w:t>
            </w:r>
            <w:r>
              <w:rPr>
                <w:szCs w:val="15"/>
              </w:rPr>
              <w:noBreakHyphen/>
            </w:r>
            <w:r w:rsidRPr="002425A8">
              <w:rPr>
                <w:szCs w:val="15"/>
              </w:rPr>
              <w:t>14 target due to two projects not originally targeted for completion in 2013</w:t>
            </w:r>
            <w:r>
              <w:rPr>
                <w:szCs w:val="15"/>
              </w:rPr>
              <w:noBreakHyphen/>
            </w:r>
            <w:r w:rsidRPr="002425A8">
              <w:rPr>
                <w:szCs w:val="15"/>
              </w:rPr>
              <w:t>14, now scheduled for completion in 2013</w:t>
            </w:r>
            <w:r>
              <w:rPr>
                <w:szCs w:val="15"/>
              </w:rPr>
              <w:noBreakHyphen/>
            </w:r>
            <w:r w:rsidRPr="002425A8">
              <w:rPr>
                <w:szCs w:val="15"/>
              </w:rPr>
              <w:t>14.</w:t>
            </w:r>
          </w:p>
          <w:p w:rsidR="00A53D7D" w:rsidRPr="00DD4F39" w:rsidRDefault="00A53D7D" w:rsidP="005140B4">
            <w:pPr>
              <w:pStyle w:val="OGNotes"/>
            </w:pPr>
            <w:r w:rsidRPr="002425A8">
              <w:rPr>
                <w:szCs w:val="15"/>
              </w:rPr>
              <w:t>The 2014</w:t>
            </w:r>
            <w:r>
              <w:rPr>
                <w:szCs w:val="15"/>
              </w:rPr>
              <w:noBreakHyphen/>
            </w:r>
            <w:r w:rsidRPr="002425A8">
              <w:rPr>
                <w:szCs w:val="15"/>
              </w:rPr>
              <w:t>15 target reflects the number of projects that are expected to be delivered under the 2014</w:t>
            </w:r>
            <w:r>
              <w:rPr>
                <w:szCs w:val="15"/>
              </w:rPr>
              <w:noBreakHyphen/>
            </w:r>
            <w:r w:rsidRPr="002425A8">
              <w:rPr>
                <w:szCs w:val="15"/>
              </w:rPr>
              <w:t>15 program. It is expected that projects will be completed in 2015</w:t>
            </w:r>
            <w:r>
              <w:rPr>
                <w:szCs w:val="15"/>
              </w:rPr>
              <w:noBreakHyphen/>
            </w:r>
            <w:r w:rsidRPr="002425A8">
              <w:rPr>
                <w:szCs w:val="15"/>
              </w:rPr>
              <w:t>16 and onwards, as projects in this program often span multiple years.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Cycling projects completed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8</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higher than the 2013</w:t>
            </w:r>
            <w:r>
              <w:rPr>
                <w:szCs w:val="15"/>
              </w:rPr>
              <w:noBreakHyphen/>
            </w:r>
            <w:r w:rsidRPr="002425A8">
              <w:rPr>
                <w:szCs w:val="15"/>
              </w:rPr>
              <w:t>14 target due to six projects not originally targeted for completion in 2013</w:t>
            </w:r>
            <w:r>
              <w:rPr>
                <w:szCs w:val="15"/>
              </w:rPr>
              <w:noBreakHyphen/>
            </w:r>
            <w:r w:rsidRPr="002425A8">
              <w:rPr>
                <w:szCs w:val="15"/>
              </w:rPr>
              <w:t>14, now scheduled for completion in 2013</w:t>
            </w:r>
            <w:r>
              <w:rPr>
                <w:szCs w:val="15"/>
              </w:rPr>
              <w:noBreakHyphen/>
            </w:r>
            <w:r w:rsidRPr="002425A8">
              <w:rPr>
                <w:szCs w:val="15"/>
              </w:rPr>
              <w:t>14.</w:t>
            </w:r>
          </w:p>
          <w:p w:rsidR="00A53D7D" w:rsidRPr="00DD4F39" w:rsidRDefault="00A53D7D" w:rsidP="005140B4">
            <w:pPr>
              <w:pStyle w:val="OGNotes"/>
            </w:pPr>
            <w:r w:rsidRPr="002425A8">
              <w:rPr>
                <w:szCs w:val="15"/>
              </w:rPr>
              <w:t>The higher 2014</w:t>
            </w:r>
            <w:r>
              <w:rPr>
                <w:szCs w:val="15"/>
              </w:rPr>
              <w:noBreakHyphen/>
            </w:r>
            <w:r w:rsidRPr="002425A8">
              <w:rPr>
                <w:szCs w:val="15"/>
              </w:rPr>
              <w:t>15 target reflects the number of projects that are expected to be delivered under the 2014</w:t>
            </w:r>
            <w:r>
              <w:rPr>
                <w:szCs w:val="15"/>
              </w:rPr>
              <w:noBreakHyphen/>
            </w:r>
            <w:r w:rsidRPr="002425A8">
              <w:rPr>
                <w:szCs w:val="15"/>
              </w:rPr>
              <w:t>15 program.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Local road projects completed: regional</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5</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7</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higher than the 2013</w:t>
            </w:r>
            <w:r>
              <w:rPr>
                <w:szCs w:val="15"/>
              </w:rPr>
              <w:noBreakHyphen/>
            </w:r>
            <w:r w:rsidRPr="002425A8">
              <w:rPr>
                <w:szCs w:val="15"/>
              </w:rPr>
              <w:t>14 target due to four projects not originally targeted for completion in 2013</w:t>
            </w:r>
            <w:r>
              <w:rPr>
                <w:szCs w:val="15"/>
              </w:rPr>
              <w:noBreakHyphen/>
            </w:r>
            <w:r w:rsidRPr="002425A8">
              <w:rPr>
                <w:szCs w:val="15"/>
              </w:rPr>
              <w:t>14, now scheduled for completion in 2013</w:t>
            </w:r>
            <w:r>
              <w:rPr>
                <w:szCs w:val="15"/>
              </w:rPr>
              <w:noBreakHyphen/>
            </w:r>
            <w:r w:rsidRPr="002425A8">
              <w:rPr>
                <w:szCs w:val="15"/>
              </w:rPr>
              <w:t>14.</w:t>
            </w:r>
          </w:p>
          <w:p w:rsidR="00A53D7D" w:rsidRPr="00DD4F39" w:rsidRDefault="00A53D7D" w:rsidP="005140B4">
            <w:pPr>
              <w:pStyle w:val="OGNotes"/>
            </w:pPr>
            <w:r w:rsidRPr="002425A8">
              <w:rPr>
                <w:szCs w:val="15"/>
              </w:rPr>
              <w:t>The higher 2014</w:t>
            </w:r>
            <w:r>
              <w:rPr>
                <w:szCs w:val="15"/>
              </w:rPr>
              <w:noBreakHyphen/>
            </w:r>
            <w:r w:rsidRPr="002425A8">
              <w:rPr>
                <w:szCs w:val="15"/>
              </w:rPr>
              <w:t>15 target reflects the number of projects that are expected to be delivered under the 2014</w:t>
            </w:r>
            <w:r>
              <w:rPr>
                <w:szCs w:val="15"/>
              </w:rPr>
              <w:noBreakHyphen/>
            </w:r>
            <w:r w:rsidRPr="002425A8">
              <w:rPr>
                <w:szCs w:val="15"/>
              </w:rPr>
              <w:t>15 program. It is expected that projects will be completed in 2015</w:t>
            </w:r>
            <w:r>
              <w:rPr>
                <w:szCs w:val="15"/>
              </w:rPr>
              <w:noBreakHyphen/>
            </w:r>
            <w:r w:rsidRPr="002425A8">
              <w:rPr>
                <w:szCs w:val="15"/>
              </w:rPr>
              <w:t>16 and onwards, as projects in this program often span multiple years.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Major road improvement projects completed: metropolitan</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higher than the 2013</w:t>
            </w:r>
            <w:r>
              <w:rPr>
                <w:szCs w:val="15"/>
              </w:rPr>
              <w:noBreakHyphen/>
            </w:r>
            <w:r w:rsidRPr="002425A8">
              <w:rPr>
                <w:szCs w:val="15"/>
              </w:rPr>
              <w:t>14 target due to two projects not originally targeted for completion in 2013</w:t>
            </w:r>
            <w:r>
              <w:rPr>
                <w:szCs w:val="15"/>
              </w:rPr>
              <w:noBreakHyphen/>
            </w:r>
            <w:r w:rsidRPr="002425A8">
              <w:rPr>
                <w:szCs w:val="15"/>
              </w:rPr>
              <w:t>14, now scheduled for completion in 2013</w:t>
            </w:r>
            <w:r>
              <w:rPr>
                <w:szCs w:val="15"/>
              </w:rPr>
              <w:noBreakHyphen/>
            </w:r>
            <w:r w:rsidRPr="002425A8">
              <w:rPr>
                <w:szCs w:val="15"/>
              </w:rPr>
              <w:t>14.</w:t>
            </w:r>
          </w:p>
          <w:p w:rsidR="00A53D7D" w:rsidRPr="00DD4F39" w:rsidRDefault="00A53D7D" w:rsidP="005140B4">
            <w:pPr>
              <w:pStyle w:val="OGNotes"/>
            </w:pPr>
            <w:r w:rsidRPr="002425A8">
              <w:rPr>
                <w:szCs w:val="15"/>
              </w:rPr>
              <w:t>The 2014</w:t>
            </w:r>
            <w:r>
              <w:rPr>
                <w:szCs w:val="15"/>
              </w:rPr>
              <w:noBreakHyphen/>
            </w:r>
            <w:r w:rsidRPr="002425A8">
              <w:rPr>
                <w:szCs w:val="15"/>
              </w:rPr>
              <w:t>15 target reflects the number of projects that are expected to be delivered under the 2014</w:t>
            </w:r>
            <w:r>
              <w:rPr>
                <w:szCs w:val="15"/>
              </w:rPr>
              <w:noBreakHyphen/>
            </w:r>
            <w:r w:rsidRPr="002425A8">
              <w:rPr>
                <w:szCs w:val="15"/>
              </w:rPr>
              <w:t>15 program. It is expected that projects will be completed in 2015</w:t>
            </w:r>
            <w:r>
              <w:rPr>
                <w:szCs w:val="15"/>
              </w:rPr>
              <w:noBreakHyphen/>
            </w:r>
            <w:r w:rsidRPr="002425A8">
              <w:rPr>
                <w:szCs w:val="15"/>
              </w:rPr>
              <w:t>16 and onwards, as major road improvement projects often span multiple years.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Major road improvement projects completed: regional</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2</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5</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lower than the 2013</w:t>
            </w:r>
            <w:r>
              <w:rPr>
                <w:szCs w:val="15"/>
              </w:rPr>
              <w:noBreakHyphen/>
            </w:r>
            <w:r w:rsidRPr="002425A8">
              <w:rPr>
                <w:szCs w:val="15"/>
              </w:rPr>
              <w:t>14 target due to one project originally targeted for completion in 2013</w:t>
            </w:r>
            <w:r>
              <w:rPr>
                <w:szCs w:val="15"/>
              </w:rPr>
              <w:noBreakHyphen/>
            </w:r>
            <w:r w:rsidRPr="002425A8">
              <w:rPr>
                <w:szCs w:val="15"/>
              </w:rPr>
              <w:t>14, now scheduled for completion in 2014</w:t>
            </w:r>
            <w:r>
              <w:rPr>
                <w:szCs w:val="15"/>
              </w:rPr>
              <w:noBreakHyphen/>
            </w:r>
            <w:r w:rsidRPr="002425A8">
              <w:rPr>
                <w:szCs w:val="15"/>
              </w:rPr>
              <w:t>15 and one project now scheduled for completion in 2015</w:t>
            </w:r>
            <w:r>
              <w:rPr>
                <w:szCs w:val="15"/>
              </w:rPr>
              <w:noBreakHyphen/>
            </w:r>
            <w:r w:rsidRPr="002425A8">
              <w:rPr>
                <w:szCs w:val="15"/>
              </w:rPr>
              <w:t>16.</w:t>
            </w:r>
          </w:p>
          <w:p w:rsidR="00A53D7D" w:rsidRPr="00DD4F39" w:rsidRDefault="00A53D7D" w:rsidP="005140B4">
            <w:pPr>
              <w:pStyle w:val="OGNotes"/>
            </w:pPr>
            <w:r w:rsidRPr="002425A8">
              <w:rPr>
                <w:szCs w:val="15"/>
              </w:rPr>
              <w:t>The lower 2014</w:t>
            </w:r>
            <w:r>
              <w:rPr>
                <w:szCs w:val="15"/>
              </w:rPr>
              <w:noBreakHyphen/>
            </w:r>
            <w:r w:rsidRPr="002425A8">
              <w:rPr>
                <w:szCs w:val="15"/>
              </w:rPr>
              <w:t>15 target reflects the number of projects that are expected to be delivered under the 2014</w:t>
            </w:r>
            <w:r>
              <w:rPr>
                <w:szCs w:val="15"/>
              </w:rPr>
              <w:noBreakHyphen/>
            </w:r>
            <w:r w:rsidRPr="002425A8">
              <w:rPr>
                <w:szCs w:val="15"/>
              </w:rPr>
              <w:t>15 program. It is expected that projects will be completed in 2015</w:t>
            </w:r>
            <w:r>
              <w:rPr>
                <w:szCs w:val="15"/>
              </w:rPr>
              <w:noBreakHyphen/>
            </w:r>
            <w:r w:rsidRPr="002425A8">
              <w:rPr>
                <w:szCs w:val="15"/>
              </w:rPr>
              <w:t>16 and onwards, as major road improvement projects often span multiple years.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Metropolitan level crossings removal projects under</w:t>
            </w:r>
            <w:r>
              <w:rPr>
                <w:lang w:eastAsia="en-AU"/>
              </w:rPr>
              <w:t xml:space="preserve"> </w:t>
            </w:r>
            <w:r w:rsidRPr="00DD4F39">
              <w:rPr>
                <w:lang w:eastAsia="en-AU"/>
              </w:rPr>
              <w:t>way</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keepNext/>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keepNext/>
              <w:rPr>
                <w:lang w:eastAsia="en-AU"/>
              </w:rPr>
            </w:pPr>
            <w:r w:rsidRPr="00DD4F39">
              <w:rPr>
                <w:lang w:eastAsia="en-AU"/>
              </w:rPr>
              <w:t>4</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2425A8" w:rsidRDefault="00A53D7D" w:rsidP="005140B4">
            <w:pPr>
              <w:pStyle w:val="OGNotes"/>
              <w:rPr>
                <w:szCs w:val="15"/>
              </w:rPr>
            </w:pPr>
            <w:r w:rsidRPr="002425A8">
              <w:rPr>
                <w:szCs w:val="15"/>
              </w:rPr>
              <w:t>New performance measure for 2014</w:t>
            </w:r>
            <w:r>
              <w:rPr>
                <w:szCs w:val="15"/>
              </w:rPr>
              <w:noBreakHyphen/>
            </w:r>
            <w:r w:rsidRPr="002425A8">
              <w:rPr>
                <w:szCs w:val="15"/>
              </w:rPr>
              <w:t>15 to reflect Government priorities regarding the removal of level crossings.</w:t>
            </w:r>
          </w:p>
          <w:p w:rsidR="00A53D7D" w:rsidRPr="00DD4F39" w:rsidRDefault="00A53D7D" w:rsidP="005140B4">
            <w:pPr>
              <w:pStyle w:val="OGNotes"/>
            </w:pPr>
            <w:r w:rsidRPr="002425A8">
              <w:rPr>
                <w:szCs w:val="15"/>
              </w:rPr>
              <w:t>The 2014</w:t>
            </w:r>
            <w:r>
              <w:rPr>
                <w:szCs w:val="15"/>
              </w:rPr>
              <w:noBreakHyphen/>
            </w:r>
            <w:r w:rsidRPr="002425A8">
              <w:rPr>
                <w:szCs w:val="15"/>
              </w:rPr>
              <w:t>15 target includes the following proje</w:t>
            </w:r>
            <w:r>
              <w:rPr>
                <w:szCs w:val="15"/>
              </w:rPr>
              <w:t xml:space="preserve">cts: Metro Level Crossing Blitz </w:t>
            </w:r>
            <w:r w:rsidRPr="002425A8">
              <w:rPr>
                <w:szCs w:val="15"/>
              </w:rPr>
              <w:t>– Blackburn Road Rail Crossing Removal, Metro Level Crossing Blitz</w:t>
            </w:r>
            <w:r>
              <w:rPr>
                <w:szCs w:val="15"/>
              </w:rPr>
              <w:t xml:space="preserve"> </w:t>
            </w:r>
            <w:r w:rsidRPr="002425A8">
              <w:rPr>
                <w:szCs w:val="15"/>
              </w:rPr>
              <w:t>– Burke Road Level Crossing Removal, Metro Level Crossing Blitz – Main Road Level Crossing Removal, and Metro Level Crossing Blitz Program – North Road Level Crossing Removal.</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Other road improvement projects completed: metropolitan</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keepNext/>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keepNext/>
              <w:rPr>
                <w:lang w:eastAsia="en-AU"/>
              </w:rPr>
            </w:pPr>
            <w:r w:rsidRPr="00DD4F39">
              <w:rPr>
                <w:lang w:eastAsia="en-AU"/>
              </w:rPr>
              <w:t>4</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2</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The higher 2014</w:t>
            </w:r>
            <w:r>
              <w:noBreakHyphen/>
            </w:r>
            <w:r w:rsidRPr="00DD4F39">
              <w:t>15 target reflects the number of projects that are expected to be delivered under the 2014</w:t>
            </w:r>
            <w:r>
              <w:noBreakHyphen/>
            </w:r>
            <w:r w:rsidRPr="00DD4F39">
              <w:t>15 program.</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Other road improvement projects completed: regional</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2</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12</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10</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4</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higher than the 2013</w:t>
            </w:r>
            <w:r>
              <w:rPr>
                <w:szCs w:val="15"/>
              </w:rPr>
              <w:noBreakHyphen/>
            </w:r>
            <w:r w:rsidRPr="002425A8">
              <w:rPr>
                <w:szCs w:val="15"/>
              </w:rPr>
              <w:t>14 target due to two projects not originally targeted for completion in 2013</w:t>
            </w:r>
            <w:r>
              <w:rPr>
                <w:szCs w:val="15"/>
              </w:rPr>
              <w:noBreakHyphen/>
            </w:r>
            <w:r w:rsidRPr="002425A8">
              <w:rPr>
                <w:szCs w:val="15"/>
              </w:rPr>
              <w:t>14, now scheduled for completion in 2013</w:t>
            </w:r>
            <w:r>
              <w:rPr>
                <w:szCs w:val="15"/>
              </w:rPr>
              <w:noBreakHyphen/>
            </w:r>
            <w:r w:rsidRPr="002425A8">
              <w:rPr>
                <w:szCs w:val="15"/>
              </w:rPr>
              <w:t>14.</w:t>
            </w:r>
          </w:p>
          <w:p w:rsidR="00A53D7D" w:rsidRPr="00DD4F39" w:rsidRDefault="00A53D7D" w:rsidP="005140B4">
            <w:pPr>
              <w:pStyle w:val="OGNotes"/>
            </w:pPr>
            <w:r w:rsidRPr="002425A8">
              <w:rPr>
                <w:szCs w:val="15"/>
              </w:rPr>
              <w:t>The lower 2014</w:t>
            </w:r>
            <w:r>
              <w:rPr>
                <w:szCs w:val="15"/>
              </w:rPr>
              <w:noBreakHyphen/>
            </w:r>
            <w:r w:rsidRPr="002425A8">
              <w:rPr>
                <w:szCs w:val="15"/>
              </w:rPr>
              <w:t>15 target reflects the number of projects that are expected to be delivered under the 2014</w:t>
            </w:r>
            <w:r>
              <w:rPr>
                <w:szCs w:val="15"/>
              </w:rPr>
              <w:noBreakHyphen/>
            </w:r>
            <w:r w:rsidRPr="002425A8">
              <w:rPr>
                <w:szCs w:val="15"/>
              </w:rPr>
              <w:t>15 program. It is expected that projects will be completed in 2015</w:t>
            </w:r>
            <w:r>
              <w:rPr>
                <w:szCs w:val="15"/>
              </w:rPr>
              <w:noBreakHyphen/>
            </w:r>
            <w:r w:rsidRPr="002425A8">
              <w:rPr>
                <w:szCs w:val="15"/>
              </w:rPr>
              <w:t>16 and onwards, as projects often span multiple years.</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Pedestrian projects completed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number</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1</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3</w:t>
            </w:r>
          </w:p>
        </w:tc>
      </w:tr>
      <w:tr w:rsidR="00A53D7D" w:rsidRPr="00DD4F39"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2013</w:t>
            </w:r>
            <w:r>
              <w:rPr>
                <w:szCs w:val="15"/>
              </w:rPr>
              <w:noBreakHyphen/>
            </w:r>
            <w:r w:rsidRPr="002425A8">
              <w:rPr>
                <w:szCs w:val="15"/>
              </w:rPr>
              <w:t>14 expected outcome is higher than the 2013</w:t>
            </w:r>
            <w:r>
              <w:rPr>
                <w:szCs w:val="15"/>
              </w:rPr>
              <w:noBreakHyphen/>
            </w:r>
            <w:r w:rsidRPr="002425A8">
              <w:rPr>
                <w:szCs w:val="15"/>
              </w:rPr>
              <w:t>14 target due to two projects not originally targeted for completion in 2013</w:t>
            </w:r>
            <w:r>
              <w:rPr>
                <w:szCs w:val="15"/>
              </w:rPr>
              <w:noBreakHyphen/>
            </w:r>
            <w:r w:rsidRPr="002425A8">
              <w:rPr>
                <w:szCs w:val="15"/>
              </w:rPr>
              <w:t>14, now scheduled for completion in 2013</w:t>
            </w:r>
            <w:r>
              <w:rPr>
                <w:szCs w:val="15"/>
              </w:rPr>
              <w:noBreakHyphen/>
            </w:r>
            <w:r w:rsidRPr="002425A8">
              <w:rPr>
                <w:szCs w:val="15"/>
              </w:rPr>
              <w:t>14.</w:t>
            </w:r>
          </w:p>
          <w:p w:rsidR="00A53D7D" w:rsidRPr="00DD4F39" w:rsidRDefault="00A53D7D" w:rsidP="005140B4">
            <w:pPr>
              <w:pStyle w:val="OGNotes"/>
            </w:pPr>
            <w:r w:rsidRPr="002425A8">
              <w:rPr>
                <w:szCs w:val="15"/>
              </w:rPr>
              <w:t>The 2014</w:t>
            </w:r>
            <w:r>
              <w:rPr>
                <w:szCs w:val="15"/>
              </w:rPr>
              <w:noBreakHyphen/>
            </w:r>
            <w:r w:rsidRPr="002425A8">
              <w:rPr>
                <w:szCs w:val="15"/>
              </w:rPr>
              <w:t>15 target reflects the number of projects that are expected to be delivered under the 2014</w:t>
            </w:r>
            <w:r>
              <w:rPr>
                <w:szCs w:val="15"/>
              </w:rPr>
              <w:noBreakHyphen/>
            </w:r>
            <w:r w:rsidRPr="002425A8">
              <w:rPr>
                <w:szCs w:val="15"/>
              </w:rPr>
              <w:t>15 program.</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Quality</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East West Link</w:t>
            </w:r>
            <w:r>
              <w:rPr>
                <w:lang w:eastAsia="en-AU"/>
              </w:rPr>
              <w:t xml:space="preserve"> – </w:t>
            </w:r>
            <w:r w:rsidRPr="00DD4F39">
              <w:rPr>
                <w:lang w:eastAsia="en-AU"/>
              </w:rPr>
              <w:t>Eastern Section: Milestones completed within budget</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New performance measure for 2014</w:t>
            </w:r>
            <w:r>
              <w:noBreakHyphen/>
            </w:r>
            <w:r w:rsidRPr="00DD4F39">
              <w:t>15 to reflect the progress of East West Link.</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Road projects completed within agreed scope and standards: metropolitan</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98</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98</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98</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98</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Road projects completed within agreed scope and standards: regional</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98</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98</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98</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98</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Timeliness</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East West Link</w:t>
            </w:r>
            <w:r>
              <w:rPr>
                <w:lang w:eastAsia="en-AU"/>
              </w:rPr>
              <w:t xml:space="preserve"> – </w:t>
            </w:r>
            <w:r w:rsidRPr="00DD4F39">
              <w:rPr>
                <w:lang w:eastAsia="en-AU"/>
              </w:rPr>
              <w:t>Contract close with successful project parties</w:t>
            </w:r>
          </w:p>
        </w:tc>
        <w:tc>
          <w:tcPr>
            <w:tcW w:w="907" w:type="dxa"/>
            <w:tcBorders>
              <w:top w:val="nil"/>
              <w:left w:val="nil"/>
              <w:right w:val="nil"/>
            </w:tcBorders>
            <w:shd w:val="clear" w:color="000000" w:fill="FFFFFF"/>
            <w:hideMark/>
          </w:tcPr>
          <w:p w:rsidR="00A53D7D" w:rsidRPr="00DD4F39" w:rsidRDefault="00A53D7D" w:rsidP="005140B4">
            <w:pPr>
              <w:pStyle w:val="OGUoM"/>
              <w:rPr>
                <w:lang w:eastAsia="en-AU"/>
              </w:rPr>
            </w:pPr>
            <w:r>
              <w:rPr>
                <w:lang w:eastAsia="en-AU"/>
              </w:rPr>
              <w:t>d</w:t>
            </w:r>
            <w:r w:rsidRPr="00DD4F39">
              <w:rPr>
                <w:lang w:eastAsia="en-AU"/>
              </w:rPr>
              <w:t>ate</w:t>
            </w:r>
          </w:p>
        </w:tc>
        <w:tc>
          <w:tcPr>
            <w:tcW w:w="907" w:type="dxa"/>
            <w:tcBorders>
              <w:top w:val="nil"/>
              <w:left w:val="nil"/>
              <w:right w:val="nil"/>
            </w:tcBorders>
            <w:shd w:val="clear" w:color="auto" w:fill="D9D9D9"/>
            <w:hideMark/>
          </w:tcPr>
          <w:p w:rsidR="00A53D7D" w:rsidRPr="00DD4F39" w:rsidRDefault="00A53D7D" w:rsidP="005140B4">
            <w:pPr>
              <w:pStyle w:val="OGTableofFigures"/>
              <w:rPr>
                <w:lang w:eastAsia="en-AU"/>
              </w:rPr>
            </w:pPr>
            <w:proofErr w:type="spellStart"/>
            <w:r w:rsidRPr="00DD4F39">
              <w:rPr>
                <w:lang w:eastAsia="en-AU"/>
              </w:rPr>
              <w:t>qtr</w:t>
            </w:r>
            <w:proofErr w:type="spellEnd"/>
            <w:r w:rsidRPr="00DD4F39">
              <w:rPr>
                <w:lang w:eastAsia="en-AU"/>
              </w:rPr>
              <w:t xml:space="preserve"> 1</w:t>
            </w:r>
          </w:p>
        </w:tc>
        <w:tc>
          <w:tcPr>
            <w:tcW w:w="993"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nil"/>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New performance measure for 2014</w:t>
            </w:r>
            <w:r>
              <w:noBreakHyphen/>
            </w:r>
            <w:r w:rsidRPr="00DD4F39">
              <w:t>15 to reflect the progress of East West Link.</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East West Link</w:t>
            </w:r>
            <w:r>
              <w:rPr>
                <w:lang w:eastAsia="en-AU"/>
              </w:rPr>
              <w:t xml:space="preserve"> – </w:t>
            </w:r>
            <w:r w:rsidRPr="00DD4F39">
              <w:rPr>
                <w:lang w:eastAsia="en-AU"/>
              </w:rPr>
              <w:t>Eastern Section: Milestones completed on schedule</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r w:rsidRPr="00DD4F39">
              <w:rPr>
                <w:lang w:eastAsia="en-AU"/>
              </w:rPr>
              <w:t>100</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New performance measure for 2014</w:t>
            </w:r>
            <w:r>
              <w:noBreakHyphen/>
            </w:r>
            <w:r w:rsidRPr="00DD4F39">
              <w:t>15 to reflect the progress of East West Link.</w:t>
            </w:r>
          </w:p>
        </w:tc>
      </w:tr>
      <w:tr w:rsidR="00A53D7D" w:rsidRPr="00DD4F39" w:rsidTr="005140B4">
        <w:trPr>
          <w:cantSplit/>
        </w:trPr>
        <w:tc>
          <w:tcPr>
            <w:tcW w:w="3155" w:type="dxa"/>
            <w:tcBorders>
              <w:top w:val="single" w:sz="6" w:space="0" w:color="auto"/>
              <w:left w:val="nil"/>
              <w:right w:val="nil"/>
            </w:tcBorders>
            <w:shd w:val="clear" w:color="000000" w:fill="FFFFFF"/>
            <w:hideMark/>
          </w:tcPr>
          <w:p w:rsidR="00A53D7D" w:rsidRPr="00DD4F39" w:rsidRDefault="00A53D7D" w:rsidP="005140B4">
            <w:pPr>
              <w:pStyle w:val="OGTabText"/>
              <w:rPr>
                <w:lang w:eastAsia="en-AU"/>
              </w:rPr>
            </w:pPr>
            <w:r w:rsidRPr="00DD4F39">
              <w:rPr>
                <w:lang w:eastAsia="en-AU"/>
              </w:rPr>
              <w:t>East West Link</w:t>
            </w:r>
            <w:r>
              <w:rPr>
                <w:lang w:eastAsia="en-AU"/>
              </w:rPr>
              <w:t xml:space="preserve"> – </w:t>
            </w:r>
            <w:r w:rsidRPr="00DD4F39">
              <w:rPr>
                <w:lang w:eastAsia="en-AU"/>
              </w:rPr>
              <w:t>Planning and environmental approvals obtained</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UoM"/>
              <w:rPr>
                <w:lang w:eastAsia="en-AU"/>
              </w:rPr>
            </w:pPr>
            <w:r>
              <w:rPr>
                <w:lang w:eastAsia="en-AU"/>
              </w:rPr>
              <w:t>d</w:t>
            </w:r>
            <w:r w:rsidRPr="00DD4F39">
              <w:rPr>
                <w:lang w:eastAsia="en-AU"/>
              </w:rPr>
              <w:t>ate</w:t>
            </w:r>
          </w:p>
        </w:tc>
        <w:tc>
          <w:tcPr>
            <w:tcW w:w="907" w:type="dxa"/>
            <w:tcBorders>
              <w:top w:val="single" w:sz="6" w:space="0" w:color="auto"/>
              <w:left w:val="nil"/>
              <w:right w:val="nil"/>
            </w:tcBorders>
            <w:shd w:val="clear" w:color="auto" w:fill="D9D9D9"/>
            <w:hideMark/>
          </w:tcPr>
          <w:p w:rsidR="00A53D7D" w:rsidRPr="00DD4F39" w:rsidRDefault="00A53D7D" w:rsidP="005140B4">
            <w:pPr>
              <w:pStyle w:val="OGTableofFigures"/>
              <w:rPr>
                <w:lang w:eastAsia="en-AU"/>
              </w:rPr>
            </w:pPr>
            <w:proofErr w:type="spellStart"/>
            <w:r w:rsidRPr="00DD4F39">
              <w:rPr>
                <w:lang w:eastAsia="en-AU"/>
              </w:rPr>
              <w:t>qtr</w:t>
            </w:r>
            <w:proofErr w:type="spellEnd"/>
            <w:r w:rsidRPr="00DD4F39">
              <w:rPr>
                <w:lang w:eastAsia="en-AU"/>
              </w:rPr>
              <w:t xml:space="preserve"> 1</w:t>
            </w:r>
          </w:p>
        </w:tc>
        <w:tc>
          <w:tcPr>
            <w:tcW w:w="993"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c>
          <w:tcPr>
            <w:tcW w:w="907" w:type="dxa"/>
            <w:tcBorders>
              <w:top w:val="single" w:sz="6" w:space="0" w:color="auto"/>
              <w:left w:val="nil"/>
              <w:right w:val="nil"/>
            </w:tcBorders>
            <w:shd w:val="clear" w:color="000000" w:fill="FFFFFF"/>
            <w:hideMark/>
          </w:tcPr>
          <w:p w:rsidR="00A53D7D" w:rsidRPr="00DD4F39" w:rsidRDefault="00A53D7D" w:rsidP="005140B4">
            <w:pPr>
              <w:pStyle w:val="OGTableofFigures"/>
              <w:rPr>
                <w:lang w:eastAsia="en-AU"/>
              </w:rPr>
            </w:pPr>
            <w:r w:rsidRPr="00DD4F39">
              <w:rPr>
                <w:lang w:eastAsia="en-AU"/>
              </w:rPr>
              <w:t>nm</w:t>
            </w:r>
          </w:p>
        </w:tc>
      </w:tr>
      <w:tr w:rsidR="00A53D7D" w:rsidRPr="00DD4F39" w:rsidTr="005140B4">
        <w:trPr>
          <w:cantSplit/>
        </w:trPr>
        <w:tc>
          <w:tcPr>
            <w:tcW w:w="7776" w:type="dxa"/>
            <w:gridSpan w:val="6"/>
            <w:tcBorders>
              <w:top w:val="nil"/>
              <w:left w:val="nil"/>
              <w:bottom w:val="single" w:sz="6" w:space="0" w:color="auto"/>
              <w:right w:val="nil"/>
            </w:tcBorders>
            <w:shd w:val="clear" w:color="000000" w:fill="FFFFFF"/>
          </w:tcPr>
          <w:p w:rsidR="00A53D7D" w:rsidRPr="00DD4F39" w:rsidRDefault="00A53D7D" w:rsidP="005140B4">
            <w:pPr>
              <w:pStyle w:val="OGNotes"/>
            </w:pPr>
            <w:r w:rsidRPr="00DD4F39">
              <w:t>New performance measure for 2014</w:t>
            </w:r>
            <w:r>
              <w:noBreakHyphen/>
            </w:r>
            <w:r w:rsidRPr="00DD4F39">
              <w:t>15 to reflect the progress of East West Link.</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Text"/>
              <w:rPr>
                <w:lang w:eastAsia="en-AU"/>
              </w:rPr>
            </w:pPr>
            <w:r w:rsidRPr="00DD4F39">
              <w:rPr>
                <w:lang w:eastAsia="en-AU"/>
              </w:rPr>
              <w:t>Programmed works completed within agreed timeframes: metropolitan</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140B4">
            <w:pPr>
              <w:pStyle w:val="OGTableofFigures"/>
              <w:rPr>
                <w:lang w:eastAsia="en-AU"/>
              </w:rPr>
            </w:pPr>
            <w:r w:rsidRPr="00DD4F39">
              <w:rPr>
                <w:lang w:eastAsia="en-AU"/>
              </w:rPr>
              <w:t>95</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140B4">
            <w:pPr>
              <w:pStyle w:val="OGTableofFigures"/>
              <w:rPr>
                <w:lang w:eastAsia="en-AU"/>
              </w:rPr>
            </w:pPr>
            <w:r w:rsidRPr="00DD4F39">
              <w:rPr>
                <w:lang w:eastAsia="en-AU"/>
              </w:rPr>
              <w:t>95</w:t>
            </w:r>
          </w:p>
        </w:tc>
      </w:tr>
      <w:tr w:rsidR="00A53D7D" w:rsidRPr="00DD4F39"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DD4F39" w:rsidRDefault="00A53D7D" w:rsidP="005E4492">
            <w:pPr>
              <w:pStyle w:val="OGTabText"/>
              <w:rPr>
                <w:lang w:eastAsia="en-AU"/>
              </w:rPr>
            </w:pPr>
            <w:r w:rsidRPr="00DD4F39">
              <w:rPr>
                <w:lang w:eastAsia="en-AU"/>
              </w:rPr>
              <w:t>Programmed works completed within agreed timeframes: regional</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E4492">
            <w:pPr>
              <w:pStyle w:val="OGUoM"/>
              <w:rPr>
                <w:lang w:eastAsia="en-AU"/>
              </w:rPr>
            </w:pPr>
            <w:r w:rsidRPr="00DD4F39">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DD4F39" w:rsidRDefault="00A53D7D" w:rsidP="005E4492">
            <w:pPr>
              <w:pStyle w:val="OGTableofFigures"/>
              <w:rPr>
                <w:lang w:eastAsia="en-AU"/>
              </w:rPr>
            </w:pPr>
            <w:r w:rsidRPr="00DD4F39">
              <w:rPr>
                <w:lang w:eastAsia="en-AU"/>
              </w:rPr>
              <w:t>95</w:t>
            </w:r>
          </w:p>
        </w:tc>
        <w:tc>
          <w:tcPr>
            <w:tcW w:w="993" w:type="dxa"/>
            <w:tcBorders>
              <w:top w:val="single" w:sz="6" w:space="0" w:color="auto"/>
              <w:left w:val="nil"/>
              <w:bottom w:val="single" w:sz="6" w:space="0" w:color="auto"/>
              <w:right w:val="nil"/>
            </w:tcBorders>
            <w:shd w:val="clear" w:color="000000" w:fill="FFFFFF"/>
            <w:hideMark/>
          </w:tcPr>
          <w:p w:rsidR="00A53D7D" w:rsidRPr="00DD4F39" w:rsidRDefault="00A53D7D" w:rsidP="005E4492">
            <w:pPr>
              <w:pStyle w:val="OGTableofFigures"/>
              <w:rPr>
                <w:lang w:eastAsia="en-AU"/>
              </w:rPr>
            </w:pPr>
            <w:r w:rsidRPr="00DD4F39">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E4492">
            <w:pPr>
              <w:pStyle w:val="OGTableofFigures"/>
              <w:rPr>
                <w:lang w:eastAsia="en-AU"/>
              </w:rPr>
            </w:pPr>
            <w:r w:rsidRPr="00DD4F39">
              <w:rPr>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DD4F39" w:rsidRDefault="00A53D7D" w:rsidP="005E4492">
            <w:pPr>
              <w:pStyle w:val="OGTableofFigures"/>
              <w:rPr>
                <w:lang w:eastAsia="en-AU"/>
              </w:rPr>
            </w:pPr>
            <w:r w:rsidRPr="00DD4F39">
              <w:rPr>
                <w:lang w:eastAsia="en-AU"/>
              </w:rPr>
              <w:t>95</w:t>
            </w:r>
          </w:p>
        </w:tc>
      </w:tr>
      <w:tr w:rsidR="00A53D7D" w:rsidRPr="00DD4F39" w:rsidTr="005140B4">
        <w:trPr>
          <w:cantSplit/>
        </w:trPr>
        <w:tc>
          <w:tcPr>
            <w:tcW w:w="3155"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Head"/>
              <w:rPr>
                <w:lang w:eastAsia="en-AU"/>
              </w:rPr>
            </w:pPr>
            <w:r w:rsidRPr="00DD4F39">
              <w:rPr>
                <w:lang w:eastAsia="en-AU"/>
              </w:rPr>
              <w:t>Cost</w:t>
            </w: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UoM"/>
              <w:keepNext/>
              <w:rPr>
                <w:lang w:eastAsia="en-AU"/>
              </w:rPr>
            </w:pPr>
          </w:p>
        </w:tc>
        <w:tc>
          <w:tcPr>
            <w:tcW w:w="907" w:type="dxa"/>
            <w:tcBorders>
              <w:top w:val="single" w:sz="6" w:space="0" w:color="auto"/>
              <w:left w:val="nil"/>
              <w:bottom w:val="nil"/>
              <w:right w:val="nil"/>
            </w:tcBorders>
            <w:shd w:val="clear" w:color="auto" w:fill="D9D9D9"/>
            <w:noWrap/>
            <w:vAlign w:val="bottom"/>
            <w:hideMark/>
          </w:tcPr>
          <w:p w:rsidR="00A53D7D" w:rsidRPr="00DD4F39" w:rsidRDefault="00A53D7D" w:rsidP="005140B4">
            <w:pPr>
              <w:pStyle w:val="OGTableofFigures"/>
              <w:keepNext/>
              <w:rPr>
                <w:lang w:eastAsia="en-AU"/>
              </w:rPr>
            </w:pPr>
          </w:p>
        </w:tc>
        <w:tc>
          <w:tcPr>
            <w:tcW w:w="993"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keepNext/>
              <w:rPr>
                <w:lang w:eastAsia="en-AU"/>
              </w:rPr>
            </w:pPr>
          </w:p>
        </w:tc>
        <w:tc>
          <w:tcPr>
            <w:tcW w:w="907" w:type="dxa"/>
            <w:tcBorders>
              <w:top w:val="single" w:sz="6" w:space="0" w:color="auto"/>
              <w:left w:val="nil"/>
              <w:bottom w:val="nil"/>
              <w:right w:val="nil"/>
            </w:tcBorders>
            <w:shd w:val="clear" w:color="auto" w:fill="auto"/>
            <w:noWrap/>
            <w:vAlign w:val="bottom"/>
            <w:hideMark/>
          </w:tcPr>
          <w:p w:rsidR="00A53D7D" w:rsidRPr="00DD4F39" w:rsidRDefault="00A53D7D" w:rsidP="005140B4">
            <w:pPr>
              <w:pStyle w:val="OGTableofFigures"/>
              <w:keepNext/>
              <w:rPr>
                <w:lang w:eastAsia="en-AU"/>
              </w:rPr>
            </w:pPr>
          </w:p>
        </w:tc>
      </w:tr>
      <w:tr w:rsidR="00A53D7D" w:rsidRPr="00DD4F39" w:rsidTr="005140B4">
        <w:trPr>
          <w:cantSplit/>
        </w:trPr>
        <w:tc>
          <w:tcPr>
            <w:tcW w:w="3155" w:type="dxa"/>
            <w:tcBorders>
              <w:top w:val="nil"/>
              <w:left w:val="nil"/>
              <w:right w:val="nil"/>
            </w:tcBorders>
            <w:shd w:val="clear" w:color="000000" w:fill="FFFFFF"/>
            <w:hideMark/>
          </w:tcPr>
          <w:p w:rsidR="00A53D7D" w:rsidRPr="00DD4F39" w:rsidRDefault="00A53D7D" w:rsidP="005140B4">
            <w:pPr>
              <w:pStyle w:val="OGTabText"/>
              <w:keepNext/>
              <w:rPr>
                <w:lang w:eastAsia="en-AU"/>
              </w:rPr>
            </w:pPr>
            <w:r w:rsidRPr="00DD4F39">
              <w:rPr>
                <w:lang w:eastAsia="en-AU"/>
              </w:rPr>
              <w:t>Total output cost</w:t>
            </w:r>
          </w:p>
        </w:tc>
        <w:tc>
          <w:tcPr>
            <w:tcW w:w="907" w:type="dxa"/>
            <w:tcBorders>
              <w:top w:val="nil"/>
              <w:left w:val="nil"/>
              <w:right w:val="nil"/>
            </w:tcBorders>
            <w:shd w:val="clear" w:color="000000" w:fill="FFFFFF"/>
            <w:hideMark/>
          </w:tcPr>
          <w:p w:rsidR="00A53D7D" w:rsidRPr="00DD4F39" w:rsidRDefault="00A53D7D" w:rsidP="005140B4">
            <w:pPr>
              <w:pStyle w:val="OGUoM"/>
              <w:keepNext/>
              <w:rPr>
                <w:lang w:eastAsia="en-AU"/>
              </w:rPr>
            </w:pPr>
            <w:r>
              <w:rPr>
                <w:lang w:eastAsia="en-AU"/>
              </w:rPr>
              <w:t>$ million</w:t>
            </w:r>
          </w:p>
        </w:tc>
        <w:tc>
          <w:tcPr>
            <w:tcW w:w="907" w:type="dxa"/>
            <w:tcBorders>
              <w:top w:val="nil"/>
              <w:left w:val="nil"/>
              <w:right w:val="nil"/>
            </w:tcBorders>
            <w:shd w:val="clear" w:color="auto" w:fill="D9D9D9"/>
            <w:hideMark/>
          </w:tcPr>
          <w:p w:rsidR="00A53D7D" w:rsidRPr="00DD4F39" w:rsidRDefault="00A53D7D" w:rsidP="005140B4">
            <w:pPr>
              <w:pStyle w:val="OGTableofFigures"/>
              <w:keepNext/>
              <w:rPr>
                <w:lang w:eastAsia="en-AU"/>
              </w:rPr>
            </w:pPr>
            <w:r>
              <w:rPr>
                <w:lang w:eastAsia="en-AU"/>
              </w:rPr>
              <w:t>918.4</w:t>
            </w:r>
          </w:p>
        </w:tc>
        <w:tc>
          <w:tcPr>
            <w:tcW w:w="993" w:type="dxa"/>
            <w:tcBorders>
              <w:top w:val="nil"/>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902.5</w:t>
            </w:r>
          </w:p>
        </w:tc>
        <w:tc>
          <w:tcPr>
            <w:tcW w:w="907" w:type="dxa"/>
            <w:tcBorders>
              <w:top w:val="nil"/>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870.1</w:t>
            </w:r>
          </w:p>
        </w:tc>
        <w:tc>
          <w:tcPr>
            <w:tcW w:w="907" w:type="dxa"/>
            <w:tcBorders>
              <w:top w:val="nil"/>
              <w:left w:val="nil"/>
              <w:right w:val="nil"/>
            </w:tcBorders>
            <w:shd w:val="clear" w:color="000000" w:fill="FFFFFF"/>
            <w:hideMark/>
          </w:tcPr>
          <w:p w:rsidR="00A53D7D" w:rsidRPr="00DD4F39" w:rsidRDefault="00A53D7D" w:rsidP="005140B4">
            <w:pPr>
              <w:pStyle w:val="OGTableofFigures"/>
              <w:keepNext/>
              <w:rPr>
                <w:lang w:eastAsia="en-AU"/>
              </w:rPr>
            </w:pPr>
            <w:r w:rsidRPr="00DD4F39">
              <w:rPr>
                <w:lang w:eastAsia="en-AU"/>
              </w:rPr>
              <w:t>817.8</w:t>
            </w:r>
          </w:p>
        </w:tc>
      </w:tr>
      <w:tr w:rsidR="00A53D7D" w:rsidRPr="00DD4F39" w:rsidTr="005140B4">
        <w:trPr>
          <w:cantSplit/>
        </w:trPr>
        <w:tc>
          <w:tcPr>
            <w:tcW w:w="7776" w:type="dxa"/>
            <w:gridSpan w:val="6"/>
            <w:tcBorders>
              <w:top w:val="nil"/>
              <w:left w:val="nil"/>
              <w:bottom w:val="single" w:sz="12" w:space="0" w:color="auto"/>
              <w:right w:val="nil"/>
            </w:tcBorders>
            <w:shd w:val="clear" w:color="auto" w:fill="auto"/>
            <w:vAlign w:val="bottom"/>
            <w:hideMark/>
          </w:tcPr>
          <w:p w:rsidR="00A53D7D" w:rsidRPr="002425A8" w:rsidRDefault="00A53D7D" w:rsidP="005140B4">
            <w:pPr>
              <w:pStyle w:val="OGNotes"/>
              <w:rPr>
                <w:szCs w:val="15"/>
              </w:rPr>
            </w:pPr>
            <w:r w:rsidRPr="002425A8">
              <w:rPr>
                <w:szCs w:val="15"/>
              </w:rPr>
              <w:t>The higher 2014</w:t>
            </w:r>
            <w:r>
              <w:rPr>
                <w:szCs w:val="15"/>
              </w:rPr>
              <w:noBreakHyphen/>
            </w:r>
            <w:r w:rsidRPr="002425A8">
              <w:rPr>
                <w:szCs w:val="15"/>
              </w:rPr>
              <w:t>15 target primarily reflects additional operating funding for delivery of approved road infrastructure improvement projects.</w:t>
            </w:r>
          </w:p>
          <w:p w:rsidR="00A53D7D" w:rsidRPr="00DD4F39" w:rsidRDefault="00A53D7D" w:rsidP="005140B4">
            <w:pPr>
              <w:pStyle w:val="OGNotes"/>
            </w:pPr>
            <w:r w:rsidRPr="002425A8">
              <w:rPr>
                <w:szCs w:val="15"/>
              </w:rPr>
              <w:t>The 2012</w:t>
            </w:r>
            <w:r>
              <w:rPr>
                <w:szCs w:val="15"/>
              </w:rPr>
              <w:noBreakHyphen/>
            </w:r>
            <w:r w:rsidRPr="002425A8">
              <w:rPr>
                <w:szCs w:val="15"/>
              </w:rPr>
              <w:t xml:space="preserve">13 actual is different to that published in the </w:t>
            </w:r>
            <w:r w:rsidRPr="000C5143">
              <w:rPr>
                <w:i w:val="0"/>
                <w:szCs w:val="15"/>
              </w:rPr>
              <w:t>2012</w:t>
            </w:r>
            <w:r w:rsidRPr="000C5143">
              <w:rPr>
                <w:i w:val="0"/>
                <w:szCs w:val="15"/>
              </w:rPr>
              <w:noBreakHyphen/>
              <w:t xml:space="preserve">13 Department of Transport, </w:t>
            </w:r>
            <w:proofErr w:type="gramStart"/>
            <w:r w:rsidRPr="000C5143">
              <w:rPr>
                <w:i w:val="0"/>
                <w:szCs w:val="15"/>
              </w:rPr>
              <w:t>Planning</w:t>
            </w:r>
            <w:proofErr w:type="gramEnd"/>
            <w:r w:rsidRPr="000C5143">
              <w:rPr>
                <w:i w:val="0"/>
                <w:szCs w:val="15"/>
              </w:rPr>
              <w:t xml:space="preserve"> and Local Infrastructure (DTPLI) Annual Report</w:t>
            </w:r>
            <w:r w:rsidRPr="002425A8">
              <w:rPr>
                <w:szCs w:val="15"/>
              </w:rPr>
              <w:t>. This has been reset for comparative purposes as reporting for cycling projects was transferred in the</w:t>
            </w:r>
            <w:r w:rsidRPr="000C5143">
              <w:rPr>
                <w:szCs w:val="15"/>
              </w:rPr>
              <w:t xml:space="preserve"> 2013</w:t>
            </w:r>
            <w:r w:rsidRPr="000C5143">
              <w:rPr>
                <w:szCs w:val="15"/>
              </w:rPr>
              <w:noBreakHyphen/>
              <w:t xml:space="preserve">14 budget </w:t>
            </w:r>
            <w:r w:rsidRPr="002425A8">
              <w:rPr>
                <w:szCs w:val="15"/>
              </w:rPr>
              <w:t>from the previous 2012</w:t>
            </w:r>
            <w:r>
              <w:rPr>
                <w:szCs w:val="15"/>
              </w:rPr>
              <w:noBreakHyphen/>
            </w:r>
            <w:r w:rsidRPr="002425A8">
              <w:rPr>
                <w:szCs w:val="15"/>
              </w:rPr>
              <w:t xml:space="preserve">13 </w:t>
            </w:r>
            <w:r>
              <w:rPr>
                <w:szCs w:val="15"/>
              </w:rPr>
              <w:t>‘</w:t>
            </w:r>
            <w:r w:rsidRPr="002425A8">
              <w:rPr>
                <w:szCs w:val="15"/>
              </w:rPr>
              <w:t>Integrated Transport Planning and Sustainable Transport Development</w:t>
            </w:r>
            <w:r>
              <w:rPr>
                <w:szCs w:val="15"/>
              </w:rPr>
              <w:t>’</w:t>
            </w:r>
            <w:r w:rsidRPr="002425A8">
              <w:rPr>
                <w:szCs w:val="15"/>
              </w:rPr>
              <w:t xml:space="preserve"> output.</w:t>
            </w:r>
          </w:p>
        </w:tc>
      </w:tr>
    </w:tbl>
    <w:p w:rsidR="00A53D7D" w:rsidRDefault="00A53D7D" w:rsidP="005140B4">
      <w:pPr>
        <w:pStyle w:val="Source"/>
      </w:pPr>
      <w:r>
        <w:t>Source: Department of Transport, Planning and Local Infrastructure</w:t>
      </w:r>
      <w:r>
        <w:fldChar w:fldCharType="begin"/>
      </w:r>
      <w:r>
        <w:instrText xml:space="preserve"> XE "</w:instrText>
      </w:r>
      <w:r w:rsidRPr="004E3FE8">
        <w:rPr>
          <w:lang w:eastAsia="en-AU"/>
        </w:rPr>
        <w:instrText>Department of Transport, Planning and Local Infrastructure</w:instrText>
      </w:r>
      <w:r w:rsidRPr="004E3FE8">
        <w:instrText>:Transport System Development and Maintenance</w:instrText>
      </w:r>
      <w:r>
        <w:instrText xml:space="preserve">" \r "DTPLITransMaint" </w:instrText>
      </w:r>
      <w:r>
        <w:fldChar w:fldCharType="end"/>
      </w:r>
      <w:r>
        <w:fldChar w:fldCharType="begin"/>
      </w:r>
      <w:r>
        <w:instrText xml:space="preserve"> XE "</w:instrText>
      </w:r>
      <w:r w:rsidRPr="000D11D8">
        <w:rPr>
          <w:lang w:eastAsia="en-AU"/>
        </w:rPr>
        <w:instrText>Transport</w:instrText>
      </w:r>
      <w:r w:rsidRPr="000D11D8">
        <w:instrText>:Transport System Development and Maintenance</w:instrText>
      </w:r>
      <w:r>
        <w:instrText xml:space="preserve">" \r "DTPLITransMaint" </w:instrText>
      </w:r>
      <w:r>
        <w:fldChar w:fldCharType="end"/>
      </w:r>
      <w:r>
        <w:t xml:space="preserve"> </w:t>
      </w:r>
      <w:bookmarkEnd w:id="138"/>
    </w:p>
    <w:p w:rsidR="00A53D7D" w:rsidRPr="00FF4594" w:rsidRDefault="00A53D7D" w:rsidP="005140B4"/>
    <w:p w:rsidR="00A53D7D" w:rsidRDefault="00A53D7D" w:rsidP="00497606"/>
    <w:p w:rsidR="00A53D7D" w:rsidRDefault="00A53D7D" w:rsidP="004463C6">
      <w:pPr>
        <w:sectPr w:rsidR="00A53D7D" w:rsidSect="00C179F2">
          <w:footerReference w:type="even" r:id="rId38"/>
          <w:footerReference w:type="default" r:id="rId39"/>
          <w:pgSz w:w="11907" w:h="16839" w:code="9"/>
          <w:pgMar w:top="1140" w:right="1140" w:bottom="1140" w:left="1140" w:header="720" w:footer="431" w:gutter="0"/>
          <w:cols w:space="708"/>
          <w:docGrid w:linePitch="360"/>
        </w:sectPr>
      </w:pPr>
    </w:p>
    <w:p w:rsidR="00A53D7D" w:rsidRDefault="00A53D7D" w:rsidP="005140B4">
      <w:pPr>
        <w:pStyle w:val="Heading1"/>
      </w:pPr>
      <w:bookmarkStart w:id="139" w:name="_Toc386541224"/>
      <w:bookmarkStart w:id="140" w:name="_Toc407116916"/>
      <w:r>
        <w:t>Department of Treasury and Finance</w:t>
      </w:r>
      <w:bookmarkEnd w:id="139"/>
      <w:bookmarkEnd w:id="140"/>
    </w:p>
    <w:p w:rsidR="00A53D7D" w:rsidRDefault="00A53D7D" w:rsidP="005140B4">
      <w:pPr>
        <w:pStyle w:val="Heading2"/>
      </w:pPr>
      <w:r>
        <w:t>Ministerial portfolios</w:t>
      </w:r>
    </w:p>
    <w:p w:rsidR="00A53D7D" w:rsidRDefault="00A53D7D" w:rsidP="005140B4">
      <w:r w:rsidRPr="00660984">
        <w:t xml:space="preserve">The Department supports the ministerial portfolios of Treasurer, Assistant </w:t>
      </w:r>
      <w:proofErr w:type="gramStart"/>
      <w:r w:rsidRPr="00660984">
        <w:t>Treasurer</w:t>
      </w:r>
      <w:proofErr w:type="gramEnd"/>
      <w:r w:rsidRPr="00660984">
        <w:t xml:space="preserve"> and Finance.</w:t>
      </w:r>
    </w:p>
    <w:p w:rsidR="00A53D7D" w:rsidRDefault="00A53D7D" w:rsidP="005140B4">
      <w:pPr>
        <w:pStyle w:val="Heading2"/>
      </w:pPr>
      <w:r>
        <w:t>Departmental mission statement</w:t>
      </w:r>
    </w:p>
    <w:p w:rsidR="00A53D7D" w:rsidRDefault="00A53D7D" w:rsidP="005140B4">
      <w:r w:rsidRPr="00660984">
        <w:t>The Department of Treasury and Finance’s mission is to provide leadership in economic, financial and resource management.</w:t>
      </w:r>
    </w:p>
    <w:p w:rsidR="00A53D7D" w:rsidRDefault="00A53D7D" w:rsidP="005140B4">
      <w:pPr>
        <w:pStyle w:val="Heading2"/>
      </w:pPr>
      <w:r>
        <w:t>Departmental objectives, indicators and outputs</w:t>
      </w:r>
    </w:p>
    <w:p w:rsidR="00A53D7D" w:rsidRDefault="00A53D7D" w:rsidP="005140B4">
      <w:r w:rsidRPr="00660984">
        <w:t xml:space="preserve">The Department of Treasury and Finance’s objectives, </w:t>
      </w:r>
      <w:proofErr w:type="gramStart"/>
      <w:r w:rsidRPr="00660984">
        <w:t>indicators</w:t>
      </w:r>
      <w:proofErr w:type="gramEnd"/>
      <w:r w:rsidRPr="00660984">
        <w:t xml:space="preserve"> and linked outputs are:</w:t>
      </w:r>
    </w:p>
    <w:tbl>
      <w:tblPr>
        <w:tblW w:w="5000" w:type="pct"/>
        <w:tblInd w:w="29" w:type="dxa"/>
        <w:tblLayout w:type="fixed"/>
        <w:tblCellMar>
          <w:top w:w="45" w:type="dxa"/>
          <w:left w:w="43" w:type="dxa"/>
          <w:right w:w="43" w:type="dxa"/>
        </w:tblCellMar>
        <w:tblLook w:val="01E0" w:firstRow="1" w:lastRow="1" w:firstColumn="1" w:lastColumn="1" w:noHBand="0" w:noVBand="0"/>
      </w:tblPr>
      <w:tblGrid>
        <w:gridCol w:w="2564"/>
        <w:gridCol w:w="2692"/>
        <w:gridCol w:w="2529"/>
      </w:tblGrid>
      <w:tr w:rsidR="00A53D7D" w:rsidRPr="000E650F" w:rsidTr="005140B4">
        <w:trPr>
          <w:cantSplit/>
          <w:tblHeader/>
        </w:trPr>
        <w:tc>
          <w:tcPr>
            <w:tcW w:w="2566" w:type="dxa"/>
            <w:tcBorders>
              <w:top w:val="single" w:sz="6" w:space="0" w:color="auto"/>
              <w:left w:val="single" w:sz="6" w:space="0" w:color="auto"/>
              <w:bottom w:val="single" w:sz="6" w:space="0" w:color="auto"/>
            </w:tcBorders>
            <w:shd w:val="clear" w:color="auto" w:fill="000000"/>
          </w:tcPr>
          <w:p w:rsidR="00A53D7D" w:rsidRPr="000E650F" w:rsidRDefault="00A53D7D" w:rsidP="005140B4">
            <w:pPr>
              <w:pStyle w:val="Tabletextheadingleft"/>
              <w:spacing w:after="80"/>
              <w:rPr>
                <w:lang w:eastAsia="en-AU"/>
              </w:rPr>
            </w:pPr>
            <w:r w:rsidRPr="000E650F">
              <w:rPr>
                <w:lang w:eastAsia="en-AU"/>
              </w:rPr>
              <w:t>Departmental objectives</w:t>
            </w:r>
          </w:p>
        </w:tc>
        <w:tc>
          <w:tcPr>
            <w:tcW w:w="2693" w:type="dxa"/>
            <w:tcBorders>
              <w:top w:val="single" w:sz="6" w:space="0" w:color="auto"/>
              <w:bottom w:val="single" w:sz="6" w:space="0" w:color="auto"/>
            </w:tcBorders>
            <w:shd w:val="clear" w:color="auto" w:fill="000000"/>
          </w:tcPr>
          <w:p w:rsidR="00A53D7D" w:rsidRPr="000E650F" w:rsidRDefault="00A53D7D" w:rsidP="005140B4">
            <w:pPr>
              <w:pStyle w:val="Tabletextheadingleft"/>
              <w:spacing w:after="80"/>
              <w:rPr>
                <w:lang w:eastAsia="en-AU"/>
              </w:rPr>
            </w:pPr>
            <w:r w:rsidRPr="000E650F">
              <w:rPr>
                <w:lang w:eastAsia="en-AU"/>
              </w:rPr>
              <w:t>Indicators</w:t>
            </w:r>
          </w:p>
        </w:tc>
        <w:tc>
          <w:tcPr>
            <w:tcW w:w="2530" w:type="dxa"/>
            <w:tcBorders>
              <w:top w:val="single" w:sz="6" w:space="0" w:color="auto"/>
              <w:bottom w:val="single" w:sz="6" w:space="0" w:color="auto"/>
              <w:right w:val="single" w:sz="6" w:space="0" w:color="auto"/>
            </w:tcBorders>
            <w:shd w:val="clear" w:color="auto" w:fill="000000"/>
          </w:tcPr>
          <w:p w:rsidR="00A53D7D" w:rsidRPr="000E650F" w:rsidRDefault="00A53D7D" w:rsidP="005140B4">
            <w:pPr>
              <w:pStyle w:val="Tabletextheadingleft"/>
              <w:spacing w:after="80"/>
              <w:rPr>
                <w:lang w:eastAsia="en-AU"/>
              </w:rPr>
            </w:pPr>
            <w:r w:rsidRPr="000E650F">
              <w:rPr>
                <w:lang w:eastAsia="en-AU"/>
              </w:rPr>
              <w:t>Outputs</w:t>
            </w:r>
          </w:p>
        </w:tc>
      </w:tr>
      <w:tr w:rsidR="00A53D7D" w:rsidRPr="00660984" w:rsidTr="005140B4">
        <w:trPr>
          <w:cantSplit/>
        </w:trPr>
        <w:tc>
          <w:tcPr>
            <w:tcW w:w="2566" w:type="dxa"/>
            <w:tcBorders>
              <w:top w:val="single" w:sz="6" w:space="0" w:color="auto"/>
              <w:bottom w:val="single" w:sz="6" w:space="0" w:color="auto"/>
            </w:tcBorders>
            <w:shd w:val="clear" w:color="auto" w:fill="auto"/>
          </w:tcPr>
          <w:p w:rsidR="00A53D7D" w:rsidRPr="004F43E3" w:rsidRDefault="00A53D7D" w:rsidP="005140B4">
            <w:pPr>
              <w:pStyle w:val="Tabletext"/>
              <w:spacing w:after="80"/>
              <w:ind w:left="0" w:firstLine="0"/>
              <w:rPr>
                <w:b/>
              </w:rPr>
            </w:pPr>
            <w:r w:rsidRPr="004F43E3">
              <w:rPr>
                <w:b/>
              </w:rPr>
              <w:t xml:space="preserve">Sound financial management of Victoria’s fiscal resources </w:t>
            </w:r>
          </w:p>
          <w:p w:rsidR="00A53D7D" w:rsidRPr="00660984" w:rsidRDefault="00A53D7D" w:rsidP="005140B4">
            <w:pPr>
              <w:pStyle w:val="Tabletext"/>
              <w:spacing w:after="80"/>
              <w:ind w:left="0" w:firstLine="0"/>
            </w:pPr>
            <w:r w:rsidRPr="00660984">
              <w:t xml:space="preserve">The Department of Treasury and Finance has a central role in shaping Victoria’s economic, </w:t>
            </w:r>
            <w:proofErr w:type="gramStart"/>
            <w:r w:rsidRPr="00660984">
              <w:t>social</w:t>
            </w:r>
            <w:proofErr w:type="gramEnd"/>
            <w:r w:rsidRPr="00660984">
              <w:t xml:space="preserve"> and fiscal policy to ensure that Government financial policies are fiscally sound.</w:t>
            </w:r>
          </w:p>
        </w:tc>
        <w:tc>
          <w:tcPr>
            <w:tcW w:w="2693" w:type="dxa"/>
            <w:tcBorders>
              <w:top w:val="single" w:sz="6" w:space="0" w:color="auto"/>
              <w:bottom w:val="single" w:sz="6" w:space="0" w:color="auto"/>
            </w:tcBorders>
            <w:shd w:val="clear" w:color="auto" w:fill="auto"/>
          </w:tcPr>
          <w:p w:rsidR="00A53D7D" w:rsidRPr="00660984" w:rsidRDefault="00A53D7D" w:rsidP="005140B4">
            <w:pPr>
              <w:pStyle w:val="Tabletext"/>
              <w:spacing w:after="80"/>
              <w:ind w:left="0" w:firstLine="0"/>
            </w:pPr>
            <w:r>
              <w:t xml:space="preserve">Demonstrate strong fiscal </w:t>
            </w:r>
            <w:r w:rsidRPr="00660984">
              <w:t>discipline by maintaining an annual budget surplus of at least $100</w:t>
            </w:r>
            <w:r>
              <w:t> million</w:t>
            </w:r>
            <w:r w:rsidRPr="00660984">
              <w:t>.</w:t>
            </w:r>
          </w:p>
          <w:p w:rsidR="00A53D7D" w:rsidRPr="00660984" w:rsidRDefault="00A53D7D" w:rsidP="005140B4">
            <w:pPr>
              <w:pStyle w:val="Tabletext"/>
              <w:spacing w:after="80"/>
              <w:ind w:left="0" w:firstLine="0"/>
            </w:pPr>
            <w:r w:rsidRPr="00660984">
              <w:t>General government net debt reduced as a percentage of GSP over the decade to 2022.</w:t>
            </w:r>
          </w:p>
          <w:p w:rsidR="00A53D7D" w:rsidRPr="00660984" w:rsidRDefault="00A53D7D" w:rsidP="005140B4">
            <w:pPr>
              <w:pStyle w:val="Tabletext"/>
              <w:spacing w:after="80"/>
              <w:ind w:left="0" w:firstLine="0"/>
            </w:pPr>
            <w:r w:rsidRPr="00660984">
              <w:t>Effective financial risk management and prudential supervision of Public Financial Corporations and Public Non</w:t>
            </w:r>
            <w:r>
              <w:t>-</w:t>
            </w:r>
            <w:r w:rsidRPr="00660984">
              <w:t xml:space="preserve"> Financial Corporations.</w:t>
            </w:r>
          </w:p>
        </w:tc>
        <w:tc>
          <w:tcPr>
            <w:tcW w:w="2530" w:type="dxa"/>
            <w:tcBorders>
              <w:top w:val="single" w:sz="6" w:space="0" w:color="auto"/>
              <w:bottom w:val="single" w:sz="6" w:space="0" w:color="auto"/>
            </w:tcBorders>
            <w:shd w:val="clear" w:color="auto" w:fill="auto"/>
          </w:tcPr>
          <w:p w:rsidR="00A53D7D" w:rsidRPr="00660984" w:rsidRDefault="00A53D7D" w:rsidP="005140B4">
            <w:pPr>
              <w:pStyle w:val="Tabletext"/>
              <w:spacing w:after="80"/>
              <w:ind w:left="0" w:firstLine="0"/>
            </w:pPr>
            <w:r w:rsidRPr="00660984">
              <w:t xml:space="preserve">Financial and Resource Management Frameworks </w:t>
            </w:r>
          </w:p>
          <w:p w:rsidR="00A53D7D" w:rsidRPr="00660984" w:rsidRDefault="00A53D7D" w:rsidP="005140B4">
            <w:pPr>
              <w:pStyle w:val="Tabletext"/>
              <w:spacing w:after="80"/>
              <w:ind w:left="0" w:firstLine="0"/>
            </w:pPr>
            <w:r w:rsidRPr="00660984">
              <w:t>Budget and Financial Policy Advice</w:t>
            </w:r>
          </w:p>
          <w:p w:rsidR="00A53D7D" w:rsidRPr="00660984" w:rsidRDefault="00A53D7D" w:rsidP="005140B4">
            <w:pPr>
              <w:pStyle w:val="Tabletext"/>
              <w:spacing w:after="80"/>
              <w:ind w:left="0" w:firstLine="0"/>
            </w:pPr>
            <w:r w:rsidRPr="00660984">
              <w:t xml:space="preserve">Financial Reporting </w:t>
            </w:r>
          </w:p>
          <w:p w:rsidR="00A53D7D" w:rsidRPr="00660984" w:rsidRDefault="00A53D7D" w:rsidP="005140B4">
            <w:pPr>
              <w:pStyle w:val="Tabletext"/>
              <w:spacing w:after="80"/>
              <w:ind w:left="0" w:firstLine="0"/>
            </w:pPr>
            <w:r w:rsidRPr="00660984">
              <w:t>GBE Performance Monitoring and Financial Risk Management</w:t>
            </w:r>
          </w:p>
          <w:p w:rsidR="00A53D7D" w:rsidRPr="00660984" w:rsidRDefault="00A53D7D" w:rsidP="005140B4">
            <w:pPr>
              <w:pStyle w:val="Tabletext"/>
              <w:spacing w:after="80"/>
              <w:ind w:left="0" w:firstLine="0"/>
            </w:pPr>
            <w:r w:rsidRPr="00660984">
              <w:t>Revenue Management Services to Government</w:t>
            </w:r>
          </w:p>
        </w:tc>
      </w:tr>
      <w:tr w:rsidR="00A53D7D" w:rsidRPr="000E650F" w:rsidTr="005140B4">
        <w:trPr>
          <w:cantSplit/>
        </w:trPr>
        <w:tc>
          <w:tcPr>
            <w:tcW w:w="2566" w:type="dxa"/>
            <w:tcBorders>
              <w:top w:val="single" w:sz="6" w:space="0" w:color="auto"/>
              <w:bottom w:val="single" w:sz="6" w:space="0" w:color="auto"/>
            </w:tcBorders>
            <w:shd w:val="clear" w:color="auto" w:fill="auto"/>
          </w:tcPr>
          <w:p w:rsidR="00A53D7D" w:rsidRPr="004F43E3" w:rsidRDefault="00A53D7D" w:rsidP="005140B4">
            <w:pPr>
              <w:pStyle w:val="Tabletext"/>
              <w:spacing w:after="80"/>
              <w:ind w:left="0" w:firstLine="0"/>
              <w:rPr>
                <w:b/>
              </w:rPr>
            </w:pPr>
            <w:r w:rsidRPr="004F43E3">
              <w:rPr>
                <w:b/>
              </w:rPr>
              <w:t>Guide government actions to increase Victoria’s productivity and competitiveness</w:t>
            </w:r>
          </w:p>
          <w:p w:rsidR="00A53D7D" w:rsidRPr="000E650F" w:rsidRDefault="00A53D7D" w:rsidP="005140B4">
            <w:pPr>
              <w:pStyle w:val="Tabletext"/>
              <w:spacing w:after="80"/>
              <w:ind w:left="0" w:firstLine="0"/>
            </w:pPr>
            <w:r w:rsidRPr="00660984">
              <w:t xml:space="preserve">The Department of Treasury and Finance provides Government with advice on key economic and financial issues, including longer term economic development, regulation, financial </w:t>
            </w:r>
            <w:proofErr w:type="gramStart"/>
            <w:r w:rsidRPr="00660984">
              <w:t>strategy</w:t>
            </w:r>
            <w:proofErr w:type="gramEnd"/>
            <w:r w:rsidRPr="00660984">
              <w:t xml:space="preserve"> and taxation policy.</w:t>
            </w:r>
          </w:p>
        </w:tc>
        <w:tc>
          <w:tcPr>
            <w:tcW w:w="2693" w:type="dxa"/>
            <w:tcBorders>
              <w:top w:val="single" w:sz="6" w:space="0" w:color="auto"/>
              <w:bottom w:val="single" w:sz="6" w:space="0" w:color="auto"/>
            </w:tcBorders>
            <w:shd w:val="clear" w:color="auto" w:fill="auto"/>
          </w:tcPr>
          <w:p w:rsidR="00A53D7D" w:rsidRDefault="00A53D7D" w:rsidP="005140B4">
            <w:pPr>
              <w:pStyle w:val="Tabletext"/>
              <w:spacing w:after="80"/>
              <w:ind w:left="0" w:firstLine="0"/>
            </w:pPr>
            <w:r>
              <w:t>Reduce regulatory burden by 25 per cent by 2014.</w:t>
            </w:r>
          </w:p>
          <w:p w:rsidR="00A53D7D" w:rsidRDefault="00A53D7D" w:rsidP="005140B4">
            <w:pPr>
              <w:pStyle w:val="Tabletext"/>
              <w:spacing w:after="80"/>
              <w:ind w:left="0" w:firstLine="0"/>
            </w:pPr>
            <w:r>
              <w:t>Ensure approved Public Sector EBAs comply with wages policy and support improvements to productivity and workplace reform.</w:t>
            </w:r>
          </w:p>
          <w:p w:rsidR="00A53D7D" w:rsidRPr="000E650F" w:rsidRDefault="00A53D7D" w:rsidP="005140B4">
            <w:pPr>
              <w:pStyle w:val="Tabletext"/>
              <w:spacing w:after="80"/>
              <w:ind w:left="0" w:firstLine="0"/>
            </w:pPr>
            <w:r>
              <w:t>Reduce the costs and barriers to doing business in Victoria.</w:t>
            </w:r>
          </w:p>
        </w:tc>
        <w:tc>
          <w:tcPr>
            <w:tcW w:w="2530" w:type="dxa"/>
            <w:tcBorders>
              <w:bottom w:val="single" w:sz="6" w:space="0" w:color="auto"/>
            </w:tcBorders>
            <w:shd w:val="clear" w:color="auto" w:fill="auto"/>
          </w:tcPr>
          <w:p w:rsidR="00A53D7D" w:rsidRDefault="00A53D7D" w:rsidP="005140B4">
            <w:pPr>
              <w:pStyle w:val="Tabletext"/>
              <w:spacing w:after="80"/>
              <w:ind w:left="0" w:firstLine="0"/>
            </w:pPr>
            <w:r>
              <w:t xml:space="preserve">Economic and Financial Policy </w:t>
            </w:r>
          </w:p>
          <w:p w:rsidR="00A53D7D" w:rsidRDefault="00A53D7D" w:rsidP="005140B4">
            <w:pPr>
              <w:pStyle w:val="Tabletext"/>
              <w:spacing w:after="80"/>
              <w:ind w:left="0" w:firstLine="0"/>
            </w:pPr>
            <w:r>
              <w:t xml:space="preserve">Economic Regulatory Services </w:t>
            </w:r>
          </w:p>
          <w:p w:rsidR="00A53D7D" w:rsidRPr="000E650F" w:rsidRDefault="00A53D7D" w:rsidP="005140B4">
            <w:pPr>
              <w:pStyle w:val="Tabletext"/>
              <w:spacing w:after="80"/>
              <w:ind w:left="0" w:firstLine="0"/>
            </w:pPr>
            <w:r>
              <w:t>Business Environment Policy Advice</w:t>
            </w:r>
          </w:p>
        </w:tc>
      </w:tr>
      <w:tr w:rsidR="00A53D7D" w:rsidRPr="000E650F" w:rsidTr="005140B4">
        <w:trPr>
          <w:cantSplit/>
        </w:trPr>
        <w:tc>
          <w:tcPr>
            <w:tcW w:w="2566" w:type="dxa"/>
            <w:tcBorders>
              <w:top w:val="single" w:sz="6" w:space="0" w:color="auto"/>
              <w:bottom w:val="single" w:sz="6" w:space="0" w:color="auto"/>
            </w:tcBorders>
            <w:shd w:val="clear" w:color="auto" w:fill="auto"/>
          </w:tcPr>
          <w:p w:rsidR="00A53D7D" w:rsidRPr="004F43E3" w:rsidRDefault="00A53D7D" w:rsidP="005140B4">
            <w:pPr>
              <w:pStyle w:val="Tabletext"/>
              <w:spacing w:after="80"/>
              <w:ind w:left="0" w:firstLine="0"/>
              <w:rPr>
                <w:b/>
              </w:rPr>
            </w:pPr>
            <w:r w:rsidRPr="004F43E3">
              <w:rPr>
                <w:b/>
              </w:rPr>
              <w:t>Drive improvement in public sector asset management and the delivery of infrastructure</w:t>
            </w:r>
          </w:p>
          <w:p w:rsidR="00A53D7D" w:rsidRPr="000E650F" w:rsidRDefault="00A53D7D" w:rsidP="005140B4">
            <w:pPr>
              <w:pStyle w:val="Tabletext"/>
              <w:spacing w:after="80"/>
              <w:ind w:left="0" w:firstLine="0"/>
            </w:pPr>
            <w:r w:rsidRPr="00660984">
              <w:t>The Department of Treasury and Finance develops and applies prudent commercial principles and practices to influence and deliver Government policies. This promotes transparent and accountable commercial principles and practices throughout the public sector, and ensures that Government owned property assets are managed and used efficiently.</w:t>
            </w:r>
          </w:p>
        </w:tc>
        <w:tc>
          <w:tcPr>
            <w:tcW w:w="2693" w:type="dxa"/>
            <w:tcBorders>
              <w:top w:val="single" w:sz="6" w:space="0" w:color="auto"/>
              <w:bottom w:val="single" w:sz="6" w:space="0" w:color="auto"/>
            </w:tcBorders>
            <w:shd w:val="clear" w:color="auto" w:fill="auto"/>
          </w:tcPr>
          <w:p w:rsidR="00A53D7D" w:rsidRPr="00660984" w:rsidRDefault="00A53D7D" w:rsidP="005140B4">
            <w:pPr>
              <w:pStyle w:val="Tabletext"/>
              <w:spacing w:after="80"/>
              <w:ind w:left="0" w:firstLine="0"/>
            </w:pPr>
            <w:r w:rsidRPr="00660984">
              <w:t xml:space="preserve">Ensure high value high risk Government projects are completed within agreed timeframes and scope through ensuring adherence to standards. </w:t>
            </w:r>
          </w:p>
          <w:p w:rsidR="00A53D7D" w:rsidRPr="000E650F" w:rsidRDefault="00A53D7D" w:rsidP="005140B4">
            <w:pPr>
              <w:pStyle w:val="Tabletext"/>
              <w:spacing w:after="80"/>
              <w:ind w:left="0" w:firstLine="0"/>
            </w:pPr>
            <w:r w:rsidRPr="00660984">
              <w:t>Increased engagement with industry to enable improved compliance and productivity in the Victorian construction industry.</w:t>
            </w:r>
          </w:p>
        </w:tc>
        <w:tc>
          <w:tcPr>
            <w:tcW w:w="2530" w:type="dxa"/>
            <w:tcBorders>
              <w:bottom w:val="single" w:sz="6" w:space="0" w:color="auto"/>
            </w:tcBorders>
            <w:shd w:val="clear" w:color="auto" w:fill="auto"/>
          </w:tcPr>
          <w:p w:rsidR="00A53D7D" w:rsidRPr="000E650F" w:rsidRDefault="00A53D7D" w:rsidP="005140B4">
            <w:pPr>
              <w:pStyle w:val="Tabletext"/>
              <w:spacing w:after="80"/>
              <w:ind w:left="0" w:firstLine="0"/>
            </w:pPr>
            <w:r w:rsidRPr="00660984">
              <w:t>Land and Infrastructure Investment Management</w:t>
            </w:r>
          </w:p>
        </w:tc>
      </w:tr>
      <w:tr w:rsidR="00A53D7D" w:rsidRPr="000E650F" w:rsidTr="005140B4">
        <w:trPr>
          <w:cantSplit/>
        </w:trPr>
        <w:tc>
          <w:tcPr>
            <w:tcW w:w="2566" w:type="dxa"/>
            <w:tcBorders>
              <w:top w:val="single" w:sz="6" w:space="0" w:color="auto"/>
              <w:bottom w:val="single" w:sz="12" w:space="0" w:color="auto"/>
            </w:tcBorders>
            <w:shd w:val="clear" w:color="auto" w:fill="auto"/>
          </w:tcPr>
          <w:p w:rsidR="00A53D7D" w:rsidRPr="004F43E3" w:rsidRDefault="00A53D7D" w:rsidP="005140B4">
            <w:pPr>
              <w:pStyle w:val="Tabletext"/>
              <w:ind w:left="0" w:firstLine="0"/>
              <w:rPr>
                <w:b/>
              </w:rPr>
            </w:pPr>
            <w:r w:rsidRPr="004F43E3">
              <w:rPr>
                <w:b/>
              </w:rPr>
              <w:t>Deliver efficient whole of government common services to the Victorian public sector</w:t>
            </w:r>
          </w:p>
          <w:p w:rsidR="00A53D7D" w:rsidRPr="000E650F" w:rsidRDefault="00A53D7D" w:rsidP="005140B4">
            <w:pPr>
              <w:pStyle w:val="Tabletext"/>
              <w:ind w:left="0" w:firstLine="0"/>
            </w:pPr>
            <w:r w:rsidRPr="00660984">
              <w:t>The Department of Treasury and Finance assists Government agencies in providing a more integrated approach to the management of common services.</w:t>
            </w:r>
          </w:p>
        </w:tc>
        <w:tc>
          <w:tcPr>
            <w:tcW w:w="2693" w:type="dxa"/>
            <w:tcBorders>
              <w:top w:val="single" w:sz="6" w:space="0" w:color="auto"/>
              <w:bottom w:val="single" w:sz="12" w:space="0" w:color="auto"/>
            </w:tcBorders>
            <w:shd w:val="clear" w:color="auto" w:fill="auto"/>
          </w:tcPr>
          <w:p w:rsidR="00A53D7D" w:rsidRPr="00660984" w:rsidRDefault="00A53D7D" w:rsidP="005140B4">
            <w:pPr>
              <w:pStyle w:val="Tabletext"/>
              <w:spacing w:after="80"/>
              <w:ind w:left="0" w:firstLine="0"/>
            </w:pPr>
            <w:r w:rsidRPr="00660984">
              <w:t xml:space="preserve">Drive productivity and efficiency by increasing the benefits delivered from government procurement contracts. </w:t>
            </w:r>
          </w:p>
          <w:p w:rsidR="00A53D7D" w:rsidRPr="000E650F" w:rsidRDefault="00A53D7D" w:rsidP="005140B4">
            <w:pPr>
              <w:pStyle w:val="Tabletext"/>
              <w:spacing w:after="80"/>
              <w:ind w:left="0" w:firstLine="0"/>
            </w:pPr>
            <w:r w:rsidRPr="00660984">
              <w:t>Drive efficiency by maintaining low vacancy rates for government office accommodation.</w:t>
            </w:r>
          </w:p>
        </w:tc>
        <w:tc>
          <w:tcPr>
            <w:tcW w:w="2530" w:type="dxa"/>
            <w:tcBorders>
              <w:top w:val="single" w:sz="6" w:space="0" w:color="auto"/>
              <w:bottom w:val="single" w:sz="12" w:space="0" w:color="auto"/>
            </w:tcBorders>
            <w:shd w:val="clear" w:color="auto" w:fill="auto"/>
          </w:tcPr>
          <w:p w:rsidR="00A53D7D" w:rsidRPr="000E650F" w:rsidRDefault="00A53D7D" w:rsidP="005140B4">
            <w:pPr>
              <w:pStyle w:val="Tabletext"/>
              <w:ind w:left="0" w:firstLine="0"/>
            </w:pPr>
            <w:r w:rsidRPr="00660984">
              <w:t>Resource Management Services to Government</w:t>
            </w:r>
          </w:p>
        </w:tc>
      </w:tr>
    </w:tbl>
    <w:p w:rsidR="00A53D7D" w:rsidRDefault="00A53D7D" w:rsidP="005140B4">
      <w:pPr>
        <w:pStyle w:val="Source"/>
      </w:pPr>
      <w:r>
        <w:t>Source: Department of Treasury and Finance</w:t>
      </w:r>
    </w:p>
    <w:p w:rsidR="004E7A50" w:rsidRPr="004E7A50" w:rsidRDefault="004E7A50" w:rsidP="004E7A50">
      <w:pPr>
        <w:pStyle w:val="Notes"/>
      </w:pPr>
    </w:p>
    <w:p w:rsidR="00A53D7D" w:rsidRDefault="00A53D7D" w:rsidP="005140B4">
      <w:pPr>
        <w:pStyle w:val="Heading2"/>
      </w:pPr>
      <w:r>
        <w:t>Changes to the output structure</w:t>
      </w:r>
    </w:p>
    <w:p w:rsidR="00A53D7D" w:rsidRDefault="00A53D7D" w:rsidP="005140B4">
      <w:r>
        <w:t>The Department has made no changes to its output structure for 2014-15.</w:t>
      </w:r>
    </w:p>
    <w:p w:rsidR="00A53D7D" w:rsidRPr="00660984" w:rsidRDefault="00A53D7D" w:rsidP="005140B4">
      <w:r>
        <w:t>The following table summarises the Department’s total output cost.</w:t>
      </w:r>
    </w:p>
    <w:p w:rsidR="00A53D7D" w:rsidRDefault="00A53D7D">
      <w:pPr>
        <w:spacing w:after="0"/>
        <w:rPr>
          <w:rFonts w:ascii="Calibri" w:hAnsi="Calibri"/>
          <w:b/>
        </w:rPr>
      </w:pPr>
      <w:r>
        <w:br w:type="page"/>
      </w:r>
    </w:p>
    <w:p w:rsidR="00A53D7D" w:rsidRDefault="00A53D7D" w:rsidP="005140B4">
      <w:pPr>
        <w:pStyle w:val="Tableheading"/>
      </w:pPr>
      <w:r>
        <w:t>Table 2.26:</w:t>
      </w:r>
      <w:r>
        <w:tab/>
        <w:t xml:space="preserve">Output summary </w:t>
      </w:r>
    </w:p>
    <w:p w:rsidR="00A53D7D" w:rsidRPr="004A6FD1"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4A6FD1" w:rsidTr="005140B4">
        <w:tc>
          <w:tcPr>
            <w:tcW w:w="3801" w:type="dxa"/>
            <w:tcBorders>
              <w:top w:val="single" w:sz="4" w:space="0" w:color="auto"/>
              <w:left w:val="single" w:sz="4" w:space="0" w:color="auto"/>
              <w:bottom w:val="nil"/>
              <w:right w:val="nil"/>
            </w:tcBorders>
            <w:shd w:val="clear" w:color="auto" w:fill="000000"/>
          </w:tcPr>
          <w:p w:rsidR="00A53D7D" w:rsidRPr="004A6FD1" w:rsidRDefault="00A53D7D" w:rsidP="005140B4">
            <w:pPr>
              <w:pStyle w:val="Tabletext"/>
              <w:rPr>
                <w:rFonts w:eastAsiaTheme="minorEastAsia"/>
                <w:lang w:eastAsia="en-AU"/>
              </w:rPr>
            </w:pPr>
          </w:p>
        </w:tc>
        <w:tc>
          <w:tcPr>
            <w:tcW w:w="993" w:type="dxa"/>
            <w:tcBorders>
              <w:top w:val="single" w:sz="4" w:space="0" w:color="auto"/>
              <w:left w:val="nil"/>
              <w:bottom w:val="nil"/>
              <w:right w:val="nil"/>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2014-15</w:t>
            </w:r>
          </w:p>
        </w:tc>
        <w:tc>
          <w:tcPr>
            <w:tcW w:w="993" w:type="dxa"/>
            <w:tcBorders>
              <w:top w:val="single" w:sz="4" w:space="0" w:color="auto"/>
              <w:left w:val="nil"/>
              <w:bottom w:val="nil"/>
              <w:right w:val="single" w:sz="4" w:space="0" w:color="auto"/>
            </w:tcBorders>
            <w:shd w:val="clear" w:color="auto" w:fill="000000"/>
          </w:tcPr>
          <w:p w:rsidR="00A53D7D" w:rsidRPr="004A6FD1" w:rsidRDefault="00A53D7D" w:rsidP="005140B4">
            <w:pPr>
              <w:pStyle w:val="Tabletextheading"/>
              <w:ind w:left="-149"/>
              <w:rPr>
                <w:rFonts w:eastAsiaTheme="minorEastAsia" w:cs="Calibri"/>
                <w:iCs/>
                <w:color w:val="FFFFFF" w:themeColor="background1"/>
                <w:vertAlign w:val="superscript"/>
                <w:lang w:eastAsia="en-AU"/>
              </w:rPr>
            </w:pPr>
            <w:r w:rsidRPr="004A6FD1">
              <w:rPr>
                <w:rFonts w:eastAsiaTheme="minorEastAsia"/>
                <w:color w:val="FFFFFF" w:themeColor="background1"/>
                <w:lang w:eastAsia="en-AU"/>
              </w:rPr>
              <w:t xml:space="preserve">Variation </w:t>
            </w:r>
            <w:r w:rsidRPr="004A6FD1">
              <w:rPr>
                <w:rFonts w:eastAsiaTheme="minorEastAsia" w:cs="Calibri"/>
                <w:iCs/>
                <w:color w:val="FFFFFF" w:themeColor="background1"/>
                <w:vertAlign w:val="superscript"/>
                <w:lang w:eastAsia="en-AU"/>
              </w:rPr>
              <w:t>(a)</w:t>
            </w:r>
          </w:p>
        </w:tc>
      </w:tr>
      <w:tr w:rsidR="00A53D7D" w:rsidRPr="004A6FD1" w:rsidTr="005140B4">
        <w:tc>
          <w:tcPr>
            <w:tcW w:w="3801" w:type="dxa"/>
            <w:tcBorders>
              <w:top w:val="nil"/>
              <w:left w:val="single" w:sz="4" w:space="0" w:color="auto"/>
              <w:bottom w:val="single" w:sz="4" w:space="0" w:color="auto"/>
              <w:right w:val="nil"/>
            </w:tcBorders>
            <w:shd w:val="clear" w:color="auto" w:fill="000000"/>
          </w:tcPr>
          <w:p w:rsidR="00A53D7D" w:rsidRPr="004A6FD1" w:rsidRDefault="00A53D7D" w:rsidP="005140B4">
            <w:pPr>
              <w:pStyle w:val="Tabletext"/>
              <w:rPr>
                <w:rFonts w:eastAsiaTheme="minorEastAsia"/>
                <w:lang w:eastAsia="en-AU"/>
              </w:rPr>
            </w:pPr>
          </w:p>
        </w:tc>
        <w:tc>
          <w:tcPr>
            <w:tcW w:w="993" w:type="dxa"/>
            <w:tcBorders>
              <w:top w:val="nil"/>
              <w:left w:val="nil"/>
              <w:bottom w:val="single" w:sz="4" w:space="0" w:color="auto"/>
              <w:right w:val="nil"/>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Budget</w:t>
            </w:r>
          </w:p>
        </w:tc>
        <w:tc>
          <w:tcPr>
            <w:tcW w:w="993" w:type="dxa"/>
            <w:tcBorders>
              <w:top w:val="nil"/>
              <w:left w:val="nil"/>
              <w:bottom w:val="single" w:sz="4" w:space="0" w:color="auto"/>
              <w:right w:val="single" w:sz="4" w:space="0" w:color="auto"/>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w:t>
            </w:r>
          </w:p>
        </w:tc>
      </w:tr>
      <w:tr w:rsidR="00A53D7D" w:rsidRPr="004A6FD1" w:rsidTr="005140B4">
        <w:tc>
          <w:tcPr>
            <w:tcW w:w="3801" w:type="dxa"/>
            <w:tcBorders>
              <w:top w:val="single" w:sz="4" w:space="0" w:color="auto"/>
              <w:left w:val="nil"/>
              <w:bottom w:val="nil"/>
              <w:right w:val="nil"/>
            </w:tcBorders>
          </w:tcPr>
          <w:p w:rsidR="00A53D7D" w:rsidRPr="004A6FD1" w:rsidRDefault="00A53D7D" w:rsidP="005140B4">
            <w:pPr>
              <w:pStyle w:val="Tabletext"/>
              <w:rPr>
                <w:rFonts w:eastAsiaTheme="minorEastAsia"/>
                <w:lang w:eastAsia="en-AU"/>
              </w:rPr>
            </w:pPr>
            <w:r w:rsidRPr="004A6FD1">
              <w:rPr>
                <w:rFonts w:eastAsiaTheme="minorEastAsia"/>
                <w:lang w:eastAsia="en-AU"/>
              </w:rPr>
              <w:t>Financial Management Services</w:t>
            </w:r>
          </w:p>
        </w:tc>
        <w:tc>
          <w:tcPr>
            <w:tcW w:w="993" w:type="dxa"/>
            <w:tcBorders>
              <w:top w:val="single" w:sz="4" w:space="0" w:color="auto"/>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21.5</w:t>
            </w:r>
          </w:p>
        </w:tc>
        <w:tc>
          <w:tcPr>
            <w:tcW w:w="993" w:type="dxa"/>
            <w:tcBorders>
              <w:top w:val="single" w:sz="4" w:space="0" w:color="auto"/>
              <w:left w:val="nil"/>
              <w:bottom w:val="nil"/>
              <w:right w:val="nil"/>
            </w:tcBorders>
          </w:tcPr>
          <w:p w:rsidR="00A53D7D" w:rsidRPr="004A6FD1" w:rsidRDefault="00A53D7D" w:rsidP="005140B4">
            <w:pPr>
              <w:pStyle w:val="TableofFigures"/>
              <w:rPr>
                <w:rFonts w:eastAsiaTheme="minorEastAsia" w:cs="Calibri"/>
                <w:color w:val="000000"/>
                <w:lang w:eastAsia="en-AU"/>
              </w:rPr>
            </w:pPr>
            <w:r w:rsidRPr="004A6FD1">
              <w:rPr>
                <w:rFonts w:eastAsiaTheme="minorEastAsia"/>
                <w:lang w:eastAsia="en-AU"/>
              </w:rPr>
              <w:t>21.6</w:t>
            </w:r>
          </w:p>
        </w:tc>
        <w:tc>
          <w:tcPr>
            <w:tcW w:w="993" w:type="dxa"/>
            <w:tcBorders>
              <w:top w:val="single" w:sz="4" w:space="0" w:color="auto"/>
              <w:left w:val="nil"/>
              <w:bottom w:val="nil"/>
              <w:right w:val="nil"/>
            </w:tcBorders>
          </w:tcPr>
          <w:p w:rsidR="00A53D7D" w:rsidRPr="004A6FD1" w:rsidRDefault="00A53D7D" w:rsidP="005140B4">
            <w:pPr>
              <w:pStyle w:val="TableofFigures"/>
              <w:rPr>
                <w:rFonts w:eastAsiaTheme="minorEastAsia" w:cs="Calibri"/>
                <w:color w:val="000000"/>
                <w:lang w:eastAsia="en-AU"/>
              </w:rPr>
            </w:pPr>
            <w:r w:rsidRPr="004A6FD1">
              <w:rPr>
                <w:rFonts w:eastAsiaTheme="minorEastAsia"/>
                <w:lang w:eastAsia="en-AU"/>
              </w:rPr>
              <w:t>21.1</w:t>
            </w:r>
          </w:p>
        </w:tc>
        <w:tc>
          <w:tcPr>
            <w:tcW w:w="993" w:type="dxa"/>
            <w:tcBorders>
              <w:top w:val="single" w:sz="4" w:space="0" w:color="auto"/>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-1.9</w:t>
            </w:r>
          </w:p>
        </w:tc>
      </w:tr>
      <w:tr w:rsidR="00A53D7D" w:rsidRPr="004A6FD1" w:rsidTr="005140B4">
        <w:tc>
          <w:tcPr>
            <w:tcW w:w="3801" w:type="dxa"/>
            <w:tcBorders>
              <w:top w:val="nil"/>
              <w:left w:val="nil"/>
              <w:bottom w:val="nil"/>
              <w:right w:val="nil"/>
            </w:tcBorders>
          </w:tcPr>
          <w:p w:rsidR="00A53D7D" w:rsidRPr="004A6FD1" w:rsidRDefault="00A53D7D" w:rsidP="005140B4">
            <w:pPr>
              <w:pStyle w:val="Tabletext"/>
              <w:rPr>
                <w:rFonts w:eastAsiaTheme="minorEastAsia" w:cs="Calibri"/>
                <w:color w:val="000000"/>
                <w:vertAlign w:val="superscript"/>
                <w:lang w:eastAsia="en-AU"/>
              </w:rPr>
            </w:pPr>
            <w:r w:rsidRPr="004A6FD1">
              <w:rPr>
                <w:rFonts w:eastAsiaTheme="minorEastAsia"/>
                <w:lang w:eastAsia="en-AU"/>
              </w:rPr>
              <w:t xml:space="preserve">Regulatory Services </w:t>
            </w:r>
            <w:r w:rsidRPr="004A6FD1">
              <w:rPr>
                <w:rFonts w:eastAsiaTheme="minorEastAsia" w:cs="Calibri"/>
                <w:color w:val="000000"/>
                <w:vertAlign w:val="superscript"/>
                <w:lang w:eastAsia="en-AU"/>
              </w:rPr>
              <w:t>(b)</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23.7</w:t>
            </w:r>
          </w:p>
        </w:tc>
        <w:tc>
          <w:tcPr>
            <w:tcW w:w="993" w:type="dxa"/>
            <w:tcBorders>
              <w:top w:val="nil"/>
              <w:left w:val="nil"/>
              <w:bottom w:val="nil"/>
              <w:right w:val="nil"/>
            </w:tcBorders>
          </w:tcPr>
          <w:p w:rsidR="00A53D7D" w:rsidRPr="004A6FD1" w:rsidRDefault="00A53D7D" w:rsidP="005140B4">
            <w:pPr>
              <w:pStyle w:val="TableofFigures"/>
              <w:rPr>
                <w:rFonts w:eastAsiaTheme="minorEastAsia" w:cs="Calibri"/>
                <w:color w:val="000000"/>
                <w:lang w:eastAsia="en-AU"/>
              </w:rPr>
            </w:pPr>
            <w:r w:rsidRPr="004A6FD1">
              <w:rPr>
                <w:rFonts w:eastAsiaTheme="minorEastAsia"/>
                <w:lang w:eastAsia="en-AU"/>
              </w:rPr>
              <w:t>22.4</w:t>
            </w:r>
          </w:p>
        </w:tc>
        <w:tc>
          <w:tcPr>
            <w:tcW w:w="993" w:type="dxa"/>
            <w:tcBorders>
              <w:top w:val="nil"/>
              <w:left w:val="nil"/>
              <w:bottom w:val="nil"/>
              <w:right w:val="nil"/>
            </w:tcBorders>
          </w:tcPr>
          <w:p w:rsidR="00A53D7D" w:rsidRPr="004A6FD1" w:rsidRDefault="00A53D7D" w:rsidP="005140B4">
            <w:pPr>
              <w:pStyle w:val="TableofFigures"/>
              <w:rPr>
                <w:rFonts w:eastAsiaTheme="minorEastAsia" w:cs="Calibri"/>
                <w:color w:val="000000"/>
                <w:lang w:eastAsia="en-AU"/>
              </w:rPr>
            </w:pPr>
            <w:r w:rsidRPr="004A6FD1">
              <w:rPr>
                <w:rFonts w:eastAsiaTheme="minorEastAsia"/>
                <w:lang w:eastAsia="en-AU"/>
              </w:rPr>
              <w:t>22.4</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-5.5</w:t>
            </w:r>
          </w:p>
        </w:tc>
      </w:tr>
      <w:tr w:rsidR="00A53D7D" w:rsidRPr="004A6FD1" w:rsidTr="005140B4">
        <w:tc>
          <w:tcPr>
            <w:tcW w:w="3801" w:type="dxa"/>
            <w:tcBorders>
              <w:top w:val="nil"/>
              <w:left w:val="nil"/>
              <w:bottom w:val="nil"/>
              <w:right w:val="nil"/>
            </w:tcBorders>
          </w:tcPr>
          <w:p w:rsidR="00A53D7D" w:rsidRPr="004A6FD1" w:rsidRDefault="00A53D7D" w:rsidP="005140B4">
            <w:pPr>
              <w:pStyle w:val="Tabletext"/>
              <w:rPr>
                <w:rFonts w:eastAsiaTheme="minorEastAsia"/>
                <w:lang w:eastAsia="en-AU"/>
              </w:rPr>
            </w:pPr>
            <w:r w:rsidRPr="004A6FD1">
              <w:rPr>
                <w:rFonts w:eastAsiaTheme="minorEastAsia"/>
                <w:lang w:eastAsia="en-AU"/>
              </w:rPr>
              <w:t>Resource Management Services</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45.3</w:t>
            </w:r>
          </w:p>
        </w:tc>
        <w:tc>
          <w:tcPr>
            <w:tcW w:w="993" w:type="dxa"/>
            <w:tcBorders>
              <w:top w:val="nil"/>
              <w:left w:val="nil"/>
              <w:bottom w:val="nil"/>
              <w:right w:val="nil"/>
            </w:tcBorders>
          </w:tcPr>
          <w:p w:rsidR="00A53D7D" w:rsidRPr="004A6FD1" w:rsidRDefault="00A53D7D" w:rsidP="005140B4">
            <w:pPr>
              <w:pStyle w:val="TableofFigures"/>
              <w:rPr>
                <w:rFonts w:eastAsiaTheme="minorEastAsia" w:cs="Calibri"/>
                <w:color w:val="000000"/>
                <w:lang w:eastAsia="en-AU"/>
              </w:rPr>
            </w:pPr>
            <w:r w:rsidRPr="004A6FD1">
              <w:rPr>
                <w:rFonts w:eastAsiaTheme="minorEastAsia"/>
                <w:lang w:eastAsia="en-AU"/>
              </w:rPr>
              <w:t>47.8</w:t>
            </w:r>
          </w:p>
        </w:tc>
        <w:tc>
          <w:tcPr>
            <w:tcW w:w="993" w:type="dxa"/>
            <w:tcBorders>
              <w:top w:val="nil"/>
              <w:left w:val="nil"/>
              <w:bottom w:val="nil"/>
              <w:right w:val="nil"/>
            </w:tcBorders>
          </w:tcPr>
          <w:p w:rsidR="00A53D7D" w:rsidRPr="004A6FD1" w:rsidRDefault="00A53D7D" w:rsidP="005140B4">
            <w:pPr>
              <w:pStyle w:val="TableofFigures"/>
              <w:rPr>
                <w:rFonts w:eastAsiaTheme="minorEastAsia" w:cs="Calibri"/>
                <w:color w:val="000000"/>
                <w:lang w:eastAsia="en-AU"/>
              </w:rPr>
            </w:pPr>
            <w:r w:rsidRPr="004A6FD1">
              <w:rPr>
                <w:rFonts w:eastAsiaTheme="minorEastAsia"/>
                <w:lang w:eastAsia="en-AU"/>
              </w:rPr>
              <w:t>47.4</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4.6</w:t>
            </w:r>
          </w:p>
        </w:tc>
      </w:tr>
      <w:tr w:rsidR="00A53D7D" w:rsidRPr="004A6FD1" w:rsidTr="005140B4">
        <w:tc>
          <w:tcPr>
            <w:tcW w:w="3801" w:type="dxa"/>
            <w:tcBorders>
              <w:top w:val="nil"/>
              <w:left w:val="nil"/>
              <w:bottom w:val="nil"/>
              <w:right w:val="nil"/>
            </w:tcBorders>
          </w:tcPr>
          <w:p w:rsidR="00A53D7D" w:rsidRPr="004A6FD1" w:rsidRDefault="00A53D7D" w:rsidP="005140B4">
            <w:pPr>
              <w:pStyle w:val="Tabletext"/>
              <w:rPr>
                <w:rFonts w:eastAsiaTheme="minorEastAsia" w:cs="Calibri"/>
                <w:color w:val="000000"/>
                <w:vertAlign w:val="superscript"/>
                <w:lang w:eastAsia="en-AU"/>
              </w:rPr>
            </w:pPr>
            <w:r w:rsidRPr="004A6FD1">
              <w:rPr>
                <w:rFonts w:eastAsiaTheme="minorEastAsia"/>
                <w:lang w:eastAsia="en-AU"/>
              </w:rPr>
              <w:t xml:space="preserve">Revenue Management Services </w:t>
            </w:r>
            <w:r w:rsidRPr="004A6FD1">
              <w:rPr>
                <w:rFonts w:eastAsiaTheme="minorEastAsia" w:cs="Calibri"/>
                <w:color w:val="000000"/>
                <w:vertAlign w:val="superscript"/>
                <w:lang w:eastAsia="en-AU"/>
              </w:rPr>
              <w:t>(c)</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89.9</w:t>
            </w:r>
          </w:p>
        </w:tc>
        <w:tc>
          <w:tcPr>
            <w:tcW w:w="993" w:type="dxa"/>
            <w:tcBorders>
              <w:top w:val="nil"/>
              <w:left w:val="nil"/>
              <w:bottom w:val="nil"/>
              <w:right w:val="nil"/>
            </w:tcBorders>
          </w:tcPr>
          <w:p w:rsidR="00A53D7D" w:rsidRPr="004A6FD1" w:rsidRDefault="00A53D7D" w:rsidP="005140B4">
            <w:pPr>
              <w:pStyle w:val="TableofFigures"/>
              <w:rPr>
                <w:rFonts w:eastAsiaTheme="minorEastAsia" w:cs="Calibri"/>
                <w:color w:val="000000"/>
                <w:lang w:eastAsia="en-AU"/>
              </w:rPr>
            </w:pPr>
            <w:r w:rsidRPr="004A6FD1">
              <w:rPr>
                <w:rFonts w:eastAsiaTheme="minorEastAsia"/>
                <w:lang w:eastAsia="en-AU"/>
              </w:rPr>
              <w:t>91.7</w:t>
            </w:r>
          </w:p>
        </w:tc>
        <w:tc>
          <w:tcPr>
            <w:tcW w:w="993" w:type="dxa"/>
            <w:tcBorders>
              <w:top w:val="nil"/>
              <w:left w:val="nil"/>
              <w:bottom w:val="nil"/>
              <w:right w:val="nil"/>
            </w:tcBorders>
          </w:tcPr>
          <w:p w:rsidR="00A53D7D" w:rsidRPr="004A6FD1" w:rsidRDefault="00A53D7D" w:rsidP="005140B4">
            <w:pPr>
              <w:pStyle w:val="TableofFigures"/>
              <w:rPr>
                <w:rFonts w:eastAsiaTheme="minorEastAsia" w:cs="Calibri"/>
                <w:color w:val="000000"/>
                <w:lang w:eastAsia="en-AU"/>
              </w:rPr>
            </w:pPr>
            <w:r w:rsidRPr="004A6FD1">
              <w:rPr>
                <w:rFonts w:eastAsiaTheme="minorEastAsia"/>
                <w:lang w:eastAsia="en-AU"/>
              </w:rPr>
              <w:t>81.4</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-9.5</w:t>
            </w:r>
          </w:p>
        </w:tc>
      </w:tr>
      <w:tr w:rsidR="00A53D7D" w:rsidRPr="004A6FD1" w:rsidTr="005140B4">
        <w:tc>
          <w:tcPr>
            <w:tcW w:w="3801" w:type="dxa"/>
            <w:tcBorders>
              <w:top w:val="nil"/>
              <w:left w:val="nil"/>
              <w:bottom w:val="nil"/>
              <w:right w:val="nil"/>
            </w:tcBorders>
          </w:tcPr>
          <w:p w:rsidR="00A53D7D" w:rsidRPr="004A6FD1" w:rsidRDefault="00A53D7D" w:rsidP="005140B4">
            <w:pPr>
              <w:pStyle w:val="Tabletext"/>
              <w:rPr>
                <w:rFonts w:eastAsiaTheme="minorEastAsia" w:cs="Calibri"/>
                <w:color w:val="000000"/>
                <w:vertAlign w:val="superscript"/>
                <w:lang w:eastAsia="en-AU"/>
              </w:rPr>
            </w:pPr>
            <w:r w:rsidRPr="004A6FD1">
              <w:rPr>
                <w:rFonts w:eastAsiaTheme="minorEastAsia"/>
                <w:lang w:eastAsia="en-AU"/>
              </w:rPr>
              <w:t xml:space="preserve">Risk Management </w:t>
            </w:r>
            <w:r w:rsidRPr="004A6FD1">
              <w:rPr>
                <w:rFonts w:eastAsiaTheme="minorEastAsia" w:cs="Calibri"/>
                <w:color w:val="000000"/>
                <w:lang w:eastAsia="en-AU"/>
              </w:rPr>
              <w:t xml:space="preserve">Services </w:t>
            </w:r>
            <w:r w:rsidRPr="004A6FD1">
              <w:rPr>
                <w:rFonts w:eastAsiaTheme="minorEastAsia" w:cs="Calibri"/>
                <w:color w:val="000000"/>
                <w:vertAlign w:val="superscript"/>
                <w:lang w:eastAsia="en-AU"/>
              </w:rPr>
              <w:t>(d)</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28.2</w:t>
            </w:r>
          </w:p>
        </w:tc>
        <w:tc>
          <w:tcPr>
            <w:tcW w:w="993" w:type="dxa"/>
            <w:tcBorders>
              <w:top w:val="nil"/>
              <w:left w:val="nil"/>
              <w:bottom w:val="nil"/>
              <w:right w:val="nil"/>
            </w:tcBorders>
          </w:tcPr>
          <w:p w:rsidR="00A53D7D" w:rsidRPr="004A6FD1" w:rsidRDefault="00A53D7D" w:rsidP="005140B4">
            <w:pPr>
              <w:pStyle w:val="TableofFigures"/>
              <w:rPr>
                <w:rFonts w:eastAsiaTheme="minorEastAsia" w:cs="Calibri"/>
                <w:color w:val="000000"/>
                <w:lang w:eastAsia="en-AU"/>
              </w:rPr>
            </w:pPr>
            <w:r w:rsidRPr="004A6FD1">
              <w:rPr>
                <w:rFonts w:eastAsiaTheme="minorEastAsia"/>
                <w:lang w:eastAsia="en-AU"/>
              </w:rPr>
              <w:t>29.7</w:t>
            </w:r>
          </w:p>
        </w:tc>
        <w:tc>
          <w:tcPr>
            <w:tcW w:w="993" w:type="dxa"/>
            <w:tcBorders>
              <w:top w:val="nil"/>
              <w:left w:val="nil"/>
              <w:bottom w:val="nil"/>
              <w:right w:val="nil"/>
            </w:tcBorders>
          </w:tcPr>
          <w:p w:rsidR="00A53D7D" w:rsidRPr="004A6FD1" w:rsidRDefault="00A53D7D" w:rsidP="005140B4">
            <w:pPr>
              <w:pStyle w:val="TableofFigures"/>
              <w:rPr>
                <w:rFonts w:eastAsiaTheme="minorEastAsia" w:cs="Calibri"/>
                <w:color w:val="000000"/>
                <w:lang w:eastAsia="en-AU"/>
              </w:rPr>
            </w:pPr>
            <w:r w:rsidRPr="004A6FD1">
              <w:rPr>
                <w:rFonts w:eastAsiaTheme="minorEastAsia"/>
                <w:lang w:eastAsia="en-AU"/>
              </w:rPr>
              <w:t>26.1</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-7.4</w:t>
            </w:r>
          </w:p>
        </w:tc>
      </w:tr>
      <w:tr w:rsidR="00A53D7D" w:rsidRPr="004A6FD1" w:rsidTr="005140B4">
        <w:tc>
          <w:tcPr>
            <w:tcW w:w="3801" w:type="dxa"/>
            <w:tcBorders>
              <w:top w:val="nil"/>
              <w:left w:val="nil"/>
              <w:bottom w:val="nil"/>
              <w:right w:val="nil"/>
            </w:tcBorders>
          </w:tcPr>
          <w:p w:rsidR="00A53D7D" w:rsidRPr="004A6FD1" w:rsidRDefault="00A53D7D" w:rsidP="005140B4">
            <w:pPr>
              <w:pStyle w:val="Tabletext"/>
              <w:rPr>
                <w:rFonts w:eastAsiaTheme="minorEastAsia"/>
                <w:lang w:eastAsia="en-AU"/>
              </w:rPr>
            </w:pPr>
            <w:r w:rsidRPr="004A6FD1">
              <w:rPr>
                <w:rFonts w:eastAsiaTheme="minorEastAsia"/>
                <w:lang w:eastAsia="en-AU"/>
              </w:rPr>
              <w:t>Strategic Policy Advice</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37.1</w:t>
            </w:r>
          </w:p>
        </w:tc>
        <w:tc>
          <w:tcPr>
            <w:tcW w:w="993" w:type="dxa"/>
            <w:tcBorders>
              <w:top w:val="nil"/>
              <w:left w:val="nil"/>
              <w:bottom w:val="nil"/>
              <w:right w:val="nil"/>
            </w:tcBorders>
          </w:tcPr>
          <w:p w:rsidR="00A53D7D" w:rsidRPr="004A6FD1" w:rsidRDefault="00A53D7D" w:rsidP="005140B4">
            <w:pPr>
              <w:pStyle w:val="TableofFigures"/>
              <w:rPr>
                <w:rFonts w:eastAsiaTheme="minorEastAsia" w:cs="Calibri"/>
                <w:color w:val="000000"/>
                <w:lang w:eastAsia="en-AU"/>
              </w:rPr>
            </w:pPr>
            <w:r w:rsidRPr="004A6FD1">
              <w:rPr>
                <w:rFonts w:eastAsiaTheme="minorEastAsia"/>
                <w:lang w:eastAsia="en-AU"/>
              </w:rPr>
              <w:t>37.7</w:t>
            </w:r>
          </w:p>
        </w:tc>
        <w:tc>
          <w:tcPr>
            <w:tcW w:w="993" w:type="dxa"/>
            <w:tcBorders>
              <w:top w:val="nil"/>
              <w:left w:val="nil"/>
              <w:bottom w:val="nil"/>
              <w:right w:val="nil"/>
            </w:tcBorders>
          </w:tcPr>
          <w:p w:rsidR="00A53D7D" w:rsidRPr="004A6FD1" w:rsidRDefault="00A53D7D" w:rsidP="005140B4">
            <w:pPr>
              <w:pStyle w:val="TableofFigures"/>
              <w:rPr>
                <w:rFonts w:eastAsiaTheme="minorEastAsia" w:cs="Calibri"/>
                <w:color w:val="000000"/>
                <w:lang w:eastAsia="en-AU"/>
              </w:rPr>
            </w:pPr>
            <w:r w:rsidRPr="004A6FD1">
              <w:rPr>
                <w:rFonts w:eastAsiaTheme="minorEastAsia"/>
                <w:lang w:eastAsia="en-AU"/>
              </w:rPr>
              <w:t>36.8</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-0.8</w:t>
            </w:r>
          </w:p>
        </w:tc>
      </w:tr>
      <w:tr w:rsidR="00A53D7D" w:rsidRPr="004A6FD1" w:rsidTr="005140B4">
        <w:tc>
          <w:tcPr>
            <w:tcW w:w="3801" w:type="dxa"/>
            <w:tcBorders>
              <w:top w:val="single" w:sz="6" w:space="0" w:color="auto"/>
              <w:left w:val="nil"/>
              <w:bottom w:val="single" w:sz="12" w:space="0" w:color="auto"/>
              <w:right w:val="nil"/>
            </w:tcBorders>
          </w:tcPr>
          <w:p w:rsidR="00A53D7D" w:rsidRPr="004A6FD1" w:rsidRDefault="00A53D7D" w:rsidP="005140B4">
            <w:pPr>
              <w:pStyle w:val="Tabletext"/>
              <w:rPr>
                <w:rFonts w:eastAsiaTheme="minorEastAsia"/>
                <w:b/>
                <w:bCs/>
                <w:lang w:eastAsia="en-AU"/>
              </w:rPr>
            </w:pPr>
            <w:r w:rsidRPr="004A6FD1">
              <w:rPr>
                <w:rFonts w:eastAsiaTheme="minorEastAsia"/>
                <w:b/>
                <w:bCs/>
                <w:lang w:eastAsia="en-AU"/>
              </w:rPr>
              <w:t>Total</w:t>
            </w:r>
          </w:p>
        </w:tc>
        <w:tc>
          <w:tcPr>
            <w:tcW w:w="993" w:type="dxa"/>
            <w:tcBorders>
              <w:top w:val="single" w:sz="6" w:space="0" w:color="auto"/>
              <w:left w:val="nil"/>
              <w:bottom w:val="single" w:sz="12" w:space="0" w:color="auto"/>
              <w:right w:val="nil"/>
            </w:tcBorders>
          </w:tcPr>
          <w:p w:rsidR="00A53D7D" w:rsidRPr="004A6FD1" w:rsidRDefault="00A53D7D" w:rsidP="005140B4">
            <w:pPr>
              <w:pStyle w:val="TableofFigures"/>
              <w:rPr>
                <w:rFonts w:eastAsiaTheme="minorEastAsia"/>
                <w:b/>
                <w:bCs/>
                <w:lang w:eastAsia="en-AU"/>
              </w:rPr>
            </w:pPr>
            <w:r w:rsidRPr="004A6FD1">
              <w:rPr>
                <w:rFonts w:eastAsiaTheme="minorEastAsia"/>
                <w:b/>
                <w:bCs/>
                <w:lang w:eastAsia="en-AU"/>
              </w:rPr>
              <w:t>245.7</w:t>
            </w:r>
          </w:p>
        </w:tc>
        <w:tc>
          <w:tcPr>
            <w:tcW w:w="993" w:type="dxa"/>
            <w:tcBorders>
              <w:top w:val="single" w:sz="6" w:space="0" w:color="auto"/>
              <w:left w:val="nil"/>
              <w:bottom w:val="single" w:sz="12" w:space="0" w:color="auto"/>
              <w:right w:val="nil"/>
            </w:tcBorders>
          </w:tcPr>
          <w:p w:rsidR="00A53D7D" w:rsidRPr="004A6FD1" w:rsidRDefault="00A53D7D" w:rsidP="005140B4">
            <w:pPr>
              <w:pStyle w:val="TableofFigures"/>
              <w:rPr>
                <w:rFonts w:eastAsiaTheme="minorEastAsia"/>
                <w:b/>
                <w:bCs/>
                <w:lang w:eastAsia="en-AU"/>
              </w:rPr>
            </w:pPr>
            <w:r w:rsidRPr="004A6FD1">
              <w:rPr>
                <w:rFonts w:eastAsiaTheme="minorEastAsia"/>
                <w:b/>
                <w:bCs/>
                <w:lang w:eastAsia="en-AU"/>
              </w:rPr>
              <w:t>250.9</w:t>
            </w:r>
          </w:p>
        </w:tc>
        <w:tc>
          <w:tcPr>
            <w:tcW w:w="993" w:type="dxa"/>
            <w:tcBorders>
              <w:top w:val="single" w:sz="6" w:space="0" w:color="auto"/>
              <w:left w:val="nil"/>
              <w:bottom w:val="single" w:sz="12" w:space="0" w:color="auto"/>
              <w:right w:val="nil"/>
            </w:tcBorders>
          </w:tcPr>
          <w:p w:rsidR="00A53D7D" w:rsidRPr="004A6FD1" w:rsidRDefault="00A53D7D" w:rsidP="005140B4">
            <w:pPr>
              <w:pStyle w:val="TableofFigures"/>
              <w:rPr>
                <w:rFonts w:eastAsiaTheme="minorEastAsia"/>
                <w:b/>
                <w:bCs/>
                <w:lang w:eastAsia="en-AU"/>
              </w:rPr>
            </w:pPr>
            <w:r w:rsidRPr="004A6FD1">
              <w:rPr>
                <w:rFonts w:eastAsiaTheme="minorEastAsia"/>
                <w:b/>
                <w:bCs/>
                <w:lang w:eastAsia="en-AU"/>
              </w:rPr>
              <w:t>235.2</w:t>
            </w:r>
          </w:p>
        </w:tc>
        <w:tc>
          <w:tcPr>
            <w:tcW w:w="993" w:type="dxa"/>
            <w:tcBorders>
              <w:top w:val="single" w:sz="6" w:space="0" w:color="auto"/>
              <w:left w:val="nil"/>
              <w:bottom w:val="single" w:sz="12" w:space="0" w:color="auto"/>
              <w:right w:val="nil"/>
            </w:tcBorders>
          </w:tcPr>
          <w:p w:rsidR="00A53D7D" w:rsidRPr="004A6FD1" w:rsidRDefault="00A53D7D" w:rsidP="005140B4">
            <w:pPr>
              <w:pStyle w:val="TableofFigures"/>
              <w:rPr>
                <w:rFonts w:eastAsiaTheme="minorEastAsia"/>
                <w:b/>
                <w:bCs/>
                <w:lang w:eastAsia="en-AU"/>
              </w:rPr>
            </w:pPr>
            <w:r w:rsidRPr="004A6FD1">
              <w:rPr>
                <w:rFonts w:eastAsiaTheme="minorEastAsia"/>
                <w:b/>
                <w:bCs/>
                <w:lang w:eastAsia="en-AU"/>
              </w:rPr>
              <w:t>-4.3</w:t>
            </w:r>
          </w:p>
        </w:tc>
      </w:tr>
    </w:tbl>
    <w:p w:rsidR="00A53D7D" w:rsidRDefault="00A53D7D" w:rsidP="005140B4">
      <w:pPr>
        <w:pStyle w:val="Source"/>
      </w:pPr>
      <w:r>
        <w:t xml:space="preserve">Source: Department of Treasury and </w:t>
      </w:r>
      <w:proofErr w:type="gramStart"/>
      <w:r>
        <w:t xml:space="preserve">Finance </w:t>
      </w:r>
      <w:r w:rsidRPr="00764D04">
        <w:t>.</w:t>
      </w:r>
      <w:proofErr w:type="gramEnd"/>
      <w:r>
        <w:fldChar w:fldCharType="begin"/>
      </w:r>
      <w:r>
        <w:instrText xml:space="preserve"> XE "</w:instrText>
      </w:r>
      <w:r w:rsidRPr="00B15ECE">
        <w:instrText>Department of Treasury and Finance:Output summary</w:instrText>
      </w:r>
      <w:r>
        <w:instrText xml:space="preserve">" </w:instrText>
      </w:r>
      <w:r>
        <w:fldChar w:fldCharType="end"/>
      </w:r>
    </w:p>
    <w:p w:rsidR="00A53D7D" w:rsidRPr="00251669" w:rsidRDefault="00A53D7D" w:rsidP="005140B4">
      <w:pPr>
        <w:pStyle w:val="Notes"/>
      </w:pPr>
      <w:r w:rsidRPr="00251669">
        <w:t xml:space="preserve">Notes: </w:t>
      </w:r>
    </w:p>
    <w:p w:rsidR="00A53D7D" w:rsidRDefault="00A53D7D" w:rsidP="005140B4">
      <w:pPr>
        <w:pStyle w:val="Notes"/>
        <w:numPr>
          <w:ilvl w:val="0"/>
          <w:numId w:val="50"/>
        </w:numPr>
        <w:tabs>
          <w:tab w:val="clear" w:pos="454"/>
          <w:tab w:val="left" w:pos="426"/>
        </w:tabs>
        <w:ind w:left="426" w:hanging="426"/>
      </w:pPr>
      <w:r w:rsidRPr="00251669">
        <w:t xml:space="preserve">Variation between </w:t>
      </w:r>
      <w:r w:rsidRPr="003D3095">
        <w:rPr>
          <w:i w:val="0"/>
        </w:rPr>
        <w:t>2013</w:t>
      </w:r>
      <w:r w:rsidRPr="003D3095">
        <w:rPr>
          <w:i w:val="0"/>
        </w:rPr>
        <w:noBreakHyphen/>
        <w:t>14 Budget</w:t>
      </w:r>
      <w:r w:rsidRPr="00251669">
        <w:t xml:space="preserve"> and </w:t>
      </w:r>
      <w:r w:rsidRPr="003D3095">
        <w:rPr>
          <w:i w:val="0"/>
        </w:rPr>
        <w:t>2014</w:t>
      </w:r>
      <w:r w:rsidRPr="003D3095">
        <w:rPr>
          <w:i w:val="0"/>
        </w:rPr>
        <w:noBreakHyphen/>
        <w:t>15 Budget</w:t>
      </w:r>
      <w:r w:rsidRPr="00251669">
        <w:t xml:space="preserve">. </w:t>
      </w:r>
    </w:p>
    <w:p w:rsidR="00A53D7D" w:rsidRDefault="00A53D7D" w:rsidP="005140B4">
      <w:pPr>
        <w:pStyle w:val="Notes"/>
        <w:numPr>
          <w:ilvl w:val="0"/>
          <w:numId w:val="50"/>
        </w:numPr>
        <w:tabs>
          <w:tab w:val="clear" w:pos="454"/>
          <w:tab w:val="left" w:pos="426"/>
        </w:tabs>
        <w:ind w:left="426" w:hanging="426"/>
      </w:pPr>
      <w:r>
        <w:t xml:space="preserve">The lower </w:t>
      </w:r>
      <w:r w:rsidRPr="003D3095">
        <w:rPr>
          <w:i w:val="0"/>
        </w:rPr>
        <w:t>2014-15 Budget</w:t>
      </w:r>
      <w:r w:rsidRPr="00764D04">
        <w:t xml:space="preserve"> reflects internal reprioritisation of resources resulting from a departmental restructure.</w:t>
      </w:r>
    </w:p>
    <w:p w:rsidR="00A53D7D" w:rsidRDefault="00A53D7D" w:rsidP="005140B4">
      <w:pPr>
        <w:pStyle w:val="Notes"/>
        <w:numPr>
          <w:ilvl w:val="0"/>
          <w:numId w:val="50"/>
        </w:numPr>
        <w:tabs>
          <w:tab w:val="clear" w:pos="454"/>
          <w:tab w:val="left" w:pos="426"/>
        </w:tabs>
        <w:ind w:left="426" w:hanging="426"/>
      </w:pPr>
      <w:r>
        <w:t xml:space="preserve">The lower </w:t>
      </w:r>
      <w:r w:rsidRPr="003D3095">
        <w:rPr>
          <w:i w:val="0"/>
        </w:rPr>
        <w:t>2014-15 Budget</w:t>
      </w:r>
      <w:r w:rsidRPr="00764D04">
        <w:t xml:space="preserve"> reflects the biennial purchase of municipal valuations resulting in a lower amortisation expense in the first year.</w:t>
      </w:r>
    </w:p>
    <w:p w:rsidR="00A53D7D" w:rsidRDefault="00A53D7D" w:rsidP="005140B4">
      <w:pPr>
        <w:pStyle w:val="Notes"/>
        <w:numPr>
          <w:ilvl w:val="0"/>
          <w:numId w:val="50"/>
        </w:numPr>
        <w:tabs>
          <w:tab w:val="clear" w:pos="454"/>
          <w:tab w:val="left" w:pos="426"/>
        </w:tabs>
        <w:ind w:left="426" w:hanging="426"/>
      </w:pPr>
      <w:r w:rsidRPr="00764D04">
        <w:t xml:space="preserve">The lower </w:t>
      </w:r>
      <w:r w:rsidRPr="003D3095">
        <w:rPr>
          <w:i w:val="0"/>
        </w:rPr>
        <w:t>2014</w:t>
      </w:r>
      <w:r w:rsidRPr="003D3095">
        <w:rPr>
          <w:i w:val="0"/>
        </w:rPr>
        <w:noBreakHyphen/>
        <w:t>15 Budget</w:t>
      </w:r>
      <w:r>
        <w:t xml:space="preserve"> </w:t>
      </w:r>
      <w:r w:rsidRPr="00764D04">
        <w:t>reflects internal reprioritisation of resources resulting from a departmental restructure</w:t>
      </w:r>
      <w:r>
        <w:t>.</w:t>
      </w:r>
    </w:p>
    <w:p w:rsidR="004E7A50" w:rsidRDefault="004E7A50" w:rsidP="004E7A50">
      <w:pPr>
        <w:pStyle w:val="Notes"/>
        <w:tabs>
          <w:tab w:val="clear" w:pos="454"/>
          <w:tab w:val="left" w:pos="426"/>
        </w:tabs>
        <w:ind w:left="426" w:firstLine="0"/>
      </w:pPr>
    </w:p>
    <w:p w:rsidR="00A53D7D" w:rsidRDefault="00A53D7D" w:rsidP="005140B4">
      <w:pPr>
        <w:pStyle w:val="Heading2"/>
      </w:pPr>
      <w:r>
        <w:t>Amounts available</w:t>
      </w:r>
    </w:p>
    <w:p w:rsidR="00A53D7D" w:rsidRDefault="00A53D7D" w:rsidP="005140B4">
      <w:r>
        <w:t>The following tables detail the amounts available to the Department from Parliamentary authority and income generated through transactions.</w:t>
      </w:r>
    </w:p>
    <w:p w:rsidR="00A53D7D" w:rsidRPr="00660984" w:rsidRDefault="00A53D7D" w:rsidP="005140B4">
      <w:r>
        <w:t>Table 2.27 outlines the Department’s income from transactions and Table 2.28 summarises the sources of Parliamentary authority available to the Department to fund the provision of outputs, additions to net asset base and payments made on behalf of the State.</w:t>
      </w:r>
    </w:p>
    <w:p w:rsidR="00A53D7D" w:rsidRDefault="00A53D7D" w:rsidP="005140B4">
      <w:pPr>
        <w:pStyle w:val="Tableheading"/>
      </w:pPr>
      <w:r>
        <w:t>Table 2.27:</w:t>
      </w:r>
      <w:r>
        <w:tab/>
        <w:t>Income from transactions</w:t>
      </w:r>
    </w:p>
    <w:p w:rsidR="00A53D7D" w:rsidRPr="004A6FD1"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4A6FD1" w:rsidTr="005140B4">
        <w:tc>
          <w:tcPr>
            <w:tcW w:w="3803" w:type="dxa"/>
            <w:tcBorders>
              <w:top w:val="single" w:sz="12" w:space="0" w:color="auto"/>
              <w:left w:val="single" w:sz="12" w:space="0" w:color="auto"/>
              <w:bottom w:val="nil"/>
              <w:right w:val="nil"/>
            </w:tcBorders>
            <w:shd w:val="clear" w:color="auto" w:fill="000000"/>
          </w:tcPr>
          <w:p w:rsidR="00A53D7D" w:rsidRPr="004A6FD1" w:rsidRDefault="00A53D7D" w:rsidP="005140B4">
            <w:pPr>
              <w:pStyle w:val="Tabletext"/>
              <w:rPr>
                <w:rFonts w:eastAsiaTheme="minorEastAsia"/>
                <w:lang w:eastAsia="en-AU"/>
              </w:rPr>
            </w:pPr>
            <w:r w:rsidRPr="004A6FD1">
              <w:rPr>
                <w:rFonts w:eastAsiaTheme="minorEastAsia"/>
                <w:lang w:eastAsia="en-AU"/>
              </w:rPr>
              <w:t xml:space="preserve"> </w:t>
            </w:r>
          </w:p>
        </w:tc>
        <w:tc>
          <w:tcPr>
            <w:tcW w:w="994" w:type="dxa"/>
            <w:tcBorders>
              <w:top w:val="single" w:sz="12" w:space="0" w:color="auto"/>
              <w:left w:val="nil"/>
              <w:bottom w:val="nil"/>
              <w:right w:val="nil"/>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2012-13</w:t>
            </w:r>
          </w:p>
        </w:tc>
        <w:tc>
          <w:tcPr>
            <w:tcW w:w="993" w:type="dxa"/>
            <w:tcBorders>
              <w:top w:val="single" w:sz="12" w:space="0" w:color="auto"/>
              <w:left w:val="nil"/>
              <w:bottom w:val="nil"/>
              <w:right w:val="nil"/>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2013-14</w:t>
            </w:r>
          </w:p>
        </w:tc>
        <w:tc>
          <w:tcPr>
            <w:tcW w:w="993" w:type="dxa"/>
            <w:tcBorders>
              <w:top w:val="single" w:sz="12" w:space="0" w:color="auto"/>
              <w:left w:val="nil"/>
              <w:bottom w:val="nil"/>
              <w:right w:val="nil"/>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2013-14</w:t>
            </w:r>
          </w:p>
        </w:tc>
        <w:tc>
          <w:tcPr>
            <w:tcW w:w="993" w:type="dxa"/>
            <w:tcBorders>
              <w:top w:val="single" w:sz="12" w:space="0" w:color="auto"/>
              <w:left w:val="nil"/>
              <w:bottom w:val="nil"/>
              <w:right w:val="single" w:sz="12" w:space="0" w:color="auto"/>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2014-15</w:t>
            </w:r>
          </w:p>
        </w:tc>
      </w:tr>
      <w:tr w:rsidR="00A53D7D" w:rsidRPr="004A6FD1" w:rsidTr="005140B4">
        <w:tc>
          <w:tcPr>
            <w:tcW w:w="3803" w:type="dxa"/>
            <w:tcBorders>
              <w:top w:val="nil"/>
              <w:left w:val="single" w:sz="12" w:space="0" w:color="auto"/>
              <w:bottom w:val="single" w:sz="4" w:space="0" w:color="auto"/>
              <w:right w:val="nil"/>
            </w:tcBorders>
            <w:shd w:val="clear" w:color="auto" w:fill="000000"/>
          </w:tcPr>
          <w:p w:rsidR="00A53D7D" w:rsidRPr="004A6FD1" w:rsidRDefault="00A53D7D" w:rsidP="005140B4">
            <w:pPr>
              <w:pStyle w:val="Tabletext"/>
              <w:rPr>
                <w:rFonts w:eastAsiaTheme="minorEastAsia"/>
                <w:lang w:eastAsia="en-AU"/>
              </w:rPr>
            </w:pPr>
            <w:r w:rsidRPr="004A6FD1">
              <w:rPr>
                <w:rFonts w:eastAsiaTheme="minorEastAsia"/>
                <w:lang w:eastAsia="en-AU"/>
              </w:rPr>
              <w:t xml:space="preserve"> </w:t>
            </w:r>
          </w:p>
        </w:tc>
        <w:tc>
          <w:tcPr>
            <w:tcW w:w="994" w:type="dxa"/>
            <w:tcBorders>
              <w:top w:val="nil"/>
              <w:left w:val="nil"/>
              <w:bottom w:val="single" w:sz="4" w:space="0" w:color="auto"/>
              <w:right w:val="nil"/>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Actual</w:t>
            </w:r>
          </w:p>
        </w:tc>
        <w:tc>
          <w:tcPr>
            <w:tcW w:w="993" w:type="dxa"/>
            <w:tcBorders>
              <w:top w:val="nil"/>
              <w:left w:val="nil"/>
              <w:bottom w:val="single" w:sz="4" w:space="0" w:color="auto"/>
              <w:right w:val="nil"/>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 xml:space="preserve">Budget </w:t>
            </w:r>
          </w:p>
        </w:tc>
        <w:tc>
          <w:tcPr>
            <w:tcW w:w="993" w:type="dxa"/>
            <w:tcBorders>
              <w:top w:val="nil"/>
              <w:left w:val="nil"/>
              <w:bottom w:val="single" w:sz="4" w:space="0" w:color="auto"/>
              <w:right w:val="nil"/>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Revised</w:t>
            </w:r>
          </w:p>
        </w:tc>
        <w:tc>
          <w:tcPr>
            <w:tcW w:w="993" w:type="dxa"/>
            <w:tcBorders>
              <w:top w:val="nil"/>
              <w:left w:val="nil"/>
              <w:bottom w:val="single" w:sz="4" w:space="0" w:color="auto"/>
              <w:right w:val="single" w:sz="12" w:space="0" w:color="auto"/>
            </w:tcBorders>
            <w:shd w:val="clear" w:color="auto" w:fill="000000"/>
          </w:tcPr>
          <w:p w:rsidR="00A53D7D" w:rsidRPr="004A6FD1" w:rsidRDefault="00A53D7D" w:rsidP="005140B4">
            <w:pPr>
              <w:pStyle w:val="Tabletextheading"/>
              <w:rPr>
                <w:rFonts w:eastAsiaTheme="minorEastAsia"/>
                <w:lang w:eastAsia="en-AU"/>
              </w:rPr>
            </w:pPr>
            <w:r w:rsidRPr="004A6FD1">
              <w:rPr>
                <w:rFonts w:eastAsiaTheme="minorEastAsia"/>
                <w:lang w:eastAsia="en-AU"/>
              </w:rPr>
              <w:t>Budget</w:t>
            </w:r>
          </w:p>
        </w:tc>
      </w:tr>
      <w:tr w:rsidR="00A53D7D" w:rsidRPr="004A6FD1" w:rsidTr="005140B4">
        <w:tc>
          <w:tcPr>
            <w:tcW w:w="3803" w:type="dxa"/>
            <w:tcBorders>
              <w:top w:val="single" w:sz="4" w:space="0" w:color="auto"/>
              <w:left w:val="nil"/>
              <w:bottom w:val="nil"/>
              <w:right w:val="nil"/>
            </w:tcBorders>
          </w:tcPr>
          <w:p w:rsidR="00A53D7D" w:rsidRPr="004A6FD1" w:rsidRDefault="00A53D7D" w:rsidP="005140B4">
            <w:pPr>
              <w:pStyle w:val="Tabletext"/>
              <w:rPr>
                <w:rFonts w:eastAsiaTheme="minorEastAsia"/>
                <w:lang w:eastAsia="en-AU"/>
              </w:rPr>
            </w:pPr>
            <w:r w:rsidRPr="004A6FD1">
              <w:rPr>
                <w:rFonts w:eastAsiaTheme="minorEastAsia"/>
                <w:lang w:eastAsia="en-AU"/>
              </w:rPr>
              <w:t>Output appropriations</w:t>
            </w:r>
          </w:p>
        </w:tc>
        <w:tc>
          <w:tcPr>
            <w:tcW w:w="994" w:type="dxa"/>
            <w:tcBorders>
              <w:top w:val="single" w:sz="4" w:space="0" w:color="auto"/>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246.2</w:t>
            </w:r>
          </w:p>
        </w:tc>
        <w:tc>
          <w:tcPr>
            <w:tcW w:w="993" w:type="dxa"/>
            <w:tcBorders>
              <w:top w:val="single" w:sz="4" w:space="0" w:color="auto"/>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247.8</w:t>
            </w:r>
          </w:p>
        </w:tc>
        <w:tc>
          <w:tcPr>
            <w:tcW w:w="993" w:type="dxa"/>
            <w:tcBorders>
              <w:top w:val="single" w:sz="4" w:space="0" w:color="auto"/>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252.9</w:t>
            </w:r>
          </w:p>
        </w:tc>
        <w:tc>
          <w:tcPr>
            <w:tcW w:w="993" w:type="dxa"/>
            <w:tcBorders>
              <w:top w:val="single" w:sz="4" w:space="0" w:color="auto"/>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236.9</w:t>
            </w:r>
          </w:p>
        </w:tc>
      </w:tr>
      <w:tr w:rsidR="00A53D7D" w:rsidRPr="004A6FD1" w:rsidTr="005140B4">
        <w:tc>
          <w:tcPr>
            <w:tcW w:w="3803" w:type="dxa"/>
            <w:tcBorders>
              <w:top w:val="nil"/>
              <w:left w:val="nil"/>
              <w:bottom w:val="nil"/>
              <w:right w:val="nil"/>
            </w:tcBorders>
          </w:tcPr>
          <w:p w:rsidR="00A53D7D" w:rsidRPr="004A6FD1" w:rsidRDefault="00A53D7D" w:rsidP="005140B4">
            <w:pPr>
              <w:pStyle w:val="Tabletext"/>
              <w:rPr>
                <w:rFonts w:eastAsiaTheme="minorEastAsia"/>
                <w:lang w:eastAsia="en-AU"/>
              </w:rPr>
            </w:pPr>
            <w:r w:rsidRPr="004A6FD1">
              <w:rPr>
                <w:rFonts w:eastAsiaTheme="minorEastAsia"/>
                <w:lang w:eastAsia="en-AU"/>
              </w:rPr>
              <w:t>Special appropriations</w:t>
            </w:r>
          </w:p>
        </w:tc>
        <w:tc>
          <w:tcPr>
            <w:tcW w:w="994"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1.6</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w:t>
            </w:r>
          </w:p>
        </w:tc>
      </w:tr>
      <w:tr w:rsidR="00A53D7D" w:rsidRPr="004A6FD1" w:rsidTr="005140B4">
        <w:tc>
          <w:tcPr>
            <w:tcW w:w="3803" w:type="dxa"/>
            <w:tcBorders>
              <w:top w:val="nil"/>
              <w:left w:val="nil"/>
              <w:bottom w:val="nil"/>
              <w:right w:val="nil"/>
            </w:tcBorders>
          </w:tcPr>
          <w:p w:rsidR="00A53D7D" w:rsidRPr="004A6FD1" w:rsidRDefault="00A53D7D" w:rsidP="005140B4">
            <w:pPr>
              <w:pStyle w:val="Tabletext"/>
              <w:rPr>
                <w:rFonts w:eastAsiaTheme="minorEastAsia"/>
                <w:lang w:eastAsia="en-AU"/>
              </w:rPr>
            </w:pPr>
            <w:r w:rsidRPr="004A6FD1">
              <w:rPr>
                <w:rFonts w:eastAsiaTheme="minorEastAsia"/>
                <w:lang w:eastAsia="en-AU"/>
              </w:rPr>
              <w:t>Interest</w:t>
            </w:r>
          </w:p>
        </w:tc>
        <w:tc>
          <w:tcPr>
            <w:tcW w:w="994"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10.9</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12.2</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12.2</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12.2</w:t>
            </w:r>
          </w:p>
        </w:tc>
      </w:tr>
      <w:tr w:rsidR="00A53D7D" w:rsidRPr="004A6FD1" w:rsidTr="005140B4">
        <w:tc>
          <w:tcPr>
            <w:tcW w:w="3803" w:type="dxa"/>
            <w:tcBorders>
              <w:top w:val="nil"/>
              <w:left w:val="nil"/>
              <w:bottom w:val="nil"/>
              <w:right w:val="nil"/>
            </w:tcBorders>
          </w:tcPr>
          <w:p w:rsidR="00A53D7D" w:rsidRPr="004A6FD1" w:rsidRDefault="00A53D7D" w:rsidP="005140B4">
            <w:pPr>
              <w:pStyle w:val="Tabletext"/>
              <w:rPr>
                <w:rFonts w:eastAsiaTheme="minorEastAsia" w:cs="Calibri"/>
                <w:color w:val="000000"/>
                <w:vertAlign w:val="superscript"/>
                <w:lang w:eastAsia="en-AU"/>
              </w:rPr>
            </w:pPr>
            <w:r w:rsidRPr="004A6FD1">
              <w:rPr>
                <w:rFonts w:eastAsiaTheme="minorEastAsia"/>
                <w:lang w:eastAsia="en-AU"/>
              </w:rPr>
              <w:t xml:space="preserve">Sale of goods and services </w:t>
            </w:r>
            <w:r w:rsidRPr="004A6FD1">
              <w:rPr>
                <w:rFonts w:eastAsiaTheme="minorEastAsia" w:cs="Calibri"/>
                <w:color w:val="000000"/>
                <w:vertAlign w:val="superscript"/>
                <w:lang w:eastAsia="en-AU"/>
              </w:rPr>
              <w:t>(a)</w:t>
            </w:r>
          </w:p>
        </w:tc>
        <w:tc>
          <w:tcPr>
            <w:tcW w:w="994"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165.3</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181.2</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19.4</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19.4</w:t>
            </w:r>
          </w:p>
        </w:tc>
      </w:tr>
      <w:tr w:rsidR="00A53D7D" w:rsidRPr="004A6FD1" w:rsidTr="005140B4">
        <w:tc>
          <w:tcPr>
            <w:tcW w:w="3803" w:type="dxa"/>
            <w:tcBorders>
              <w:top w:val="nil"/>
              <w:left w:val="nil"/>
              <w:bottom w:val="nil"/>
              <w:right w:val="nil"/>
            </w:tcBorders>
          </w:tcPr>
          <w:p w:rsidR="00A53D7D" w:rsidRPr="004A6FD1" w:rsidRDefault="00A53D7D" w:rsidP="005140B4">
            <w:pPr>
              <w:pStyle w:val="Tabletext"/>
              <w:rPr>
                <w:rFonts w:eastAsiaTheme="minorEastAsia"/>
                <w:lang w:eastAsia="en-AU"/>
              </w:rPr>
            </w:pPr>
            <w:r w:rsidRPr="004A6FD1">
              <w:rPr>
                <w:rFonts w:eastAsiaTheme="minorEastAsia"/>
                <w:lang w:eastAsia="en-AU"/>
              </w:rPr>
              <w:t>Other income</w:t>
            </w:r>
          </w:p>
        </w:tc>
        <w:tc>
          <w:tcPr>
            <w:tcW w:w="994"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26.8</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26.6</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26.6</w:t>
            </w:r>
          </w:p>
        </w:tc>
        <w:tc>
          <w:tcPr>
            <w:tcW w:w="993" w:type="dxa"/>
            <w:tcBorders>
              <w:top w:val="nil"/>
              <w:left w:val="nil"/>
              <w:bottom w:val="nil"/>
              <w:right w:val="nil"/>
            </w:tcBorders>
          </w:tcPr>
          <w:p w:rsidR="00A53D7D" w:rsidRPr="004A6FD1" w:rsidRDefault="00A53D7D" w:rsidP="005140B4">
            <w:pPr>
              <w:pStyle w:val="TableofFigures"/>
              <w:rPr>
                <w:rFonts w:eastAsiaTheme="minorEastAsia"/>
                <w:lang w:eastAsia="en-AU"/>
              </w:rPr>
            </w:pPr>
            <w:r w:rsidRPr="004A6FD1">
              <w:rPr>
                <w:rFonts w:eastAsiaTheme="minorEastAsia"/>
                <w:lang w:eastAsia="en-AU"/>
              </w:rPr>
              <w:t xml:space="preserve"> 26.6</w:t>
            </w:r>
          </w:p>
        </w:tc>
      </w:tr>
      <w:tr w:rsidR="00A53D7D" w:rsidRPr="004A6FD1" w:rsidTr="005140B4">
        <w:tc>
          <w:tcPr>
            <w:tcW w:w="3803" w:type="dxa"/>
            <w:tcBorders>
              <w:top w:val="single" w:sz="6" w:space="0" w:color="auto"/>
              <w:left w:val="nil"/>
              <w:bottom w:val="single" w:sz="12" w:space="0" w:color="auto"/>
              <w:right w:val="nil"/>
            </w:tcBorders>
          </w:tcPr>
          <w:p w:rsidR="00A53D7D" w:rsidRPr="004A6FD1" w:rsidRDefault="00A53D7D" w:rsidP="005140B4">
            <w:pPr>
              <w:pStyle w:val="Tabletext"/>
              <w:rPr>
                <w:rFonts w:eastAsiaTheme="minorEastAsia"/>
                <w:b/>
                <w:bCs/>
                <w:lang w:eastAsia="en-AU"/>
              </w:rPr>
            </w:pPr>
            <w:r w:rsidRPr="004A6FD1">
              <w:rPr>
                <w:rFonts w:eastAsiaTheme="minorEastAsia"/>
                <w:b/>
                <w:bCs/>
                <w:lang w:eastAsia="en-AU"/>
              </w:rPr>
              <w:t>Total income from transactions</w:t>
            </w:r>
          </w:p>
        </w:tc>
        <w:tc>
          <w:tcPr>
            <w:tcW w:w="994" w:type="dxa"/>
            <w:tcBorders>
              <w:top w:val="single" w:sz="6" w:space="0" w:color="auto"/>
              <w:left w:val="nil"/>
              <w:bottom w:val="single" w:sz="12" w:space="0" w:color="auto"/>
              <w:right w:val="nil"/>
            </w:tcBorders>
          </w:tcPr>
          <w:p w:rsidR="00A53D7D" w:rsidRPr="004A6FD1" w:rsidRDefault="00A53D7D" w:rsidP="005140B4">
            <w:pPr>
              <w:pStyle w:val="TableofFigures"/>
              <w:rPr>
                <w:rFonts w:eastAsiaTheme="minorEastAsia"/>
                <w:b/>
                <w:bCs/>
                <w:lang w:eastAsia="en-AU"/>
              </w:rPr>
            </w:pPr>
            <w:r w:rsidRPr="004A6FD1">
              <w:rPr>
                <w:rFonts w:eastAsiaTheme="minorEastAsia"/>
                <w:b/>
                <w:bCs/>
                <w:lang w:eastAsia="en-AU"/>
              </w:rPr>
              <w:t xml:space="preserve"> 450.8</w:t>
            </w:r>
          </w:p>
        </w:tc>
        <w:tc>
          <w:tcPr>
            <w:tcW w:w="993" w:type="dxa"/>
            <w:tcBorders>
              <w:top w:val="single" w:sz="6" w:space="0" w:color="auto"/>
              <w:left w:val="nil"/>
              <w:bottom w:val="single" w:sz="12" w:space="0" w:color="auto"/>
              <w:right w:val="nil"/>
            </w:tcBorders>
          </w:tcPr>
          <w:p w:rsidR="00A53D7D" w:rsidRPr="004A6FD1" w:rsidRDefault="00A53D7D" w:rsidP="005140B4">
            <w:pPr>
              <w:pStyle w:val="TableofFigures"/>
              <w:rPr>
                <w:rFonts w:eastAsiaTheme="minorEastAsia"/>
                <w:b/>
                <w:bCs/>
                <w:lang w:eastAsia="en-AU"/>
              </w:rPr>
            </w:pPr>
            <w:r w:rsidRPr="004A6FD1">
              <w:rPr>
                <w:rFonts w:eastAsiaTheme="minorEastAsia"/>
                <w:b/>
                <w:bCs/>
                <w:lang w:eastAsia="en-AU"/>
              </w:rPr>
              <w:t xml:space="preserve"> 467.8</w:t>
            </w:r>
          </w:p>
        </w:tc>
        <w:tc>
          <w:tcPr>
            <w:tcW w:w="993" w:type="dxa"/>
            <w:tcBorders>
              <w:top w:val="single" w:sz="6" w:space="0" w:color="auto"/>
              <w:left w:val="nil"/>
              <w:bottom w:val="single" w:sz="12" w:space="0" w:color="auto"/>
              <w:right w:val="nil"/>
            </w:tcBorders>
          </w:tcPr>
          <w:p w:rsidR="00A53D7D" w:rsidRPr="004A6FD1" w:rsidRDefault="00A53D7D" w:rsidP="005140B4">
            <w:pPr>
              <w:pStyle w:val="TableofFigures"/>
              <w:rPr>
                <w:rFonts w:eastAsiaTheme="minorEastAsia"/>
                <w:b/>
                <w:bCs/>
                <w:lang w:eastAsia="en-AU"/>
              </w:rPr>
            </w:pPr>
            <w:r w:rsidRPr="004A6FD1">
              <w:rPr>
                <w:rFonts w:eastAsiaTheme="minorEastAsia"/>
                <w:b/>
                <w:bCs/>
                <w:lang w:eastAsia="en-AU"/>
              </w:rPr>
              <w:t xml:space="preserve"> 311.1</w:t>
            </w:r>
          </w:p>
        </w:tc>
        <w:tc>
          <w:tcPr>
            <w:tcW w:w="993" w:type="dxa"/>
            <w:tcBorders>
              <w:top w:val="single" w:sz="6" w:space="0" w:color="auto"/>
              <w:left w:val="nil"/>
              <w:bottom w:val="single" w:sz="12" w:space="0" w:color="auto"/>
              <w:right w:val="nil"/>
            </w:tcBorders>
          </w:tcPr>
          <w:p w:rsidR="00A53D7D" w:rsidRPr="004A6FD1" w:rsidRDefault="00A53D7D" w:rsidP="005140B4">
            <w:pPr>
              <w:pStyle w:val="TableofFigures"/>
              <w:rPr>
                <w:rFonts w:eastAsiaTheme="minorEastAsia"/>
                <w:b/>
                <w:bCs/>
                <w:lang w:eastAsia="en-AU"/>
              </w:rPr>
            </w:pPr>
            <w:r w:rsidRPr="004A6FD1">
              <w:rPr>
                <w:rFonts w:eastAsiaTheme="minorEastAsia"/>
                <w:b/>
                <w:bCs/>
                <w:lang w:eastAsia="en-AU"/>
              </w:rPr>
              <w:t xml:space="preserve"> 295.1</w:t>
            </w:r>
          </w:p>
        </w:tc>
      </w:tr>
    </w:tbl>
    <w:p w:rsidR="00A53D7D" w:rsidRDefault="00A53D7D" w:rsidP="005140B4">
      <w:pPr>
        <w:pStyle w:val="Source"/>
      </w:pPr>
      <w:r>
        <w:t xml:space="preserve">Source: Department of Treasury and Finance </w:t>
      </w:r>
      <w:r w:rsidRPr="00383CF5">
        <w:rPr>
          <w:b/>
          <w:sz w:val="22"/>
        </w:rPr>
        <w:t xml:space="preserve"> </w:t>
      </w:r>
      <w:r w:rsidRPr="00E368E8">
        <w:fldChar w:fldCharType="begin"/>
      </w:r>
      <w:r w:rsidRPr="00E368E8">
        <w:instrText xml:space="preserve"> XE "Department of Treasury and Finance:Income from transactions" </w:instrText>
      </w:r>
      <w:r w:rsidRPr="00E368E8">
        <w:fldChar w:fldCharType="end"/>
      </w:r>
    </w:p>
    <w:p w:rsidR="00A53D7D" w:rsidRDefault="00A53D7D" w:rsidP="005140B4">
      <w:pPr>
        <w:pStyle w:val="Notes"/>
      </w:pPr>
      <w:r>
        <w:t>Note:</w:t>
      </w:r>
    </w:p>
    <w:p w:rsidR="00A53D7D" w:rsidRPr="00383CF5" w:rsidRDefault="00A53D7D" w:rsidP="005140B4">
      <w:pPr>
        <w:pStyle w:val="Notes"/>
      </w:pPr>
      <w:r>
        <w:t>(a)</w:t>
      </w:r>
      <w:r>
        <w:tab/>
        <w:t xml:space="preserve">The variation between the </w:t>
      </w:r>
      <w:r w:rsidRPr="003D3095">
        <w:rPr>
          <w:i w:val="0"/>
        </w:rPr>
        <w:t>2013</w:t>
      </w:r>
      <w:r w:rsidRPr="003D3095">
        <w:rPr>
          <w:i w:val="0"/>
        </w:rPr>
        <w:noBreakHyphen/>
        <w:t>14 Budget</w:t>
      </w:r>
      <w:r>
        <w:t xml:space="preserve"> and 2013</w:t>
      </w:r>
      <w:r>
        <w:noBreakHyphen/>
        <w:t xml:space="preserve">14 revised values is as a result of a machinery of government transfer of CenITex from the Department of Treasury and Finance to the Department of State Development, </w:t>
      </w:r>
      <w:proofErr w:type="gramStart"/>
      <w:r>
        <w:t>Business</w:t>
      </w:r>
      <w:proofErr w:type="gramEnd"/>
      <w:r>
        <w:t xml:space="preserve"> and Innovation during 2013</w:t>
      </w:r>
      <w:r>
        <w:noBreakHyphen/>
        <w:t>14.</w:t>
      </w:r>
    </w:p>
    <w:p w:rsidR="00A53D7D" w:rsidRDefault="00A53D7D">
      <w:pPr>
        <w:spacing w:after="0"/>
        <w:rPr>
          <w:rFonts w:ascii="Calibri" w:hAnsi="Calibri"/>
          <w:b/>
        </w:rPr>
      </w:pPr>
      <w:r>
        <w:br w:type="page"/>
      </w:r>
    </w:p>
    <w:p w:rsidR="00A53D7D" w:rsidRDefault="00A53D7D" w:rsidP="005140B4">
      <w:pPr>
        <w:pStyle w:val="Tableheading"/>
      </w:pPr>
      <w:r>
        <w:t>Table 2.28:</w:t>
      </w:r>
      <w:r>
        <w:tab/>
        <w:t>Parliamentary authority for resources</w:t>
      </w:r>
    </w:p>
    <w:p w:rsidR="00A53D7D" w:rsidRPr="000541BE"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53D7D" w:rsidRPr="000541BE" w:rsidTr="005140B4">
        <w:tc>
          <w:tcPr>
            <w:tcW w:w="4668" w:type="dxa"/>
            <w:tcBorders>
              <w:top w:val="single" w:sz="6" w:space="0" w:color="auto"/>
              <w:left w:val="single" w:sz="6" w:space="0" w:color="auto"/>
              <w:bottom w:val="nil"/>
              <w:right w:val="nil"/>
            </w:tcBorders>
            <w:shd w:val="clear" w:color="auto" w:fill="000000"/>
          </w:tcPr>
          <w:p w:rsidR="00A53D7D" w:rsidRPr="000541BE" w:rsidRDefault="00A53D7D" w:rsidP="005140B4">
            <w:pPr>
              <w:pStyle w:val="Tabletext"/>
              <w:rPr>
                <w:rFonts w:eastAsiaTheme="minorEastAsia"/>
                <w:lang w:eastAsia="en-AU"/>
              </w:rPr>
            </w:pPr>
            <w:r w:rsidRPr="000541BE">
              <w:rPr>
                <w:rFonts w:eastAsiaTheme="minorEastAsia"/>
                <w:lang w:eastAsia="en-AU"/>
              </w:rPr>
              <w:t xml:space="preserve"> </w:t>
            </w:r>
          </w:p>
        </w:tc>
        <w:tc>
          <w:tcPr>
            <w:tcW w:w="1036" w:type="dxa"/>
            <w:tcBorders>
              <w:top w:val="single" w:sz="6" w:space="0" w:color="auto"/>
              <w:left w:val="nil"/>
              <w:bottom w:val="nil"/>
              <w:right w:val="nil"/>
            </w:tcBorders>
            <w:shd w:val="clear" w:color="auto" w:fill="000000"/>
          </w:tcPr>
          <w:p w:rsidR="00A53D7D" w:rsidRPr="000541BE" w:rsidRDefault="00A53D7D" w:rsidP="005140B4">
            <w:pPr>
              <w:pStyle w:val="Tabletextheading"/>
              <w:rPr>
                <w:rFonts w:eastAsiaTheme="minorEastAsia"/>
                <w:lang w:eastAsia="en-AU"/>
              </w:rPr>
            </w:pPr>
            <w:r w:rsidRPr="000541BE">
              <w:rPr>
                <w:rFonts w:eastAsiaTheme="minorEastAsia"/>
                <w:lang w:eastAsia="en-AU"/>
              </w:rPr>
              <w:t>2013-14</w:t>
            </w:r>
          </w:p>
        </w:tc>
        <w:tc>
          <w:tcPr>
            <w:tcW w:w="1036" w:type="dxa"/>
            <w:tcBorders>
              <w:top w:val="single" w:sz="6" w:space="0" w:color="auto"/>
              <w:left w:val="nil"/>
              <w:bottom w:val="nil"/>
              <w:right w:val="nil"/>
            </w:tcBorders>
            <w:shd w:val="clear" w:color="auto" w:fill="000000"/>
          </w:tcPr>
          <w:p w:rsidR="00A53D7D" w:rsidRPr="000541BE" w:rsidRDefault="00A53D7D" w:rsidP="005140B4">
            <w:pPr>
              <w:pStyle w:val="Tabletextheading"/>
              <w:rPr>
                <w:rFonts w:eastAsiaTheme="minorEastAsia"/>
                <w:lang w:eastAsia="en-AU"/>
              </w:rPr>
            </w:pPr>
            <w:r w:rsidRPr="000541BE">
              <w:rPr>
                <w:rFonts w:eastAsiaTheme="minorEastAsia"/>
                <w:lang w:eastAsia="en-AU"/>
              </w:rPr>
              <w:t>2013-14</w:t>
            </w:r>
          </w:p>
        </w:tc>
        <w:tc>
          <w:tcPr>
            <w:tcW w:w="1036" w:type="dxa"/>
            <w:tcBorders>
              <w:top w:val="single" w:sz="6" w:space="0" w:color="auto"/>
              <w:left w:val="nil"/>
              <w:bottom w:val="nil"/>
              <w:right w:val="single" w:sz="6" w:space="0" w:color="auto"/>
            </w:tcBorders>
            <w:shd w:val="clear" w:color="auto" w:fill="000000"/>
          </w:tcPr>
          <w:p w:rsidR="00A53D7D" w:rsidRPr="000541BE" w:rsidRDefault="00A53D7D" w:rsidP="005140B4">
            <w:pPr>
              <w:pStyle w:val="Tabletextheading"/>
              <w:rPr>
                <w:rFonts w:eastAsiaTheme="minorEastAsia"/>
                <w:lang w:eastAsia="en-AU"/>
              </w:rPr>
            </w:pPr>
            <w:r w:rsidRPr="000541BE">
              <w:rPr>
                <w:rFonts w:eastAsiaTheme="minorEastAsia"/>
                <w:lang w:eastAsia="en-AU"/>
              </w:rPr>
              <w:t>2014-15</w:t>
            </w:r>
          </w:p>
        </w:tc>
      </w:tr>
      <w:tr w:rsidR="00A53D7D" w:rsidRPr="000541BE" w:rsidTr="005140B4">
        <w:tc>
          <w:tcPr>
            <w:tcW w:w="4668" w:type="dxa"/>
            <w:tcBorders>
              <w:top w:val="nil"/>
              <w:left w:val="single" w:sz="6" w:space="0" w:color="auto"/>
              <w:bottom w:val="single" w:sz="6" w:space="0" w:color="auto"/>
              <w:right w:val="nil"/>
            </w:tcBorders>
            <w:shd w:val="clear" w:color="auto" w:fill="000000"/>
          </w:tcPr>
          <w:p w:rsidR="00A53D7D" w:rsidRPr="000541BE" w:rsidRDefault="00A53D7D" w:rsidP="005140B4">
            <w:pPr>
              <w:pStyle w:val="Tabletext"/>
              <w:rPr>
                <w:rFonts w:eastAsiaTheme="minorEastAsia"/>
                <w:lang w:eastAsia="en-AU"/>
              </w:rPr>
            </w:pPr>
            <w:r w:rsidRPr="000541BE">
              <w:rPr>
                <w:rFonts w:eastAsiaTheme="minorEastAsia"/>
                <w:lang w:eastAsia="en-AU"/>
              </w:rPr>
              <w:t xml:space="preserve"> </w:t>
            </w:r>
          </w:p>
        </w:tc>
        <w:tc>
          <w:tcPr>
            <w:tcW w:w="1036" w:type="dxa"/>
            <w:tcBorders>
              <w:top w:val="nil"/>
              <w:left w:val="nil"/>
              <w:bottom w:val="single" w:sz="6" w:space="0" w:color="auto"/>
              <w:right w:val="nil"/>
            </w:tcBorders>
            <w:shd w:val="clear" w:color="auto" w:fill="000000"/>
          </w:tcPr>
          <w:p w:rsidR="00A53D7D" w:rsidRPr="000541BE" w:rsidRDefault="00A53D7D" w:rsidP="005140B4">
            <w:pPr>
              <w:pStyle w:val="Tabletextheading"/>
              <w:rPr>
                <w:rFonts w:eastAsiaTheme="minorEastAsia"/>
                <w:lang w:eastAsia="en-AU"/>
              </w:rPr>
            </w:pPr>
            <w:r w:rsidRPr="000541BE">
              <w:rPr>
                <w:rFonts w:eastAsiaTheme="minorEastAsia"/>
                <w:lang w:eastAsia="en-AU"/>
              </w:rPr>
              <w:t>Budget</w:t>
            </w:r>
          </w:p>
        </w:tc>
        <w:tc>
          <w:tcPr>
            <w:tcW w:w="1036" w:type="dxa"/>
            <w:tcBorders>
              <w:top w:val="nil"/>
              <w:left w:val="nil"/>
              <w:bottom w:val="single" w:sz="6" w:space="0" w:color="auto"/>
              <w:right w:val="nil"/>
            </w:tcBorders>
            <w:shd w:val="clear" w:color="auto" w:fill="000000"/>
          </w:tcPr>
          <w:p w:rsidR="00A53D7D" w:rsidRPr="000541BE" w:rsidRDefault="00A53D7D" w:rsidP="005140B4">
            <w:pPr>
              <w:pStyle w:val="Tabletextheading"/>
              <w:rPr>
                <w:rFonts w:eastAsiaTheme="minorEastAsia"/>
                <w:lang w:eastAsia="en-AU"/>
              </w:rPr>
            </w:pPr>
            <w:r w:rsidRPr="000541BE">
              <w:rPr>
                <w:rFonts w:eastAsiaTheme="minorEastAsia"/>
                <w:lang w:eastAsia="en-AU"/>
              </w:rPr>
              <w:t>Revised</w:t>
            </w:r>
          </w:p>
        </w:tc>
        <w:tc>
          <w:tcPr>
            <w:tcW w:w="1036" w:type="dxa"/>
            <w:tcBorders>
              <w:top w:val="nil"/>
              <w:left w:val="nil"/>
              <w:bottom w:val="single" w:sz="6" w:space="0" w:color="auto"/>
              <w:right w:val="single" w:sz="6" w:space="0" w:color="auto"/>
            </w:tcBorders>
            <w:shd w:val="clear" w:color="auto" w:fill="000000"/>
          </w:tcPr>
          <w:p w:rsidR="00A53D7D" w:rsidRPr="000541BE" w:rsidRDefault="00A53D7D" w:rsidP="005140B4">
            <w:pPr>
              <w:pStyle w:val="Tabletextheading"/>
              <w:rPr>
                <w:rFonts w:eastAsiaTheme="minorEastAsia"/>
                <w:lang w:eastAsia="en-AU"/>
              </w:rPr>
            </w:pPr>
            <w:r w:rsidRPr="000541BE">
              <w:rPr>
                <w:rFonts w:eastAsiaTheme="minorEastAsia"/>
                <w:lang w:eastAsia="en-AU"/>
              </w:rPr>
              <w:t>Budget</w:t>
            </w:r>
          </w:p>
        </w:tc>
      </w:tr>
      <w:tr w:rsidR="00A53D7D" w:rsidRPr="000541BE" w:rsidTr="005140B4">
        <w:tc>
          <w:tcPr>
            <w:tcW w:w="4668" w:type="dxa"/>
            <w:tcBorders>
              <w:top w:val="nil"/>
              <w:left w:val="nil"/>
              <w:bottom w:val="nil"/>
              <w:right w:val="nil"/>
            </w:tcBorders>
            <w:shd w:val="solid" w:color="FFFFFF" w:fill="auto"/>
          </w:tcPr>
          <w:p w:rsidR="00A53D7D" w:rsidRPr="000541BE" w:rsidRDefault="00A53D7D" w:rsidP="005140B4">
            <w:pPr>
              <w:pStyle w:val="Tabletext"/>
              <w:rPr>
                <w:rFonts w:eastAsiaTheme="minorEastAsia"/>
                <w:b/>
                <w:bCs/>
                <w:lang w:eastAsia="en-AU"/>
              </w:rPr>
            </w:pPr>
            <w:r w:rsidRPr="000541BE">
              <w:rPr>
                <w:rFonts w:eastAsiaTheme="minorEastAsia"/>
                <w:b/>
                <w:bCs/>
                <w:lang w:eastAsia="en-AU"/>
              </w:rPr>
              <w:t>Annual appropriations</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b/>
                <w:bCs/>
                <w:lang w:eastAsia="en-AU"/>
              </w:rPr>
            </w:pPr>
            <w:r w:rsidRPr="000541BE">
              <w:rPr>
                <w:rFonts w:eastAsiaTheme="minorEastAsia"/>
                <w:b/>
                <w:bCs/>
                <w:lang w:eastAsia="en-AU"/>
              </w:rPr>
              <w:t>2 436.6</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b/>
                <w:bCs/>
                <w:lang w:eastAsia="en-AU"/>
              </w:rPr>
            </w:pPr>
            <w:r w:rsidRPr="000541BE">
              <w:rPr>
                <w:rFonts w:eastAsiaTheme="minorEastAsia"/>
                <w:b/>
                <w:bCs/>
                <w:lang w:eastAsia="en-AU"/>
              </w:rPr>
              <w:t>2 448.8</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b/>
                <w:bCs/>
                <w:lang w:eastAsia="en-AU"/>
              </w:rPr>
            </w:pPr>
            <w:r w:rsidRPr="000541BE">
              <w:rPr>
                <w:rFonts w:eastAsiaTheme="minorEastAsia"/>
                <w:b/>
                <w:bCs/>
                <w:lang w:eastAsia="en-AU"/>
              </w:rPr>
              <w:t>2 688.6</w:t>
            </w:r>
          </w:p>
        </w:tc>
      </w:tr>
      <w:tr w:rsidR="00A53D7D" w:rsidRPr="000541BE" w:rsidTr="005140B4">
        <w:tc>
          <w:tcPr>
            <w:tcW w:w="4668" w:type="dxa"/>
            <w:tcBorders>
              <w:top w:val="nil"/>
              <w:left w:val="nil"/>
              <w:bottom w:val="nil"/>
              <w:right w:val="nil"/>
            </w:tcBorders>
            <w:shd w:val="solid" w:color="FFFFFF" w:fill="auto"/>
          </w:tcPr>
          <w:p w:rsidR="00A53D7D" w:rsidRPr="000541BE" w:rsidRDefault="00A53D7D" w:rsidP="005140B4">
            <w:pPr>
              <w:pStyle w:val="Tabletext"/>
              <w:rPr>
                <w:rFonts w:eastAsiaTheme="minorEastAsia"/>
                <w:lang w:eastAsia="en-AU"/>
              </w:rPr>
            </w:pPr>
            <w:r w:rsidRPr="000541BE">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 xml:space="preserve"> 239.8</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 xml:space="preserve"> 238.8</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 xml:space="preserve"> 229.8</w:t>
            </w:r>
          </w:p>
        </w:tc>
      </w:tr>
      <w:tr w:rsidR="00A53D7D" w:rsidRPr="000541BE" w:rsidTr="005140B4">
        <w:tc>
          <w:tcPr>
            <w:tcW w:w="4668" w:type="dxa"/>
            <w:tcBorders>
              <w:top w:val="nil"/>
              <w:left w:val="nil"/>
              <w:bottom w:val="nil"/>
              <w:right w:val="nil"/>
            </w:tcBorders>
            <w:shd w:val="solid" w:color="FFFFFF" w:fill="auto"/>
          </w:tcPr>
          <w:p w:rsidR="00A53D7D" w:rsidRPr="000541BE" w:rsidRDefault="00A53D7D" w:rsidP="005140B4">
            <w:pPr>
              <w:pStyle w:val="Tabletext"/>
              <w:rPr>
                <w:rFonts w:eastAsiaTheme="minorEastAsia"/>
                <w:lang w:eastAsia="en-AU"/>
              </w:rPr>
            </w:pPr>
            <w:r w:rsidRPr="000541BE">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 xml:space="preserve"> 26.6</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 xml:space="preserve"> 26.6</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 xml:space="preserve"> 24.4</w:t>
            </w:r>
          </w:p>
        </w:tc>
      </w:tr>
      <w:tr w:rsidR="00A53D7D" w:rsidRPr="000541BE" w:rsidTr="005140B4">
        <w:tc>
          <w:tcPr>
            <w:tcW w:w="4668" w:type="dxa"/>
            <w:tcBorders>
              <w:top w:val="nil"/>
              <w:left w:val="nil"/>
              <w:bottom w:val="nil"/>
              <w:right w:val="nil"/>
            </w:tcBorders>
            <w:shd w:val="solid" w:color="FFFFFF" w:fill="auto"/>
          </w:tcPr>
          <w:p w:rsidR="00A53D7D" w:rsidRPr="000541BE" w:rsidRDefault="00A53D7D" w:rsidP="005140B4">
            <w:pPr>
              <w:pStyle w:val="Tabletext"/>
              <w:rPr>
                <w:rFonts w:eastAsiaTheme="minorEastAsia"/>
                <w:lang w:eastAsia="en-AU"/>
              </w:rPr>
            </w:pPr>
            <w:r w:rsidRPr="000541BE">
              <w:rPr>
                <w:rFonts w:eastAsiaTheme="minorEastAsia"/>
                <w:lang w:eastAsia="en-AU"/>
              </w:rPr>
              <w:t xml:space="preserve"> Payments made on behalf of the State</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2 170.2</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2 183.4</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2 434.3</w:t>
            </w:r>
          </w:p>
        </w:tc>
      </w:tr>
      <w:tr w:rsidR="00A53D7D" w:rsidRPr="000541BE" w:rsidTr="005140B4">
        <w:tc>
          <w:tcPr>
            <w:tcW w:w="4668" w:type="dxa"/>
            <w:tcBorders>
              <w:top w:val="nil"/>
              <w:left w:val="nil"/>
              <w:bottom w:val="nil"/>
              <w:right w:val="nil"/>
            </w:tcBorders>
            <w:shd w:val="solid" w:color="FFFFFF" w:fill="auto"/>
          </w:tcPr>
          <w:p w:rsidR="00A53D7D" w:rsidRPr="000541BE" w:rsidRDefault="00A53D7D" w:rsidP="005140B4">
            <w:pPr>
              <w:pStyle w:val="Tabletext"/>
              <w:rPr>
                <w:rFonts w:eastAsiaTheme="minorEastAsia"/>
                <w:lang w:eastAsia="en-AU"/>
              </w:rPr>
            </w:pPr>
            <w:r w:rsidRPr="000541BE">
              <w:rPr>
                <w:rFonts w:eastAsiaTheme="minorEastAsia"/>
                <w:lang w:eastAsia="en-AU"/>
              </w:rPr>
              <w:t>Receipts credited to appropriations</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 xml:space="preserve"> 7.6</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 xml:space="preserve"> 7.6</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 xml:space="preserve"> 7.1</w:t>
            </w:r>
          </w:p>
        </w:tc>
      </w:tr>
      <w:tr w:rsidR="00A53D7D" w:rsidRPr="00E646BF" w:rsidTr="005140B4">
        <w:tc>
          <w:tcPr>
            <w:tcW w:w="4668" w:type="dxa"/>
            <w:tcBorders>
              <w:top w:val="nil"/>
              <w:left w:val="nil"/>
              <w:bottom w:val="nil"/>
              <w:right w:val="nil"/>
            </w:tcBorders>
            <w:shd w:val="solid" w:color="FFFFFF" w:fill="auto"/>
          </w:tcPr>
          <w:p w:rsidR="00A53D7D" w:rsidRPr="00E646BF" w:rsidRDefault="00A53D7D" w:rsidP="005140B4">
            <w:pPr>
              <w:pStyle w:val="Tabletext"/>
              <w:rPr>
                <w:rFonts w:eastAsiaTheme="minorEastAsia"/>
                <w:b/>
                <w:bCs/>
                <w:lang w:eastAsia="en-AU"/>
              </w:rPr>
            </w:pPr>
            <w:r w:rsidRPr="00E646BF">
              <w:rPr>
                <w:rFonts w:eastAsiaTheme="minorEastAsia"/>
                <w:b/>
                <w:bCs/>
                <w:lang w:eastAsia="en-AU"/>
              </w:rPr>
              <w:t>Unapplied previous years appropriation</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0.5</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 xml:space="preserve"> 5.9</w:t>
            </w:r>
          </w:p>
        </w:tc>
        <w:tc>
          <w:tcPr>
            <w:tcW w:w="1036" w:type="dxa"/>
            <w:tcBorders>
              <w:top w:val="nil"/>
              <w:left w:val="nil"/>
              <w:bottom w:val="nil"/>
              <w:right w:val="nil"/>
            </w:tcBorders>
            <w:shd w:val="solid" w:color="FFFFFF" w:fill="auto"/>
          </w:tcPr>
          <w:p w:rsidR="00A53D7D" w:rsidRPr="00E646BF" w:rsidRDefault="00A53D7D" w:rsidP="005140B4">
            <w:pPr>
              <w:pStyle w:val="TableofFigures"/>
              <w:rPr>
                <w:rFonts w:eastAsiaTheme="minorEastAsia"/>
                <w:b/>
                <w:lang w:eastAsia="en-AU"/>
              </w:rPr>
            </w:pPr>
            <w:r w:rsidRPr="00E646BF">
              <w:rPr>
                <w:rFonts w:eastAsiaTheme="minorEastAsia"/>
                <w:b/>
                <w:lang w:eastAsia="en-AU"/>
              </w:rPr>
              <w:t>..</w:t>
            </w:r>
          </w:p>
        </w:tc>
      </w:tr>
      <w:tr w:rsidR="00A53D7D" w:rsidRPr="000541BE" w:rsidTr="005140B4">
        <w:tc>
          <w:tcPr>
            <w:tcW w:w="4668" w:type="dxa"/>
            <w:tcBorders>
              <w:top w:val="nil"/>
              <w:left w:val="nil"/>
              <w:bottom w:val="nil"/>
              <w:right w:val="nil"/>
            </w:tcBorders>
            <w:shd w:val="solid" w:color="FFFFFF" w:fill="auto"/>
          </w:tcPr>
          <w:p w:rsidR="00A53D7D" w:rsidRPr="000541BE" w:rsidRDefault="00A53D7D" w:rsidP="005140B4">
            <w:pPr>
              <w:pStyle w:val="Tabletext"/>
              <w:rPr>
                <w:rFonts w:eastAsiaTheme="minorEastAsia"/>
                <w:lang w:eastAsia="en-AU"/>
              </w:rPr>
            </w:pPr>
            <w:r w:rsidRPr="000541BE">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 xml:space="preserve"> 0.5</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 xml:space="preserve"> 4.2</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w:t>
            </w:r>
          </w:p>
        </w:tc>
      </w:tr>
      <w:tr w:rsidR="00A53D7D" w:rsidRPr="000541BE" w:rsidTr="005140B4">
        <w:tc>
          <w:tcPr>
            <w:tcW w:w="4668" w:type="dxa"/>
            <w:tcBorders>
              <w:top w:val="nil"/>
              <w:left w:val="nil"/>
              <w:bottom w:val="nil"/>
              <w:right w:val="nil"/>
            </w:tcBorders>
            <w:shd w:val="solid" w:color="FFFFFF" w:fill="auto"/>
          </w:tcPr>
          <w:p w:rsidR="00A53D7D" w:rsidRPr="000541BE" w:rsidRDefault="00A53D7D" w:rsidP="005140B4">
            <w:pPr>
              <w:pStyle w:val="Tabletext"/>
              <w:rPr>
                <w:rFonts w:eastAsiaTheme="minorEastAsia"/>
                <w:lang w:eastAsia="en-AU"/>
              </w:rPr>
            </w:pPr>
            <w:r w:rsidRPr="000541BE">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 xml:space="preserve"> 0.7</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w:t>
            </w:r>
          </w:p>
        </w:tc>
      </w:tr>
      <w:tr w:rsidR="00A53D7D" w:rsidRPr="000541BE" w:rsidTr="005140B4">
        <w:tc>
          <w:tcPr>
            <w:tcW w:w="4668" w:type="dxa"/>
            <w:tcBorders>
              <w:top w:val="nil"/>
              <w:left w:val="nil"/>
              <w:bottom w:val="nil"/>
              <w:right w:val="nil"/>
            </w:tcBorders>
            <w:shd w:val="solid" w:color="FFFFFF" w:fill="auto"/>
          </w:tcPr>
          <w:p w:rsidR="00A53D7D" w:rsidRPr="000541BE" w:rsidRDefault="00A53D7D" w:rsidP="005140B4">
            <w:pPr>
              <w:pStyle w:val="Tabletext"/>
              <w:rPr>
                <w:rFonts w:eastAsiaTheme="minorEastAsia"/>
                <w:lang w:eastAsia="en-AU"/>
              </w:rPr>
            </w:pPr>
            <w:r w:rsidRPr="000541BE">
              <w:rPr>
                <w:rFonts w:eastAsiaTheme="minorEastAsia"/>
                <w:lang w:eastAsia="en-AU"/>
              </w:rPr>
              <w:t xml:space="preserve"> Payments made on behalf of the State</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 xml:space="preserve"> 0.9</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w:t>
            </w:r>
          </w:p>
        </w:tc>
      </w:tr>
      <w:tr w:rsidR="00A53D7D" w:rsidRPr="000541BE" w:rsidTr="005140B4">
        <w:tc>
          <w:tcPr>
            <w:tcW w:w="4668" w:type="dxa"/>
            <w:tcBorders>
              <w:top w:val="single" w:sz="6" w:space="0" w:color="auto"/>
              <w:left w:val="nil"/>
              <w:bottom w:val="nil"/>
              <w:right w:val="nil"/>
            </w:tcBorders>
            <w:shd w:val="solid" w:color="FFFFFF" w:fill="auto"/>
          </w:tcPr>
          <w:p w:rsidR="00A53D7D" w:rsidRPr="000541BE" w:rsidRDefault="00A53D7D" w:rsidP="005140B4">
            <w:pPr>
              <w:pStyle w:val="Tabletext"/>
              <w:rPr>
                <w:rFonts w:eastAsiaTheme="minorEastAsia"/>
                <w:b/>
                <w:bCs/>
                <w:lang w:eastAsia="en-AU"/>
              </w:rPr>
            </w:pPr>
            <w:r w:rsidRPr="000541BE">
              <w:rPr>
                <w:rFonts w:eastAsiaTheme="minorEastAsia"/>
                <w:b/>
                <w:bCs/>
                <w:lang w:eastAsia="en-AU"/>
              </w:rPr>
              <w:t>Gross annual appropriation</w:t>
            </w:r>
          </w:p>
        </w:tc>
        <w:tc>
          <w:tcPr>
            <w:tcW w:w="1036" w:type="dxa"/>
            <w:tcBorders>
              <w:top w:val="single" w:sz="6" w:space="0" w:color="auto"/>
              <w:left w:val="nil"/>
              <w:bottom w:val="nil"/>
              <w:right w:val="nil"/>
            </w:tcBorders>
            <w:shd w:val="solid" w:color="FFFFFF" w:fill="auto"/>
          </w:tcPr>
          <w:p w:rsidR="00A53D7D" w:rsidRPr="000541BE" w:rsidRDefault="00A53D7D" w:rsidP="005140B4">
            <w:pPr>
              <w:pStyle w:val="TableofFigures"/>
              <w:rPr>
                <w:rFonts w:eastAsiaTheme="minorEastAsia"/>
                <w:b/>
                <w:bCs/>
                <w:lang w:eastAsia="en-AU"/>
              </w:rPr>
            </w:pPr>
            <w:r w:rsidRPr="000541BE">
              <w:rPr>
                <w:rFonts w:eastAsiaTheme="minorEastAsia"/>
                <w:b/>
                <w:bCs/>
                <w:lang w:eastAsia="en-AU"/>
              </w:rPr>
              <w:t>2 444.6</w:t>
            </w:r>
          </w:p>
        </w:tc>
        <w:tc>
          <w:tcPr>
            <w:tcW w:w="1036" w:type="dxa"/>
            <w:tcBorders>
              <w:top w:val="single" w:sz="6" w:space="0" w:color="auto"/>
              <w:left w:val="nil"/>
              <w:bottom w:val="nil"/>
              <w:right w:val="nil"/>
            </w:tcBorders>
            <w:shd w:val="solid" w:color="FFFFFF" w:fill="auto"/>
          </w:tcPr>
          <w:p w:rsidR="00A53D7D" w:rsidRPr="000541BE" w:rsidRDefault="00A53D7D" w:rsidP="005140B4">
            <w:pPr>
              <w:pStyle w:val="TableofFigures"/>
              <w:rPr>
                <w:rFonts w:eastAsiaTheme="minorEastAsia"/>
                <w:b/>
                <w:bCs/>
                <w:lang w:eastAsia="en-AU"/>
              </w:rPr>
            </w:pPr>
            <w:r w:rsidRPr="000541BE">
              <w:rPr>
                <w:rFonts w:eastAsiaTheme="minorEastAsia"/>
                <w:b/>
                <w:bCs/>
                <w:lang w:eastAsia="en-AU"/>
              </w:rPr>
              <w:t>2 462.2</w:t>
            </w:r>
          </w:p>
        </w:tc>
        <w:tc>
          <w:tcPr>
            <w:tcW w:w="1036" w:type="dxa"/>
            <w:tcBorders>
              <w:top w:val="single" w:sz="6" w:space="0" w:color="auto"/>
              <w:left w:val="nil"/>
              <w:bottom w:val="nil"/>
              <w:right w:val="nil"/>
            </w:tcBorders>
            <w:shd w:val="solid" w:color="FFFFFF" w:fill="auto"/>
          </w:tcPr>
          <w:p w:rsidR="00A53D7D" w:rsidRPr="000541BE" w:rsidRDefault="00A53D7D" w:rsidP="005140B4">
            <w:pPr>
              <w:pStyle w:val="TableofFigures"/>
              <w:rPr>
                <w:rFonts w:eastAsiaTheme="minorEastAsia"/>
                <w:b/>
                <w:bCs/>
                <w:lang w:eastAsia="en-AU"/>
              </w:rPr>
            </w:pPr>
            <w:r w:rsidRPr="000541BE">
              <w:rPr>
                <w:rFonts w:eastAsiaTheme="minorEastAsia"/>
                <w:b/>
                <w:bCs/>
                <w:lang w:eastAsia="en-AU"/>
              </w:rPr>
              <w:t>2 695.7</w:t>
            </w:r>
          </w:p>
        </w:tc>
      </w:tr>
      <w:tr w:rsidR="00A53D7D" w:rsidRPr="000541BE" w:rsidTr="005140B4">
        <w:tc>
          <w:tcPr>
            <w:tcW w:w="4668" w:type="dxa"/>
            <w:tcBorders>
              <w:top w:val="nil"/>
              <w:left w:val="nil"/>
              <w:bottom w:val="nil"/>
              <w:right w:val="nil"/>
            </w:tcBorders>
            <w:shd w:val="solid" w:color="FFFFFF" w:fill="auto"/>
          </w:tcPr>
          <w:p w:rsidR="00A53D7D" w:rsidRPr="000541BE" w:rsidRDefault="00A53D7D" w:rsidP="005140B4">
            <w:pPr>
              <w:pStyle w:val="Tabletext"/>
              <w:rPr>
                <w:rFonts w:eastAsiaTheme="minorEastAsia"/>
                <w:lang w:eastAsia="en-AU"/>
              </w:rPr>
            </w:pPr>
            <w:r w:rsidRPr="000541BE">
              <w:rPr>
                <w:rFonts w:eastAsiaTheme="minorEastAsia"/>
                <w:lang w:eastAsia="en-AU"/>
              </w:rPr>
              <w:t>Special appropriations</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2 300.6</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2 280.5</w:t>
            </w:r>
          </w:p>
        </w:tc>
        <w:tc>
          <w:tcPr>
            <w:tcW w:w="1036" w:type="dxa"/>
            <w:tcBorders>
              <w:top w:val="nil"/>
              <w:left w:val="nil"/>
              <w:bottom w:val="nil"/>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2 252.4</w:t>
            </w:r>
          </w:p>
        </w:tc>
      </w:tr>
      <w:tr w:rsidR="00A53D7D" w:rsidRPr="000541BE" w:rsidTr="005140B4">
        <w:tc>
          <w:tcPr>
            <w:tcW w:w="4668" w:type="dxa"/>
            <w:tcBorders>
              <w:top w:val="nil"/>
              <w:left w:val="nil"/>
              <w:bottom w:val="single" w:sz="6" w:space="0" w:color="auto"/>
              <w:right w:val="nil"/>
            </w:tcBorders>
            <w:shd w:val="solid" w:color="FFFFFF" w:fill="auto"/>
          </w:tcPr>
          <w:p w:rsidR="00A53D7D" w:rsidRPr="000541BE" w:rsidRDefault="00A53D7D" w:rsidP="005140B4">
            <w:pPr>
              <w:pStyle w:val="Tabletext"/>
              <w:rPr>
                <w:rFonts w:eastAsiaTheme="minorEastAsia"/>
                <w:lang w:eastAsia="en-AU"/>
              </w:rPr>
            </w:pPr>
            <w:r w:rsidRPr="000541BE">
              <w:rPr>
                <w:rFonts w:eastAsiaTheme="minorEastAsia"/>
                <w:lang w:eastAsia="en-AU"/>
              </w:rPr>
              <w:t>Trust funds</w:t>
            </w:r>
          </w:p>
        </w:tc>
        <w:tc>
          <w:tcPr>
            <w:tcW w:w="1036" w:type="dxa"/>
            <w:tcBorders>
              <w:top w:val="nil"/>
              <w:left w:val="nil"/>
              <w:bottom w:val="single" w:sz="6" w:space="0" w:color="auto"/>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2 524.2</w:t>
            </w:r>
          </w:p>
        </w:tc>
        <w:tc>
          <w:tcPr>
            <w:tcW w:w="1036" w:type="dxa"/>
            <w:tcBorders>
              <w:top w:val="nil"/>
              <w:left w:val="nil"/>
              <w:bottom w:val="single" w:sz="6" w:space="0" w:color="auto"/>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2 560.7</w:t>
            </w:r>
          </w:p>
        </w:tc>
        <w:tc>
          <w:tcPr>
            <w:tcW w:w="1036" w:type="dxa"/>
            <w:tcBorders>
              <w:top w:val="nil"/>
              <w:left w:val="nil"/>
              <w:bottom w:val="single" w:sz="6" w:space="0" w:color="auto"/>
              <w:right w:val="nil"/>
            </w:tcBorders>
            <w:shd w:val="solid" w:color="FFFFFF" w:fill="auto"/>
          </w:tcPr>
          <w:p w:rsidR="00A53D7D" w:rsidRPr="000541BE" w:rsidRDefault="00A53D7D" w:rsidP="005140B4">
            <w:pPr>
              <w:pStyle w:val="TableofFigures"/>
              <w:rPr>
                <w:rFonts w:eastAsiaTheme="minorEastAsia"/>
                <w:lang w:eastAsia="en-AU"/>
              </w:rPr>
            </w:pPr>
            <w:r w:rsidRPr="000541BE">
              <w:rPr>
                <w:rFonts w:eastAsiaTheme="minorEastAsia"/>
                <w:lang w:eastAsia="en-AU"/>
              </w:rPr>
              <w:t>2 647.5</w:t>
            </w:r>
          </w:p>
        </w:tc>
      </w:tr>
      <w:tr w:rsidR="00A53D7D" w:rsidRPr="000541BE" w:rsidTr="005140B4">
        <w:tc>
          <w:tcPr>
            <w:tcW w:w="4668" w:type="dxa"/>
            <w:tcBorders>
              <w:top w:val="nil"/>
              <w:left w:val="nil"/>
              <w:bottom w:val="single" w:sz="12" w:space="0" w:color="auto"/>
              <w:right w:val="nil"/>
            </w:tcBorders>
            <w:shd w:val="solid" w:color="FFFFFF" w:fill="auto"/>
          </w:tcPr>
          <w:p w:rsidR="00A53D7D" w:rsidRPr="000541BE" w:rsidRDefault="00A53D7D" w:rsidP="005140B4">
            <w:pPr>
              <w:pStyle w:val="Tabletext"/>
              <w:rPr>
                <w:rFonts w:eastAsiaTheme="minorEastAsia"/>
                <w:b/>
                <w:bCs/>
                <w:lang w:eastAsia="en-AU"/>
              </w:rPr>
            </w:pPr>
            <w:r w:rsidRPr="000541BE">
              <w:rPr>
                <w:rFonts w:eastAsiaTheme="minorEastAsia"/>
                <w:b/>
                <w:bCs/>
                <w:lang w:eastAsia="en-AU"/>
              </w:rPr>
              <w:t>Total parliamentary authority</w:t>
            </w:r>
          </w:p>
        </w:tc>
        <w:tc>
          <w:tcPr>
            <w:tcW w:w="1036" w:type="dxa"/>
            <w:tcBorders>
              <w:top w:val="nil"/>
              <w:left w:val="nil"/>
              <w:bottom w:val="single" w:sz="12" w:space="0" w:color="auto"/>
              <w:right w:val="nil"/>
            </w:tcBorders>
            <w:shd w:val="solid" w:color="FFFFFF" w:fill="auto"/>
          </w:tcPr>
          <w:p w:rsidR="00A53D7D" w:rsidRPr="000541BE" w:rsidRDefault="00A53D7D" w:rsidP="005140B4">
            <w:pPr>
              <w:pStyle w:val="TableofFigures"/>
              <w:rPr>
                <w:rFonts w:eastAsiaTheme="minorEastAsia"/>
                <w:b/>
                <w:bCs/>
                <w:lang w:eastAsia="en-AU"/>
              </w:rPr>
            </w:pPr>
            <w:r w:rsidRPr="000541BE">
              <w:rPr>
                <w:rFonts w:eastAsiaTheme="minorEastAsia"/>
                <w:b/>
                <w:bCs/>
                <w:lang w:eastAsia="en-AU"/>
              </w:rPr>
              <w:t>7 269.4</w:t>
            </w:r>
          </w:p>
        </w:tc>
        <w:tc>
          <w:tcPr>
            <w:tcW w:w="1036" w:type="dxa"/>
            <w:tcBorders>
              <w:top w:val="nil"/>
              <w:left w:val="nil"/>
              <w:bottom w:val="single" w:sz="12" w:space="0" w:color="auto"/>
              <w:right w:val="nil"/>
            </w:tcBorders>
            <w:shd w:val="solid" w:color="FFFFFF" w:fill="auto"/>
          </w:tcPr>
          <w:p w:rsidR="00A53D7D" w:rsidRPr="000541BE" w:rsidRDefault="00A53D7D" w:rsidP="005140B4">
            <w:pPr>
              <w:pStyle w:val="TableofFigures"/>
              <w:rPr>
                <w:rFonts w:eastAsiaTheme="minorEastAsia"/>
                <w:b/>
                <w:bCs/>
                <w:lang w:eastAsia="en-AU"/>
              </w:rPr>
            </w:pPr>
            <w:r w:rsidRPr="000541BE">
              <w:rPr>
                <w:rFonts w:eastAsiaTheme="minorEastAsia"/>
                <w:b/>
                <w:bCs/>
                <w:lang w:eastAsia="en-AU"/>
              </w:rPr>
              <w:t>7 303.5</w:t>
            </w:r>
          </w:p>
        </w:tc>
        <w:tc>
          <w:tcPr>
            <w:tcW w:w="1036" w:type="dxa"/>
            <w:tcBorders>
              <w:top w:val="nil"/>
              <w:left w:val="nil"/>
              <w:bottom w:val="single" w:sz="12" w:space="0" w:color="auto"/>
              <w:right w:val="nil"/>
            </w:tcBorders>
            <w:shd w:val="solid" w:color="FFFFFF" w:fill="auto"/>
          </w:tcPr>
          <w:p w:rsidR="00A53D7D" w:rsidRPr="000541BE" w:rsidRDefault="00A53D7D" w:rsidP="005140B4">
            <w:pPr>
              <w:pStyle w:val="TableofFigures"/>
              <w:rPr>
                <w:rFonts w:eastAsiaTheme="minorEastAsia"/>
                <w:b/>
                <w:bCs/>
                <w:lang w:eastAsia="en-AU"/>
              </w:rPr>
            </w:pPr>
            <w:r w:rsidRPr="000541BE">
              <w:rPr>
                <w:rFonts w:eastAsiaTheme="minorEastAsia"/>
                <w:b/>
                <w:bCs/>
                <w:lang w:eastAsia="en-AU"/>
              </w:rPr>
              <w:t>7 595.6</w:t>
            </w:r>
          </w:p>
        </w:tc>
      </w:tr>
    </w:tbl>
    <w:p w:rsidR="00A53D7D" w:rsidRDefault="00A53D7D" w:rsidP="005140B4">
      <w:pPr>
        <w:pStyle w:val="Source"/>
      </w:pPr>
      <w:r>
        <w:t xml:space="preserve">Source: Department of Treasury and Finance </w:t>
      </w:r>
      <w:r>
        <w:fldChar w:fldCharType="begin"/>
      </w:r>
      <w:r>
        <w:instrText xml:space="preserve"> XE "Department of Treasury and Finance</w:instrText>
      </w:r>
      <w:r w:rsidRPr="00ED1DC7">
        <w:instrText>:Parliamentary authority for resources</w:instrText>
      </w:r>
      <w:r>
        <w:instrText xml:space="preserve">" </w:instrText>
      </w:r>
      <w:r>
        <w:fldChar w:fldCharType="end"/>
      </w:r>
    </w:p>
    <w:p w:rsidR="00A53D7D" w:rsidRDefault="00A53D7D" w:rsidP="005140B4"/>
    <w:p w:rsidR="00A53D7D" w:rsidRDefault="00A53D7D" w:rsidP="005140B4">
      <w:pPr>
        <w:rPr>
          <w:lang w:eastAsia="en-AU"/>
        </w:rPr>
      </w:pPr>
      <w:r>
        <w:rPr>
          <w:lang w:eastAsia="en-AU"/>
        </w:rPr>
        <w:br w:type="page"/>
      </w:r>
    </w:p>
    <w:p w:rsidR="00A53D7D" w:rsidRPr="005E353E" w:rsidRDefault="00A53D7D" w:rsidP="005140B4">
      <w:pPr>
        <w:pStyle w:val="OGHeading1"/>
        <w:rPr>
          <w:lang w:eastAsia="en-AU"/>
        </w:rPr>
      </w:pPr>
      <w:bookmarkStart w:id="141" w:name="DTFFinMgmt"/>
      <w:r w:rsidRPr="005E353E">
        <w:rPr>
          <w:lang w:eastAsia="en-AU"/>
        </w:rPr>
        <w:t>Financial Management Services</w:t>
      </w:r>
    </w:p>
    <w:p w:rsidR="00A53D7D" w:rsidRDefault="00A53D7D" w:rsidP="005140B4">
      <w:pPr>
        <w:pStyle w:val="OGText"/>
        <w:spacing w:after="80"/>
        <w:rPr>
          <w:lang w:eastAsia="en-AU"/>
        </w:rPr>
      </w:pPr>
      <w:r w:rsidRPr="005E353E">
        <w:rPr>
          <w:lang w:eastAsia="en-AU"/>
        </w:rPr>
        <w:t>These outputs provide financial management services to departments, agencies, Government Business Enterprises (GBEs) and Registered Housing Agencies. These services include:</w:t>
      </w:r>
    </w:p>
    <w:p w:rsidR="00A53D7D" w:rsidRDefault="00A53D7D" w:rsidP="005140B4">
      <w:pPr>
        <w:pStyle w:val="OGBullet"/>
      </w:pPr>
      <w:r w:rsidRPr="005E353E">
        <w:t>managing and forecasting cash balances and central government cash transactions;</w:t>
      </w:r>
    </w:p>
    <w:p w:rsidR="00A53D7D" w:rsidRDefault="00A53D7D" w:rsidP="005140B4">
      <w:pPr>
        <w:pStyle w:val="OGBullet"/>
      </w:pPr>
      <w:r w:rsidRPr="005E353E">
        <w:t>the management of the liabilities of Victoria's public sector superannuation schemes;</w:t>
      </w:r>
    </w:p>
    <w:p w:rsidR="00A53D7D" w:rsidRDefault="00A53D7D" w:rsidP="005140B4">
      <w:pPr>
        <w:pStyle w:val="OGBullet"/>
      </w:pPr>
      <w:r w:rsidRPr="005E353E">
        <w:t>monitoring the performance of GBEs;</w:t>
      </w:r>
    </w:p>
    <w:p w:rsidR="00A53D7D" w:rsidRDefault="00A53D7D" w:rsidP="005140B4">
      <w:pPr>
        <w:pStyle w:val="OGBullet"/>
      </w:pPr>
      <w:r w:rsidRPr="005E353E">
        <w:t>preparing the State's consolidated financial and budget related reports;</w:t>
      </w:r>
    </w:p>
    <w:p w:rsidR="00A53D7D" w:rsidRDefault="00A53D7D" w:rsidP="005140B4">
      <w:pPr>
        <w:pStyle w:val="OGBullet"/>
      </w:pPr>
      <w:r w:rsidRPr="005E353E">
        <w:t>providing financial risk management and advice to manage the State's financial risks;</w:t>
      </w:r>
    </w:p>
    <w:p w:rsidR="00A53D7D" w:rsidRDefault="00A53D7D" w:rsidP="005140B4">
      <w:pPr>
        <w:pStyle w:val="OGBullet"/>
      </w:pPr>
      <w:r w:rsidRPr="005E353E">
        <w:t>reviewing and analysing the performance of departments, with a focus on delivering value for money services to the community; and</w:t>
      </w:r>
    </w:p>
    <w:p w:rsidR="00A53D7D" w:rsidRDefault="00A53D7D" w:rsidP="005140B4">
      <w:pPr>
        <w:pStyle w:val="OGBullet"/>
      </w:pPr>
      <w:proofErr w:type="gramStart"/>
      <w:r w:rsidRPr="005E353E">
        <w:t>reviewing</w:t>
      </w:r>
      <w:proofErr w:type="gramEnd"/>
      <w:r w:rsidRPr="005E353E">
        <w:t xml:space="preserve"> Registered Housing Agencies.</w:t>
      </w:r>
    </w:p>
    <w:p w:rsidR="00A53D7D" w:rsidRDefault="00A53D7D" w:rsidP="005140B4">
      <w:pPr>
        <w:pStyle w:val="OGText"/>
        <w:rPr>
          <w:lang w:eastAsia="en-AU"/>
        </w:rPr>
      </w:pPr>
      <w:r w:rsidRPr="005E353E">
        <w:rPr>
          <w:lang w:eastAsia="en-AU"/>
        </w:rPr>
        <w:t>By assisting government in making sound and informed financial management decisions, t</w:t>
      </w:r>
      <w:r>
        <w:rPr>
          <w:lang w:eastAsia="en-AU"/>
        </w:rPr>
        <w:t>hese outputs contribute to the D</w:t>
      </w:r>
      <w:r w:rsidRPr="005E353E">
        <w:rPr>
          <w:lang w:eastAsia="en-AU"/>
        </w:rPr>
        <w:t>epartment</w:t>
      </w:r>
      <w:r>
        <w:rPr>
          <w:lang w:eastAsia="en-AU"/>
        </w:rPr>
        <w:t>’s</w:t>
      </w:r>
      <w:r w:rsidRPr="005E353E">
        <w:rPr>
          <w:lang w:eastAsia="en-AU"/>
        </w:rPr>
        <w:t xml:space="preserve"> objective of sound financial management of the State's fiscal resources.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353E" w:rsidTr="005140B4">
        <w:trPr>
          <w:cantSplit/>
        </w:trPr>
        <w:tc>
          <w:tcPr>
            <w:tcW w:w="7776" w:type="dxa"/>
            <w:gridSpan w:val="6"/>
            <w:tcBorders>
              <w:top w:val="nil"/>
              <w:left w:val="nil"/>
              <w:right w:val="nil"/>
            </w:tcBorders>
            <w:shd w:val="clear" w:color="auto" w:fill="auto"/>
            <w:vAlign w:val="bottom"/>
            <w:hideMark/>
          </w:tcPr>
          <w:p w:rsidR="00A53D7D" w:rsidRPr="005E353E" w:rsidRDefault="00A53D7D" w:rsidP="005140B4">
            <w:pPr>
              <w:pStyle w:val="OGHeading2"/>
              <w:rPr>
                <w:lang w:eastAsia="en-AU"/>
              </w:rPr>
            </w:pPr>
            <w:r w:rsidRPr="005E353E">
              <w:rPr>
                <w:lang w:eastAsia="en-AU"/>
              </w:rPr>
              <w:t>Financial Reporting</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spacing w:after="80"/>
              <w:rPr>
                <w:lang w:eastAsia="en-AU"/>
              </w:rPr>
            </w:pPr>
            <w:r w:rsidRPr="005E353E">
              <w:rPr>
                <w:lang w:eastAsia="en-AU"/>
              </w:rPr>
              <w:t>This output contributes to the Department's objective of providing sound financial management of Victoria's fiscal resources by maintaining the integrity of systems and information for financial planning, management, monitoring and reporting of the State of Victoria through:</w:t>
            </w:r>
          </w:p>
          <w:p w:rsidR="00A53D7D" w:rsidRDefault="00A53D7D" w:rsidP="005140B4">
            <w:pPr>
              <w:pStyle w:val="OGTabBullet"/>
            </w:pPr>
            <w:r w:rsidRPr="005E353E">
              <w:t>publication of the State Budget and budget related documents;</w:t>
            </w:r>
          </w:p>
          <w:p w:rsidR="00A53D7D" w:rsidRDefault="00A53D7D" w:rsidP="005140B4">
            <w:pPr>
              <w:pStyle w:val="OGTabBullet"/>
            </w:pPr>
            <w:r w:rsidRPr="005E353E">
              <w:t>reporting, monitoring and publication of financial and non</w:t>
            </w:r>
            <w:r>
              <w:noBreakHyphen/>
            </w:r>
            <w:r w:rsidRPr="005E353E">
              <w:t>financial performance in the Victorian public sector;</w:t>
            </w:r>
          </w:p>
          <w:p w:rsidR="00A53D7D" w:rsidRDefault="00A53D7D" w:rsidP="005140B4">
            <w:pPr>
              <w:pStyle w:val="OGTabBullet"/>
            </w:pPr>
            <w:r w:rsidRPr="005E353E">
              <w:t>management of the daily cash requirements including investments and borrowings of the Public Account; and</w:t>
            </w:r>
          </w:p>
          <w:p w:rsidR="00A53D7D" w:rsidRPr="005E353E" w:rsidRDefault="00A53D7D" w:rsidP="005140B4">
            <w:pPr>
              <w:pStyle w:val="OGTabBullet"/>
            </w:pPr>
            <w:proofErr w:type="gramStart"/>
            <w:r w:rsidRPr="005E353E">
              <w:t>best</w:t>
            </w:r>
            <w:proofErr w:type="gramEnd"/>
            <w:r w:rsidRPr="005E353E">
              <w:t xml:space="preserve"> practice financial reporting framework, and whole of state management information systems, supporting financial reporting across the Victorian public sector.</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Quantity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Auditor</w:t>
            </w:r>
            <w:r>
              <w:rPr>
                <w:lang w:eastAsia="en-AU"/>
              </w:rPr>
              <w:noBreakHyphen/>
            </w:r>
            <w:r w:rsidRPr="005E353E">
              <w:rPr>
                <w:lang w:eastAsia="en-AU"/>
              </w:rPr>
              <w:t>General qualification relating to material weaknesses in financial reporting systems and processes for the State of Victoria Financial Report or Estimated Financial Statements</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keepNext/>
              <w:rPr>
                <w:lang w:eastAsia="en-AU"/>
              </w:rPr>
            </w:pPr>
            <w:r w:rsidRPr="005E353E">
              <w:rPr>
                <w:lang w:eastAsia="en-AU"/>
              </w:rPr>
              <w:t>Estimates reporting</w:t>
            </w:r>
            <w:r>
              <w:rPr>
                <w:lang w:eastAsia="en-AU"/>
              </w:rPr>
              <w:t xml:space="preserve"> – </w:t>
            </w:r>
            <w:r w:rsidRPr="005E353E">
              <w:rPr>
                <w:lang w:eastAsia="en-AU"/>
              </w:rPr>
              <w:t>Budget, Budget Update and Pre</w:t>
            </w:r>
            <w:r>
              <w:rPr>
                <w:lang w:eastAsia="en-AU"/>
              </w:rPr>
              <w:noBreakHyphen/>
            </w:r>
            <w:r w:rsidRPr="005E353E">
              <w:rPr>
                <w:lang w:eastAsia="en-AU"/>
              </w:rPr>
              <w:t>Election Budget Update</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keepNext/>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keepNext/>
              <w:rPr>
                <w:lang w:eastAsia="en-AU"/>
              </w:rPr>
            </w:pPr>
            <w:r w:rsidRPr="005E353E">
              <w:rPr>
                <w:lang w:eastAsia="en-AU"/>
              </w:rPr>
              <w:t>3</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keepNext/>
              <w:rPr>
                <w:lang w:eastAsia="en-AU"/>
              </w:rPr>
            </w:pPr>
            <w:r w:rsidRPr="005E353E">
              <w:rPr>
                <w:lang w:eastAsia="en-AU"/>
              </w:rPr>
              <w:t>2</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keepNext/>
              <w:rPr>
                <w:lang w:eastAsia="en-AU"/>
              </w:rPr>
            </w:pPr>
            <w:r w:rsidRPr="005E353E">
              <w:rPr>
                <w:lang w:eastAsia="en-AU"/>
              </w:rPr>
              <w:t>2</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keepNext/>
              <w:rPr>
                <w:lang w:eastAsia="en-AU"/>
              </w:rPr>
            </w:pPr>
            <w:r w:rsidRPr="005E353E">
              <w:rPr>
                <w:lang w:eastAsia="en-AU"/>
              </w:rPr>
              <w:t>2</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 xml:space="preserve">This performance measure </w:t>
            </w:r>
            <w:r>
              <w:t>adjusts</w:t>
            </w:r>
            <w:r w:rsidRPr="005E353E">
              <w:t xml:space="preserve"> the 2013</w:t>
            </w:r>
            <w:r>
              <w:noBreakHyphen/>
            </w:r>
            <w:r w:rsidRPr="005E353E">
              <w:t xml:space="preserve">14 performance measure </w:t>
            </w:r>
            <w:r>
              <w:t>‘</w:t>
            </w:r>
            <w:r w:rsidRPr="005E353E">
              <w:t>Estimates reporting</w:t>
            </w:r>
            <w:r>
              <w:t xml:space="preserve"> – </w:t>
            </w:r>
            <w:r w:rsidRPr="005E353E">
              <w:t>Budget and Budget Update</w:t>
            </w:r>
            <w:r>
              <w:t>’</w:t>
            </w:r>
            <w:r w:rsidRPr="005E353E">
              <w:t xml:space="preserve"> </w:t>
            </w:r>
            <w:r>
              <w:t xml:space="preserve">to </w:t>
            </w:r>
            <w:r w:rsidRPr="005E353E">
              <w:t>reflect the inclusion of the Pre</w:t>
            </w:r>
            <w:r>
              <w:noBreakHyphen/>
            </w:r>
            <w:r w:rsidRPr="005E353E">
              <w:t>Election Budget Update for 2014</w:t>
            </w:r>
            <w:r>
              <w:noBreakHyphen/>
            </w:r>
            <w:r w:rsidRPr="005E353E">
              <w:t>15.</w:t>
            </w:r>
            <w:r>
              <w:t xml:space="preserve"> Accordingly, the 2014-15 </w:t>
            </w:r>
            <w:proofErr w:type="gramStart"/>
            <w:r>
              <w:t>target</w:t>
            </w:r>
            <w:proofErr w:type="gramEnd"/>
            <w:r>
              <w:t xml:space="preserve"> has been adjusted.</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Financial Performance Reporting</w:t>
            </w:r>
            <w:r>
              <w:rPr>
                <w:lang w:eastAsia="en-AU"/>
              </w:rPr>
              <w:t xml:space="preserve"> – </w:t>
            </w:r>
            <w:r w:rsidRPr="005E353E">
              <w:rPr>
                <w:lang w:eastAsia="en-AU"/>
              </w:rPr>
              <w:t>Annual Financial Report, Mid</w:t>
            </w:r>
            <w:r>
              <w:rPr>
                <w:lang w:eastAsia="en-AU"/>
              </w:rPr>
              <w:noBreakHyphen/>
            </w:r>
            <w:r w:rsidRPr="005E353E">
              <w:rPr>
                <w:lang w:eastAsia="en-AU"/>
              </w:rPr>
              <w:t>Year Financial Report and Quarterly Financial Reports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6</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6</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6</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6</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Quality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4"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Maintain ISO 9001 (Quality Management Systems) Certification</w:t>
            </w:r>
          </w:p>
        </w:tc>
        <w:tc>
          <w:tcPr>
            <w:tcW w:w="907" w:type="dxa"/>
            <w:tcBorders>
              <w:top w:val="nil"/>
              <w:left w:val="nil"/>
              <w:bottom w:val="single" w:sz="4"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bottom w:val="single" w:sz="4"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nil"/>
              <w:left w:val="nil"/>
              <w:bottom w:val="single" w:sz="4"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4"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4"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3155" w:type="dxa"/>
            <w:tcBorders>
              <w:top w:val="single" w:sz="4"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Supporting the financial reporting framework across the VPS (survey data)</w:t>
            </w:r>
          </w:p>
        </w:tc>
        <w:tc>
          <w:tcPr>
            <w:tcW w:w="907" w:type="dxa"/>
            <w:tcBorders>
              <w:top w:val="single" w:sz="4"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4"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80</w:t>
            </w:r>
          </w:p>
        </w:tc>
        <w:tc>
          <w:tcPr>
            <w:tcW w:w="993" w:type="dxa"/>
            <w:tcBorders>
              <w:top w:val="single" w:sz="4"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80</w:t>
            </w:r>
          </w:p>
        </w:tc>
        <w:tc>
          <w:tcPr>
            <w:tcW w:w="907" w:type="dxa"/>
            <w:tcBorders>
              <w:top w:val="single" w:sz="4"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80</w:t>
            </w:r>
          </w:p>
        </w:tc>
        <w:tc>
          <w:tcPr>
            <w:tcW w:w="907" w:type="dxa"/>
            <w:tcBorders>
              <w:top w:val="single" w:sz="4"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Timeliness</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Annual Budget published by date agreed by Treasurer</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Pr>
                <w:lang w:eastAsia="en-AU"/>
              </w:rPr>
              <w:t>d</w:t>
            </w:r>
            <w:r w:rsidRPr="005E353E">
              <w:rPr>
                <w:lang w:eastAsia="en-AU"/>
              </w:rPr>
              <w:t>ate</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May</w:t>
            </w:r>
            <w:r>
              <w:rPr>
                <w:lang w:eastAsia="en-AU"/>
              </w:rPr>
              <w:t xml:space="preserve"> 20</w:t>
            </w:r>
            <w:r w:rsidRPr="005E353E">
              <w:rPr>
                <w:lang w:eastAsia="en-AU"/>
              </w:rPr>
              <w:t>15</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May</w:t>
            </w:r>
            <w:r>
              <w:rPr>
                <w:lang w:eastAsia="en-AU"/>
              </w:rPr>
              <w:t xml:space="preserve"> 20</w:t>
            </w:r>
            <w:r w:rsidRPr="005E353E">
              <w:rPr>
                <w:lang w:eastAsia="en-AU"/>
              </w:rPr>
              <w:t>14</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May</w:t>
            </w:r>
            <w:r>
              <w:rPr>
                <w:lang w:eastAsia="en-AU"/>
              </w:rPr>
              <w:t xml:space="preserve"> 20</w:t>
            </w:r>
            <w:r w:rsidRPr="005E353E">
              <w:rPr>
                <w:lang w:eastAsia="en-AU"/>
              </w:rPr>
              <w:t>14</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May</w:t>
            </w:r>
            <w:r>
              <w:rPr>
                <w:lang w:eastAsia="en-AU"/>
              </w:rPr>
              <w:t xml:space="preserve"> 20</w:t>
            </w:r>
            <w:r w:rsidRPr="005E353E">
              <w:rPr>
                <w:lang w:eastAsia="en-AU"/>
              </w:rPr>
              <w:t>13</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Budget Update</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Pr>
                <w:lang w:eastAsia="en-AU"/>
              </w:rPr>
              <w:t>d</w:t>
            </w:r>
            <w:r w:rsidRPr="005E353E">
              <w:rPr>
                <w:lang w:eastAsia="en-AU"/>
              </w:rPr>
              <w:t>ate</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15</w:t>
            </w:r>
            <w:r>
              <w:rPr>
                <w:lang w:eastAsia="en-AU"/>
              </w:rPr>
              <w:t xml:space="preserve"> </w:t>
            </w:r>
            <w:r w:rsidRPr="005E353E">
              <w:rPr>
                <w:lang w:eastAsia="en-AU"/>
              </w:rPr>
              <w:t>Dec</w:t>
            </w:r>
            <w:r>
              <w:rPr>
                <w:lang w:eastAsia="en-AU"/>
              </w:rPr>
              <w:t xml:space="preserve"> 20</w:t>
            </w:r>
            <w:r w:rsidRPr="005E353E">
              <w:rPr>
                <w:lang w:eastAsia="en-AU"/>
              </w:rPr>
              <w:t>14</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15</w:t>
            </w:r>
            <w:r>
              <w:rPr>
                <w:lang w:eastAsia="en-AU"/>
              </w:rPr>
              <w:t xml:space="preserve"> </w:t>
            </w:r>
            <w:r w:rsidRPr="005E353E">
              <w:rPr>
                <w:lang w:eastAsia="en-AU"/>
              </w:rPr>
              <w:t>Dec</w:t>
            </w:r>
            <w:r>
              <w:rPr>
                <w:lang w:eastAsia="en-AU"/>
              </w:rPr>
              <w:t xml:space="preserve"> 20</w:t>
            </w:r>
            <w:r w:rsidRPr="005E353E">
              <w:rPr>
                <w:lang w:eastAsia="en-AU"/>
              </w:rPr>
              <w:t>13</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15</w:t>
            </w:r>
            <w:r>
              <w:rPr>
                <w:lang w:eastAsia="en-AU"/>
              </w:rPr>
              <w:t xml:space="preserve"> </w:t>
            </w:r>
            <w:r w:rsidRPr="005E353E">
              <w:rPr>
                <w:lang w:eastAsia="en-AU"/>
              </w:rPr>
              <w:t>Dec</w:t>
            </w:r>
            <w:r>
              <w:rPr>
                <w:lang w:eastAsia="en-AU"/>
              </w:rPr>
              <w:t xml:space="preserve"> 20</w:t>
            </w:r>
            <w:r w:rsidRPr="005E353E">
              <w:rPr>
                <w:lang w:eastAsia="en-AU"/>
              </w:rPr>
              <w:t>13</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15</w:t>
            </w:r>
            <w:r>
              <w:rPr>
                <w:lang w:eastAsia="en-AU"/>
              </w:rPr>
              <w:t xml:space="preserve"> </w:t>
            </w:r>
            <w:r w:rsidRPr="005E353E">
              <w:rPr>
                <w:lang w:eastAsia="en-AU"/>
              </w:rPr>
              <w:t>Dec</w:t>
            </w:r>
            <w:r>
              <w:rPr>
                <w:lang w:eastAsia="en-AU"/>
              </w:rPr>
              <w:t xml:space="preserve"> 20</w:t>
            </w:r>
            <w:r w:rsidRPr="005E353E">
              <w:rPr>
                <w:lang w:eastAsia="en-AU"/>
              </w:rPr>
              <w:t>12</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Financial Report for the State of Victoria</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Pr>
                <w:lang w:eastAsia="en-AU"/>
              </w:rPr>
              <w:t>d</w:t>
            </w:r>
            <w:r w:rsidRPr="005E353E">
              <w:rPr>
                <w:lang w:eastAsia="en-AU"/>
              </w:rPr>
              <w:t>ate</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15</w:t>
            </w:r>
            <w:r>
              <w:rPr>
                <w:lang w:eastAsia="en-AU"/>
              </w:rPr>
              <w:t xml:space="preserve"> </w:t>
            </w:r>
            <w:r w:rsidRPr="005E353E">
              <w:rPr>
                <w:lang w:eastAsia="en-AU"/>
              </w:rPr>
              <w:t>Oct</w:t>
            </w:r>
            <w:r>
              <w:rPr>
                <w:lang w:eastAsia="en-AU"/>
              </w:rPr>
              <w:t xml:space="preserve"> 20</w:t>
            </w:r>
            <w:r w:rsidRPr="005E353E">
              <w:rPr>
                <w:lang w:eastAsia="en-AU"/>
              </w:rPr>
              <w:t>14</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15</w:t>
            </w:r>
            <w:r>
              <w:rPr>
                <w:lang w:eastAsia="en-AU"/>
              </w:rPr>
              <w:t xml:space="preserve"> </w:t>
            </w:r>
            <w:r w:rsidRPr="005E353E">
              <w:rPr>
                <w:lang w:eastAsia="en-AU"/>
              </w:rPr>
              <w:t>Oct</w:t>
            </w:r>
            <w:r>
              <w:rPr>
                <w:lang w:eastAsia="en-AU"/>
              </w:rPr>
              <w:t xml:space="preserve"> 20</w:t>
            </w:r>
            <w:r w:rsidRPr="005E353E">
              <w:rPr>
                <w:lang w:eastAsia="en-AU"/>
              </w:rPr>
              <w:t>13</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15</w:t>
            </w:r>
            <w:r>
              <w:rPr>
                <w:lang w:eastAsia="en-AU"/>
              </w:rPr>
              <w:t xml:space="preserve"> </w:t>
            </w:r>
            <w:r w:rsidRPr="005E353E">
              <w:rPr>
                <w:lang w:eastAsia="en-AU"/>
              </w:rPr>
              <w:t>Oct</w:t>
            </w:r>
            <w:r>
              <w:rPr>
                <w:lang w:eastAsia="en-AU"/>
              </w:rPr>
              <w:t xml:space="preserve"> 20</w:t>
            </w:r>
            <w:r w:rsidRPr="005E353E">
              <w:rPr>
                <w:lang w:eastAsia="en-AU"/>
              </w:rPr>
              <w:t>13</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15</w:t>
            </w:r>
            <w:r>
              <w:rPr>
                <w:lang w:eastAsia="en-AU"/>
              </w:rPr>
              <w:t xml:space="preserve"> </w:t>
            </w:r>
            <w:r w:rsidRPr="005E353E">
              <w:rPr>
                <w:lang w:eastAsia="en-AU"/>
              </w:rPr>
              <w:t>Oct</w:t>
            </w:r>
            <w:r>
              <w:rPr>
                <w:lang w:eastAsia="en-AU"/>
              </w:rPr>
              <w:t xml:space="preserve"> 20</w:t>
            </w:r>
            <w:r w:rsidRPr="005E353E">
              <w:rPr>
                <w:lang w:eastAsia="en-AU"/>
              </w:rPr>
              <w:t>12</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Mid</w:t>
            </w:r>
            <w:r>
              <w:rPr>
                <w:lang w:eastAsia="en-AU"/>
              </w:rPr>
              <w:noBreakHyphen/>
            </w:r>
            <w:r w:rsidRPr="005E353E">
              <w:rPr>
                <w:lang w:eastAsia="en-AU"/>
              </w:rPr>
              <w:t>Year Financial Report</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Pr>
                <w:lang w:eastAsia="en-AU"/>
              </w:rPr>
              <w:t>d</w:t>
            </w:r>
            <w:r w:rsidRPr="005E353E">
              <w:rPr>
                <w:lang w:eastAsia="en-AU"/>
              </w:rPr>
              <w:t>ate</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15</w:t>
            </w:r>
            <w:r>
              <w:rPr>
                <w:lang w:eastAsia="en-AU"/>
              </w:rPr>
              <w:t xml:space="preserve"> </w:t>
            </w:r>
            <w:r w:rsidRPr="005E353E">
              <w:rPr>
                <w:lang w:eastAsia="en-AU"/>
              </w:rPr>
              <w:t>Mar</w:t>
            </w:r>
            <w:r>
              <w:rPr>
                <w:lang w:eastAsia="en-AU"/>
              </w:rPr>
              <w:t xml:space="preserve"> 20</w:t>
            </w:r>
            <w:r w:rsidRPr="005E353E">
              <w:rPr>
                <w:lang w:eastAsia="en-AU"/>
              </w:rPr>
              <w:t>15</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15</w:t>
            </w:r>
            <w:r>
              <w:rPr>
                <w:lang w:eastAsia="en-AU"/>
              </w:rPr>
              <w:t xml:space="preserve"> </w:t>
            </w:r>
            <w:r w:rsidRPr="005E353E">
              <w:rPr>
                <w:lang w:eastAsia="en-AU"/>
              </w:rPr>
              <w:t>Mar</w:t>
            </w:r>
            <w:r>
              <w:rPr>
                <w:lang w:eastAsia="en-AU"/>
              </w:rPr>
              <w:t xml:space="preserve"> 20</w:t>
            </w:r>
            <w:r w:rsidRPr="005E353E">
              <w:rPr>
                <w:lang w:eastAsia="en-AU"/>
              </w:rPr>
              <w:t>14</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15</w:t>
            </w:r>
            <w:r>
              <w:rPr>
                <w:lang w:eastAsia="en-AU"/>
              </w:rPr>
              <w:t xml:space="preserve"> </w:t>
            </w:r>
            <w:r w:rsidRPr="005E353E">
              <w:rPr>
                <w:lang w:eastAsia="en-AU"/>
              </w:rPr>
              <w:t>Mar</w:t>
            </w:r>
            <w:r>
              <w:rPr>
                <w:lang w:eastAsia="en-AU"/>
              </w:rPr>
              <w:t xml:space="preserve"> 20</w:t>
            </w:r>
            <w:r w:rsidRPr="005E353E">
              <w:rPr>
                <w:lang w:eastAsia="en-AU"/>
              </w:rPr>
              <w:t>14</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15</w:t>
            </w:r>
            <w:r>
              <w:rPr>
                <w:lang w:eastAsia="en-AU"/>
              </w:rPr>
              <w:t xml:space="preserve"> </w:t>
            </w:r>
            <w:r w:rsidRPr="005E353E">
              <w:rPr>
                <w:lang w:eastAsia="en-AU"/>
              </w:rPr>
              <w:t>Mar</w:t>
            </w:r>
            <w:r>
              <w:rPr>
                <w:lang w:eastAsia="en-AU"/>
              </w:rPr>
              <w:t xml:space="preserve"> 20</w:t>
            </w:r>
            <w:r w:rsidRPr="005E353E">
              <w:rPr>
                <w:lang w:eastAsia="en-AU"/>
              </w:rPr>
              <w:t>13</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Quarterly Financial Reports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Pr>
                <w:lang w:eastAsia="en-AU"/>
              </w:rPr>
              <w:t>d</w:t>
            </w:r>
            <w:r w:rsidRPr="005E353E">
              <w:rPr>
                <w:lang w:eastAsia="en-AU"/>
              </w:rPr>
              <w:t>ate</w:t>
            </w:r>
          </w:p>
        </w:tc>
        <w:tc>
          <w:tcPr>
            <w:tcW w:w="907" w:type="dxa"/>
            <w:tcBorders>
              <w:top w:val="single" w:sz="6" w:space="0" w:color="auto"/>
              <w:left w:val="nil"/>
              <w:bottom w:val="single" w:sz="6" w:space="0" w:color="auto"/>
              <w:right w:val="nil"/>
            </w:tcBorders>
            <w:shd w:val="clear" w:color="auto" w:fill="D9D9D9"/>
            <w:hideMark/>
          </w:tcPr>
          <w:p w:rsidR="00A53D7D" w:rsidRDefault="00A53D7D" w:rsidP="005140B4">
            <w:pPr>
              <w:pStyle w:val="OGTableofFigures"/>
              <w:rPr>
                <w:lang w:eastAsia="en-AU"/>
              </w:rPr>
            </w:pPr>
            <w:r w:rsidRPr="005E353E">
              <w:rPr>
                <w:lang w:eastAsia="en-AU"/>
              </w:rPr>
              <w:t xml:space="preserve">15 Oct 2014, </w:t>
            </w:r>
          </w:p>
          <w:p w:rsidR="00A53D7D" w:rsidRDefault="00A53D7D" w:rsidP="005140B4">
            <w:pPr>
              <w:pStyle w:val="OGTableofFigures"/>
              <w:rPr>
                <w:lang w:eastAsia="en-AU"/>
              </w:rPr>
            </w:pPr>
            <w:r w:rsidRPr="005E353E">
              <w:rPr>
                <w:lang w:eastAsia="en-AU"/>
              </w:rPr>
              <w:t xml:space="preserve">15 Nov 2014, </w:t>
            </w:r>
          </w:p>
          <w:p w:rsidR="00A53D7D" w:rsidRDefault="00A53D7D" w:rsidP="005140B4">
            <w:pPr>
              <w:pStyle w:val="OGTableofFigures"/>
              <w:rPr>
                <w:lang w:eastAsia="en-AU"/>
              </w:rPr>
            </w:pPr>
            <w:r w:rsidRPr="005E353E">
              <w:rPr>
                <w:lang w:eastAsia="en-AU"/>
              </w:rPr>
              <w:t xml:space="preserve">15 Mar 2015, </w:t>
            </w:r>
          </w:p>
          <w:p w:rsidR="00A53D7D" w:rsidRPr="005E353E" w:rsidRDefault="00A53D7D" w:rsidP="005140B4">
            <w:pPr>
              <w:pStyle w:val="OGTableofFigures"/>
              <w:rPr>
                <w:lang w:eastAsia="en-AU"/>
              </w:rPr>
            </w:pPr>
            <w:r w:rsidRPr="005E353E">
              <w:rPr>
                <w:lang w:eastAsia="en-AU"/>
              </w:rPr>
              <w:t>15 May 2015</w:t>
            </w:r>
          </w:p>
        </w:tc>
        <w:tc>
          <w:tcPr>
            <w:tcW w:w="993" w:type="dxa"/>
            <w:tcBorders>
              <w:top w:val="single" w:sz="6" w:space="0" w:color="auto"/>
              <w:left w:val="nil"/>
              <w:bottom w:val="single" w:sz="6" w:space="0" w:color="auto"/>
              <w:right w:val="nil"/>
            </w:tcBorders>
            <w:shd w:val="clear" w:color="000000" w:fill="FFFFFF"/>
            <w:hideMark/>
          </w:tcPr>
          <w:p w:rsidR="00A53D7D" w:rsidRDefault="00A53D7D" w:rsidP="005140B4">
            <w:pPr>
              <w:pStyle w:val="OGTableofFigures"/>
              <w:rPr>
                <w:lang w:eastAsia="en-AU"/>
              </w:rPr>
            </w:pPr>
            <w:r w:rsidRPr="005E353E">
              <w:rPr>
                <w:lang w:eastAsia="en-AU"/>
              </w:rPr>
              <w:t xml:space="preserve">15 Oct 2013, </w:t>
            </w:r>
          </w:p>
          <w:p w:rsidR="00A53D7D" w:rsidRDefault="00A53D7D" w:rsidP="005140B4">
            <w:pPr>
              <w:pStyle w:val="OGTableofFigures"/>
              <w:rPr>
                <w:lang w:eastAsia="en-AU"/>
              </w:rPr>
            </w:pPr>
            <w:r w:rsidRPr="005E353E">
              <w:rPr>
                <w:lang w:eastAsia="en-AU"/>
              </w:rPr>
              <w:t>15 Nov 2013,</w:t>
            </w:r>
          </w:p>
          <w:p w:rsidR="00A53D7D" w:rsidRDefault="00A53D7D" w:rsidP="005140B4">
            <w:pPr>
              <w:pStyle w:val="OGTableofFigures"/>
              <w:rPr>
                <w:lang w:eastAsia="en-AU"/>
              </w:rPr>
            </w:pPr>
            <w:r w:rsidRPr="005E353E">
              <w:rPr>
                <w:lang w:eastAsia="en-AU"/>
              </w:rPr>
              <w:t xml:space="preserve"> 15 Mar 2014, </w:t>
            </w:r>
          </w:p>
          <w:p w:rsidR="00A53D7D" w:rsidRPr="005E353E" w:rsidRDefault="00A53D7D" w:rsidP="005140B4">
            <w:pPr>
              <w:pStyle w:val="OGTableofFigures"/>
              <w:rPr>
                <w:lang w:eastAsia="en-AU"/>
              </w:rPr>
            </w:pPr>
            <w:r w:rsidRPr="005E353E">
              <w:rPr>
                <w:lang w:eastAsia="en-AU"/>
              </w:rPr>
              <w:t>15 May 2014</w:t>
            </w:r>
          </w:p>
        </w:tc>
        <w:tc>
          <w:tcPr>
            <w:tcW w:w="907" w:type="dxa"/>
            <w:tcBorders>
              <w:top w:val="single" w:sz="6" w:space="0" w:color="auto"/>
              <w:left w:val="nil"/>
              <w:bottom w:val="single" w:sz="6" w:space="0" w:color="auto"/>
              <w:right w:val="nil"/>
            </w:tcBorders>
            <w:shd w:val="clear" w:color="000000" w:fill="FFFFFF"/>
            <w:hideMark/>
          </w:tcPr>
          <w:p w:rsidR="00A53D7D" w:rsidRDefault="00A53D7D" w:rsidP="005140B4">
            <w:pPr>
              <w:pStyle w:val="OGTableofFigures"/>
              <w:rPr>
                <w:lang w:eastAsia="en-AU"/>
              </w:rPr>
            </w:pPr>
            <w:r w:rsidRPr="005E353E">
              <w:rPr>
                <w:lang w:eastAsia="en-AU"/>
              </w:rPr>
              <w:t xml:space="preserve">15 Oct 2013, </w:t>
            </w:r>
          </w:p>
          <w:p w:rsidR="00A53D7D" w:rsidRDefault="00A53D7D" w:rsidP="005140B4">
            <w:pPr>
              <w:pStyle w:val="OGTableofFigures"/>
              <w:rPr>
                <w:lang w:eastAsia="en-AU"/>
              </w:rPr>
            </w:pPr>
            <w:r w:rsidRPr="005E353E">
              <w:rPr>
                <w:lang w:eastAsia="en-AU"/>
              </w:rPr>
              <w:t xml:space="preserve">15 Nov 2013, </w:t>
            </w:r>
          </w:p>
          <w:p w:rsidR="00A53D7D" w:rsidRDefault="00A53D7D" w:rsidP="005140B4">
            <w:pPr>
              <w:pStyle w:val="OGTableofFigures"/>
              <w:rPr>
                <w:lang w:eastAsia="en-AU"/>
              </w:rPr>
            </w:pPr>
            <w:r w:rsidRPr="005E353E">
              <w:rPr>
                <w:lang w:eastAsia="en-AU"/>
              </w:rPr>
              <w:t xml:space="preserve">15 Mar 2014, </w:t>
            </w:r>
          </w:p>
          <w:p w:rsidR="00A53D7D" w:rsidRPr="005E353E" w:rsidRDefault="00A53D7D" w:rsidP="005140B4">
            <w:pPr>
              <w:pStyle w:val="OGTableofFigures"/>
              <w:rPr>
                <w:lang w:eastAsia="en-AU"/>
              </w:rPr>
            </w:pPr>
            <w:r w:rsidRPr="005E353E">
              <w:rPr>
                <w:lang w:eastAsia="en-AU"/>
              </w:rPr>
              <w:t>15 May 2014</w:t>
            </w:r>
          </w:p>
        </w:tc>
        <w:tc>
          <w:tcPr>
            <w:tcW w:w="907" w:type="dxa"/>
            <w:tcBorders>
              <w:top w:val="single" w:sz="6" w:space="0" w:color="auto"/>
              <w:left w:val="nil"/>
              <w:bottom w:val="single" w:sz="6" w:space="0" w:color="auto"/>
              <w:right w:val="nil"/>
            </w:tcBorders>
            <w:shd w:val="clear" w:color="000000" w:fill="FFFFFF"/>
            <w:hideMark/>
          </w:tcPr>
          <w:p w:rsidR="00A53D7D" w:rsidRDefault="00A53D7D" w:rsidP="005140B4">
            <w:pPr>
              <w:pStyle w:val="OGTableofFigures"/>
              <w:rPr>
                <w:lang w:eastAsia="en-AU"/>
              </w:rPr>
            </w:pPr>
            <w:r w:rsidRPr="005E353E">
              <w:rPr>
                <w:lang w:eastAsia="en-AU"/>
              </w:rPr>
              <w:t>15 Oct 2012,</w:t>
            </w:r>
          </w:p>
          <w:p w:rsidR="00A53D7D" w:rsidRDefault="00A53D7D" w:rsidP="005140B4">
            <w:pPr>
              <w:pStyle w:val="OGTableofFigures"/>
              <w:rPr>
                <w:lang w:eastAsia="en-AU"/>
              </w:rPr>
            </w:pPr>
            <w:r w:rsidRPr="005E353E">
              <w:rPr>
                <w:lang w:eastAsia="en-AU"/>
              </w:rPr>
              <w:t xml:space="preserve"> 15 Nov 2012, </w:t>
            </w:r>
          </w:p>
          <w:p w:rsidR="00A53D7D" w:rsidRDefault="00A53D7D" w:rsidP="005140B4">
            <w:pPr>
              <w:pStyle w:val="OGTableofFigures"/>
              <w:rPr>
                <w:lang w:eastAsia="en-AU"/>
              </w:rPr>
            </w:pPr>
            <w:r w:rsidRPr="005E353E">
              <w:rPr>
                <w:lang w:eastAsia="en-AU"/>
              </w:rPr>
              <w:t xml:space="preserve">15 Mar 2013, </w:t>
            </w:r>
          </w:p>
          <w:p w:rsidR="00A53D7D" w:rsidRPr="005E353E" w:rsidRDefault="00A53D7D" w:rsidP="005140B4">
            <w:pPr>
              <w:pStyle w:val="OGTableofFigures"/>
              <w:rPr>
                <w:lang w:eastAsia="en-AU"/>
              </w:rPr>
            </w:pPr>
            <w:r w:rsidRPr="005E353E">
              <w:rPr>
                <w:lang w:eastAsia="en-AU"/>
              </w:rPr>
              <w:t>15 May 2013</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Total output cost</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9.3</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10.7</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14.7</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15.7</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The 2014</w:t>
            </w:r>
            <w:r>
              <w:noBreakHyphen/>
            </w:r>
            <w:r w:rsidRPr="005E353E">
              <w:t>15 target reflects internal reprioritisation of resources resulting from departmental restructure.</w:t>
            </w:r>
          </w:p>
        </w:tc>
      </w:tr>
      <w:tr w:rsidR="00A53D7D" w:rsidRPr="005E353E" w:rsidTr="005140B4">
        <w:trPr>
          <w:cantSplit/>
        </w:trPr>
        <w:tc>
          <w:tcPr>
            <w:tcW w:w="7776" w:type="dxa"/>
            <w:gridSpan w:val="6"/>
            <w:tcBorders>
              <w:top w:val="single" w:sz="6" w:space="0" w:color="auto"/>
              <w:left w:val="nil"/>
              <w:right w:val="nil"/>
            </w:tcBorders>
            <w:shd w:val="clear" w:color="auto" w:fill="auto"/>
            <w:vAlign w:val="bottom"/>
            <w:hideMark/>
          </w:tcPr>
          <w:p w:rsidR="00A53D7D" w:rsidRPr="005E353E" w:rsidRDefault="00A53D7D" w:rsidP="005140B4">
            <w:pPr>
              <w:pStyle w:val="OGHeading2"/>
              <w:rPr>
                <w:lang w:eastAsia="en-AU"/>
              </w:rPr>
            </w:pPr>
            <w:r w:rsidRPr="005E353E">
              <w:rPr>
                <w:lang w:eastAsia="en-AU"/>
              </w:rPr>
              <w:t>GBE Performance Monitoring and Financial Risk Management</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5E353E">
              <w:rPr>
                <w:lang w:eastAsia="en-AU"/>
              </w:rPr>
              <w:t>This output monitors the performance of Government Business Enterprises (GBEs) and Registered Housing Agencies, and manages the State's financial risk. It contributes to the Department's objective of ensuring sound financial management of Victoria's fiscal resources</w:t>
            </w:r>
            <w:r>
              <w:rPr>
                <w:lang w:eastAsia="en-AU"/>
              </w:rPr>
              <w:t> </w:t>
            </w:r>
            <w:r w:rsidRPr="005E353E">
              <w:rPr>
                <w:lang w:eastAsia="en-AU"/>
              </w:rPr>
              <w:t>by:</w:t>
            </w:r>
          </w:p>
          <w:p w:rsidR="00A53D7D" w:rsidRDefault="00A53D7D" w:rsidP="005140B4">
            <w:pPr>
              <w:pStyle w:val="OGTabBullet"/>
            </w:pPr>
            <w:r w:rsidRPr="005E353E">
              <w:t>monitoring and providing advice on the financial and operational performance of GBEs and Registered Housing Agencies;</w:t>
            </w:r>
          </w:p>
          <w:p w:rsidR="00A53D7D" w:rsidRDefault="00A53D7D" w:rsidP="005140B4">
            <w:pPr>
              <w:pStyle w:val="OGTabBullet"/>
            </w:pPr>
            <w:r w:rsidRPr="005E353E">
              <w:t>developing and implementing prudential risk management and reporting frameworks in respect of public financial corporations (PFCs) and strategies to manage the State's financial risks;</w:t>
            </w:r>
          </w:p>
          <w:p w:rsidR="00A53D7D" w:rsidRDefault="00A53D7D" w:rsidP="005140B4">
            <w:pPr>
              <w:pStyle w:val="OGTabBullet"/>
            </w:pPr>
            <w:r w:rsidRPr="005E353E">
              <w:t>overseeing policy and strategies to manage the State's investment, borrowing, unfunded superannuation and insurance claims obligations and the management of the associated risks; and</w:t>
            </w:r>
          </w:p>
          <w:p w:rsidR="00A53D7D" w:rsidRPr="005E353E" w:rsidRDefault="00A53D7D" w:rsidP="005140B4">
            <w:pPr>
              <w:pStyle w:val="OGTabBullet"/>
            </w:pPr>
            <w:proofErr w:type="gramStart"/>
            <w:r w:rsidRPr="005E353E">
              <w:t>producing</w:t>
            </w:r>
            <w:proofErr w:type="gramEnd"/>
            <w:r w:rsidRPr="005E353E">
              <w:t xml:space="preserve"> budget and financial reporting data for the public non</w:t>
            </w:r>
            <w:r>
              <w:noBreakHyphen/>
            </w:r>
            <w:r w:rsidRPr="005E353E">
              <w:t>financial corporation (PNFC) and PFC sectors.</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Quantity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Annual performance and compliance review of registered housing agencies</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43</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42</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42</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41</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Board appointments</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46</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114</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93</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96</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353E">
              <w:t>The lower 2014</w:t>
            </w:r>
            <w:r>
              <w:noBreakHyphen/>
            </w:r>
            <w:r w:rsidRPr="005E353E">
              <w:t xml:space="preserve">15 target is driven by </w:t>
            </w:r>
            <w:r>
              <w:t>board member expiry for the 2014</w:t>
            </w:r>
            <w:r>
              <w:noBreakHyphen/>
              <w:t xml:space="preserve">15 financial year and </w:t>
            </w:r>
            <w:r w:rsidRPr="005E353E">
              <w:t xml:space="preserve">79 water </w:t>
            </w:r>
            <w:proofErr w:type="gramStart"/>
            <w:r w:rsidRPr="005E353E">
              <w:t>entity</w:t>
            </w:r>
            <w:proofErr w:type="gramEnd"/>
            <w:r w:rsidRPr="005E353E">
              <w:t xml:space="preserve"> board appointments that are now the responsibility of the Minister for Water. </w:t>
            </w:r>
          </w:p>
          <w:p w:rsidR="00A53D7D" w:rsidRPr="005E353E" w:rsidRDefault="00A53D7D" w:rsidP="005140B4">
            <w:pPr>
              <w:pStyle w:val="OGNotes"/>
            </w:pPr>
            <w:r w:rsidRPr="005E353E">
              <w:t>The 2013</w:t>
            </w:r>
            <w:r>
              <w:noBreakHyphen/>
            </w:r>
            <w:r w:rsidRPr="005E353E">
              <w:t>14 expected outcome is higher than the 2013</w:t>
            </w:r>
            <w:r>
              <w:noBreakHyphen/>
            </w:r>
            <w:r w:rsidRPr="005E353E">
              <w:t xml:space="preserve">14 target due to </w:t>
            </w:r>
            <w:r>
              <w:t xml:space="preserve">a higher number of </w:t>
            </w:r>
            <w:r w:rsidRPr="005E353E">
              <w:t xml:space="preserve">appointments </w:t>
            </w:r>
            <w:r>
              <w:t xml:space="preserve">than </w:t>
            </w:r>
            <w:r w:rsidRPr="005E353E">
              <w:t>forecast.</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Corporate plans reviewed and assessed and quarterly performance reports</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195</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192</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193</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193</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The 2013</w:t>
            </w:r>
            <w:r>
              <w:noBreakHyphen/>
            </w:r>
            <w:r w:rsidRPr="005E353E">
              <w:t>14 expected outcome is lower than the 2013</w:t>
            </w:r>
            <w:r>
              <w:noBreakHyphen/>
            </w:r>
            <w:r w:rsidRPr="005E353E">
              <w:t>14 target due to changes in ministerial responsibilities for CenITex.</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Dividends negotiated</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42</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43</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34</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36</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The higher 2014</w:t>
            </w:r>
            <w:r>
              <w:noBreakHyphen/>
            </w:r>
            <w:r w:rsidRPr="005E353E">
              <w:t>15 target reflects anticipation of additional negotiated dividends in 2014</w:t>
            </w:r>
            <w:r>
              <w:noBreakHyphen/>
            </w:r>
            <w:r w:rsidRPr="005E353E">
              <w:t>15. The 2013</w:t>
            </w:r>
            <w:r>
              <w:noBreakHyphen/>
            </w:r>
            <w:r w:rsidRPr="005E353E">
              <w:t>14 expected outcome is higher than the 2013</w:t>
            </w:r>
            <w:r>
              <w:noBreakHyphen/>
            </w:r>
            <w:r w:rsidRPr="005E353E">
              <w:t>14 target due to higher than expected number of dividends negotiated.</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Manage the review process for the State's credit rating</w:t>
            </w:r>
            <w:r>
              <w:rPr>
                <w:lang w:eastAsia="en-AU"/>
              </w:rPr>
              <w:t>: number of presentations to credit rating agencies</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2</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4</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2</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CA1B33" w:rsidRDefault="00A53D7D" w:rsidP="005140B4">
            <w:pPr>
              <w:pStyle w:val="OGNotes"/>
            </w:pPr>
            <w:r w:rsidRPr="00037293">
              <w:t>This performance measure renames t</w:t>
            </w:r>
            <w:r>
              <w:t>he 2013</w:t>
            </w:r>
            <w:r>
              <w:noBreakHyphen/>
              <w:t>14 performance measure ‘</w:t>
            </w:r>
            <w:r w:rsidRPr="00037293">
              <w:t>Manage the review process for the State's credit rating</w:t>
            </w:r>
            <w:r>
              <w:t>’</w:t>
            </w:r>
            <w:r w:rsidRPr="00037293">
              <w:t>. The measure reports on the same activity as the previous measure but has been amended for increased clarity.</w:t>
            </w:r>
          </w:p>
          <w:p w:rsidR="00A53D7D" w:rsidRPr="005E353E" w:rsidRDefault="00A53D7D" w:rsidP="00560216">
            <w:pPr>
              <w:pStyle w:val="OGNotes"/>
            </w:pPr>
            <w:r w:rsidRPr="005E353E">
              <w:t>The 2013</w:t>
            </w:r>
            <w:r>
              <w:noBreakHyphen/>
            </w:r>
            <w:r w:rsidRPr="005E353E">
              <w:t>14 expected outcome is higher than the 2013</w:t>
            </w:r>
            <w:r>
              <w:noBreakHyphen/>
            </w:r>
            <w:r w:rsidRPr="005E353E">
              <w:t>14 target due to a credit rating presentation rescheduled from 2012</w:t>
            </w:r>
            <w:r>
              <w:noBreakHyphen/>
            </w:r>
            <w:r w:rsidRPr="005E353E">
              <w:t>13, resulting in two presentations in July 2013</w:t>
            </w:r>
            <w:r>
              <w:t xml:space="preserve"> and an additional presentation in May 2014.</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keepNext/>
              <w:rPr>
                <w:lang w:eastAsia="en-AU"/>
              </w:rPr>
            </w:pPr>
            <w:r w:rsidRPr="005E353E">
              <w:rPr>
                <w:lang w:eastAsia="en-AU"/>
              </w:rPr>
              <w:t>Provide financial policy advice on borrowings, investments, insurance, and superannuation issues and prudential supervision</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keepNext/>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keepNext/>
              <w:rPr>
                <w:lang w:eastAsia="en-AU"/>
              </w:rPr>
            </w:pPr>
            <w:r w:rsidRPr="005E353E">
              <w:rPr>
                <w:lang w:eastAsia="en-AU"/>
              </w:rPr>
              <w:t>100</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keepNext/>
              <w:rPr>
                <w:lang w:eastAsia="en-AU"/>
              </w:rPr>
            </w:pPr>
            <w:r w:rsidRPr="005E353E">
              <w:rPr>
                <w:lang w:eastAsia="en-AU"/>
              </w:rPr>
              <w:t>95</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keepNext/>
              <w:rPr>
                <w:lang w:eastAsia="en-AU"/>
              </w:rPr>
            </w:pPr>
            <w:r w:rsidRPr="005E353E">
              <w:rPr>
                <w:lang w:eastAsia="en-AU"/>
              </w:rPr>
              <w:t>88</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keepNext/>
              <w:rPr>
                <w:lang w:eastAsia="en-AU"/>
              </w:rPr>
            </w:pPr>
            <w:r w:rsidRPr="005E353E">
              <w:rPr>
                <w:lang w:eastAsia="en-AU"/>
              </w:rPr>
              <w:t>108</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CA1B33" w:rsidRDefault="00A53D7D" w:rsidP="005140B4">
            <w:pPr>
              <w:pStyle w:val="OGNotes"/>
            </w:pPr>
            <w:r w:rsidRPr="00AD3517">
              <w:t>This performance measure renames the 2013</w:t>
            </w:r>
            <w:r>
              <w:noBreakHyphen/>
              <w:t>14 performance measure ‘</w:t>
            </w:r>
            <w:r w:rsidRPr="00AD3517">
              <w:t xml:space="preserve">Provide financial policy advice on borrowings, </w:t>
            </w:r>
            <w:r w:rsidRPr="00CA1B33">
              <w:t>investments, superannuation issues, and prudential supervision</w:t>
            </w:r>
            <w:r>
              <w:t>’</w:t>
            </w:r>
            <w:r w:rsidRPr="00CA1B33">
              <w:t xml:space="preserve"> to clarify that advice on insurance issues is included in this measure.</w:t>
            </w:r>
          </w:p>
          <w:p w:rsidR="00A53D7D" w:rsidRPr="005E353E" w:rsidRDefault="00A53D7D" w:rsidP="005140B4">
            <w:pPr>
              <w:pStyle w:val="OGNotes"/>
            </w:pPr>
            <w:r w:rsidRPr="00CA1B33">
              <w:t>The higher 2014</w:t>
            </w:r>
            <w:r>
              <w:noBreakHyphen/>
            </w:r>
            <w:r w:rsidRPr="00CA1B33">
              <w:t xml:space="preserve">15 target </w:t>
            </w:r>
            <w:r>
              <w:t>has been adjusted to reflect historical performance</w:t>
            </w:r>
            <w:r w:rsidRPr="00CA1B33">
              <w:t>.</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Provision of Budget Sector debt, public authority income and superannuation estimates and analysis and commentary on the PNFC and PFC sectors for whole</w:t>
            </w:r>
            <w:r>
              <w:rPr>
                <w:lang w:eastAsia="en-AU"/>
              </w:rPr>
              <w:t xml:space="preserve"> </w:t>
            </w:r>
            <w:r w:rsidRPr="005E353E">
              <w:rPr>
                <w:lang w:eastAsia="en-AU"/>
              </w:rPr>
              <w:t>of</w:t>
            </w:r>
            <w:r>
              <w:rPr>
                <w:lang w:eastAsia="en-AU"/>
              </w:rPr>
              <w:t xml:space="preserve"> </w:t>
            </w:r>
            <w:r w:rsidRPr="005E353E">
              <w:rPr>
                <w:lang w:eastAsia="en-AU"/>
              </w:rPr>
              <w:t>government published financial reports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6</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6</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6</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6</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Review of financial position of business entities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12</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12</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12</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12</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Quality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Maintain ISO 9001 (Quality Management Systems) Certification</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Timeliness</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 xml:space="preserve">Analysis and review of corporate plans, quarterly performance reports within </w:t>
            </w:r>
            <w:r>
              <w:rPr>
                <w:lang w:eastAsia="en-AU"/>
              </w:rPr>
              <w:t>three</w:t>
            </w:r>
            <w:r w:rsidRPr="005E353E">
              <w:rPr>
                <w:lang w:eastAsia="en-AU"/>
              </w:rPr>
              <w:t xml:space="preserve"> months of receipt</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90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90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90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90</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Board appointments approved within agreed timelines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Dividend payments made within agreed timeframes</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This performance measure renames the 2013</w:t>
            </w:r>
            <w:r>
              <w:noBreakHyphen/>
              <w:t>14 performance measure ‘</w:t>
            </w:r>
            <w:r w:rsidRPr="005E353E">
              <w:t>Dates m</w:t>
            </w:r>
            <w:r>
              <w:t>et for dividend payments’. The</w:t>
            </w:r>
            <w:r w:rsidRPr="005E353E">
              <w:t xml:space="preserve"> measure reports on the same activity as the previous measure but has been amended for increased clarity.</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Total output cost</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11.8</w:t>
            </w:r>
          </w:p>
        </w:tc>
        <w:tc>
          <w:tcPr>
            <w:tcW w:w="993" w:type="dxa"/>
            <w:tcBorders>
              <w:top w:val="nil"/>
              <w:left w:val="nil"/>
              <w:right w:val="nil"/>
            </w:tcBorders>
            <w:shd w:val="clear" w:color="000000" w:fill="FFFFFF"/>
            <w:hideMark/>
          </w:tcPr>
          <w:p w:rsidR="00A53D7D" w:rsidRPr="00B3586A" w:rsidRDefault="00A53D7D" w:rsidP="005140B4">
            <w:pPr>
              <w:pStyle w:val="OGTableofFigures"/>
              <w:rPr>
                <w:lang w:eastAsia="en-AU"/>
              </w:rPr>
            </w:pPr>
            <w:r w:rsidRPr="00B3586A">
              <w:rPr>
                <w:lang w:eastAsia="en-AU"/>
              </w:rPr>
              <w:t>10.9</w:t>
            </w:r>
          </w:p>
        </w:tc>
        <w:tc>
          <w:tcPr>
            <w:tcW w:w="907" w:type="dxa"/>
            <w:tcBorders>
              <w:top w:val="nil"/>
              <w:left w:val="nil"/>
              <w:right w:val="nil"/>
            </w:tcBorders>
            <w:shd w:val="clear" w:color="000000" w:fill="FFFFFF"/>
            <w:hideMark/>
          </w:tcPr>
          <w:p w:rsidR="00A53D7D" w:rsidRPr="00B3586A" w:rsidRDefault="00A53D7D" w:rsidP="005140B4">
            <w:pPr>
              <w:pStyle w:val="OGTableofFigures"/>
              <w:rPr>
                <w:lang w:eastAsia="en-AU"/>
              </w:rPr>
            </w:pPr>
            <w:r w:rsidRPr="00B3586A">
              <w:rPr>
                <w:lang w:eastAsia="en-AU"/>
              </w:rPr>
              <w:t>6.8</w:t>
            </w:r>
          </w:p>
        </w:tc>
        <w:tc>
          <w:tcPr>
            <w:tcW w:w="907" w:type="dxa"/>
            <w:tcBorders>
              <w:top w:val="nil"/>
              <w:left w:val="nil"/>
              <w:right w:val="nil"/>
            </w:tcBorders>
            <w:shd w:val="clear" w:color="000000" w:fill="FFFFFF"/>
            <w:hideMark/>
          </w:tcPr>
          <w:p w:rsidR="00A53D7D" w:rsidRPr="00B3586A" w:rsidRDefault="00A53D7D" w:rsidP="005140B4">
            <w:pPr>
              <w:pStyle w:val="OGTableofFigures"/>
              <w:rPr>
                <w:lang w:eastAsia="en-AU"/>
              </w:rPr>
            </w:pPr>
            <w:r w:rsidRPr="00B3586A">
              <w:rPr>
                <w:lang w:eastAsia="en-AU"/>
              </w:rPr>
              <w:t>7.7</w:t>
            </w:r>
          </w:p>
        </w:tc>
      </w:tr>
      <w:tr w:rsidR="00A53D7D" w:rsidRPr="005E353E" w:rsidTr="005140B4">
        <w:trPr>
          <w:cantSplit/>
        </w:trPr>
        <w:tc>
          <w:tcPr>
            <w:tcW w:w="7776" w:type="dxa"/>
            <w:gridSpan w:val="6"/>
            <w:tcBorders>
              <w:top w:val="nil"/>
              <w:left w:val="nil"/>
              <w:bottom w:val="single" w:sz="12" w:space="0" w:color="auto"/>
              <w:right w:val="nil"/>
            </w:tcBorders>
            <w:shd w:val="clear" w:color="auto" w:fill="auto"/>
            <w:vAlign w:val="bottom"/>
            <w:hideMark/>
          </w:tcPr>
          <w:p w:rsidR="00A53D7D" w:rsidRDefault="00A53D7D" w:rsidP="005140B4">
            <w:pPr>
              <w:pStyle w:val="OGNotes"/>
            </w:pPr>
            <w:r w:rsidRPr="005E353E">
              <w:t xml:space="preserve">The </w:t>
            </w:r>
            <w:r>
              <w:t xml:space="preserve">higher </w:t>
            </w:r>
            <w:r w:rsidRPr="005E353E">
              <w:t>2014</w:t>
            </w:r>
            <w:r>
              <w:noBreakHyphen/>
            </w:r>
            <w:r w:rsidRPr="005E353E">
              <w:t xml:space="preserve">15 target reflects internal reprioritisation of resources resulting from </w:t>
            </w:r>
            <w:r>
              <w:t xml:space="preserve">a </w:t>
            </w:r>
            <w:r w:rsidRPr="005E353E">
              <w:t>departmental restructure.</w:t>
            </w:r>
          </w:p>
          <w:p w:rsidR="00A53D7D" w:rsidRPr="005E353E" w:rsidRDefault="00A53D7D" w:rsidP="005140B4">
            <w:pPr>
              <w:pStyle w:val="OGNotes"/>
            </w:pPr>
            <w:r>
              <w:t>The 2013</w:t>
            </w:r>
            <w:r>
              <w:noBreakHyphen/>
              <w:t>14 expected outcome is higher than the 2013</w:t>
            </w:r>
            <w:r>
              <w:noBreakHyphen/>
              <w:t>14 target due to internal reprioritisation of resources resulting from a departmental restructure.</w:t>
            </w:r>
          </w:p>
        </w:tc>
      </w:tr>
    </w:tbl>
    <w:p w:rsidR="00A53D7D" w:rsidRDefault="00A53D7D" w:rsidP="005140B4">
      <w:pPr>
        <w:pStyle w:val="Source"/>
      </w:pPr>
      <w:r>
        <w:t>Source: Department of Treasury and Finance</w:t>
      </w:r>
      <w:r>
        <w:fldChar w:fldCharType="begin"/>
      </w:r>
      <w:r>
        <w:instrText xml:space="preserve"> XE "</w:instrText>
      </w:r>
      <w:r w:rsidRPr="00F47541">
        <w:rPr>
          <w:lang w:eastAsia="en-AU"/>
        </w:rPr>
        <w:instrText>Department of Treasury and Finance</w:instrText>
      </w:r>
      <w:r w:rsidRPr="00F47541">
        <w:instrText>:Financial Management Services</w:instrText>
      </w:r>
      <w:r>
        <w:instrText xml:space="preserve">" \r "DTFFinMgmt" </w:instrText>
      </w:r>
      <w:r>
        <w:fldChar w:fldCharType="end"/>
      </w:r>
      <w:r>
        <w:fldChar w:fldCharType="begin"/>
      </w:r>
      <w:r>
        <w:instrText xml:space="preserve"> XE "</w:instrText>
      </w:r>
      <w:r w:rsidRPr="008F564C">
        <w:rPr>
          <w:lang w:eastAsia="en-AU"/>
        </w:rPr>
        <w:instrText>Financial Management Services</w:instrText>
      </w:r>
      <w:r>
        <w:instrText xml:space="preserve">" \r "DTFFinMgmt" </w:instrText>
      </w:r>
      <w:r>
        <w:fldChar w:fldCharType="end"/>
      </w:r>
      <w:r>
        <w:t xml:space="preserve">  </w:t>
      </w:r>
      <w:bookmarkEnd w:id="141"/>
    </w:p>
    <w:p w:rsidR="00A53D7D" w:rsidRDefault="00A53D7D" w:rsidP="005140B4">
      <w:pPr>
        <w:pStyle w:val="Source"/>
        <w:rPr>
          <w:lang w:eastAsia="en-AU"/>
        </w:rPr>
      </w:pPr>
    </w:p>
    <w:p w:rsidR="00A53D7D" w:rsidRDefault="00A53D7D" w:rsidP="005140B4">
      <w:pPr>
        <w:rPr>
          <w:lang w:eastAsia="en-AU"/>
        </w:rPr>
      </w:pPr>
      <w:r>
        <w:rPr>
          <w:lang w:eastAsia="en-AU"/>
        </w:rPr>
        <w:br w:type="page"/>
      </w:r>
    </w:p>
    <w:p w:rsidR="00A53D7D" w:rsidRPr="005E353E" w:rsidRDefault="00A53D7D" w:rsidP="005140B4">
      <w:pPr>
        <w:pStyle w:val="OGHeading1"/>
        <w:rPr>
          <w:lang w:eastAsia="en-AU"/>
        </w:rPr>
      </w:pPr>
      <w:bookmarkStart w:id="142" w:name="DTFRegSvces"/>
      <w:r w:rsidRPr="005E353E">
        <w:rPr>
          <w:lang w:eastAsia="en-AU"/>
        </w:rPr>
        <w:t>Regulatory Services</w:t>
      </w:r>
    </w:p>
    <w:p w:rsidR="00A53D7D" w:rsidRDefault="00A53D7D" w:rsidP="005140B4">
      <w:pPr>
        <w:pStyle w:val="OGText"/>
        <w:rPr>
          <w:lang w:eastAsia="en-AU"/>
        </w:rPr>
      </w:pPr>
      <w:r w:rsidRPr="005E353E">
        <w:rPr>
          <w:lang w:eastAsia="en-AU"/>
        </w:rPr>
        <w:t>These outputs regulate utilities and other regulated markets in Victoria, and provide advice on ways the Government can improve the business environment.</w:t>
      </w:r>
    </w:p>
    <w:p w:rsidR="00A53D7D" w:rsidRPr="005E353E" w:rsidRDefault="00A53D7D" w:rsidP="005140B4">
      <w:pPr>
        <w:pStyle w:val="OGText"/>
        <w:rPr>
          <w:lang w:eastAsia="en-AU"/>
        </w:rPr>
      </w:pPr>
      <w:r w:rsidRPr="005E353E">
        <w:rPr>
          <w:lang w:eastAsia="en-AU"/>
        </w:rPr>
        <w:t>By informing Government on ways to create a competitive business environment and by efficiently regulating utilities and other specified markets to protect the long</w:t>
      </w:r>
      <w:r>
        <w:rPr>
          <w:lang w:eastAsia="en-AU"/>
        </w:rPr>
        <w:noBreakHyphen/>
      </w:r>
      <w:r w:rsidRPr="005E353E">
        <w:rPr>
          <w:lang w:eastAsia="en-AU"/>
        </w:rPr>
        <w:t xml:space="preserve">term interests of Victorian consumers with regard to price, </w:t>
      </w:r>
      <w:proofErr w:type="gramStart"/>
      <w:r w:rsidRPr="005E353E">
        <w:rPr>
          <w:lang w:eastAsia="en-AU"/>
        </w:rPr>
        <w:t>quality</w:t>
      </w:r>
      <w:proofErr w:type="gramEnd"/>
      <w:r w:rsidRPr="005E353E">
        <w:rPr>
          <w:lang w:eastAsia="en-AU"/>
        </w:rPr>
        <w:t xml:space="preserve"> and reliability of essential services, these outputs con</w:t>
      </w:r>
      <w:r>
        <w:rPr>
          <w:lang w:eastAsia="en-AU"/>
        </w:rPr>
        <w:t>tribute to the Department’s</w:t>
      </w:r>
      <w:r w:rsidRPr="005E353E">
        <w:rPr>
          <w:lang w:eastAsia="en-AU"/>
        </w:rPr>
        <w:t xml:space="preserve"> objective of guiding government actions to increase Victoria's productivity and competitiveness.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353E" w:rsidTr="005140B4">
        <w:trPr>
          <w:cantSplit/>
        </w:trPr>
        <w:tc>
          <w:tcPr>
            <w:tcW w:w="7776" w:type="dxa"/>
            <w:gridSpan w:val="6"/>
            <w:tcBorders>
              <w:top w:val="nil"/>
              <w:left w:val="nil"/>
              <w:right w:val="nil"/>
            </w:tcBorders>
            <w:shd w:val="clear" w:color="auto" w:fill="auto"/>
            <w:vAlign w:val="bottom"/>
            <w:hideMark/>
          </w:tcPr>
          <w:p w:rsidR="00A53D7D" w:rsidRPr="005E353E" w:rsidRDefault="00A53D7D" w:rsidP="005140B4">
            <w:pPr>
              <w:pStyle w:val="OGHeading2"/>
              <w:rPr>
                <w:lang w:eastAsia="en-AU"/>
              </w:rPr>
            </w:pPr>
            <w:r w:rsidRPr="005E353E">
              <w:rPr>
                <w:lang w:eastAsia="en-AU"/>
              </w:rPr>
              <w:t>Business Environment Policy Advice</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5E353E">
              <w:rPr>
                <w:lang w:eastAsia="en-AU"/>
              </w:rPr>
              <w:t>This output provides advice on ways the Government can improve the business environment. The output contributes to guiding Government actions to increase Victoria's productivity and competitiveness. It does this by:</w:t>
            </w:r>
          </w:p>
          <w:p w:rsidR="00A53D7D" w:rsidRDefault="00A53D7D" w:rsidP="00A6384E">
            <w:pPr>
              <w:pStyle w:val="OGTabBullet"/>
            </w:pPr>
            <w:r w:rsidRPr="005E353E">
              <w:t>reviewing Regulatory Impact Statements, Business Impact Assessments and Regulatory Change Management assessments;</w:t>
            </w:r>
          </w:p>
          <w:p w:rsidR="00A53D7D" w:rsidRDefault="00A53D7D" w:rsidP="00A6384E">
            <w:pPr>
              <w:pStyle w:val="OGTabBullet"/>
            </w:pPr>
            <w:r w:rsidRPr="005E353E">
              <w:t>undertaking inquiries and regulatory improvement studies into matters referred to it by the Government; and</w:t>
            </w:r>
          </w:p>
          <w:p w:rsidR="00A53D7D" w:rsidRPr="005E353E" w:rsidRDefault="00A53D7D" w:rsidP="00A6384E">
            <w:pPr>
              <w:pStyle w:val="OGTabBullet"/>
            </w:pPr>
            <w:proofErr w:type="gramStart"/>
            <w:r w:rsidRPr="005E353E">
              <w:t>operating</w:t>
            </w:r>
            <w:proofErr w:type="gramEnd"/>
            <w:r w:rsidRPr="005E353E">
              <w:t xml:space="preserve"> Victoria's competitive neutrality unit.</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Quantity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Advice on adequacy of final Regulatory Impact Statements, Business Impact Assessments and Regulatory Change Measurements prepared by departments</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35</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35</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35</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39</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Number of final inquiry reports submitted to Government</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2</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2</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2</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4</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Number of regulatory improvement studies submitted to Government</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2</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New performance measure for 2014</w:t>
            </w:r>
            <w:r>
              <w:noBreakHyphen/>
            </w:r>
            <w:r w:rsidRPr="005E353E">
              <w:t xml:space="preserve">15 to measure activity </w:t>
            </w:r>
            <w:r>
              <w:t>for</w:t>
            </w:r>
            <w:r w:rsidRPr="005E353E">
              <w:t xml:space="preserve"> a new function for the Victorian Competition and Efficiency Commission.</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Quality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Service provision rating (Commissioner assessment of Secretariat performance)</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80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80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80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80</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Timeliness</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Complete the initial assessment phase of Business Impact Assessments</w:t>
            </w:r>
            <w:r>
              <w:rPr>
                <w:lang w:eastAsia="en-AU"/>
              </w:rPr>
              <w:t xml:space="preserve"> </w:t>
            </w:r>
            <w:r w:rsidRPr="005E353E">
              <w:rPr>
                <w:lang w:eastAsia="en-AU"/>
              </w:rPr>
              <w:t>within 10 working days of receipt</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Complete the initial assessment phase of Regulatory Change Measurements within 10 working days of receipt</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92</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Complete the initial assessment phase of Regulatory Impact Statements within 10 working days of receipt</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90</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Completion of inquiry reports by due date</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Completion of regulatory improvement study reports by due date</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New performance measure for 2014</w:t>
            </w:r>
            <w:r>
              <w:noBreakHyphen/>
            </w:r>
            <w:r w:rsidRPr="005E353E">
              <w:t xml:space="preserve">15 to measure activity </w:t>
            </w:r>
            <w:r>
              <w:t>for</w:t>
            </w:r>
            <w:r w:rsidRPr="005E353E">
              <w:t xml:space="preserve"> a new function for the Victorian Competition and Efficiency Commission.</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Cost</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Total output cost</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5.4</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5.3</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6.2</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5.7</w:t>
            </w:r>
          </w:p>
        </w:tc>
      </w:tr>
      <w:tr w:rsidR="00A53D7D" w:rsidRPr="00427854" w:rsidTr="005140B4">
        <w:trPr>
          <w:cantSplit/>
        </w:trPr>
        <w:tc>
          <w:tcPr>
            <w:tcW w:w="7776" w:type="dxa"/>
            <w:gridSpan w:val="6"/>
            <w:tcBorders>
              <w:left w:val="nil"/>
              <w:bottom w:val="single" w:sz="4" w:space="0" w:color="auto"/>
              <w:right w:val="nil"/>
            </w:tcBorders>
            <w:shd w:val="clear" w:color="000000" w:fill="FFFFFF"/>
          </w:tcPr>
          <w:p w:rsidR="00A53D7D" w:rsidRDefault="00A53D7D" w:rsidP="005140B4">
            <w:pPr>
              <w:pStyle w:val="OGNotes"/>
            </w:pPr>
            <w:r>
              <w:t>The lower 2014</w:t>
            </w:r>
            <w:r>
              <w:noBreakHyphen/>
              <w:t>15 target reflects internal reprioritisation of resources resulting from a departmental restructure.</w:t>
            </w:r>
          </w:p>
          <w:p w:rsidR="00A53D7D" w:rsidRPr="00427854" w:rsidRDefault="00A53D7D" w:rsidP="005140B4">
            <w:pPr>
              <w:pStyle w:val="OGNotes"/>
              <w:rPr>
                <w:i w:val="0"/>
              </w:rPr>
            </w:pPr>
            <w:r w:rsidRPr="00427854">
              <w:t>The 2013</w:t>
            </w:r>
            <w:r>
              <w:noBreakHyphen/>
            </w:r>
            <w:r w:rsidRPr="00427854">
              <w:t>14 expected outcome is lower than the 2013</w:t>
            </w:r>
            <w:r>
              <w:noBreakHyphen/>
            </w:r>
            <w:r w:rsidRPr="00427854">
              <w:t>14 target due to internal reprioritisation of resources resulting from a departmental restructure.</w:t>
            </w:r>
          </w:p>
        </w:tc>
      </w:tr>
      <w:tr w:rsidR="00A53D7D" w:rsidRPr="005E353E" w:rsidTr="005140B4">
        <w:trPr>
          <w:cantSplit/>
        </w:trPr>
        <w:tc>
          <w:tcPr>
            <w:tcW w:w="7776" w:type="dxa"/>
            <w:gridSpan w:val="6"/>
            <w:tcBorders>
              <w:top w:val="single" w:sz="4" w:space="0" w:color="auto"/>
              <w:left w:val="nil"/>
              <w:right w:val="nil"/>
            </w:tcBorders>
            <w:shd w:val="clear" w:color="auto" w:fill="auto"/>
            <w:vAlign w:val="bottom"/>
            <w:hideMark/>
          </w:tcPr>
          <w:p w:rsidR="00A53D7D" w:rsidRPr="005E353E" w:rsidRDefault="00A53D7D" w:rsidP="005140B4">
            <w:pPr>
              <w:pStyle w:val="OGHeading2"/>
              <w:rPr>
                <w:lang w:eastAsia="en-AU"/>
              </w:rPr>
            </w:pPr>
            <w:r w:rsidRPr="005E353E">
              <w:rPr>
                <w:lang w:eastAsia="en-AU"/>
              </w:rPr>
              <w:t>Economic Regulatory Services</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Text"/>
              <w:rPr>
                <w:lang w:eastAsia="en-AU"/>
              </w:rPr>
            </w:pPr>
            <w:r w:rsidRPr="005E353E">
              <w:rPr>
                <w:lang w:eastAsia="en-AU"/>
              </w:rPr>
              <w:t>This output provides economic regulation of utilities and other specified markets in Victoria to protect the long</w:t>
            </w:r>
            <w:r>
              <w:rPr>
                <w:lang w:eastAsia="en-AU"/>
              </w:rPr>
              <w:noBreakHyphen/>
            </w:r>
            <w:r w:rsidRPr="005E353E">
              <w:rPr>
                <w:lang w:eastAsia="en-AU"/>
              </w:rPr>
              <w:t xml:space="preserve">term interests of Victorian consumers with regard to price, </w:t>
            </w:r>
            <w:proofErr w:type="gramStart"/>
            <w:r w:rsidRPr="005E353E">
              <w:rPr>
                <w:lang w:eastAsia="en-AU"/>
              </w:rPr>
              <w:t>quality</w:t>
            </w:r>
            <w:proofErr w:type="gramEnd"/>
            <w:r w:rsidRPr="005E353E">
              <w:rPr>
                <w:lang w:eastAsia="en-AU"/>
              </w:rPr>
              <w:t xml:space="preserve"> and reliability of essential services. By providing these services, this output contributes to the departmental objective of guiding government actions to increase Victoria's productivity and competitiveness.</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New or revised regulatory instruments issued</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6</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8</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8</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2</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The lower 2014</w:t>
            </w:r>
            <w:r>
              <w:noBreakHyphen/>
            </w:r>
            <w:r w:rsidRPr="005E353E">
              <w:t>15 target reflects</w:t>
            </w:r>
            <w:r>
              <w:t xml:space="preserve"> the number of new or revised regulatory instruments proposed to be made within the current</w:t>
            </w:r>
            <w:r w:rsidRPr="005E353E">
              <w:t xml:space="preserve"> legislative schedule</w:t>
            </w:r>
            <w:r>
              <w:t xml:space="preserve"> for 2014-15</w:t>
            </w:r>
            <w:r w:rsidRPr="005E353E">
              <w:t>.</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Performance reports for regulated businesses or industries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Pr>
                <w:lang w:eastAsia="en-AU"/>
              </w:rPr>
              <w:t>4</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4</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4</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4</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Performance reviews and compliance audits of regulated businesses</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Pr>
                <w:lang w:eastAsia="en-AU"/>
              </w:rPr>
              <w:t>102</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101</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105</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121</w:t>
            </w:r>
          </w:p>
        </w:tc>
      </w:tr>
      <w:tr w:rsidR="00A53D7D" w:rsidRPr="00705D00" w:rsidTr="005140B4">
        <w:trPr>
          <w:cantSplit/>
        </w:trPr>
        <w:tc>
          <w:tcPr>
            <w:tcW w:w="7776" w:type="dxa"/>
            <w:gridSpan w:val="6"/>
            <w:tcBorders>
              <w:left w:val="nil"/>
              <w:right w:val="nil"/>
            </w:tcBorders>
            <w:shd w:val="clear" w:color="000000" w:fill="FFFFFF"/>
          </w:tcPr>
          <w:p w:rsidR="00A53D7D" w:rsidRPr="00705D00" w:rsidRDefault="00A53D7D" w:rsidP="005140B4">
            <w:pPr>
              <w:pStyle w:val="OGNotes"/>
              <w:rPr>
                <w:color w:val="FF0000"/>
              </w:rPr>
            </w:pPr>
            <w:r w:rsidRPr="00263284">
              <w:t xml:space="preserve">The 2014-15 </w:t>
            </w:r>
            <w:proofErr w:type="gramStart"/>
            <w:r w:rsidRPr="00263284">
              <w:t>target</w:t>
            </w:r>
            <w:proofErr w:type="gramEnd"/>
            <w:r w:rsidRPr="00263284">
              <w:t xml:space="preserve"> is lower than the 2013-14 target as two audits of rural water businesses </w:t>
            </w:r>
            <w:r>
              <w:t xml:space="preserve">will </w:t>
            </w:r>
            <w:r w:rsidRPr="00263284">
              <w:t>not</w:t>
            </w:r>
            <w:r>
              <w:t xml:space="preserve"> be</w:t>
            </w:r>
            <w:r w:rsidRPr="00263284">
              <w:t xml:space="preserve"> required and one further audit </w:t>
            </w:r>
            <w:r>
              <w:t xml:space="preserve">is </w:t>
            </w:r>
            <w:r w:rsidRPr="00263284">
              <w:t>not required due to lower activity in the VEET Scheme.</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Price approvals of regulated businesses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19</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19</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19</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19</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keepNext/>
              <w:rPr>
                <w:lang w:eastAsia="en-AU"/>
              </w:rPr>
            </w:pPr>
            <w:r w:rsidRPr="005E353E">
              <w:rPr>
                <w:lang w:eastAsia="en-AU"/>
              </w:rPr>
              <w:t>Registration and accreditation decisions/approvals in relation to the Victorian Energy Efficiency Target Scheme</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keepNext/>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AD3517" w:rsidRDefault="00A53D7D" w:rsidP="005140B4">
            <w:pPr>
              <w:pStyle w:val="OGTableofFigures"/>
              <w:keepNext/>
              <w:rPr>
                <w:lang w:eastAsia="en-AU"/>
              </w:rPr>
            </w:pPr>
            <w:r w:rsidRPr="00AD3517">
              <w:rPr>
                <w:lang w:eastAsia="en-AU"/>
              </w:rPr>
              <w:t>3 000</w:t>
            </w:r>
          </w:p>
        </w:tc>
        <w:tc>
          <w:tcPr>
            <w:tcW w:w="993" w:type="dxa"/>
            <w:tcBorders>
              <w:top w:val="single" w:sz="6" w:space="0" w:color="auto"/>
              <w:left w:val="nil"/>
              <w:right w:val="nil"/>
            </w:tcBorders>
            <w:shd w:val="clear" w:color="000000" w:fill="FFFFFF"/>
            <w:hideMark/>
          </w:tcPr>
          <w:p w:rsidR="00A53D7D" w:rsidRPr="00AD3517" w:rsidRDefault="00A53D7D" w:rsidP="005140B4">
            <w:pPr>
              <w:pStyle w:val="OGTableofFigures"/>
              <w:keepNext/>
              <w:rPr>
                <w:lang w:eastAsia="en-AU"/>
              </w:rPr>
            </w:pPr>
            <w:r w:rsidRPr="00AD3517">
              <w:rPr>
                <w:lang w:eastAsia="en-AU"/>
              </w:rPr>
              <w:t>3 000</w:t>
            </w:r>
          </w:p>
        </w:tc>
        <w:tc>
          <w:tcPr>
            <w:tcW w:w="907" w:type="dxa"/>
            <w:tcBorders>
              <w:top w:val="single" w:sz="6" w:space="0" w:color="auto"/>
              <w:left w:val="nil"/>
              <w:right w:val="nil"/>
            </w:tcBorders>
            <w:shd w:val="clear" w:color="000000" w:fill="FFFFFF"/>
            <w:hideMark/>
          </w:tcPr>
          <w:p w:rsidR="00A53D7D" w:rsidRPr="00AD3517" w:rsidRDefault="00A53D7D" w:rsidP="005140B4">
            <w:pPr>
              <w:pStyle w:val="OGTableofFigures"/>
              <w:keepNext/>
              <w:rPr>
                <w:lang w:eastAsia="en-AU"/>
              </w:rPr>
            </w:pPr>
            <w:r w:rsidRPr="00AD3517">
              <w:rPr>
                <w:lang w:eastAsia="en-AU"/>
              </w:rPr>
              <w:t>1 000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keepNext/>
              <w:rPr>
                <w:lang w:eastAsia="en-AU"/>
              </w:rPr>
            </w:pPr>
            <w:r w:rsidRPr="005E353E">
              <w:rPr>
                <w:lang w:eastAsia="en-AU"/>
              </w:rPr>
              <w:t>1 951</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1108FC" w:rsidRDefault="00A53D7D" w:rsidP="005140B4">
            <w:pPr>
              <w:pStyle w:val="OGNotes"/>
            </w:pPr>
            <w:r w:rsidRPr="001108FC">
              <w:t>In December 2013 a system change was implemented within the Essential Services Commission. This change affected the methodology used to measure performance against this measure.</w:t>
            </w:r>
          </w:p>
          <w:p w:rsidR="00A53D7D" w:rsidRPr="001108FC" w:rsidRDefault="00A53D7D" w:rsidP="005140B4">
            <w:pPr>
              <w:pStyle w:val="OGNotes"/>
            </w:pPr>
            <w:r w:rsidRPr="001108FC">
              <w:t>The 2013</w:t>
            </w:r>
            <w:r>
              <w:noBreakHyphen/>
            </w:r>
            <w:r w:rsidRPr="001108FC">
              <w:t>14 expected outcome was calculated using a combination of both the old methodology and the new methodology. If the 2013</w:t>
            </w:r>
            <w:r>
              <w:noBreakHyphen/>
            </w:r>
            <w:r w:rsidRPr="001108FC">
              <w:t>14 target had been calculated using the new methodology from December 2013, the target would have been set at 3 000.</w:t>
            </w:r>
          </w:p>
          <w:p w:rsidR="00A53D7D" w:rsidRPr="001108FC" w:rsidRDefault="00A53D7D" w:rsidP="005140B4">
            <w:pPr>
              <w:pStyle w:val="OGNotes"/>
            </w:pPr>
            <w:r w:rsidRPr="001108FC">
              <w:t>The 2014</w:t>
            </w:r>
            <w:r>
              <w:noBreakHyphen/>
            </w:r>
            <w:r w:rsidRPr="001108FC">
              <w:t>15 target has been calcul</w:t>
            </w:r>
            <w:r>
              <w:t>ated using the new methodology.</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Reviews, investigations or advisory projects</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3</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4</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5</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5</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353E">
              <w:t>The lower 2014</w:t>
            </w:r>
            <w:r>
              <w:noBreakHyphen/>
            </w:r>
            <w:r w:rsidRPr="005E353E">
              <w:t xml:space="preserve">15 target reflects the number of reviews requested and the timeframes specified by </w:t>
            </w:r>
            <w:r>
              <w:t xml:space="preserve">the </w:t>
            </w:r>
            <w:r w:rsidRPr="005E353E">
              <w:t>Government.</w:t>
            </w:r>
          </w:p>
          <w:p w:rsidR="00A53D7D" w:rsidRPr="005E353E" w:rsidRDefault="00A53D7D" w:rsidP="005140B4">
            <w:pPr>
              <w:pStyle w:val="OGNotes"/>
            </w:pPr>
            <w:r w:rsidRPr="005E353E">
              <w:t>The 2013</w:t>
            </w:r>
            <w:r>
              <w:noBreakHyphen/>
            </w:r>
            <w:r w:rsidRPr="005E353E">
              <w:t>14 expected outcome is lower than the 2013</w:t>
            </w:r>
            <w:r>
              <w:noBreakHyphen/>
            </w:r>
            <w:r w:rsidRPr="005E353E">
              <w:t>14 target as a transport review is estimated to be completed in 2014</w:t>
            </w:r>
            <w:r>
              <w:noBreakHyphen/>
            </w:r>
            <w:r w:rsidRPr="005E353E">
              <w:t>15.</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Quality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Decisions upheld where subject to review, appeal or disallowance</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Delivery of major milestones within agreed timelines</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This performance measure renames the 2013</w:t>
            </w:r>
            <w:r>
              <w:noBreakHyphen/>
              <w:t>14 performance measure ‘</w:t>
            </w:r>
            <w:r w:rsidRPr="005E353E">
              <w:t>Deadlines met</w:t>
            </w:r>
            <w:r>
              <w:t xml:space="preserve"> for major milestones’. The </w:t>
            </w:r>
            <w:r w:rsidRPr="005E353E">
              <w:t>measure reports on the same activity as the previous measure but has been amended for increased clarity.</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Cost</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Total output cost</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17</w:t>
            </w:r>
            <w:r>
              <w:rPr>
                <w:lang w:eastAsia="en-AU"/>
              </w:rPr>
              <w:t>.0</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17.1</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17.5</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17.1</w:t>
            </w:r>
          </w:p>
        </w:tc>
      </w:tr>
      <w:tr w:rsidR="00A53D7D" w:rsidRPr="005E353E" w:rsidTr="005140B4">
        <w:trPr>
          <w:cantSplit/>
        </w:trPr>
        <w:tc>
          <w:tcPr>
            <w:tcW w:w="7776" w:type="dxa"/>
            <w:gridSpan w:val="6"/>
            <w:tcBorders>
              <w:top w:val="nil"/>
              <w:left w:val="nil"/>
              <w:bottom w:val="single" w:sz="12" w:space="0" w:color="auto"/>
              <w:right w:val="nil"/>
            </w:tcBorders>
            <w:shd w:val="clear" w:color="auto" w:fill="auto"/>
            <w:vAlign w:val="bottom"/>
            <w:hideMark/>
          </w:tcPr>
          <w:p w:rsidR="00A53D7D" w:rsidRPr="005E353E" w:rsidRDefault="00A53D7D" w:rsidP="005140B4">
            <w:pPr>
              <w:pStyle w:val="OGNotes"/>
            </w:pPr>
            <w:r w:rsidRPr="00263284">
              <w:t xml:space="preserve">The 2014-15 </w:t>
            </w:r>
            <w:proofErr w:type="gramStart"/>
            <w:r w:rsidRPr="00263284">
              <w:t>target</w:t>
            </w:r>
            <w:proofErr w:type="gramEnd"/>
            <w:r w:rsidRPr="00263284">
              <w:t xml:space="preserve"> is lower than the 2013-14 target as two audits of rural water businesses </w:t>
            </w:r>
            <w:r>
              <w:t xml:space="preserve">will </w:t>
            </w:r>
            <w:r w:rsidRPr="00263284">
              <w:t>not</w:t>
            </w:r>
            <w:r>
              <w:t xml:space="preserve"> be</w:t>
            </w:r>
            <w:r w:rsidRPr="00263284">
              <w:t xml:space="preserve"> required and one further audit </w:t>
            </w:r>
            <w:r>
              <w:t xml:space="preserve">is </w:t>
            </w:r>
            <w:r w:rsidRPr="00263284">
              <w:t>not required due to lower activity in the VEET Scheme.</w:t>
            </w:r>
          </w:p>
        </w:tc>
      </w:tr>
    </w:tbl>
    <w:p w:rsidR="00A53D7D" w:rsidRDefault="00A53D7D" w:rsidP="005140B4">
      <w:pPr>
        <w:pStyle w:val="Source"/>
      </w:pPr>
      <w:r>
        <w:t>Source: Department of Treasury and Finance</w:t>
      </w:r>
      <w:r>
        <w:fldChar w:fldCharType="begin"/>
      </w:r>
      <w:r>
        <w:instrText xml:space="preserve"> XE "</w:instrText>
      </w:r>
      <w:r w:rsidRPr="00C96B9C">
        <w:rPr>
          <w:lang w:eastAsia="en-AU"/>
        </w:rPr>
        <w:instrText>Department of Treasury and Finance</w:instrText>
      </w:r>
      <w:r w:rsidRPr="00C96B9C">
        <w:instrText>:Regulatory Services</w:instrText>
      </w:r>
      <w:r>
        <w:instrText xml:space="preserve">" \r "DTFRegSvces" </w:instrText>
      </w:r>
      <w:r>
        <w:fldChar w:fldCharType="end"/>
      </w:r>
      <w:r>
        <w:fldChar w:fldCharType="begin"/>
      </w:r>
      <w:r>
        <w:instrText xml:space="preserve"> XE "</w:instrText>
      </w:r>
      <w:r w:rsidRPr="008F564C">
        <w:rPr>
          <w:lang w:eastAsia="en-AU"/>
        </w:rPr>
        <w:instrText>Regulatory Services</w:instrText>
      </w:r>
      <w:r>
        <w:instrText xml:space="preserve">" \r "DTFRegSvces" </w:instrText>
      </w:r>
      <w:r>
        <w:fldChar w:fldCharType="end"/>
      </w:r>
      <w:r>
        <w:t xml:space="preserve"> </w:t>
      </w:r>
    </w:p>
    <w:bookmarkEnd w:id="142"/>
    <w:p w:rsidR="00A53D7D" w:rsidRDefault="00A53D7D" w:rsidP="005140B4">
      <w:pPr>
        <w:pStyle w:val="OGText"/>
        <w:rPr>
          <w:lang w:eastAsia="en-AU"/>
        </w:rPr>
      </w:pPr>
    </w:p>
    <w:p w:rsidR="00A53D7D" w:rsidRDefault="00A53D7D" w:rsidP="005140B4">
      <w:pPr>
        <w:rPr>
          <w:lang w:eastAsia="en-AU"/>
        </w:rPr>
      </w:pPr>
      <w:r>
        <w:rPr>
          <w:lang w:eastAsia="en-AU"/>
        </w:rPr>
        <w:br w:type="page"/>
      </w:r>
    </w:p>
    <w:p w:rsidR="00A53D7D" w:rsidRPr="005E353E" w:rsidRDefault="00A53D7D" w:rsidP="005140B4">
      <w:pPr>
        <w:pStyle w:val="OGHeading1"/>
        <w:rPr>
          <w:lang w:eastAsia="en-AU"/>
        </w:rPr>
      </w:pPr>
      <w:bookmarkStart w:id="143" w:name="DTFRsrceMgmt"/>
      <w:r w:rsidRPr="005E353E">
        <w:rPr>
          <w:lang w:eastAsia="en-AU"/>
        </w:rPr>
        <w:t>Resource Management Services</w:t>
      </w:r>
    </w:p>
    <w:p w:rsidR="00A53D7D" w:rsidRDefault="00A53D7D" w:rsidP="005140B4">
      <w:pPr>
        <w:pStyle w:val="OGTableofFigures"/>
        <w:tabs>
          <w:tab w:val="left" w:pos="3184"/>
          <w:tab w:val="left" w:pos="4091"/>
          <w:tab w:val="left" w:pos="4998"/>
          <w:tab w:val="left" w:pos="5991"/>
          <w:tab w:val="left" w:pos="6898"/>
        </w:tabs>
        <w:ind w:left="29"/>
        <w:jc w:val="left"/>
        <w:rPr>
          <w:lang w:eastAsia="en-AU"/>
        </w:rPr>
      </w:pPr>
      <w:r w:rsidRPr="005E353E">
        <w:rPr>
          <w:lang w:eastAsia="en-AU"/>
        </w:rPr>
        <w:t>This output assists the Government in administering and coordinating the provision of whole of government services.</w:t>
      </w:r>
    </w:p>
    <w:p w:rsidR="00A53D7D" w:rsidRDefault="00A53D7D" w:rsidP="005140B4">
      <w:pPr>
        <w:pStyle w:val="OGTableofFigures"/>
        <w:tabs>
          <w:tab w:val="left" w:pos="3184"/>
          <w:tab w:val="left" w:pos="4091"/>
          <w:tab w:val="left" w:pos="4998"/>
          <w:tab w:val="left" w:pos="5991"/>
          <w:tab w:val="left" w:pos="6898"/>
        </w:tabs>
        <w:ind w:left="29"/>
        <w:jc w:val="left"/>
        <w:rPr>
          <w:lang w:eastAsia="en-AU"/>
        </w:rPr>
      </w:pPr>
      <w:r w:rsidRPr="005E353E">
        <w:rPr>
          <w:lang w:eastAsia="en-AU"/>
        </w:rPr>
        <w:t xml:space="preserve">By maximising value in purchasing decisions and providing professional management of substantial government assets, </w:t>
      </w:r>
      <w:r>
        <w:rPr>
          <w:lang w:eastAsia="en-AU"/>
        </w:rPr>
        <w:t>this output contributes to the Department’s</w:t>
      </w:r>
      <w:r w:rsidRPr="005E353E">
        <w:rPr>
          <w:lang w:eastAsia="en-AU"/>
        </w:rPr>
        <w:t xml:space="preserve"> objectives of:</w:t>
      </w:r>
    </w:p>
    <w:p w:rsidR="00A53D7D" w:rsidRDefault="00A53D7D" w:rsidP="00A6384E">
      <w:pPr>
        <w:pStyle w:val="OGBullet"/>
      </w:pPr>
      <w:r w:rsidRPr="005E353E">
        <w:t>sound financial management of the State's fiscal resources; and</w:t>
      </w:r>
    </w:p>
    <w:p w:rsidR="00A53D7D" w:rsidRPr="005E353E" w:rsidRDefault="00A53D7D" w:rsidP="00A6384E">
      <w:pPr>
        <w:pStyle w:val="OGBullet"/>
      </w:pPr>
      <w:proofErr w:type="gramStart"/>
      <w:r w:rsidRPr="005E353E">
        <w:t>delivering</w:t>
      </w:r>
      <w:proofErr w:type="gramEnd"/>
      <w:r w:rsidRPr="005E353E">
        <w:t xml:space="preserve"> efficient whole of government common services to the Victorian public sector.</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353E" w:rsidTr="005140B4">
        <w:trPr>
          <w:cantSplit/>
        </w:trPr>
        <w:tc>
          <w:tcPr>
            <w:tcW w:w="7776" w:type="dxa"/>
            <w:gridSpan w:val="6"/>
            <w:tcBorders>
              <w:top w:val="nil"/>
              <w:left w:val="nil"/>
              <w:right w:val="nil"/>
            </w:tcBorders>
            <w:shd w:val="clear" w:color="auto" w:fill="auto"/>
            <w:vAlign w:val="bottom"/>
            <w:hideMark/>
          </w:tcPr>
          <w:p w:rsidR="00A53D7D" w:rsidRPr="005E353E" w:rsidRDefault="00A53D7D" w:rsidP="005140B4">
            <w:pPr>
              <w:pStyle w:val="OGHeading2"/>
              <w:rPr>
                <w:lang w:eastAsia="en-AU"/>
              </w:rPr>
            </w:pPr>
            <w:r w:rsidRPr="005E353E">
              <w:rPr>
                <w:lang w:eastAsia="en-AU"/>
              </w:rPr>
              <w:t>Resource Management Services to Government</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5E353E">
              <w:rPr>
                <w:lang w:eastAsia="en-AU"/>
              </w:rPr>
              <w:t xml:space="preserve">This output delivers whole of government services, </w:t>
            </w:r>
            <w:proofErr w:type="gramStart"/>
            <w:r w:rsidRPr="005E353E">
              <w:rPr>
                <w:lang w:eastAsia="en-AU"/>
              </w:rPr>
              <w:t>policies</w:t>
            </w:r>
            <w:proofErr w:type="gramEnd"/>
            <w:r w:rsidRPr="005E353E">
              <w:rPr>
                <w:lang w:eastAsia="en-AU"/>
              </w:rPr>
              <w:t xml:space="preserve"> and initiatives in areas including procurement, fleet and accommodation.</w:t>
            </w:r>
          </w:p>
          <w:p w:rsidR="00A53D7D" w:rsidRDefault="00A53D7D" w:rsidP="005140B4">
            <w:pPr>
              <w:pStyle w:val="OGText"/>
              <w:rPr>
                <w:lang w:eastAsia="en-AU"/>
              </w:rPr>
            </w:pPr>
            <w:r w:rsidRPr="005E353E">
              <w:rPr>
                <w:lang w:eastAsia="en-AU"/>
              </w:rPr>
              <w:t>The output contributes to the Department's objective of delivering efficient whole of government common services to the Victorian public sector by:</w:t>
            </w:r>
          </w:p>
          <w:p w:rsidR="00A53D7D" w:rsidRDefault="00A53D7D" w:rsidP="005140B4">
            <w:pPr>
              <w:pStyle w:val="OGTabBullet"/>
            </w:pPr>
            <w:r w:rsidRPr="005E353E">
              <w:t>developing and maintaining a framework of whole of government policies, standards and guidelines which promote the efficient and effective use of common services including procurement, fleet and accommodation;</w:t>
            </w:r>
          </w:p>
          <w:p w:rsidR="00A53D7D" w:rsidRDefault="00A53D7D" w:rsidP="005140B4">
            <w:pPr>
              <w:pStyle w:val="OGTabBullet"/>
            </w:pPr>
            <w:r w:rsidRPr="005E353E">
              <w:t>implementing a program of whole of government procurement and contract management to ensure optimum benefit to government;</w:t>
            </w:r>
          </w:p>
          <w:p w:rsidR="00A53D7D" w:rsidRDefault="00A53D7D" w:rsidP="005140B4">
            <w:pPr>
              <w:pStyle w:val="OGTabBullet"/>
            </w:pPr>
            <w:r w:rsidRPr="005E353E">
              <w:t>supporting the operations of the Victorian Government Procurement Board, facilitating the approval of major government procurements and developing procurement capability across government; and</w:t>
            </w:r>
          </w:p>
          <w:p w:rsidR="00A53D7D" w:rsidRPr="005E353E" w:rsidRDefault="00A53D7D" w:rsidP="005140B4">
            <w:pPr>
              <w:pStyle w:val="OGTabBullet"/>
            </w:pPr>
            <w:proofErr w:type="gramStart"/>
            <w:r w:rsidRPr="005E353E">
              <w:t>providing</w:t>
            </w:r>
            <w:proofErr w:type="gramEnd"/>
            <w:r w:rsidRPr="005E353E">
              <w:t xml:space="preserve"> whole of government fleet and accommodation.</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Briefs provided on services to Government</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60</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75</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60</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62</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The 2013</w:t>
            </w:r>
            <w:r>
              <w:noBreakHyphen/>
            </w:r>
            <w:r w:rsidRPr="005E353E">
              <w:t>14 expected outcome is higher than the 2013</w:t>
            </w:r>
            <w:r>
              <w:noBreakHyphen/>
            </w:r>
            <w:r w:rsidRPr="005E353E">
              <w:t xml:space="preserve">14 target due </w:t>
            </w:r>
            <w:r>
              <w:t>to a</w:t>
            </w:r>
            <w:r w:rsidRPr="005E353E">
              <w:t xml:space="preserve"> higher demand for briefs.</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Evaluation and decision on existing or potential whole of Victorian government contracts within agreed timelines</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10</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14</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15</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13</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353E">
              <w:t>The 2013</w:t>
            </w:r>
            <w:r>
              <w:noBreakHyphen/>
            </w:r>
            <w:r w:rsidRPr="005E353E">
              <w:t>14 expected outcome is lower than the 2013</w:t>
            </w:r>
            <w:r>
              <w:noBreakHyphen/>
            </w:r>
            <w:r w:rsidRPr="005E353E">
              <w:t xml:space="preserve">14 target due to fewer than expected contracts requiring review after the effects of machinery of government changes. </w:t>
            </w:r>
          </w:p>
          <w:p w:rsidR="00A53D7D" w:rsidRPr="005E353E" w:rsidRDefault="00A53D7D" w:rsidP="005140B4">
            <w:pPr>
              <w:pStyle w:val="OGNotes"/>
            </w:pPr>
            <w:r w:rsidRPr="005E353E">
              <w:t xml:space="preserve">The </w:t>
            </w:r>
            <w:r>
              <w:t xml:space="preserve">lower </w:t>
            </w:r>
            <w:r w:rsidRPr="005E353E">
              <w:t>2014</w:t>
            </w:r>
            <w:r>
              <w:noBreakHyphen/>
            </w:r>
            <w:r w:rsidRPr="005E353E">
              <w:t xml:space="preserve">15 target </w:t>
            </w:r>
            <w:r>
              <w:t xml:space="preserve">reflects </w:t>
            </w:r>
            <w:r w:rsidRPr="005E353E">
              <w:t>reductions in the number of whole of government agreements managed by DTF as a result of machinery of government changes and on the contract project lifecycle of those remaining state purchase contracts.</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keepNext/>
              <w:rPr>
                <w:lang w:eastAsia="en-AU"/>
              </w:rPr>
            </w:pPr>
            <w:r w:rsidRPr="005E353E">
              <w:rPr>
                <w:lang w:eastAsia="en-AU"/>
              </w:rPr>
              <w:t>Total accommodation cost</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keepNext/>
              <w:rPr>
                <w:lang w:eastAsia="en-AU"/>
              </w:rPr>
            </w:pPr>
            <w:r w:rsidRPr="005E353E">
              <w:rPr>
                <w:lang w:eastAsia="en-AU"/>
              </w:rPr>
              <w:t>$</w:t>
            </w:r>
            <w:r>
              <w:rPr>
                <w:lang w:eastAsia="en-AU"/>
              </w:rPr>
              <w:t> </w:t>
            </w:r>
            <w:r w:rsidRPr="005E353E">
              <w:rPr>
                <w:lang w:eastAsia="en-AU"/>
              </w:rPr>
              <w:t>per square metre per year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keepNext/>
              <w:rPr>
                <w:lang w:eastAsia="en-AU"/>
              </w:rPr>
            </w:pPr>
            <w:r w:rsidRPr="005E353E">
              <w:rPr>
                <w:lang w:eastAsia="en-AU"/>
              </w:rPr>
              <w:t>405</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keepNext/>
              <w:rPr>
                <w:lang w:eastAsia="en-AU"/>
              </w:rPr>
            </w:pPr>
            <w:r>
              <w:rPr>
                <w:lang w:eastAsia="en-AU"/>
              </w:rPr>
              <w:t>410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keepNext/>
              <w:rPr>
                <w:lang w:eastAsia="en-AU"/>
              </w:rPr>
            </w:pPr>
            <w:r w:rsidRPr="005E353E">
              <w:rPr>
                <w:lang w:eastAsia="en-AU"/>
              </w:rPr>
              <w:t>410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keepNext/>
              <w:rPr>
                <w:lang w:eastAsia="en-AU"/>
              </w:rPr>
            </w:pPr>
            <w:r w:rsidRPr="005E353E">
              <w:rPr>
                <w:lang w:eastAsia="en-AU"/>
              </w:rPr>
              <w:t>377.7</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The lower 2014</w:t>
            </w:r>
            <w:r>
              <w:noBreakHyphen/>
            </w:r>
            <w:r w:rsidRPr="005E353E">
              <w:t xml:space="preserve">15 target is the result of more effective management of the Government office accommodation portfolio, and a decrease in the percentage of higher cost accommodation in the Melbourne CBD. </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Workspace ratio</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square metre per FTE</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15</w:t>
            </w:r>
            <w:r>
              <w:rPr>
                <w:lang w:eastAsia="en-AU"/>
              </w:rPr>
              <w:t>.0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15.3</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15</w:t>
            </w:r>
            <w:r>
              <w:rPr>
                <w:lang w:eastAsia="en-AU"/>
              </w:rPr>
              <w:t>.0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15.3</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Quality</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Benefits delivered as a percentage of Managed Spend, including reduced and avoided costs</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5</w:t>
            </w:r>
            <w:r>
              <w:rPr>
                <w:lang w:eastAsia="en-AU"/>
              </w:rPr>
              <w:t>.0</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5.2</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5</w:t>
            </w:r>
            <w:r>
              <w:rPr>
                <w:lang w:eastAsia="en-AU"/>
              </w:rPr>
              <w:t>.0</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The 2013</w:t>
            </w:r>
            <w:r>
              <w:noBreakHyphen/>
            </w:r>
            <w:r w:rsidRPr="005E353E">
              <w:t>14 expected outcome is higher than the 2013</w:t>
            </w:r>
            <w:r>
              <w:noBreakHyphen/>
            </w:r>
            <w:r w:rsidRPr="005E353E">
              <w:t>14 target due to implemented initiatives on managed contracts providing greater than expected benefits.</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Client agencies' satisfaction with the service provided by the Shared Service Provider</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70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70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70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Maintain ISO 9001 (Quality Management Systems) Certification</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Cost</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nil"/>
              <w:right w:val="nil"/>
            </w:tcBorders>
            <w:shd w:val="clear" w:color="000000" w:fill="FFFFFF"/>
            <w:hideMark/>
          </w:tcPr>
          <w:p w:rsidR="00A53D7D" w:rsidRPr="005E353E" w:rsidRDefault="00A53D7D" w:rsidP="005140B4">
            <w:pPr>
              <w:pStyle w:val="OGTabText"/>
              <w:rPr>
                <w:lang w:eastAsia="en-AU"/>
              </w:rPr>
            </w:pPr>
            <w:r w:rsidRPr="005E353E">
              <w:rPr>
                <w:lang w:eastAsia="en-AU"/>
              </w:rPr>
              <w:t>Total output cost</w:t>
            </w:r>
          </w:p>
        </w:tc>
        <w:tc>
          <w:tcPr>
            <w:tcW w:w="907" w:type="dxa"/>
            <w:tcBorders>
              <w:top w:val="nil"/>
              <w:left w:val="nil"/>
              <w:bottom w:val="nil"/>
              <w:right w:val="nil"/>
            </w:tcBorders>
            <w:shd w:val="clear" w:color="000000" w:fill="FFFFFF"/>
            <w:hideMark/>
          </w:tcPr>
          <w:p w:rsidR="00A53D7D" w:rsidRPr="005E353E" w:rsidRDefault="00A53D7D" w:rsidP="005140B4">
            <w:pPr>
              <w:pStyle w:val="OGUoM"/>
              <w:rPr>
                <w:lang w:eastAsia="en-AU"/>
              </w:rPr>
            </w:pPr>
            <w:r>
              <w:rPr>
                <w:lang w:eastAsia="en-AU"/>
              </w:rPr>
              <w:t>$ million</w:t>
            </w:r>
          </w:p>
        </w:tc>
        <w:tc>
          <w:tcPr>
            <w:tcW w:w="907" w:type="dxa"/>
            <w:tcBorders>
              <w:top w:val="nil"/>
              <w:left w:val="nil"/>
              <w:bottom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47.4</w:t>
            </w:r>
          </w:p>
        </w:tc>
        <w:tc>
          <w:tcPr>
            <w:tcW w:w="993" w:type="dxa"/>
            <w:tcBorders>
              <w:top w:val="nil"/>
              <w:left w:val="nil"/>
              <w:bottom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47.8</w:t>
            </w:r>
          </w:p>
        </w:tc>
        <w:tc>
          <w:tcPr>
            <w:tcW w:w="907" w:type="dxa"/>
            <w:tcBorders>
              <w:top w:val="nil"/>
              <w:left w:val="nil"/>
              <w:bottom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45.3</w:t>
            </w:r>
          </w:p>
        </w:tc>
        <w:tc>
          <w:tcPr>
            <w:tcW w:w="907" w:type="dxa"/>
            <w:tcBorders>
              <w:top w:val="nil"/>
              <w:left w:val="nil"/>
              <w:bottom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51.9</w:t>
            </w:r>
          </w:p>
        </w:tc>
      </w:tr>
      <w:tr w:rsidR="00A53D7D" w:rsidRPr="005E353E" w:rsidTr="005140B4">
        <w:trPr>
          <w:cantSplit/>
        </w:trPr>
        <w:tc>
          <w:tcPr>
            <w:tcW w:w="7776" w:type="dxa"/>
            <w:gridSpan w:val="6"/>
            <w:tcBorders>
              <w:top w:val="nil"/>
              <w:left w:val="nil"/>
              <w:bottom w:val="single" w:sz="12" w:space="0" w:color="auto"/>
              <w:right w:val="nil"/>
            </w:tcBorders>
            <w:shd w:val="clear" w:color="000000" w:fill="FFFFFF"/>
          </w:tcPr>
          <w:p w:rsidR="00A53D7D" w:rsidRDefault="00A53D7D" w:rsidP="005140B4">
            <w:pPr>
              <w:pStyle w:val="OGNotes"/>
            </w:pPr>
            <w:r>
              <w:t>The higher 2014</w:t>
            </w:r>
            <w:r>
              <w:noBreakHyphen/>
              <w:t>15 target reflects higher depreciation expenses than the 2013</w:t>
            </w:r>
            <w:r>
              <w:noBreakHyphen/>
              <w:t>14 target, resulting from asset revaluation of buildings.</w:t>
            </w:r>
          </w:p>
          <w:p w:rsidR="00A53D7D" w:rsidRPr="005E353E" w:rsidRDefault="00A53D7D" w:rsidP="005140B4">
            <w:pPr>
              <w:pStyle w:val="OGNotes"/>
            </w:pPr>
            <w:r>
              <w:t>The 2013</w:t>
            </w:r>
            <w:r>
              <w:noBreakHyphen/>
              <w:t>14 expected outcome is higher than the 2013</w:t>
            </w:r>
            <w:r>
              <w:noBreakHyphen/>
              <w:t>14 target due to asset revaluation of buildings</w:t>
            </w:r>
            <w:proofErr w:type="gramStart"/>
            <w:r>
              <w:t xml:space="preserve">.  </w:t>
            </w:r>
            <w:r w:rsidRPr="00DA5508">
              <w:t xml:space="preserve"> </w:t>
            </w:r>
            <w:proofErr w:type="gramEnd"/>
          </w:p>
        </w:tc>
      </w:tr>
    </w:tbl>
    <w:p w:rsidR="00A53D7D" w:rsidRDefault="00A53D7D" w:rsidP="005140B4">
      <w:pPr>
        <w:pStyle w:val="Source"/>
      </w:pPr>
      <w:r>
        <w:t>Source: Department of Treasury and Finance</w:t>
      </w:r>
      <w:r>
        <w:fldChar w:fldCharType="begin"/>
      </w:r>
      <w:r>
        <w:instrText xml:space="preserve"> XE "</w:instrText>
      </w:r>
      <w:r w:rsidRPr="00356675">
        <w:rPr>
          <w:lang w:eastAsia="en-AU"/>
        </w:rPr>
        <w:instrText>Department of Treasury and Finance</w:instrText>
      </w:r>
      <w:r w:rsidRPr="00356675">
        <w:instrText>:Resource Management Services</w:instrText>
      </w:r>
      <w:r>
        <w:instrText xml:space="preserve">" \r "DTFRsrceMgmt" </w:instrText>
      </w:r>
      <w:r>
        <w:fldChar w:fldCharType="end"/>
      </w:r>
      <w:r>
        <w:fldChar w:fldCharType="begin"/>
      </w:r>
      <w:r>
        <w:instrText xml:space="preserve"> XE "</w:instrText>
      </w:r>
      <w:r w:rsidRPr="008F564C">
        <w:rPr>
          <w:lang w:eastAsia="en-AU"/>
        </w:rPr>
        <w:instrText>Resource Management Services</w:instrText>
      </w:r>
      <w:r>
        <w:instrText xml:space="preserve">" \r "DTFRsrceMgmt" </w:instrText>
      </w:r>
      <w:r>
        <w:fldChar w:fldCharType="end"/>
      </w:r>
      <w:r>
        <w:t xml:space="preserve"> </w:t>
      </w:r>
    </w:p>
    <w:bookmarkEnd w:id="143"/>
    <w:p w:rsidR="00A53D7D" w:rsidRDefault="00A53D7D" w:rsidP="005140B4">
      <w:pPr>
        <w:pStyle w:val="OGText"/>
        <w:rPr>
          <w:lang w:eastAsia="en-AU"/>
        </w:rPr>
      </w:pPr>
    </w:p>
    <w:p w:rsidR="00A53D7D" w:rsidRDefault="00A53D7D" w:rsidP="005140B4">
      <w:pPr>
        <w:rPr>
          <w:lang w:eastAsia="en-AU"/>
        </w:rPr>
      </w:pPr>
      <w:r>
        <w:rPr>
          <w:lang w:eastAsia="en-AU"/>
        </w:rPr>
        <w:br w:type="page"/>
      </w:r>
    </w:p>
    <w:p w:rsidR="00A53D7D" w:rsidRPr="005E353E" w:rsidRDefault="00A53D7D" w:rsidP="005140B4">
      <w:pPr>
        <w:pStyle w:val="OGHeading1"/>
        <w:rPr>
          <w:lang w:eastAsia="en-AU"/>
        </w:rPr>
      </w:pPr>
      <w:bookmarkStart w:id="144" w:name="DTFRevenueMgmt"/>
      <w:r w:rsidRPr="005E353E">
        <w:rPr>
          <w:lang w:eastAsia="en-AU"/>
        </w:rPr>
        <w:t>Revenue Management Services</w:t>
      </w:r>
    </w:p>
    <w:p w:rsidR="00A53D7D" w:rsidRDefault="00A53D7D" w:rsidP="005140B4">
      <w:pPr>
        <w:pStyle w:val="OGText"/>
        <w:rPr>
          <w:lang w:eastAsia="en-AU"/>
        </w:rPr>
      </w:pPr>
      <w:r w:rsidRPr="005E353E">
        <w:rPr>
          <w:lang w:eastAsia="en-AU"/>
        </w:rPr>
        <w:t>This output administers revenue collections of major taxes and duties on behalf of the Government. It also assesses and processes unclaimed monies applications.</w:t>
      </w:r>
    </w:p>
    <w:p w:rsidR="00A53D7D" w:rsidRPr="005E353E" w:rsidRDefault="00A53D7D" w:rsidP="005140B4">
      <w:pPr>
        <w:pStyle w:val="OGText"/>
        <w:rPr>
          <w:lang w:eastAsia="en-AU"/>
        </w:rPr>
      </w:pPr>
      <w:r w:rsidRPr="005E353E">
        <w:rPr>
          <w:lang w:eastAsia="en-AU"/>
        </w:rPr>
        <w:t xml:space="preserve">By efficiently delivering revenue management services in Victoria, </w:t>
      </w:r>
      <w:r>
        <w:rPr>
          <w:lang w:eastAsia="en-AU"/>
        </w:rPr>
        <w:t>this output contributes to the Department’s</w:t>
      </w:r>
      <w:r w:rsidRPr="005E353E">
        <w:rPr>
          <w:lang w:eastAsia="en-AU"/>
        </w:rPr>
        <w:t xml:space="preserve"> objective of sound financial management of the State's fiscal resources.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353E" w:rsidTr="005140B4">
        <w:trPr>
          <w:cantSplit/>
        </w:trPr>
        <w:tc>
          <w:tcPr>
            <w:tcW w:w="7776" w:type="dxa"/>
            <w:gridSpan w:val="6"/>
            <w:tcBorders>
              <w:top w:val="nil"/>
              <w:left w:val="nil"/>
              <w:right w:val="nil"/>
            </w:tcBorders>
            <w:shd w:val="clear" w:color="auto" w:fill="auto"/>
            <w:vAlign w:val="bottom"/>
            <w:hideMark/>
          </w:tcPr>
          <w:p w:rsidR="00A53D7D" w:rsidRPr="005E353E" w:rsidRDefault="00A53D7D" w:rsidP="005140B4">
            <w:pPr>
              <w:pStyle w:val="OGHeading2"/>
              <w:rPr>
                <w:lang w:eastAsia="en-AU"/>
              </w:rPr>
            </w:pPr>
            <w:r w:rsidRPr="005E353E">
              <w:rPr>
                <w:lang w:eastAsia="en-AU"/>
              </w:rPr>
              <w:t>Revenue Management Services to Government</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Text"/>
              <w:rPr>
                <w:lang w:eastAsia="en-AU"/>
              </w:rPr>
            </w:pPr>
            <w:r w:rsidRPr="005E353E">
              <w:rPr>
                <w:lang w:eastAsia="en-AU"/>
              </w:rPr>
              <w:t>This output provides revenue management services across the various state</w:t>
            </w:r>
            <w:r>
              <w:rPr>
                <w:lang w:eastAsia="en-AU"/>
              </w:rPr>
              <w:noBreakHyphen/>
            </w:r>
            <w:r w:rsidRPr="005E353E">
              <w:rPr>
                <w:lang w:eastAsia="en-AU"/>
              </w:rPr>
              <w:t xml:space="preserve">based taxes in a fair and efficient manner for the benefit of all Victorians. By administering Victoria's taxation legislation and collecting a range of taxes, duties and levies, </w:t>
            </w:r>
            <w:r>
              <w:rPr>
                <w:lang w:eastAsia="en-AU"/>
              </w:rPr>
              <w:t>this output contributes to the Department’s</w:t>
            </w:r>
            <w:r w:rsidRPr="005E353E">
              <w:rPr>
                <w:lang w:eastAsia="en-AU"/>
              </w:rPr>
              <w:t xml:space="preserve"> objective of sound financial management of the State's fiscal resources.</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Revenue assessed from compliance projects meets estimates</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&gt;=</w:t>
            </w:r>
            <w:r>
              <w:rPr>
                <w:lang w:eastAsia="en-AU"/>
              </w:rPr>
              <w:t xml:space="preserve"> </w:t>
            </w:r>
            <w:r w:rsidRPr="005E353E">
              <w:rPr>
                <w:lang w:eastAsia="en-AU"/>
              </w:rPr>
              <w:t>90</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&gt;=</w:t>
            </w:r>
            <w:r>
              <w:rPr>
                <w:lang w:eastAsia="en-AU"/>
              </w:rPr>
              <w:t xml:space="preserve"> </w:t>
            </w:r>
            <w:r w:rsidRPr="005E353E">
              <w:rPr>
                <w:lang w:eastAsia="en-AU"/>
              </w:rPr>
              <w:t>90</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117</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This performance measure renames the 2013</w:t>
            </w:r>
            <w:r>
              <w:noBreakHyphen/>
              <w:t>14 performance measure ‘</w:t>
            </w:r>
            <w:r w:rsidRPr="005E353E">
              <w:t xml:space="preserve">Revenue detected from compliance </w:t>
            </w:r>
            <w:r>
              <w:t>projects meets estimates’. The</w:t>
            </w:r>
            <w:r w:rsidRPr="005E353E">
              <w:t xml:space="preserve"> measure reports on the same activity as the previous measure but has been amended for increased clarity.</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Revenue collected as a percentage of budget target</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&gt;=</w:t>
            </w:r>
            <w:r>
              <w:rPr>
                <w:lang w:eastAsia="en-AU"/>
              </w:rPr>
              <w:t xml:space="preserve"> </w:t>
            </w:r>
            <w:r w:rsidRPr="005E353E">
              <w:rPr>
                <w:lang w:eastAsia="en-AU"/>
              </w:rPr>
              <w:t>99</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&gt;=</w:t>
            </w:r>
            <w:r>
              <w:rPr>
                <w:lang w:eastAsia="en-AU"/>
              </w:rPr>
              <w:t xml:space="preserve"> </w:t>
            </w:r>
            <w:r w:rsidRPr="005E353E">
              <w:rPr>
                <w:lang w:eastAsia="en-AU"/>
              </w:rPr>
              <w:t>99</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Quality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Customer satisfaction level</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&gt;=</w:t>
            </w:r>
            <w:r>
              <w:rPr>
                <w:lang w:eastAsia="en-AU"/>
              </w:rPr>
              <w:t xml:space="preserve"> </w:t>
            </w:r>
            <w:r w:rsidRPr="005E353E">
              <w:rPr>
                <w:lang w:eastAsia="en-AU"/>
              </w:rPr>
              <w:t>80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96</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&gt;=</w:t>
            </w:r>
            <w:r>
              <w:rPr>
                <w:lang w:eastAsia="en-AU"/>
              </w:rPr>
              <w:t xml:space="preserve"> </w:t>
            </w:r>
            <w:r w:rsidRPr="005E353E">
              <w:rPr>
                <w:lang w:eastAsia="en-AU"/>
              </w:rPr>
              <w:t>80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95</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Maintain ISO 9001 (Quality management Systems) and ISO/IEC 20000</w:t>
            </w:r>
            <w:r>
              <w:rPr>
                <w:lang w:eastAsia="en-AU"/>
              </w:rPr>
              <w:noBreakHyphen/>
            </w:r>
            <w:r w:rsidRPr="005E353E">
              <w:rPr>
                <w:lang w:eastAsia="en-AU"/>
              </w:rPr>
              <w:t>1:2005 (IT Service management) Certification</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3</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3</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3</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2</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Ratio of outstanding debt to total revenue</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&lt;</w:t>
            </w:r>
            <w:r>
              <w:rPr>
                <w:lang w:eastAsia="en-AU"/>
              </w:rPr>
              <w:t xml:space="preserve"> </w:t>
            </w:r>
            <w:r w:rsidRPr="005E353E">
              <w:rPr>
                <w:lang w:eastAsia="en-AU"/>
              </w:rPr>
              <w:t>2</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1.8</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&lt;</w:t>
            </w:r>
            <w:r>
              <w:rPr>
                <w:lang w:eastAsia="en-AU"/>
              </w:rPr>
              <w:t xml:space="preserve"> </w:t>
            </w:r>
            <w:r w:rsidRPr="005E353E">
              <w:rPr>
                <w:lang w:eastAsia="en-AU"/>
              </w:rPr>
              <w:t>2</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1.7</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Timeliness</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Meet Cabinet and Parliamentary time</w:t>
            </w:r>
            <w:r>
              <w:rPr>
                <w:lang w:eastAsia="en-AU"/>
              </w:rPr>
              <w:noBreakHyphen/>
            </w:r>
            <w:r w:rsidRPr="005E353E">
              <w:rPr>
                <w:lang w:eastAsia="en-AU"/>
              </w:rPr>
              <w:t>lines</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Revenue banked on day of receipt</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&gt;=</w:t>
            </w:r>
            <w:r>
              <w:rPr>
                <w:lang w:eastAsia="en-AU"/>
              </w:rPr>
              <w:t xml:space="preserve"> </w:t>
            </w:r>
            <w:r w:rsidRPr="005E353E">
              <w:rPr>
                <w:lang w:eastAsia="en-AU"/>
              </w:rPr>
              <w:t>99</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&gt;=</w:t>
            </w:r>
            <w:r>
              <w:rPr>
                <w:lang w:eastAsia="en-AU"/>
              </w:rPr>
              <w:t xml:space="preserve"> </w:t>
            </w:r>
            <w:r w:rsidRPr="005E353E">
              <w:rPr>
                <w:lang w:eastAsia="en-AU"/>
              </w:rPr>
              <w:t>99</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This performance measure has moved from a quantity to a timeliness measure to more appropriately capture the performance of the output.</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Timely handling of objections (within 90 days)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&gt;=</w:t>
            </w:r>
            <w:r>
              <w:rPr>
                <w:lang w:eastAsia="en-AU"/>
              </w:rPr>
              <w:t xml:space="preserve"> </w:t>
            </w:r>
            <w:r w:rsidRPr="005E353E">
              <w:rPr>
                <w:lang w:eastAsia="en-AU"/>
              </w:rPr>
              <w:t>80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85</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&gt;=</w:t>
            </w:r>
            <w:r>
              <w:rPr>
                <w:lang w:eastAsia="en-AU"/>
              </w:rPr>
              <w:t xml:space="preserve"> </w:t>
            </w:r>
            <w:r w:rsidRPr="005E353E">
              <w:rPr>
                <w:lang w:eastAsia="en-AU"/>
              </w:rPr>
              <w:t>80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69.39</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Timely handling of private rulings (within 90 days)</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&gt;=</w:t>
            </w:r>
            <w:r>
              <w:rPr>
                <w:lang w:eastAsia="en-AU"/>
              </w:rPr>
              <w:t xml:space="preserve"> </w:t>
            </w:r>
            <w:r w:rsidRPr="005E353E">
              <w:rPr>
                <w:lang w:eastAsia="en-AU"/>
              </w:rPr>
              <w:t>80</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75</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&gt;=</w:t>
            </w:r>
            <w:r>
              <w:rPr>
                <w:lang w:eastAsia="en-AU"/>
              </w:rPr>
              <w:t xml:space="preserve"> </w:t>
            </w:r>
            <w:r w:rsidRPr="005E353E">
              <w:rPr>
                <w:lang w:eastAsia="en-AU"/>
              </w:rPr>
              <w:t>80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85.49</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The 2013</w:t>
            </w:r>
            <w:r>
              <w:noBreakHyphen/>
            </w:r>
            <w:r w:rsidRPr="005E353E">
              <w:t>14 expected outcome is lower than the 2013</w:t>
            </w:r>
            <w:r>
              <w:noBreakHyphen/>
            </w:r>
            <w:r w:rsidRPr="005E353E">
              <w:t>14 target due to a high number of private rulings received.</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Total output cost</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81.4</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91.7</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89.9</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76.8</w:t>
            </w:r>
          </w:p>
        </w:tc>
      </w:tr>
      <w:tr w:rsidR="00A53D7D" w:rsidRPr="005E353E" w:rsidTr="005140B4">
        <w:trPr>
          <w:cantSplit/>
        </w:trPr>
        <w:tc>
          <w:tcPr>
            <w:tcW w:w="7776" w:type="dxa"/>
            <w:gridSpan w:val="6"/>
            <w:tcBorders>
              <w:top w:val="nil"/>
              <w:left w:val="nil"/>
              <w:bottom w:val="single" w:sz="12" w:space="0" w:color="auto"/>
              <w:right w:val="nil"/>
            </w:tcBorders>
            <w:shd w:val="clear" w:color="auto" w:fill="auto"/>
            <w:vAlign w:val="bottom"/>
            <w:hideMark/>
          </w:tcPr>
          <w:p w:rsidR="00A53D7D" w:rsidRPr="005E353E" w:rsidRDefault="00A53D7D" w:rsidP="005140B4">
            <w:pPr>
              <w:pStyle w:val="OGNotes"/>
            </w:pPr>
            <w:r w:rsidRPr="005E353E">
              <w:t xml:space="preserve">The </w:t>
            </w:r>
            <w:r>
              <w:t xml:space="preserve">lower </w:t>
            </w:r>
            <w:r w:rsidRPr="005E353E">
              <w:t>2014</w:t>
            </w:r>
            <w:r>
              <w:noBreakHyphen/>
            </w:r>
            <w:r w:rsidRPr="005E353E">
              <w:t>15 target reflects the biennial purchase of municipal valuations resulting in a lower amortisation expense in the f</w:t>
            </w:r>
            <w:r>
              <w:t>ir</w:t>
            </w:r>
            <w:r w:rsidRPr="005E353E">
              <w:t>st year.</w:t>
            </w:r>
          </w:p>
        </w:tc>
      </w:tr>
    </w:tbl>
    <w:p w:rsidR="00A53D7D" w:rsidRDefault="00A53D7D" w:rsidP="005140B4">
      <w:pPr>
        <w:pStyle w:val="Source"/>
      </w:pPr>
      <w:r>
        <w:t>Source: Department of Treasury and Finance</w:t>
      </w:r>
      <w:r>
        <w:fldChar w:fldCharType="begin"/>
      </w:r>
      <w:r>
        <w:instrText xml:space="preserve"> XE "</w:instrText>
      </w:r>
      <w:r w:rsidRPr="00D62768">
        <w:rPr>
          <w:lang w:eastAsia="en-AU"/>
        </w:rPr>
        <w:instrText>Department of Treasury and Finance</w:instrText>
      </w:r>
      <w:r w:rsidRPr="00D62768">
        <w:instrText>:Revenue Management Services</w:instrText>
      </w:r>
      <w:r>
        <w:instrText xml:space="preserve">" \r "DTFRevenueMgmt" </w:instrText>
      </w:r>
      <w:r>
        <w:fldChar w:fldCharType="end"/>
      </w:r>
      <w:r>
        <w:fldChar w:fldCharType="begin"/>
      </w:r>
      <w:r>
        <w:instrText xml:space="preserve"> XE "</w:instrText>
      </w:r>
      <w:r w:rsidRPr="008F564C">
        <w:rPr>
          <w:lang w:eastAsia="en-AU"/>
        </w:rPr>
        <w:instrText>Revenue Management Services</w:instrText>
      </w:r>
      <w:r>
        <w:instrText xml:space="preserve">" \r "DTFRevenueMgmt" </w:instrText>
      </w:r>
      <w:r>
        <w:fldChar w:fldCharType="end"/>
      </w:r>
      <w:r>
        <w:t xml:space="preserve"> </w:t>
      </w:r>
      <w:bookmarkEnd w:id="144"/>
    </w:p>
    <w:p w:rsidR="00A53D7D" w:rsidRDefault="00A53D7D" w:rsidP="005140B4">
      <w:pPr>
        <w:pStyle w:val="OGText"/>
        <w:rPr>
          <w:lang w:eastAsia="en-AU"/>
        </w:rPr>
      </w:pPr>
    </w:p>
    <w:p w:rsidR="00A53D7D" w:rsidRDefault="00A53D7D" w:rsidP="005140B4">
      <w:pPr>
        <w:rPr>
          <w:lang w:eastAsia="en-AU"/>
        </w:rPr>
      </w:pPr>
      <w:r>
        <w:rPr>
          <w:lang w:eastAsia="en-AU"/>
        </w:rPr>
        <w:br w:type="page"/>
      </w:r>
    </w:p>
    <w:p w:rsidR="00A53D7D" w:rsidRPr="005E353E" w:rsidRDefault="00A53D7D" w:rsidP="005140B4">
      <w:pPr>
        <w:pStyle w:val="OGHeading1"/>
        <w:rPr>
          <w:lang w:eastAsia="en-AU"/>
        </w:rPr>
      </w:pPr>
      <w:bookmarkStart w:id="145" w:name="DTFRiskMgmt"/>
      <w:r w:rsidRPr="005E353E">
        <w:rPr>
          <w:lang w:eastAsia="en-AU"/>
        </w:rPr>
        <w:t>Risk Management Services</w:t>
      </w:r>
    </w:p>
    <w:p w:rsidR="00A53D7D" w:rsidRDefault="00A53D7D" w:rsidP="005140B4">
      <w:pPr>
        <w:pStyle w:val="OGText"/>
        <w:rPr>
          <w:lang w:eastAsia="en-AU"/>
        </w:rPr>
      </w:pPr>
      <w:r w:rsidRPr="005E353E">
        <w:rPr>
          <w:lang w:eastAsia="en-AU"/>
        </w:rPr>
        <w:t>This output provides risk management advice and information on frameworks to Ministers, departments and private infrastructure partners to manage the Government's exposure to commercial and infrastructure project risks.</w:t>
      </w:r>
    </w:p>
    <w:p w:rsidR="00A53D7D" w:rsidRPr="005E353E" w:rsidRDefault="00A53D7D" w:rsidP="005140B4">
      <w:pPr>
        <w:pStyle w:val="OGText"/>
        <w:rPr>
          <w:lang w:eastAsia="en-AU"/>
        </w:rPr>
      </w:pPr>
      <w:r w:rsidRPr="005E353E">
        <w:rPr>
          <w:lang w:eastAsia="en-AU"/>
        </w:rPr>
        <w:t xml:space="preserve">By providing advice on frameworks to manage commercial and infrastructure project risks, </w:t>
      </w:r>
      <w:r>
        <w:rPr>
          <w:lang w:eastAsia="en-AU"/>
        </w:rPr>
        <w:t>this output contributes to the Department’s</w:t>
      </w:r>
      <w:r w:rsidRPr="005E353E">
        <w:rPr>
          <w:lang w:eastAsia="en-AU"/>
        </w:rPr>
        <w:t xml:space="preserve"> objective of driving improvement in public sector asset management and the delivery of infrastructure to benefit all Victorians.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353E" w:rsidTr="005140B4">
        <w:trPr>
          <w:cantSplit/>
        </w:trPr>
        <w:tc>
          <w:tcPr>
            <w:tcW w:w="7776" w:type="dxa"/>
            <w:gridSpan w:val="6"/>
            <w:tcBorders>
              <w:top w:val="nil"/>
              <w:left w:val="nil"/>
              <w:right w:val="nil"/>
            </w:tcBorders>
            <w:shd w:val="clear" w:color="auto" w:fill="auto"/>
            <w:vAlign w:val="bottom"/>
            <w:hideMark/>
          </w:tcPr>
          <w:p w:rsidR="00A53D7D" w:rsidRPr="005E353E" w:rsidRDefault="00A53D7D" w:rsidP="005140B4">
            <w:pPr>
              <w:pStyle w:val="OGHeading2"/>
              <w:rPr>
                <w:lang w:eastAsia="en-AU"/>
              </w:rPr>
            </w:pPr>
            <w:r w:rsidRPr="005E353E">
              <w:rPr>
                <w:lang w:eastAsia="en-AU"/>
              </w:rPr>
              <w:t xml:space="preserve">Land </w:t>
            </w:r>
            <w:r>
              <w:rPr>
                <w:lang w:eastAsia="en-AU"/>
              </w:rPr>
              <w:t>and</w:t>
            </w:r>
            <w:r w:rsidRPr="005E353E">
              <w:rPr>
                <w:lang w:eastAsia="en-AU"/>
              </w:rPr>
              <w:t xml:space="preserve"> Infrastructure Investment Management</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5E353E">
              <w:rPr>
                <w:lang w:eastAsia="en-AU"/>
              </w:rPr>
              <w:t xml:space="preserve">This output covers the provision of land and infrastructure advice and assistance to departments, </w:t>
            </w:r>
            <w:proofErr w:type="gramStart"/>
            <w:r w:rsidRPr="005E353E">
              <w:rPr>
                <w:lang w:eastAsia="en-AU"/>
              </w:rPr>
              <w:t>Ministers</w:t>
            </w:r>
            <w:proofErr w:type="gramEnd"/>
            <w:r w:rsidRPr="005E353E">
              <w:rPr>
                <w:lang w:eastAsia="en-AU"/>
              </w:rPr>
              <w:t xml:space="preserve"> and senior DTF management. It contributes to the Department's objective of driving improvement in public sector asset management and the delivery of infrastructure by providing advice and assistance on:</w:t>
            </w:r>
          </w:p>
          <w:p w:rsidR="00A53D7D" w:rsidRDefault="00A53D7D" w:rsidP="005140B4">
            <w:pPr>
              <w:pStyle w:val="OGTabBullet"/>
            </w:pPr>
            <w:r w:rsidRPr="005E353E">
              <w:t>land purchases, sales, facilitation, leasing and management of contaminated sites;</w:t>
            </w:r>
          </w:p>
          <w:p w:rsidR="00A53D7D" w:rsidRDefault="00A53D7D" w:rsidP="005140B4">
            <w:pPr>
              <w:pStyle w:val="OGTabBullet"/>
            </w:pPr>
            <w:r w:rsidRPr="005E353E">
              <w:t>feasibility studies, business cases, procurement processes and contractual management of major projects and commercial transactions;</w:t>
            </w:r>
          </w:p>
          <w:p w:rsidR="00A53D7D" w:rsidRDefault="00A53D7D" w:rsidP="005140B4">
            <w:pPr>
              <w:pStyle w:val="OGTabBullet"/>
            </w:pPr>
            <w:r w:rsidRPr="005E353E">
              <w:t>policy to support project generation, development and delivery;</w:t>
            </w:r>
          </w:p>
          <w:p w:rsidR="00A53D7D" w:rsidRDefault="00A53D7D" w:rsidP="005140B4">
            <w:pPr>
              <w:pStyle w:val="OGTabBullet"/>
            </w:pPr>
            <w:r w:rsidRPr="005E353E">
              <w:t>development and implementation of services including policy, procedures and training in practices which govern new infrastructure investment;</w:t>
            </w:r>
          </w:p>
          <w:p w:rsidR="00A53D7D" w:rsidRDefault="00A53D7D" w:rsidP="005140B4">
            <w:pPr>
              <w:pStyle w:val="OGTabBullet"/>
            </w:pPr>
            <w:r w:rsidRPr="005E353E">
              <w:t>medium to long</w:t>
            </w:r>
            <w:r>
              <w:noBreakHyphen/>
            </w:r>
            <w:r w:rsidRPr="005E353E">
              <w:t>term asset investment planning and processes for investment decision making; and</w:t>
            </w:r>
          </w:p>
          <w:p w:rsidR="00A53D7D" w:rsidRPr="005E353E" w:rsidRDefault="00A53D7D" w:rsidP="005140B4">
            <w:pPr>
              <w:pStyle w:val="OGTabBullet"/>
            </w:pPr>
            <w:proofErr w:type="gramStart"/>
            <w:r w:rsidRPr="005E353E">
              <w:t>monitoring</w:t>
            </w:r>
            <w:proofErr w:type="gramEnd"/>
            <w:r w:rsidRPr="005E353E">
              <w:t xml:space="preserve"> compliance with the </w:t>
            </w:r>
            <w:r w:rsidRPr="00AD1A34">
              <w:rPr>
                <w:i/>
              </w:rPr>
              <w:t>Implementation Guidelines to the Victorian Code of Practice for the Building and Construction Industry</w:t>
            </w:r>
            <w:r w:rsidRPr="005E353E">
              <w:t>.</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Quantity</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Attendance on building sites (site visits, inspections, audits)</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150</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150</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40</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353E">
              <w:t>The higher 2014</w:t>
            </w:r>
            <w:r>
              <w:noBreakHyphen/>
            </w:r>
            <w:r w:rsidRPr="005E353E">
              <w:t xml:space="preserve">15 target reflects the Construction Code Compliance Unit's experience in the first year of operations and its strategic operations plan for increased site presence to improve compliance. </w:t>
            </w:r>
          </w:p>
          <w:p w:rsidR="00A53D7D" w:rsidRPr="005E353E" w:rsidRDefault="00A53D7D" w:rsidP="005140B4">
            <w:pPr>
              <w:pStyle w:val="OGNotes"/>
            </w:pPr>
            <w:r w:rsidRPr="005E353E">
              <w:t>The 2013</w:t>
            </w:r>
            <w:r>
              <w:noBreakHyphen/>
            </w:r>
            <w:r w:rsidRPr="005E353E">
              <w:t>14 expected outcome is higher than the 2013</w:t>
            </w:r>
            <w:r>
              <w:noBreakHyphen/>
            </w:r>
            <w:r w:rsidRPr="005E353E">
              <w:t xml:space="preserve">14 target due to the </w:t>
            </w:r>
            <w:r>
              <w:t>efficient establishment of the Construction Code Unit</w:t>
            </w:r>
            <w:r w:rsidRPr="005E353E">
              <w:t>.</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Develop and implement policies, procedures and training to govern and build capability to deliver infrastructure investment</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weighted 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45</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Pr>
                <w:lang w:eastAsia="en-AU"/>
              </w:rPr>
              <w:t>73</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41</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70</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353E">
              <w:t xml:space="preserve">This performance measure </w:t>
            </w:r>
            <w:r>
              <w:t>renames</w:t>
            </w:r>
            <w:r w:rsidRPr="005E353E">
              <w:t xml:space="preserve"> the 2013</w:t>
            </w:r>
            <w:r>
              <w:noBreakHyphen/>
              <w:t>14 performance measure ‘</w:t>
            </w:r>
            <w:r w:rsidRPr="005E353E">
              <w:t>Capacity to develop and implement policies, procedures and training to govern and build capability to deliver inf</w:t>
            </w:r>
            <w:r>
              <w:t>rastructure investment’. The</w:t>
            </w:r>
            <w:r w:rsidRPr="005E353E">
              <w:t xml:space="preserve"> measure reports on the same activity as the previous measure however has been amended for increased clarity.</w:t>
            </w:r>
          </w:p>
          <w:p w:rsidR="00A53D7D" w:rsidRPr="005E353E" w:rsidRDefault="00A53D7D" w:rsidP="005140B4">
            <w:pPr>
              <w:pStyle w:val="OGNotes"/>
            </w:pPr>
            <w:r w:rsidRPr="005E353E">
              <w:t>The 2013</w:t>
            </w:r>
            <w:r>
              <w:noBreakHyphen/>
            </w:r>
            <w:r w:rsidRPr="005E353E">
              <w:t>14 expected outcome is higher than the 2013</w:t>
            </w:r>
            <w:r>
              <w:noBreakHyphen/>
            </w:r>
            <w:r w:rsidRPr="005E353E">
              <w:t xml:space="preserve">14 target due </w:t>
            </w:r>
            <w:r>
              <w:t>to the number of presentations DTF has been able to make at industry conferences/forums</w:t>
            </w:r>
            <w:r w:rsidRPr="005E353E">
              <w:t>.</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keepNext/>
              <w:rPr>
                <w:lang w:eastAsia="en-AU"/>
              </w:rPr>
            </w:pPr>
            <w:r w:rsidRPr="005E353E">
              <w:rPr>
                <w:lang w:eastAsia="en-AU"/>
              </w:rPr>
              <w:t>Gateway reviews undertaken to minimise Government</w:t>
            </w:r>
            <w:r>
              <w:rPr>
                <w:lang w:eastAsia="en-AU"/>
              </w:rPr>
              <w:t>’</w:t>
            </w:r>
            <w:r w:rsidRPr="005E353E">
              <w:rPr>
                <w:lang w:eastAsia="en-AU"/>
              </w:rPr>
              <w:t>s exposure to project risks</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keepNext/>
              <w:rPr>
                <w:lang w:eastAsia="en-AU"/>
              </w:rPr>
            </w:pPr>
            <w:r w:rsidRPr="005E353E">
              <w:rPr>
                <w:lang w:eastAsia="en-AU"/>
              </w:rPr>
              <w:t>weighted 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keepNext/>
              <w:rPr>
                <w:lang w:eastAsia="en-AU"/>
              </w:rPr>
            </w:pPr>
            <w:r w:rsidRPr="005E353E">
              <w:rPr>
                <w:lang w:eastAsia="en-AU"/>
              </w:rPr>
              <w:t>50</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keepNext/>
              <w:rPr>
                <w:lang w:eastAsia="en-AU"/>
              </w:rPr>
            </w:pPr>
            <w:r>
              <w:rPr>
                <w:lang w:eastAsia="en-AU"/>
              </w:rPr>
              <w:t>44</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keepNext/>
              <w:rPr>
                <w:lang w:eastAsia="en-AU"/>
              </w:rPr>
            </w:pPr>
            <w:r w:rsidRPr="005E353E">
              <w:rPr>
                <w:lang w:eastAsia="en-AU"/>
              </w:rPr>
              <w:t>50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keepNext/>
              <w:rPr>
                <w:lang w:eastAsia="en-AU"/>
              </w:rPr>
            </w:pPr>
            <w:r w:rsidRPr="005E353E">
              <w:rPr>
                <w:lang w:eastAsia="en-AU"/>
              </w:rPr>
              <w:t>38</w:t>
            </w:r>
          </w:p>
        </w:tc>
      </w:tr>
      <w:tr w:rsidR="00A53D7D" w:rsidRPr="005E353E" w:rsidTr="005140B4">
        <w:trPr>
          <w:cantSplit/>
        </w:trPr>
        <w:tc>
          <w:tcPr>
            <w:tcW w:w="7776" w:type="dxa"/>
            <w:gridSpan w:val="6"/>
            <w:tcBorders>
              <w:left w:val="nil"/>
              <w:bottom w:val="single" w:sz="6" w:space="0" w:color="auto"/>
              <w:right w:val="nil"/>
            </w:tcBorders>
            <w:shd w:val="clear" w:color="000000" w:fill="FFFFFF"/>
          </w:tcPr>
          <w:p w:rsidR="00A53D7D" w:rsidRPr="00DA5508" w:rsidRDefault="00A53D7D" w:rsidP="005140B4">
            <w:pPr>
              <w:pStyle w:val="OGTableofFigures"/>
              <w:rPr>
                <w:i/>
                <w:sz w:val="15"/>
                <w:szCs w:val="20"/>
                <w:lang w:eastAsia="en-AU"/>
              </w:rPr>
            </w:pPr>
            <w:r>
              <w:rPr>
                <w:i/>
                <w:sz w:val="15"/>
                <w:szCs w:val="20"/>
                <w:lang w:eastAsia="en-AU"/>
              </w:rPr>
              <w:t>The 2013</w:t>
            </w:r>
            <w:r>
              <w:rPr>
                <w:i/>
                <w:sz w:val="15"/>
                <w:szCs w:val="20"/>
                <w:lang w:eastAsia="en-AU"/>
              </w:rPr>
              <w:noBreakHyphen/>
              <w:t>14 expected outcome is lower than the 2013</w:t>
            </w:r>
            <w:r>
              <w:rPr>
                <w:i/>
                <w:sz w:val="15"/>
                <w:szCs w:val="20"/>
                <w:lang w:eastAsia="en-AU"/>
              </w:rPr>
              <w:noBreakHyphen/>
              <w:t>14 target as there were a lower number of reviews than forecast.</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Provision of written commercial and risk management advice on infrastructure and commercial projects (including projects identified as high</w:t>
            </w:r>
            <w:r>
              <w:rPr>
                <w:lang w:eastAsia="en-AU"/>
              </w:rPr>
              <w:noBreakHyphen/>
            </w:r>
            <w:r w:rsidRPr="005E353E">
              <w:rPr>
                <w:lang w:eastAsia="en-AU"/>
              </w:rPr>
              <w:t>value high</w:t>
            </w:r>
            <w:r>
              <w:rPr>
                <w:lang w:eastAsia="en-AU"/>
              </w:rPr>
              <w:noBreakHyphen/>
            </w:r>
            <w:r w:rsidRPr="005E353E">
              <w:rPr>
                <w:lang w:eastAsia="en-AU"/>
              </w:rPr>
              <w:t>risk) which facilitates sound investment and mini</w:t>
            </w:r>
            <w:r>
              <w:rPr>
                <w:lang w:eastAsia="en-AU"/>
              </w:rPr>
              <w:t>mises risk</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weighted 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320</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3</w:t>
            </w:r>
            <w:r>
              <w:rPr>
                <w:lang w:eastAsia="en-AU"/>
              </w:rPr>
              <w:t>49</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320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408</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353E">
              <w:t>This performance measure renames the 2013</w:t>
            </w:r>
            <w:r>
              <w:noBreakHyphen/>
              <w:t>14 performance measure ‘</w:t>
            </w:r>
            <w:r w:rsidRPr="005E353E">
              <w:t>Provision of commercial and risk management advice on infrastructure and commercial projects (including projects identified as high</w:t>
            </w:r>
            <w:r>
              <w:noBreakHyphen/>
            </w:r>
            <w:r w:rsidRPr="005E353E">
              <w:t>value/high</w:t>
            </w:r>
            <w:r>
              <w:noBreakHyphen/>
            </w:r>
            <w:r w:rsidRPr="005E353E">
              <w:t>risk) which facilitates sound investme</w:t>
            </w:r>
            <w:r>
              <w:t>nt and minimises risks’. The</w:t>
            </w:r>
            <w:r w:rsidRPr="005E353E">
              <w:t xml:space="preserve"> measure reports on the same activity as the previous measure but has been amended for increased clarity.</w:t>
            </w:r>
          </w:p>
          <w:p w:rsidR="00A53D7D" w:rsidRPr="005E353E" w:rsidRDefault="00A53D7D" w:rsidP="005140B4">
            <w:pPr>
              <w:pStyle w:val="OGNotes"/>
            </w:pPr>
            <w:r>
              <w:t>The 2013</w:t>
            </w:r>
            <w:r>
              <w:noBreakHyphen/>
              <w:t>14 expected outcome is higher than the 2013</w:t>
            </w:r>
            <w:r>
              <w:noBreakHyphen/>
              <w:t>14 target due to higher than anticipated briefing workload through the year.</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Revenue from sale of surplus Government land including Crown land</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Pr>
                <w:lang w:eastAsia="en-AU"/>
              </w:rPr>
              <w:t>$ million</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124</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140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82</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186.9</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353E">
              <w:t>The 2013</w:t>
            </w:r>
            <w:r>
              <w:noBreakHyphen/>
            </w:r>
            <w:r w:rsidRPr="005E353E">
              <w:t>14 expected outcome is higher than the 2013</w:t>
            </w:r>
            <w:r>
              <w:noBreakHyphen/>
            </w:r>
            <w:r w:rsidRPr="005E353E">
              <w:t>14 target due to a renewed focus on whole of government land sales targets.</w:t>
            </w:r>
          </w:p>
          <w:p w:rsidR="00A53D7D" w:rsidRPr="005E353E" w:rsidRDefault="00A53D7D" w:rsidP="005140B4">
            <w:pPr>
              <w:pStyle w:val="OGNotes"/>
            </w:pPr>
            <w:r>
              <w:t>The higher 2014</w:t>
            </w:r>
            <w:r>
              <w:noBreakHyphen/>
              <w:t>15 target reflects renewed focus on whole of government land sales targets.</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Quality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Maintain ISO 9001 (Quality Management Systems) Certification</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Workplace Relations Management Plan assessments completed within five working days</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95</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Pr>
                <w:lang w:eastAsia="en-AU"/>
              </w:rPr>
              <w:t>94</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95</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353E">
              <w:t xml:space="preserve">This performance measure has moved from a quality to a timeliness measure as this more appropriately captures the performance of the output. </w:t>
            </w:r>
          </w:p>
          <w:p w:rsidR="00A53D7D" w:rsidRDefault="00A53D7D" w:rsidP="005140B4">
            <w:pPr>
              <w:pStyle w:val="OGNotes"/>
            </w:pPr>
            <w:r w:rsidRPr="005E353E">
              <w:t>This performance measure edits the 2013</w:t>
            </w:r>
            <w:r>
              <w:noBreakHyphen/>
              <w:t>14 performance measure ‘</w:t>
            </w:r>
            <w:r w:rsidRPr="005E353E">
              <w:t>Workplace Relations Management Plan assessments completed within three working days</w:t>
            </w:r>
            <w:r>
              <w:t>’.</w:t>
            </w:r>
            <w:r w:rsidRPr="005E353E">
              <w:t xml:space="preserve"> The increase in the number of working days within which Workplace Relations Management Plan (WRMP) assessments are to be completed is due to the increased scope for WRMPs from 1 July 2014 to include drug, </w:t>
            </w:r>
            <w:proofErr w:type="gramStart"/>
            <w:r w:rsidRPr="005E353E">
              <w:t>alcohol</w:t>
            </w:r>
            <w:proofErr w:type="gramEnd"/>
            <w:r w:rsidRPr="005E353E">
              <w:t xml:space="preserve"> and security policies. </w:t>
            </w:r>
          </w:p>
          <w:p w:rsidR="00A53D7D" w:rsidRPr="005E353E" w:rsidRDefault="00A53D7D" w:rsidP="005140B4">
            <w:pPr>
              <w:pStyle w:val="OGNotes"/>
            </w:pPr>
            <w:r>
              <w:t>Note that the 2013</w:t>
            </w:r>
            <w:r>
              <w:noBreakHyphen/>
              <w:t>14 expected outcome has been calculated based on the previous measure of 95 per cent of assessments completed within three working days.</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Total output cost</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26.1</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29.7</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28.2</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28.4</w:t>
            </w:r>
          </w:p>
        </w:tc>
      </w:tr>
      <w:tr w:rsidR="00A53D7D" w:rsidRPr="005E353E" w:rsidTr="005140B4">
        <w:trPr>
          <w:cantSplit/>
        </w:trPr>
        <w:tc>
          <w:tcPr>
            <w:tcW w:w="7776" w:type="dxa"/>
            <w:gridSpan w:val="6"/>
            <w:tcBorders>
              <w:top w:val="nil"/>
              <w:left w:val="nil"/>
              <w:bottom w:val="single" w:sz="12" w:space="0" w:color="auto"/>
              <w:right w:val="nil"/>
            </w:tcBorders>
            <w:shd w:val="clear" w:color="auto" w:fill="auto"/>
            <w:vAlign w:val="bottom"/>
            <w:hideMark/>
          </w:tcPr>
          <w:p w:rsidR="00A53D7D" w:rsidRPr="00934111" w:rsidRDefault="00A53D7D" w:rsidP="005140B4">
            <w:pPr>
              <w:pStyle w:val="OGNotes"/>
            </w:pPr>
            <w:r w:rsidRPr="00934111">
              <w:t>The lower 2014</w:t>
            </w:r>
            <w:r>
              <w:noBreakHyphen/>
            </w:r>
            <w:r w:rsidRPr="00934111">
              <w:t>15 target reflects internal reprioritisation of resources resulting from a departmental restructure.</w:t>
            </w:r>
          </w:p>
          <w:p w:rsidR="00A53D7D" w:rsidRPr="005E353E" w:rsidRDefault="00A53D7D" w:rsidP="005140B4">
            <w:pPr>
              <w:pStyle w:val="OGNotes"/>
            </w:pPr>
            <w:r w:rsidRPr="00934111">
              <w:t>The 2013</w:t>
            </w:r>
            <w:r>
              <w:noBreakHyphen/>
            </w:r>
            <w:r w:rsidRPr="00934111">
              <w:t>14 expected outcome is higher than the 201</w:t>
            </w:r>
            <w:r>
              <w:t>3-14</w:t>
            </w:r>
            <w:r w:rsidRPr="00934111">
              <w:t xml:space="preserve"> </w:t>
            </w:r>
            <w:proofErr w:type="gramStart"/>
            <w:r w:rsidRPr="00934111">
              <w:t>target</w:t>
            </w:r>
            <w:proofErr w:type="gramEnd"/>
            <w:r w:rsidRPr="00934111">
              <w:t xml:space="preserve"> due to carryover from 2012</w:t>
            </w:r>
            <w:r>
              <w:noBreakHyphen/>
            </w:r>
            <w:r w:rsidRPr="00934111">
              <w:t>13 into 2013</w:t>
            </w:r>
            <w:r>
              <w:noBreakHyphen/>
            </w:r>
            <w:r w:rsidRPr="00934111">
              <w:t>14 and other one</w:t>
            </w:r>
            <w:r>
              <w:noBreakHyphen/>
            </w:r>
            <w:r w:rsidRPr="00934111">
              <w:t>off funding for the completion of various projects in 2013</w:t>
            </w:r>
            <w:r>
              <w:noBreakHyphen/>
            </w:r>
            <w:r w:rsidRPr="00934111">
              <w:t xml:space="preserve">14. </w:t>
            </w:r>
          </w:p>
        </w:tc>
      </w:tr>
    </w:tbl>
    <w:p w:rsidR="00A53D7D" w:rsidRDefault="00A53D7D" w:rsidP="005140B4">
      <w:pPr>
        <w:pStyle w:val="Source"/>
      </w:pPr>
      <w:r>
        <w:t>Source: Department of Treasury and Finance</w:t>
      </w:r>
      <w:r>
        <w:fldChar w:fldCharType="begin"/>
      </w:r>
      <w:r>
        <w:instrText xml:space="preserve"> XE "</w:instrText>
      </w:r>
      <w:r w:rsidRPr="00FA5500">
        <w:rPr>
          <w:lang w:eastAsia="en-AU"/>
        </w:rPr>
        <w:instrText>Department of Treasury and Finance</w:instrText>
      </w:r>
      <w:r w:rsidRPr="00FA5500">
        <w:instrText>:Risk Management Services</w:instrText>
      </w:r>
      <w:r>
        <w:instrText xml:space="preserve">" \r "DTFRiskMgmt" </w:instrText>
      </w:r>
      <w:r>
        <w:fldChar w:fldCharType="end"/>
      </w:r>
      <w:r>
        <w:fldChar w:fldCharType="begin"/>
      </w:r>
      <w:r>
        <w:instrText xml:space="preserve"> XE "</w:instrText>
      </w:r>
      <w:r w:rsidRPr="008F564C">
        <w:rPr>
          <w:lang w:eastAsia="en-AU"/>
        </w:rPr>
        <w:instrText>Risk Management Services</w:instrText>
      </w:r>
      <w:r>
        <w:instrText xml:space="preserve">" \r "DTFRiskMgmt" </w:instrText>
      </w:r>
      <w:r>
        <w:fldChar w:fldCharType="end"/>
      </w:r>
      <w:r>
        <w:t xml:space="preserve"> </w:t>
      </w:r>
    </w:p>
    <w:p w:rsidR="00A53D7D" w:rsidRPr="00B775F5" w:rsidRDefault="00A53D7D" w:rsidP="005140B4">
      <w:pPr>
        <w:pStyle w:val="OGHeading1"/>
        <w:rPr>
          <w:lang w:eastAsia="en-AU"/>
        </w:rPr>
      </w:pPr>
      <w:bookmarkStart w:id="146" w:name="DTFStratPolicy"/>
      <w:bookmarkEnd w:id="145"/>
      <w:r w:rsidRPr="005E353E">
        <w:rPr>
          <w:lang w:eastAsia="en-AU"/>
        </w:rPr>
        <w:t>Strategic Policy Advice</w:t>
      </w:r>
    </w:p>
    <w:p w:rsidR="00A53D7D" w:rsidRDefault="00A53D7D" w:rsidP="005140B4">
      <w:pPr>
        <w:pStyle w:val="OGText"/>
        <w:spacing w:after="40"/>
        <w:rPr>
          <w:lang w:eastAsia="en-AU"/>
        </w:rPr>
      </w:pPr>
      <w:r w:rsidRPr="005E353E">
        <w:rPr>
          <w:lang w:eastAsia="en-AU"/>
        </w:rPr>
        <w:t>These outputs provide strategic policy advice to Ministers on all aspects of government activity. This includes advice on:</w:t>
      </w:r>
    </w:p>
    <w:p w:rsidR="00A53D7D" w:rsidRDefault="00A53D7D" w:rsidP="005140B4">
      <w:pPr>
        <w:pStyle w:val="OGBullet"/>
        <w:rPr>
          <w:lang w:eastAsia="en-AU"/>
        </w:rPr>
      </w:pPr>
      <w:r w:rsidRPr="005E353E">
        <w:rPr>
          <w:lang w:eastAsia="en-AU"/>
        </w:rPr>
        <w:t>the State's overall financial and aggregate budget strategy;</w:t>
      </w:r>
    </w:p>
    <w:p w:rsidR="00A53D7D" w:rsidRDefault="00A53D7D" w:rsidP="005140B4">
      <w:pPr>
        <w:pStyle w:val="OGBullet"/>
        <w:rPr>
          <w:lang w:eastAsia="en-AU"/>
        </w:rPr>
      </w:pPr>
      <w:r w:rsidRPr="005E353E">
        <w:rPr>
          <w:lang w:eastAsia="en-AU"/>
        </w:rPr>
        <w:t>taxation policy;</w:t>
      </w:r>
    </w:p>
    <w:p w:rsidR="00A53D7D" w:rsidRDefault="00A53D7D" w:rsidP="005140B4">
      <w:pPr>
        <w:pStyle w:val="OGBullet"/>
        <w:rPr>
          <w:lang w:eastAsia="en-AU"/>
        </w:rPr>
      </w:pPr>
      <w:r w:rsidRPr="005E353E">
        <w:rPr>
          <w:lang w:eastAsia="en-AU"/>
        </w:rPr>
        <w:t>the State's insurance schemes;</w:t>
      </w:r>
    </w:p>
    <w:p w:rsidR="00A53D7D" w:rsidRDefault="00A53D7D" w:rsidP="005140B4">
      <w:pPr>
        <w:pStyle w:val="OGBullet"/>
        <w:rPr>
          <w:lang w:eastAsia="en-AU"/>
        </w:rPr>
      </w:pPr>
      <w:r w:rsidRPr="005E353E">
        <w:rPr>
          <w:lang w:eastAsia="en-AU"/>
        </w:rPr>
        <w:t>accounting policies and performance management;</w:t>
      </w:r>
    </w:p>
    <w:p w:rsidR="00A53D7D" w:rsidRDefault="00A53D7D" w:rsidP="005140B4">
      <w:pPr>
        <w:pStyle w:val="OGBullet"/>
        <w:rPr>
          <w:lang w:eastAsia="en-AU"/>
        </w:rPr>
      </w:pPr>
      <w:r w:rsidRPr="005E353E">
        <w:rPr>
          <w:lang w:eastAsia="en-AU"/>
        </w:rPr>
        <w:t>economic, social and environmental monitoring and analysis;</w:t>
      </w:r>
    </w:p>
    <w:p w:rsidR="00A53D7D" w:rsidRPr="005E353E" w:rsidRDefault="00A53D7D" w:rsidP="005140B4">
      <w:pPr>
        <w:pStyle w:val="OGBullet"/>
        <w:rPr>
          <w:lang w:eastAsia="en-AU"/>
        </w:rPr>
      </w:pPr>
      <w:r w:rsidRPr="005E353E">
        <w:rPr>
          <w:lang w:eastAsia="en-AU"/>
        </w:rPr>
        <w:t>managing various state</w:t>
      </w:r>
      <w:r>
        <w:rPr>
          <w:lang w:eastAsia="en-AU"/>
        </w:rPr>
        <w:noBreakHyphen/>
      </w:r>
      <w:r w:rsidRPr="005E353E">
        <w:rPr>
          <w:lang w:eastAsia="en-AU"/>
        </w:rPr>
        <w:t>based taxes;</w:t>
      </w:r>
    </w:p>
    <w:p w:rsidR="00A53D7D" w:rsidRPr="005E353E" w:rsidRDefault="00A53D7D" w:rsidP="005140B4">
      <w:pPr>
        <w:pStyle w:val="OGBullet"/>
        <w:rPr>
          <w:lang w:eastAsia="en-AU"/>
        </w:rPr>
      </w:pPr>
      <w:r w:rsidRPr="005E353E">
        <w:rPr>
          <w:lang w:eastAsia="en-AU"/>
        </w:rPr>
        <w:t>financial accounting and reporting;</w:t>
      </w:r>
    </w:p>
    <w:p w:rsidR="00A53D7D" w:rsidRPr="005E353E" w:rsidRDefault="00A53D7D" w:rsidP="005140B4">
      <w:pPr>
        <w:pStyle w:val="OGBullet"/>
        <w:rPr>
          <w:lang w:eastAsia="en-AU"/>
        </w:rPr>
      </w:pPr>
      <w:r w:rsidRPr="005E353E">
        <w:rPr>
          <w:lang w:eastAsia="en-AU"/>
        </w:rPr>
        <w:t>strategic research focusing on developing greater understanding of factors affecting long</w:t>
      </w:r>
      <w:r>
        <w:rPr>
          <w:lang w:eastAsia="en-AU"/>
        </w:rPr>
        <w:noBreakHyphen/>
      </w:r>
      <w:r w:rsidRPr="005E353E">
        <w:rPr>
          <w:lang w:eastAsia="en-AU"/>
        </w:rPr>
        <w:t>term living standards for Victorians; and</w:t>
      </w:r>
    </w:p>
    <w:p w:rsidR="00A53D7D" w:rsidRPr="005E353E" w:rsidRDefault="00A53D7D" w:rsidP="005140B4">
      <w:pPr>
        <w:pStyle w:val="OGBullet"/>
        <w:rPr>
          <w:lang w:eastAsia="en-AU"/>
        </w:rPr>
      </w:pPr>
      <w:proofErr w:type="gramStart"/>
      <w:r w:rsidRPr="005E353E">
        <w:rPr>
          <w:lang w:eastAsia="en-AU"/>
        </w:rPr>
        <w:t>intergovernmental</w:t>
      </w:r>
      <w:proofErr w:type="gramEnd"/>
      <w:r w:rsidRPr="005E353E">
        <w:rPr>
          <w:lang w:eastAsia="en-AU"/>
        </w:rPr>
        <w:t xml:space="preserve"> financial analysis and advice in relation to the level of Commonwealth funding to the states and territories.</w:t>
      </w:r>
    </w:p>
    <w:p w:rsidR="00A53D7D" w:rsidRPr="005E353E" w:rsidRDefault="00A53D7D" w:rsidP="005140B4">
      <w:pPr>
        <w:pStyle w:val="OGText"/>
        <w:spacing w:after="40"/>
        <w:rPr>
          <w:lang w:eastAsia="en-AU"/>
        </w:rPr>
      </w:pPr>
      <w:r w:rsidRPr="005E353E">
        <w:rPr>
          <w:lang w:eastAsia="en-AU"/>
        </w:rPr>
        <w:t>By assisting the Government's strategic policy decisions, these outputs contribute to the Department's objectives of:</w:t>
      </w:r>
    </w:p>
    <w:p w:rsidR="00A53D7D" w:rsidRPr="005E353E" w:rsidRDefault="00A53D7D" w:rsidP="005140B4">
      <w:pPr>
        <w:pStyle w:val="OGBullet"/>
      </w:pPr>
      <w:r w:rsidRPr="005E353E">
        <w:t>sound financial management of the State's fiscal resources; and</w:t>
      </w:r>
    </w:p>
    <w:p w:rsidR="00A53D7D" w:rsidRPr="005E353E" w:rsidRDefault="00A53D7D" w:rsidP="005140B4">
      <w:pPr>
        <w:pStyle w:val="OGBullet"/>
      </w:pPr>
      <w:proofErr w:type="gramStart"/>
      <w:r w:rsidRPr="005E353E">
        <w:t>guiding</w:t>
      </w:r>
      <w:proofErr w:type="gramEnd"/>
      <w:r w:rsidRPr="005E353E">
        <w:t xml:space="preserve"> Government actions to increase Victoria's productivity and competitiveness.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E353E" w:rsidTr="005140B4">
        <w:trPr>
          <w:cantSplit/>
        </w:trPr>
        <w:tc>
          <w:tcPr>
            <w:tcW w:w="7776" w:type="dxa"/>
            <w:gridSpan w:val="6"/>
            <w:tcBorders>
              <w:top w:val="nil"/>
              <w:left w:val="nil"/>
              <w:right w:val="nil"/>
            </w:tcBorders>
            <w:shd w:val="clear" w:color="auto" w:fill="auto"/>
            <w:vAlign w:val="bottom"/>
            <w:hideMark/>
          </w:tcPr>
          <w:p w:rsidR="00A53D7D" w:rsidRPr="005E353E" w:rsidRDefault="00A53D7D" w:rsidP="005140B4">
            <w:pPr>
              <w:pStyle w:val="OGHeading2"/>
              <w:keepNext w:val="0"/>
              <w:rPr>
                <w:lang w:eastAsia="en-AU"/>
              </w:rPr>
            </w:pPr>
            <w:r w:rsidRPr="005E353E">
              <w:rPr>
                <w:lang w:eastAsia="en-AU"/>
              </w:rPr>
              <w:t>Budget and Financial Policy Advice</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keepNext w:val="0"/>
              <w:rPr>
                <w:lang w:eastAsia="en-AU"/>
              </w:rPr>
            </w:pPr>
            <w:r w:rsidRPr="005E353E">
              <w:rPr>
                <w:lang w:eastAsia="en-AU"/>
              </w:rPr>
              <w:t>This output contributes to the Department's objective of providing sound financial management of Victoria's fiscal resources through the provision of strategic, timely and comprehensive analysis and advice to Ministers, Cabinet and Cabinet Sub</w:t>
            </w:r>
            <w:r>
              <w:rPr>
                <w:lang w:eastAsia="en-AU"/>
              </w:rPr>
              <w:noBreakHyphen/>
            </w:r>
            <w:r w:rsidRPr="005E353E">
              <w:rPr>
                <w:lang w:eastAsia="en-AU"/>
              </w:rPr>
              <w:t>Committees on:</w:t>
            </w:r>
          </w:p>
          <w:p w:rsidR="00A53D7D" w:rsidRDefault="00A53D7D" w:rsidP="005140B4">
            <w:pPr>
              <w:pStyle w:val="OGTabBullet"/>
            </w:pPr>
            <w:r w:rsidRPr="005E353E">
              <w:t>resource allocation; and</w:t>
            </w:r>
          </w:p>
          <w:p w:rsidR="00A53D7D" w:rsidRDefault="00A53D7D" w:rsidP="005140B4">
            <w:pPr>
              <w:pStyle w:val="OGTabBullet"/>
            </w:pPr>
            <w:proofErr w:type="gramStart"/>
            <w:r w:rsidRPr="005E353E">
              <w:t>departmental</w:t>
            </w:r>
            <w:proofErr w:type="gramEnd"/>
            <w:r w:rsidRPr="005E353E">
              <w:t xml:space="preserve"> financial, output and asset delivery performance to support government in making decisions on the allocation of the State's fiscal resources.</w:t>
            </w:r>
          </w:p>
          <w:p w:rsidR="00A53D7D" w:rsidRDefault="00A53D7D" w:rsidP="005140B4">
            <w:pPr>
              <w:pStyle w:val="OGText"/>
              <w:keepNext w:val="0"/>
              <w:rPr>
                <w:lang w:eastAsia="en-AU"/>
              </w:rPr>
            </w:pPr>
            <w:r w:rsidRPr="005E353E">
              <w:rPr>
                <w:lang w:eastAsia="en-AU"/>
              </w:rPr>
              <w:t>This output assists government to deliver responsible budgets and operating surpluses which contribute to sound financial management.</w:t>
            </w:r>
          </w:p>
          <w:p w:rsidR="00A53D7D" w:rsidRDefault="00A53D7D" w:rsidP="005140B4">
            <w:pPr>
              <w:pStyle w:val="OGText"/>
              <w:keepNext w:val="0"/>
              <w:rPr>
                <w:lang w:eastAsia="en-AU"/>
              </w:rPr>
            </w:pPr>
            <w:r w:rsidRPr="005E353E">
              <w:rPr>
                <w:lang w:eastAsia="en-AU"/>
              </w:rPr>
              <w:t>The output also:</w:t>
            </w:r>
          </w:p>
          <w:p w:rsidR="00A53D7D" w:rsidRDefault="00A53D7D" w:rsidP="005140B4">
            <w:pPr>
              <w:pStyle w:val="OGTabBullet"/>
            </w:pPr>
            <w:r w:rsidRPr="005E353E">
              <w:t>provides public and private sector industrial relations advice and strategic workforce management counsel to Ministers and departmental and agency reviews; and</w:t>
            </w:r>
          </w:p>
          <w:p w:rsidR="00A53D7D" w:rsidRPr="005E353E" w:rsidRDefault="00A53D7D" w:rsidP="005140B4">
            <w:pPr>
              <w:pStyle w:val="OGTabBullet"/>
            </w:pPr>
            <w:proofErr w:type="gramStart"/>
            <w:r w:rsidRPr="005E353E">
              <w:t>provides</w:t>
            </w:r>
            <w:proofErr w:type="gramEnd"/>
            <w:r w:rsidRPr="005E353E">
              <w:t xml:space="preserve"> management of Cost Control and Efficiency Reviews.</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Quantity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keepNext/>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keepNext/>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keepNext/>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keepNext/>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Budget and financial policy advice through Ministerial briefs, Budget and Expenditure Review Committee and Cabinet and Sub Committee briefs</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1 250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1 250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1 250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1 245</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Cost Control and Efficiency Reviews</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3</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3</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3</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3</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This performance measure renames the 2013</w:t>
            </w:r>
            <w:r>
              <w:noBreakHyphen/>
              <w:t>14 performance measure ‘</w:t>
            </w:r>
            <w:r w:rsidRPr="005E353E">
              <w:t>Output Evalu</w:t>
            </w:r>
            <w:r>
              <w:t>ation and Base Reviews’. The</w:t>
            </w:r>
            <w:r w:rsidRPr="005E353E">
              <w:t xml:space="preserve"> measure reports on the same activity as the previous measure but has been amended for increased clarity.</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keepNext w:val="0"/>
              <w:keepLines w:val="0"/>
              <w:rPr>
                <w:lang w:eastAsia="en-AU"/>
              </w:rPr>
            </w:pPr>
            <w:r w:rsidRPr="005E353E">
              <w:rPr>
                <w:lang w:eastAsia="en-AU"/>
              </w:rPr>
              <w:t>Quality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Accuracy of the revised estimate of State budget expenditure</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=&lt;</w:t>
            </w:r>
            <w:r>
              <w:rPr>
                <w:lang w:eastAsia="en-AU"/>
              </w:rPr>
              <w:t xml:space="preserve"> </w:t>
            </w:r>
            <w:r w:rsidRPr="005E353E">
              <w:rPr>
                <w:lang w:eastAsia="en-AU"/>
              </w:rPr>
              <w:t>5.0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=&lt;</w:t>
            </w:r>
            <w:r>
              <w:rPr>
                <w:lang w:eastAsia="en-AU"/>
              </w:rPr>
              <w:t xml:space="preserve"> </w:t>
            </w:r>
            <w:r w:rsidRPr="005E353E">
              <w:rPr>
                <w:lang w:eastAsia="en-AU"/>
              </w:rPr>
              <w:t>5.0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=&lt;</w:t>
            </w:r>
            <w:r>
              <w:rPr>
                <w:lang w:eastAsia="en-AU"/>
              </w:rPr>
              <w:t xml:space="preserve"> </w:t>
            </w:r>
            <w:r w:rsidRPr="005E353E">
              <w:rPr>
                <w:lang w:eastAsia="en-AU"/>
              </w:rPr>
              <w:t>5.0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Maintain ISO 9001 (Quality Management Systems) Certification</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Victoria represented in major industrial relations cases and inquiries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Head"/>
              <w:keepNext w:val="0"/>
              <w:keepLines w:val="0"/>
              <w:rPr>
                <w:lang w:eastAsia="en-AU"/>
              </w:rPr>
            </w:pPr>
            <w:r w:rsidRPr="005E353E">
              <w:rPr>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Delivery of Cost Control and Efficiency Review reports within agreed timeframes</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 xml:space="preserve">This performance measure </w:t>
            </w:r>
            <w:r>
              <w:t>renames</w:t>
            </w:r>
            <w:r w:rsidRPr="005E353E">
              <w:t xml:space="preserve"> the 2013</w:t>
            </w:r>
            <w:r>
              <w:noBreakHyphen/>
              <w:t>14 performance measure ‘</w:t>
            </w:r>
            <w:r w:rsidRPr="005E353E">
              <w:t>Delivery of output evaluation and Base Review reports within agreed timeframes</w:t>
            </w:r>
            <w:r>
              <w:t>’.</w:t>
            </w:r>
            <w:r w:rsidRPr="005E353E">
              <w:t xml:space="preserve"> The measure reports on the same activity as the previous measure but has been amended for increased clarity.</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Delivery of output performance and asset investment performance reports within agreed timeframes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Review and assessment of submitted public sector enterprise bargaining costings and proposed agreements completed and submitted for approval within four weeks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80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80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80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Cost</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Total output cost</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15.3</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14.6</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13.5</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12.3</w:t>
            </w:r>
          </w:p>
        </w:tc>
      </w:tr>
      <w:tr w:rsidR="00A53D7D" w:rsidRPr="005E353E" w:rsidTr="005140B4">
        <w:trPr>
          <w:cantSplit/>
        </w:trPr>
        <w:tc>
          <w:tcPr>
            <w:tcW w:w="7776" w:type="dxa"/>
            <w:gridSpan w:val="6"/>
            <w:tcBorders>
              <w:top w:val="nil"/>
              <w:left w:val="nil"/>
              <w:bottom w:val="single" w:sz="6" w:space="0" w:color="auto"/>
              <w:right w:val="nil"/>
            </w:tcBorders>
            <w:shd w:val="clear" w:color="000000" w:fill="FFFFFF"/>
          </w:tcPr>
          <w:p w:rsidR="00A53D7D" w:rsidRPr="00934111" w:rsidRDefault="00A53D7D" w:rsidP="005140B4">
            <w:pPr>
              <w:pStyle w:val="OGNotes"/>
            </w:pPr>
            <w:r w:rsidRPr="00934111">
              <w:t>The higher 2014</w:t>
            </w:r>
            <w:r>
              <w:noBreakHyphen/>
            </w:r>
            <w:r w:rsidRPr="00934111">
              <w:t>15 target reflects internal reprioritisation of resources resulting from a departmental restructure.</w:t>
            </w:r>
          </w:p>
          <w:p w:rsidR="00A53D7D" w:rsidRPr="00934111" w:rsidRDefault="00A53D7D" w:rsidP="005140B4">
            <w:pPr>
              <w:pStyle w:val="OGNotes"/>
              <w:rPr>
                <w:sz w:val="16"/>
                <w:szCs w:val="16"/>
              </w:rPr>
            </w:pPr>
            <w:r w:rsidRPr="00934111">
              <w:t>The 2013</w:t>
            </w:r>
            <w:r>
              <w:noBreakHyphen/>
            </w:r>
            <w:r w:rsidRPr="00934111">
              <w:t>14 expected outcome is higher than the 2013</w:t>
            </w:r>
            <w:r>
              <w:noBreakHyphen/>
            </w:r>
            <w:r w:rsidRPr="00934111">
              <w:t>14 target due to internal reprioritisation of resources resulting from a departmental restructure.</w:t>
            </w:r>
          </w:p>
        </w:tc>
      </w:tr>
      <w:tr w:rsidR="00A53D7D" w:rsidRPr="005E353E" w:rsidTr="005140B4">
        <w:trPr>
          <w:cantSplit/>
        </w:trPr>
        <w:tc>
          <w:tcPr>
            <w:tcW w:w="7776" w:type="dxa"/>
            <w:gridSpan w:val="6"/>
            <w:tcBorders>
              <w:top w:val="single" w:sz="6" w:space="0" w:color="auto"/>
              <w:left w:val="nil"/>
              <w:right w:val="nil"/>
            </w:tcBorders>
            <w:shd w:val="clear" w:color="auto" w:fill="auto"/>
            <w:vAlign w:val="bottom"/>
            <w:hideMark/>
          </w:tcPr>
          <w:p w:rsidR="00A53D7D" w:rsidRPr="005E353E" w:rsidRDefault="00A53D7D" w:rsidP="005140B4">
            <w:pPr>
              <w:pStyle w:val="OGHeading2"/>
              <w:rPr>
                <w:lang w:eastAsia="en-AU"/>
              </w:rPr>
            </w:pPr>
            <w:r w:rsidRPr="005E353E">
              <w:rPr>
                <w:lang w:eastAsia="en-AU"/>
              </w:rPr>
              <w:t>Economic and Financial Policy</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5E353E">
              <w:rPr>
                <w:lang w:eastAsia="en-AU"/>
              </w:rPr>
              <w:t>This output provides strategic policy advice including potential reform options to Ministers across a range of current economic and financial policy issues.</w:t>
            </w:r>
          </w:p>
          <w:p w:rsidR="00A53D7D" w:rsidRDefault="00A53D7D" w:rsidP="005140B4">
            <w:pPr>
              <w:pStyle w:val="OGText"/>
              <w:rPr>
                <w:lang w:eastAsia="en-AU"/>
              </w:rPr>
            </w:pPr>
            <w:r w:rsidRPr="005E353E">
              <w:rPr>
                <w:lang w:eastAsia="en-AU"/>
              </w:rPr>
              <w:t>The output contributes to the Department's objective of increasing Victoria's productivity and competitiveness by providing advice on:</w:t>
            </w:r>
          </w:p>
          <w:p w:rsidR="00A53D7D" w:rsidRDefault="00A53D7D" w:rsidP="005140B4">
            <w:pPr>
              <w:pStyle w:val="OGTabBullet"/>
            </w:pPr>
            <w:r w:rsidRPr="005E353E">
              <w:t>medium and longer</w:t>
            </w:r>
            <w:r>
              <w:noBreakHyphen/>
            </w:r>
            <w:r w:rsidRPr="005E353E">
              <w:t>term strategies to strengthen productivity, participation and the State's overall competitiveness;</w:t>
            </w:r>
          </w:p>
          <w:p w:rsidR="00A53D7D" w:rsidRDefault="00A53D7D" w:rsidP="005140B4">
            <w:pPr>
              <w:pStyle w:val="OGTabBullet"/>
            </w:pPr>
            <w:r w:rsidRPr="005E353E">
              <w:t>key economic, social and environmental policy and infrastructure issues;</w:t>
            </w:r>
          </w:p>
          <w:p w:rsidR="00A53D7D" w:rsidRDefault="00A53D7D" w:rsidP="005140B4">
            <w:pPr>
              <w:pStyle w:val="OGTabBullet"/>
            </w:pPr>
            <w:r w:rsidRPr="005E353E">
              <w:t>State revenue policy and insurance policy;</w:t>
            </w:r>
          </w:p>
          <w:p w:rsidR="00A53D7D" w:rsidRDefault="00A53D7D" w:rsidP="005140B4">
            <w:pPr>
              <w:pStyle w:val="OGTabBullet"/>
            </w:pPr>
            <w:r w:rsidRPr="005E353E">
              <w:t>intergovernmental financial relations, including the distribution of Commonwealth funding to Australian States and Territories (including representation on various inter</w:t>
            </w:r>
            <w:r>
              <w:noBreakHyphen/>
            </w:r>
            <w:r w:rsidRPr="005E353E">
              <w:t>jurisdictional committees);</w:t>
            </w:r>
          </w:p>
          <w:p w:rsidR="00A53D7D" w:rsidRDefault="00A53D7D" w:rsidP="005140B4">
            <w:pPr>
              <w:pStyle w:val="OGTabBullet"/>
            </w:pPr>
            <w:r w:rsidRPr="005E353E">
              <w:t>production of the economic and revenue estimates that underpin the State Budget;</w:t>
            </w:r>
          </w:p>
          <w:p w:rsidR="00A53D7D" w:rsidRDefault="00A53D7D" w:rsidP="005140B4">
            <w:pPr>
              <w:pStyle w:val="OGTabBullet"/>
            </w:pPr>
            <w:r w:rsidRPr="005E353E">
              <w:t>best practice regulatory frameworks; and</w:t>
            </w:r>
          </w:p>
          <w:p w:rsidR="00A53D7D" w:rsidRPr="005E353E" w:rsidRDefault="00A53D7D" w:rsidP="005140B4">
            <w:pPr>
              <w:pStyle w:val="OGTabBullet"/>
            </w:pPr>
            <w:proofErr w:type="gramStart"/>
            <w:r w:rsidRPr="005E353E">
              <w:t>building</w:t>
            </w:r>
            <w:proofErr w:type="gramEnd"/>
            <w:r w:rsidRPr="005E353E">
              <w:t xml:space="preserve"> capacity in and promoting market based policy mechanisms in Victoria.</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Quantity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Briefings on Cabinet submissions</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200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200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200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210</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Long</w:t>
            </w:r>
            <w:r>
              <w:rPr>
                <w:lang w:eastAsia="en-AU"/>
              </w:rPr>
              <w:noBreakHyphen/>
            </w:r>
            <w:r w:rsidRPr="005E353E">
              <w:rPr>
                <w:lang w:eastAsia="en-AU"/>
              </w:rPr>
              <w:t>term research projects completed</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5</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5</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5</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5</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This performance measure renames the 2013</w:t>
            </w:r>
            <w:r>
              <w:noBreakHyphen/>
            </w:r>
            <w:r w:rsidRPr="005E353E">
              <w:t>14 performance meas</w:t>
            </w:r>
            <w:r>
              <w:t>ure ‘</w:t>
            </w:r>
            <w:r w:rsidRPr="005E353E">
              <w:t>Program of long</w:t>
            </w:r>
            <w:r>
              <w:noBreakHyphen/>
            </w:r>
            <w:r w:rsidRPr="005E353E">
              <w:t>term rese</w:t>
            </w:r>
            <w:r>
              <w:t xml:space="preserve">arch projects completed’. The </w:t>
            </w:r>
            <w:r w:rsidRPr="005E353E">
              <w:t>measure reports on the same activity as the previous measure but has been amended for increased clarity.</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Written Ministerial briefs</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300</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600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300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383</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Notes"/>
            </w:pPr>
            <w:r w:rsidRPr="005E353E">
              <w:t xml:space="preserve">This performance measure </w:t>
            </w:r>
            <w:r>
              <w:t>renames</w:t>
            </w:r>
            <w:r w:rsidRPr="005E353E">
              <w:t xml:space="preserve"> the 2013</w:t>
            </w:r>
            <w:r>
              <w:noBreakHyphen/>
              <w:t>14 performance measure ‘</w:t>
            </w:r>
            <w:r w:rsidRPr="005E353E">
              <w:t>Number of writt</w:t>
            </w:r>
            <w:r>
              <w:t xml:space="preserve">en Ministerial briefs’. The </w:t>
            </w:r>
            <w:r w:rsidRPr="005E353E">
              <w:t xml:space="preserve">measure reports on the same activity as the previous measure but has been amended for increased clarity. </w:t>
            </w:r>
          </w:p>
          <w:p w:rsidR="00A53D7D" w:rsidRPr="005E353E" w:rsidRDefault="00A53D7D" w:rsidP="005140B4">
            <w:pPr>
              <w:pStyle w:val="OGNotes"/>
            </w:pPr>
            <w:r w:rsidRPr="005E353E">
              <w:t>The 2013</w:t>
            </w:r>
            <w:r>
              <w:noBreakHyphen/>
            </w:r>
            <w:r w:rsidRPr="005E353E">
              <w:t>14 expected outcome is higher than the 201</w:t>
            </w:r>
            <w:r>
              <w:t>3-14</w:t>
            </w:r>
            <w:r w:rsidRPr="005E353E">
              <w:t xml:space="preserve"> </w:t>
            </w:r>
            <w:proofErr w:type="gramStart"/>
            <w:r w:rsidRPr="005E353E">
              <w:t>target</w:t>
            </w:r>
            <w:proofErr w:type="gramEnd"/>
            <w:r w:rsidRPr="005E353E">
              <w:t xml:space="preserve"> due to an increased demand for briefs.</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Quality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Accuracy of estimating gross state product and employment in the State budget</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=&lt;</w:t>
            </w:r>
            <w:r>
              <w:rPr>
                <w:lang w:eastAsia="en-AU"/>
              </w:rPr>
              <w:t xml:space="preserve"> </w:t>
            </w:r>
            <w:r w:rsidRPr="005E353E">
              <w:rPr>
                <w:lang w:eastAsia="en-AU"/>
              </w:rPr>
              <w:t>1.0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=&lt;</w:t>
            </w:r>
            <w:r>
              <w:rPr>
                <w:lang w:eastAsia="en-AU"/>
              </w:rPr>
              <w:t xml:space="preserve"> </w:t>
            </w:r>
            <w:r w:rsidRPr="005E353E">
              <w:rPr>
                <w:lang w:eastAsia="en-AU"/>
              </w:rPr>
              <w:t>1.0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=&lt;</w:t>
            </w:r>
            <w:r>
              <w:rPr>
                <w:lang w:eastAsia="en-AU"/>
              </w:rPr>
              <w:t xml:space="preserve"> </w:t>
            </w:r>
            <w:r w:rsidRPr="005E353E">
              <w:rPr>
                <w:lang w:eastAsia="en-AU"/>
              </w:rPr>
              <w:t>1.0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Accuracy of estimating State taxation revenue in the State budget</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=&lt;</w:t>
            </w:r>
            <w:r>
              <w:rPr>
                <w:lang w:eastAsia="en-AU"/>
              </w:rPr>
              <w:t xml:space="preserve"> </w:t>
            </w:r>
            <w:r w:rsidRPr="005E353E">
              <w:rPr>
                <w:lang w:eastAsia="en-AU"/>
              </w:rPr>
              <w:t>5.0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=&lt;</w:t>
            </w:r>
            <w:r>
              <w:rPr>
                <w:lang w:eastAsia="en-AU"/>
              </w:rPr>
              <w:t xml:space="preserve"> </w:t>
            </w:r>
            <w:r w:rsidRPr="005E353E">
              <w:rPr>
                <w:lang w:eastAsia="en-AU"/>
              </w:rPr>
              <w:t>5.0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=&lt;</w:t>
            </w:r>
            <w:r>
              <w:rPr>
                <w:lang w:eastAsia="en-AU"/>
              </w:rPr>
              <w:t xml:space="preserve"> </w:t>
            </w:r>
            <w:r w:rsidRPr="005E353E">
              <w:rPr>
                <w:lang w:eastAsia="en-AU"/>
              </w:rPr>
              <w:t>5.0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1.6</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Maintain ISO 9001 (Quality Management Systems) Certification</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3F15E2">
            <w:pPr>
              <w:pStyle w:val="OGTabHead"/>
              <w:pageBreakBefore/>
              <w:rPr>
                <w:lang w:eastAsia="en-AU"/>
              </w:rPr>
            </w:pPr>
            <w:r w:rsidRPr="005E353E">
              <w:rPr>
                <w:lang w:eastAsia="en-AU"/>
              </w:rPr>
              <w:t>Timeliness</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Briefings on key Australian Bureau of Statistics economic data on day of release</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Long</w:t>
            </w:r>
            <w:r>
              <w:rPr>
                <w:lang w:eastAsia="en-AU"/>
              </w:rPr>
              <w:noBreakHyphen/>
            </w:r>
            <w:r w:rsidRPr="005E353E">
              <w:rPr>
                <w:lang w:eastAsia="en-AU"/>
              </w:rPr>
              <w:t>term research projects managed within agreed timeframes</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This performance measure renames the 2013</w:t>
            </w:r>
            <w:r>
              <w:noBreakHyphen/>
              <w:t>14 performance measure ‘</w:t>
            </w:r>
            <w:r w:rsidRPr="005E353E">
              <w:t>Long</w:t>
            </w:r>
            <w:r>
              <w:noBreakHyphen/>
            </w:r>
            <w:r w:rsidRPr="005E353E">
              <w:t>term research pr</w:t>
            </w:r>
            <w:r>
              <w:t>ojects managed on time’. The</w:t>
            </w:r>
            <w:r w:rsidRPr="005E353E">
              <w:t xml:space="preserve"> measure reports on the same activity as the previous measure but has been amended for increased clarity.</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Meet financial reporting deadlines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3155" w:type="dxa"/>
            <w:tcBorders>
              <w:top w:val="single" w:sz="6" w:space="0" w:color="auto"/>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Respond to correspondence within agreed timeframes</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85</w:t>
            </w:r>
          </w:p>
        </w:tc>
        <w:tc>
          <w:tcPr>
            <w:tcW w:w="993"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85</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85</w:t>
            </w:r>
          </w:p>
        </w:tc>
        <w:tc>
          <w:tcPr>
            <w:tcW w:w="907" w:type="dxa"/>
            <w:tcBorders>
              <w:top w:val="single" w:sz="6" w:space="0" w:color="auto"/>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80.5</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 xml:space="preserve">This performance measure </w:t>
            </w:r>
            <w:r>
              <w:t xml:space="preserve">renames </w:t>
            </w:r>
            <w:r w:rsidRPr="005E353E">
              <w:t>the 2013</w:t>
            </w:r>
            <w:r>
              <w:noBreakHyphen/>
              <w:t>14 performance measure ‘</w:t>
            </w:r>
            <w:r w:rsidRPr="005E353E">
              <w:t xml:space="preserve">Response to correspondence within agreed </w:t>
            </w:r>
            <w:r>
              <w:t xml:space="preserve">deadlines’. The </w:t>
            </w:r>
            <w:r w:rsidRPr="005E353E">
              <w:t>measure reports on the same activity as the previous measure but has been amended for increased clarity.</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Cost</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right w:val="nil"/>
            </w:tcBorders>
            <w:shd w:val="clear" w:color="000000" w:fill="FFFFFF"/>
            <w:hideMark/>
          </w:tcPr>
          <w:p w:rsidR="00A53D7D" w:rsidRPr="005E353E" w:rsidRDefault="00A53D7D" w:rsidP="005140B4">
            <w:pPr>
              <w:pStyle w:val="OGTabText"/>
              <w:rPr>
                <w:lang w:eastAsia="en-AU"/>
              </w:rPr>
            </w:pPr>
            <w:r w:rsidRPr="005E353E">
              <w:rPr>
                <w:lang w:eastAsia="en-AU"/>
              </w:rPr>
              <w:t>Total output cost</w:t>
            </w:r>
          </w:p>
        </w:tc>
        <w:tc>
          <w:tcPr>
            <w:tcW w:w="907" w:type="dxa"/>
            <w:tcBorders>
              <w:top w:val="nil"/>
              <w:left w:val="nil"/>
              <w:right w:val="nil"/>
            </w:tcBorders>
            <w:shd w:val="clear" w:color="000000" w:fill="FFFFFF"/>
            <w:hideMark/>
          </w:tcPr>
          <w:p w:rsidR="00A53D7D" w:rsidRPr="005E353E" w:rsidRDefault="00A53D7D" w:rsidP="005140B4">
            <w:pPr>
              <w:pStyle w:val="OGUoM"/>
              <w:rPr>
                <w:lang w:eastAsia="en-AU"/>
              </w:rPr>
            </w:pPr>
            <w:r>
              <w:rPr>
                <w:lang w:eastAsia="en-AU"/>
              </w:rPr>
              <w:t>$ million</w:t>
            </w:r>
          </w:p>
        </w:tc>
        <w:tc>
          <w:tcPr>
            <w:tcW w:w="907" w:type="dxa"/>
            <w:tcBorders>
              <w:top w:val="nil"/>
              <w:left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17.2</w:t>
            </w:r>
          </w:p>
        </w:tc>
        <w:tc>
          <w:tcPr>
            <w:tcW w:w="993"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18.9</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19.7</w:t>
            </w:r>
          </w:p>
        </w:tc>
        <w:tc>
          <w:tcPr>
            <w:tcW w:w="907" w:type="dxa"/>
            <w:tcBorders>
              <w:top w:val="nil"/>
              <w:left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21.4</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The lower 2014</w:t>
            </w:r>
            <w:r>
              <w:noBreakHyphen/>
            </w:r>
            <w:r w:rsidRPr="005E353E">
              <w:t>15 target reflects carryover funding from 2012</w:t>
            </w:r>
            <w:r>
              <w:noBreakHyphen/>
            </w:r>
            <w:r w:rsidRPr="005E353E">
              <w:t xml:space="preserve">13 </w:t>
            </w:r>
            <w:r>
              <w:t>into 2013</w:t>
            </w:r>
            <w:r>
              <w:noBreakHyphen/>
              <w:t xml:space="preserve">14 </w:t>
            </w:r>
            <w:r w:rsidRPr="005E353E">
              <w:t>for grant payment to the National Occupational Licensing Authority.</w:t>
            </w:r>
          </w:p>
        </w:tc>
      </w:tr>
      <w:tr w:rsidR="00A53D7D" w:rsidRPr="005E353E" w:rsidTr="005140B4">
        <w:trPr>
          <w:cantSplit/>
        </w:trPr>
        <w:tc>
          <w:tcPr>
            <w:tcW w:w="7776" w:type="dxa"/>
            <w:gridSpan w:val="6"/>
            <w:tcBorders>
              <w:top w:val="single" w:sz="6" w:space="0" w:color="auto"/>
              <w:left w:val="nil"/>
              <w:right w:val="nil"/>
            </w:tcBorders>
            <w:shd w:val="clear" w:color="auto" w:fill="auto"/>
            <w:vAlign w:val="bottom"/>
            <w:hideMark/>
          </w:tcPr>
          <w:p w:rsidR="00A53D7D" w:rsidRPr="005E353E" w:rsidRDefault="00A53D7D" w:rsidP="005140B4">
            <w:pPr>
              <w:pStyle w:val="OGHeading2"/>
              <w:rPr>
                <w:lang w:eastAsia="en-AU"/>
              </w:rPr>
            </w:pPr>
            <w:r w:rsidRPr="005E353E">
              <w:rPr>
                <w:lang w:eastAsia="en-AU"/>
              </w:rPr>
              <w:t>Financial and Resource Management Frameworks</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Default="00A53D7D" w:rsidP="005140B4">
            <w:pPr>
              <w:pStyle w:val="OGText"/>
              <w:rPr>
                <w:lang w:eastAsia="en-AU"/>
              </w:rPr>
            </w:pPr>
            <w:r w:rsidRPr="005E353E">
              <w:rPr>
                <w:lang w:eastAsia="en-AU"/>
              </w:rPr>
              <w:t>This output develops and maintains cohesive financial and resource management frameworks that drive sound financial and resource management practices within the Victorian public sector (VPS). This includes enhancing key frameworks to drive performance, monitoring VPS entities' compliance, and advising government and key stakeholders on compliance, accounting policy, resource management and tax issues.</w:t>
            </w:r>
          </w:p>
          <w:p w:rsidR="00A53D7D" w:rsidRDefault="00A53D7D" w:rsidP="005140B4">
            <w:pPr>
              <w:pStyle w:val="OGText"/>
              <w:rPr>
                <w:lang w:eastAsia="en-AU"/>
              </w:rPr>
            </w:pPr>
            <w:r w:rsidRPr="005E353E">
              <w:rPr>
                <w:lang w:eastAsia="en-AU"/>
              </w:rPr>
              <w:t>The ou</w:t>
            </w:r>
            <w:r>
              <w:rPr>
                <w:lang w:eastAsia="en-AU"/>
              </w:rPr>
              <w:t>tput contributes to the D</w:t>
            </w:r>
            <w:r w:rsidRPr="005E353E">
              <w:rPr>
                <w:lang w:eastAsia="en-AU"/>
              </w:rPr>
              <w:t>epartment</w:t>
            </w:r>
            <w:r>
              <w:rPr>
                <w:lang w:eastAsia="en-AU"/>
              </w:rPr>
              <w:t>’s</w:t>
            </w:r>
            <w:r w:rsidRPr="005E353E">
              <w:rPr>
                <w:lang w:eastAsia="en-AU"/>
              </w:rPr>
              <w:t xml:space="preserve"> objective of ensuring sound financial management of the State's fiscal resources by:</w:t>
            </w:r>
          </w:p>
          <w:p w:rsidR="00A53D7D" w:rsidRDefault="00A53D7D" w:rsidP="005140B4">
            <w:pPr>
              <w:pStyle w:val="OGTabBullet"/>
            </w:pPr>
            <w:r w:rsidRPr="005E353E">
              <w:t>ensuring that financial and resource management frameworks are established and complied with;</w:t>
            </w:r>
          </w:p>
          <w:p w:rsidR="00A53D7D" w:rsidRDefault="00A53D7D" w:rsidP="005140B4">
            <w:pPr>
              <w:pStyle w:val="OGTabBullet"/>
            </w:pPr>
            <w:r w:rsidRPr="005E353E">
              <w:t>facilitating consistent and reliable financial reporting across the VPS that complies with professional accounting standards;</w:t>
            </w:r>
          </w:p>
          <w:p w:rsidR="00A53D7D" w:rsidRDefault="00A53D7D" w:rsidP="005140B4">
            <w:pPr>
              <w:pStyle w:val="OGTabBullet"/>
            </w:pPr>
            <w:r w:rsidRPr="005E353E">
              <w:t>promoting continuous improvement in resource allocation and management through regular reviews and updates to ensure the frameworks represent good practice; and</w:t>
            </w:r>
          </w:p>
          <w:p w:rsidR="00A53D7D" w:rsidRPr="005E353E" w:rsidRDefault="00A53D7D" w:rsidP="005140B4">
            <w:pPr>
              <w:pStyle w:val="OGTabBullet"/>
            </w:pPr>
            <w:proofErr w:type="gramStart"/>
            <w:r w:rsidRPr="005E353E">
              <w:t>promoting</w:t>
            </w:r>
            <w:proofErr w:type="gramEnd"/>
            <w:r w:rsidRPr="005E353E">
              <w:t xml:space="preserve"> awareness of financial management accountabilities and roles.</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Quantity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Annual review of whole of government compliance framework</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Delivery of updates, guides and newsletters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Review of major resource management policies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2</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2</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2</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2</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3F15E2">
            <w:pPr>
              <w:pStyle w:val="OGTabHead"/>
              <w:pageBreakBefore/>
              <w:rPr>
                <w:lang w:eastAsia="en-AU"/>
              </w:rPr>
            </w:pPr>
            <w:r w:rsidRPr="005E353E">
              <w:rPr>
                <w:lang w:eastAsia="en-AU"/>
              </w:rPr>
              <w:t>Quality</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Maintain ISO 9001 (Quality Management Systems) Certification</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nil"/>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nil"/>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nm</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Material and adverse whole</w:t>
            </w:r>
            <w:r>
              <w:rPr>
                <w:lang w:eastAsia="en-AU"/>
              </w:rPr>
              <w:t xml:space="preserve"> </w:t>
            </w:r>
            <w:r w:rsidRPr="005E353E">
              <w:rPr>
                <w:lang w:eastAsia="en-AU"/>
              </w:rPr>
              <w:t>of</w:t>
            </w:r>
            <w:r>
              <w:rPr>
                <w:lang w:eastAsia="en-AU"/>
              </w:rPr>
              <w:t xml:space="preserve"> </w:t>
            </w:r>
            <w:r w:rsidRPr="005E353E">
              <w:rPr>
                <w:lang w:eastAsia="en-AU"/>
              </w:rPr>
              <w:t>government issues relating to financial management and governance (identified by Victorian Auditor</w:t>
            </w:r>
            <w:r>
              <w:rPr>
                <w:lang w:eastAsia="en-AU"/>
              </w:rPr>
              <w:noBreakHyphen/>
            </w:r>
            <w:r w:rsidRPr="005E353E">
              <w:rPr>
                <w:lang w:eastAsia="en-AU"/>
              </w:rPr>
              <w:t>General's Office) rectified</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100</w:t>
            </w:r>
          </w:p>
        </w:tc>
      </w:tr>
      <w:tr w:rsidR="00A53D7D" w:rsidRPr="005E353E" w:rsidTr="005140B4">
        <w:trPr>
          <w:cantSplit/>
        </w:trPr>
        <w:tc>
          <w:tcPr>
            <w:tcW w:w="3155" w:type="dxa"/>
            <w:tcBorders>
              <w:top w:val="single" w:sz="6" w:space="0" w:color="auto"/>
              <w:left w:val="nil"/>
              <w:bottom w:val="nil"/>
              <w:right w:val="nil"/>
            </w:tcBorders>
            <w:shd w:val="clear" w:color="000000" w:fill="FFFFFF"/>
            <w:hideMark/>
          </w:tcPr>
          <w:p w:rsidR="00A53D7D" w:rsidRPr="005E353E" w:rsidRDefault="00A53D7D" w:rsidP="005140B4">
            <w:pPr>
              <w:pStyle w:val="OGTabText"/>
              <w:rPr>
                <w:lang w:eastAsia="en-AU"/>
              </w:rPr>
            </w:pPr>
            <w:r w:rsidRPr="005E353E">
              <w:rPr>
                <w:lang w:eastAsia="en-AU"/>
              </w:rPr>
              <w:t>VPS stakeholder feedback indicates that delivery of guidelines, newsletters, information sessions and training has improved the VPS awareness and understanding of accounting policy and financial manag</w:t>
            </w:r>
            <w:r>
              <w:rPr>
                <w:lang w:eastAsia="en-AU"/>
              </w:rPr>
              <w:t>ement</w:t>
            </w:r>
          </w:p>
        </w:tc>
        <w:tc>
          <w:tcPr>
            <w:tcW w:w="907" w:type="dxa"/>
            <w:tcBorders>
              <w:top w:val="single" w:sz="6" w:space="0" w:color="auto"/>
              <w:left w:val="nil"/>
              <w:bottom w:val="nil"/>
              <w:right w:val="nil"/>
            </w:tcBorders>
            <w:shd w:val="clear" w:color="000000" w:fill="FFFFFF"/>
            <w:hideMark/>
          </w:tcPr>
          <w:p w:rsidR="00A53D7D" w:rsidRPr="005E353E" w:rsidRDefault="00A53D7D" w:rsidP="005140B4">
            <w:pPr>
              <w:pStyle w:val="OGUoM"/>
              <w:rPr>
                <w:lang w:eastAsia="en-AU"/>
              </w:rPr>
            </w:pPr>
            <w:r w:rsidRPr="005E353E">
              <w:rPr>
                <w:lang w:eastAsia="en-AU"/>
              </w:rPr>
              <w:t>per cent</w:t>
            </w:r>
          </w:p>
        </w:tc>
        <w:tc>
          <w:tcPr>
            <w:tcW w:w="907" w:type="dxa"/>
            <w:tcBorders>
              <w:top w:val="single" w:sz="6" w:space="0" w:color="auto"/>
              <w:left w:val="nil"/>
              <w:bottom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80</w:t>
            </w:r>
          </w:p>
        </w:tc>
        <w:tc>
          <w:tcPr>
            <w:tcW w:w="993" w:type="dxa"/>
            <w:tcBorders>
              <w:top w:val="single" w:sz="6" w:space="0" w:color="auto"/>
              <w:left w:val="nil"/>
              <w:bottom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80</w:t>
            </w:r>
          </w:p>
        </w:tc>
        <w:tc>
          <w:tcPr>
            <w:tcW w:w="907" w:type="dxa"/>
            <w:tcBorders>
              <w:top w:val="single" w:sz="6" w:space="0" w:color="auto"/>
              <w:left w:val="nil"/>
              <w:bottom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80</w:t>
            </w:r>
          </w:p>
        </w:tc>
        <w:tc>
          <w:tcPr>
            <w:tcW w:w="907" w:type="dxa"/>
            <w:tcBorders>
              <w:top w:val="single" w:sz="6" w:space="0" w:color="auto"/>
              <w:left w:val="nil"/>
              <w:bottom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69</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This performance measure re</w:t>
            </w:r>
            <w:r>
              <w:t>names</w:t>
            </w:r>
            <w:r w:rsidRPr="005E353E">
              <w:t xml:space="preserve"> the 2013</w:t>
            </w:r>
            <w:r>
              <w:noBreakHyphen/>
            </w:r>
            <w:r w:rsidRPr="005E353E">
              <w:t xml:space="preserve">14 performance measure </w:t>
            </w:r>
            <w:r>
              <w:t>‘</w:t>
            </w:r>
            <w:r w:rsidRPr="005E353E">
              <w:t>VPS stakeholder feedback indicates that delivery of guidelines, newsletters, information sessions and training has improved the VPS awareness and understanding of accounting policy, financial management, and taxation compliance</w:t>
            </w:r>
            <w:r>
              <w:t>’.</w:t>
            </w:r>
            <w:r w:rsidRPr="005E353E">
              <w:t xml:space="preserve"> The measure </w:t>
            </w:r>
            <w:r>
              <w:t xml:space="preserve">reports on the same activity as the previous measure however </w:t>
            </w:r>
            <w:r w:rsidRPr="005E353E">
              <w:t>has been amended for increased clarity.</w:t>
            </w:r>
          </w:p>
        </w:tc>
      </w:tr>
      <w:tr w:rsidR="00A53D7D" w:rsidRPr="005E353E" w:rsidTr="005140B4">
        <w:trPr>
          <w:cantSplit/>
        </w:trPr>
        <w:tc>
          <w:tcPr>
            <w:tcW w:w="3155"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Text"/>
              <w:rPr>
                <w:i/>
                <w:iCs/>
                <w:lang w:eastAsia="en-AU"/>
              </w:rPr>
            </w:pPr>
            <w:r w:rsidRPr="005E353E">
              <w:rPr>
                <w:i/>
                <w:iCs/>
                <w:lang w:eastAsia="en-AU"/>
              </w:rPr>
              <w:t>Timeliness</w:t>
            </w: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nil"/>
              <w:right w:val="nil"/>
            </w:tcBorders>
            <w:shd w:val="clear" w:color="000000" w:fill="FFFFFF"/>
            <w:hideMark/>
          </w:tcPr>
          <w:p w:rsidR="00A53D7D" w:rsidRPr="005E353E" w:rsidRDefault="00A53D7D" w:rsidP="005140B4">
            <w:pPr>
              <w:pStyle w:val="OGTabText"/>
              <w:rPr>
                <w:lang w:eastAsia="en-AU"/>
              </w:rPr>
            </w:pPr>
            <w:r w:rsidRPr="005E353E">
              <w:rPr>
                <w:lang w:eastAsia="en-AU"/>
              </w:rPr>
              <w:t>Financial Management Compliance Framework assurance reviews conducted</w:t>
            </w:r>
          </w:p>
        </w:tc>
        <w:tc>
          <w:tcPr>
            <w:tcW w:w="907" w:type="dxa"/>
            <w:tcBorders>
              <w:top w:val="nil"/>
              <w:left w:val="nil"/>
              <w:bottom w:val="nil"/>
              <w:right w:val="nil"/>
            </w:tcBorders>
            <w:shd w:val="clear" w:color="000000" w:fill="FFFFFF"/>
            <w:hideMark/>
          </w:tcPr>
          <w:p w:rsidR="00A53D7D" w:rsidRPr="005E353E" w:rsidRDefault="00A53D7D" w:rsidP="005140B4">
            <w:pPr>
              <w:pStyle w:val="OGUoM"/>
              <w:rPr>
                <w:lang w:eastAsia="en-AU"/>
              </w:rPr>
            </w:pPr>
            <w:r>
              <w:rPr>
                <w:lang w:eastAsia="en-AU"/>
              </w:rPr>
              <w:t>d</w:t>
            </w:r>
            <w:r w:rsidRPr="005E353E">
              <w:rPr>
                <w:lang w:eastAsia="en-AU"/>
              </w:rPr>
              <w:t>ate</w:t>
            </w:r>
          </w:p>
        </w:tc>
        <w:tc>
          <w:tcPr>
            <w:tcW w:w="907" w:type="dxa"/>
            <w:tcBorders>
              <w:top w:val="nil"/>
              <w:left w:val="nil"/>
              <w:bottom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By end Feb 2015</w:t>
            </w:r>
          </w:p>
        </w:tc>
        <w:tc>
          <w:tcPr>
            <w:tcW w:w="993" w:type="dxa"/>
            <w:tcBorders>
              <w:top w:val="nil"/>
              <w:left w:val="nil"/>
              <w:bottom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By end Jun 2014</w:t>
            </w:r>
          </w:p>
        </w:tc>
        <w:tc>
          <w:tcPr>
            <w:tcW w:w="907" w:type="dxa"/>
            <w:tcBorders>
              <w:top w:val="nil"/>
              <w:left w:val="nil"/>
              <w:bottom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By end Feb 2014</w:t>
            </w:r>
          </w:p>
        </w:tc>
        <w:tc>
          <w:tcPr>
            <w:tcW w:w="907" w:type="dxa"/>
            <w:tcBorders>
              <w:top w:val="nil"/>
              <w:left w:val="nil"/>
              <w:bottom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By end Feb 2013</w:t>
            </w:r>
          </w:p>
        </w:tc>
      </w:tr>
      <w:tr w:rsidR="00A53D7D" w:rsidRPr="005E353E"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5E353E" w:rsidRDefault="00A53D7D" w:rsidP="005140B4">
            <w:pPr>
              <w:pStyle w:val="OGNotes"/>
            </w:pPr>
            <w:r w:rsidRPr="005E353E">
              <w:t>The 2013</w:t>
            </w:r>
            <w:r>
              <w:noBreakHyphen/>
            </w:r>
            <w:r w:rsidRPr="005E353E">
              <w:t>14 expected outcome is later than the 2013</w:t>
            </w:r>
            <w:r>
              <w:noBreakHyphen/>
            </w:r>
            <w:r w:rsidRPr="005E353E">
              <w:t>14 target due to delays in the assurance review program.</w:t>
            </w:r>
          </w:p>
        </w:tc>
      </w:tr>
      <w:tr w:rsidR="00A53D7D" w:rsidRPr="005E353E"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Text"/>
              <w:rPr>
                <w:lang w:eastAsia="en-AU"/>
              </w:rPr>
            </w:pPr>
            <w:r w:rsidRPr="005E353E">
              <w:rPr>
                <w:lang w:eastAsia="en-AU"/>
              </w:rPr>
              <w:t>Timely coordination of the Government's response to Auditor</w:t>
            </w:r>
            <w:r>
              <w:rPr>
                <w:lang w:eastAsia="en-AU"/>
              </w:rPr>
              <w:noBreakHyphen/>
            </w:r>
            <w:r w:rsidRPr="005E353E">
              <w:rPr>
                <w:lang w:eastAsia="en-AU"/>
              </w:rPr>
              <w:t>General reports</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UoM"/>
              <w:rPr>
                <w:lang w:eastAsia="en-AU"/>
              </w:rPr>
            </w:pPr>
            <w:r>
              <w:rPr>
                <w:lang w:eastAsia="en-AU"/>
              </w:rPr>
              <w:t>d</w:t>
            </w:r>
            <w:r w:rsidRPr="005E353E">
              <w:rPr>
                <w:lang w:eastAsia="en-AU"/>
              </w:rPr>
              <w:t>ate</w:t>
            </w:r>
          </w:p>
        </w:tc>
        <w:tc>
          <w:tcPr>
            <w:tcW w:w="907" w:type="dxa"/>
            <w:tcBorders>
              <w:top w:val="single" w:sz="6" w:space="0" w:color="auto"/>
              <w:left w:val="nil"/>
              <w:bottom w:val="single" w:sz="6" w:space="0" w:color="auto"/>
              <w:right w:val="nil"/>
            </w:tcBorders>
            <w:shd w:val="clear" w:color="auto" w:fill="D9D9D9"/>
            <w:hideMark/>
          </w:tcPr>
          <w:p w:rsidR="00A53D7D" w:rsidRPr="005E353E" w:rsidRDefault="00A53D7D" w:rsidP="005140B4">
            <w:pPr>
              <w:pStyle w:val="OGTableofFigures"/>
              <w:rPr>
                <w:lang w:eastAsia="en-AU"/>
              </w:rPr>
            </w:pPr>
            <w:r w:rsidRPr="005E353E">
              <w:rPr>
                <w:lang w:eastAsia="en-AU"/>
              </w:rPr>
              <w:t>By end June 2015</w:t>
            </w:r>
          </w:p>
        </w:tc>
        <w:tc>
          <w:tcPr>
            <w:tcW w:w="993"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By end June 2014</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By end June 2014</w:t>
            </w:r>
          </w:p>
        </w:tc>
        <w:tc>
          <w:tcPr>
            <w:tcW w:w="907" w:type="dxa"/>
            <w:tcBorders>
              <w:top w:val="single" w:sz="6" w:space="0" w:color="auto"/>
              <w:left w:val="nil"/>
              <w:bottom w:val="single" w:sz="6" w:space="0" w:color="auto"/>
              <w:right w:val="nil"/>
            </w:tcBorders>
            <w:shd w:val="clear" w:color="000000" w:fill="FFFFFF"/>
            <w:hideMark/>
          </w:tcPr>
          <w:p w:rsidR="00A53D7D" w:rsidRPr="005E353E" w:rsidRDefault="00A53D7D" w:rsidP="005140B4">
            <w:pPr>
              <w:pStyle w:val="OGTableofFigures"/>
              <w:rPr>
                <w:lang w:eastAsia="en-AU"/>
              </w:rPr>
            </w:pPr>
            <w:r w:rsidRPr="005E353E">
              <w:rPr>
                <w:lang w:eastAsia="en-AU"/>
              </w:rPr>
              <w:t>By end Dec 2012 and end June 2013</w:t>
            </w:r>
          </w:p>
        </w:tc>
      </w:tr>
      <w:tr w:rsidR="00A53D7D" w:rsidRPr="005E353E" w:rsidTr="005140B4">
        <w:trPr>
          <w:cantSplit/>
        </w:trPr>
        <w:tc>
          <w:tcPr>
            <w:tcW w:w="3155" w:type="dxa"/>
            <w:tcBorders>
              <w:top w:val="single" w:sz="6" w:space="0" w:color="auto"/>
              <w:left w:val="nil"/>
              <w:right w:val="nil"/>
            </w:tcBorders>
            <w:shd w:val="clear" w:color="auto" w:fill="auto"/>
            <w:vAlign w:val="bottom"/>
            <w:hideMark/>
          </w:tcPr>
          <w:p w:rsidR="00A53D7D" w:rsidRPr="005E353E" w:rsidRDefault="00A53D7D" w:rsidP="005140B4">
            <w:pPr>
              <w:pStyle w:val="OGTabHead"/>
              <w:rPr>
                <w:lang w:eastAsia="en-AU"/>
              </w:rPr>
            </w:pPr>
            <w:r w:rsidRPr="005E353E">
              <w:rPr>
                <w:lang w:eastAsia="en-AU"/>
              </w:rPr>
              <w:t>Cost</w:t>
            </w: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UoM"/>
              <w:rPr>
                <w:lang w:eastAsia="en-AU"/>
              </w:rPr>
            </w:pPr>
          </w:p>
        </w:tc>
        <w:tc>
          <w:tcPr>
            <w:tcW w:w="907" w:type="dxa"/>
            <w:tcBorders>
              <w:top w:val="single" w:sz="6" w:space="0" w:color="auto"/>
              <w:left w:val="nil"/>
              <w:right w:val="nil"/>
            </w:tcBorders>
            <w:shd w:val="clear" w:color="auto" w:fill="D9D9D9"/>
            <w:vAlign w:val="bottom"/>
            <w:hideMark/>
          </w:tcPr>
          <w:p w:rsidR="00A53D7D" w:rsidRPr="005E353E" w:rsidRDefault="00A53D7D" w:rsidP="005140B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A53D7D" w:rsidRPr="005E353E" w:rsidRDefault="00A53D7D" w:rsidP="005140B4">
            <w:pPr>
              <w:pStyle w:val="OGTableofFigures"/>
              <w:rPr>
                <w:lang w:eastAsia="en-AU"/>
              </w:rPr>
            </w:pPr>
          </w:p>
        </w:tc>
      </w:tr>
      <w:tr w:rsidR="00A53D7D" w:rsidRPr="005E353E" w:rsidTr="005140B4">
        <w:trPr>
          <w:cantSplit/>
        </w:trPr>
        <w:tc>
          <w:tcPr>
            <w:tcW w:w="3155" w:type="dxa"/>
            <w:tcBorders>
              <w:top w:val="nil"/>
              <w:left w:val="nil"/>
              <w:bottom w:val="nil"/>
              <w:right w:val="nil"/>
            </w:tcBorders>
            <w:shd w:val="clear" w:color="000000" w:fill="FFFFFF"/>
            <w:hideMark/>
          </w:tcPr>
          <w:p w:rsidR="00A53D7D" w:rsidRPr="005E353E" w:rsidRDefault="00A53D7D" w:rsidP="005140B4">
            <w:pPr>
              <w:pStyle w:val="OGTabText"/>
              <w:rPr>
                <w:lang w:eastAsia="en-AU"/>
              </w:rPr>
            </w:pPr>
            <w:r w:rsidRPr="005E353E">
              <w:rPr>
                <w:lang w:eastAsia="en-AU"/>
              </w:rPr>
              <w:t>Total output cost</w:t>
            </w:r>
          </w:p>
        </w:tc>
        <w:tc>
          <w:tcPr>
            <w:tcW w:w="907" w:type="dxa"/>
            <w:tcBorders>
              <w:top w:val="nil"/>
              <w:left w:val="nil"/>
              <w:bottom w:val="nil"/>
              <w:right w:val="nil"/>
            </w:tcBorders>
            <w:shd w:val="clear" w:color="000000" w:fill="FFFFFF"/>
            <w:hideMark/>
          </w:tcPr>
          <w:p w:rsidR="00A53D7D" w:rsidRPr="005E353E" w:rsidRDefault="00A53D7D" w:rsidP="005140B4">
            <w:pPr>
              <w:pStyle w:val="OGUoM"/>
              <w:rPr>
                <w:lang w:eastAsia="en-AU"/>
              </w:rPr>
            </w:pPr>
            <w:r>
              <w:rPr>
                <w:lang w:eastAsia="en-AU"/>
              </w:rPr>
              <w:t>$ million</w:t>
            </w:r>
          </w:p>
        </w:tc>
        <w:tc>
          <w:tcPr>
            <w:tcW w:w="907" w:type="dxa"/>
            <w:tcBorders>
              <w:top w:val="nil"/>
              <w:left w:val="nil"/>
              <w:bottom w:val="nil"/>
              <w:right w:val="nil"/>
            </w:tcBorders>
            <w:shd w:val="clear" w:color="auto" w:fill="D9D9D9"/>
            <w:hideMark/>
          </w:tcPr>
          <w:p w:rsidR="00A53D7D" w:rsidRPr="005E353E" w:rsidRDefault="00A53D7D" w:rsidP="005140B4">
            <w:pPr>
              <w:pStyle w:val="OGTableofFigures"/>
              <w:rPr>
                <w:lang w:eastAsia="en-AU"/>
              </w:rPr>
            </w:pPr>
            <w:r w:rsidRPr="005E353E">
              <w:rPr>
                <w:lang w:eastAsia="en-AU"/>
              </w:rPr>
              <w:t>4.3</w:t>
            </w:r>
          </w:p>
        </w:tc>
        <w:tc>
          <w:tcPr>
            <w:tcW w:w="993" w:type="dxa"/>
            <w:tcBorders>
              <w:top w:val="nil"/>
              <w:left w:val="nil"/>
              <w:bottom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4.2</w:t>
            </w:r>
          </w:p>
        </w:tc>
        <w:tc>
          <w:tcPr>
            <w:tcW w:w="907" w:type="dxa"/>
            <w:tcBorders>
              <w:top w:val="nil"/>
              <w:left w:val="nil"/>
              <w:bottom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3.9</w:t>
            </w:r>
          </w:p>
        </w:tc>
        <w:tc>
          <w:tcPr>
            <w:tcW w:w="907" w:type="dxa"/>
            <w:tcBorders>
              <w:top w:val="nil"/>
              <w:left w:val="nil"/>
              <w:bottom w:val="nil"/>
              <w:right w:val="nil"/>
            </w:tcBorders>
            <w:shd w:val="clear" w:color="000000" w:fill="FFFFFF"/>
            <w:hideMark/>
          </w:tcPr>
          <w:p w:rsidR="00A53D7D" w:rsidRPr="005E353E" w:rsidRDefault="00A53D7D" w:rsidP="005140B4">
            <w:pPr>
              <w:pStyle w:val="OGTableofFigures"/>
              <w:rPr>
                <w:lang w:eastAsia="en-AU"/>
              </w:rPr>
            </w:pPr>
            <w:r w:rsidRPr="005E353E">
              <w:rPr>
                <w:lang w:eastAsia="en-AU"/>
              </w:rPr>
              <w:t>3.8</w:t>
            </w:r>
          </w:p>
        </w:tc>
      </w:tr>
      <w:tr w:rsidR="00A53D7D" w:rsidRPr="005E353E" w:rsidTr="005140B4">
        <w:trPr>
          <w:cantSplit/>
        </w:trPr>
        <w:tc>
          <w:tcPr>
            <w:tcW w:w="7776" w:type="dxa"/>
            <w:gridSpan w:val="6"/>
            <w:tcBorders>
              <w:top w:val="nil"/>
              <w:left w:val="nil"/>
              <w:bottom w:val="single" w:sz="12" w:space="0" w:color="auto"/>
              <w:right w:val="nil"/>
            </w:tcBorders>
            <w:shd w:val="clear" w:color="000000" w:fill="FFFFFF"/>
          </w:tcPr>
          <w:p w:rsidR="00A53D7D" w:rsidRPr="005E353E" w:rsidRDefault="00A53D7D" w:rsidP="005140B4">
            <w:pPr>
              <w:pStyle w:val="Notes"/>
              <w:ind w:hanging="64"/>
              <w:rPr>
                <w:lang w:eastAsia="en-AU"/>
              </w:rPr>
            </w:pPr>
            <w:r>
              <w:rPr>
                <w:lang w:eastAsia="en-AU"/>
              </w:rPr>
              <w:t>The higher 2014</w:t>
            </w:r>
            <w:r>
              <w:rPr>
                <w:lang w:eastAsia="en-AU"/>
              </w:rPr>
              <w:noBreakHyphen/>
              <w:t>15 target reflects internal reprioritisation of resources resulting from a departmental restructure.</w:t>
            </w:r>
          </w:p>
        </w:tc>
      </w:tr>
    </w:tbl>
    <w:p w:rsidR="00A53D7D" w:rsidRDefault="00A53D7D" w:rsidP="005140B4">
      <w:pPr>
        <w:pStyle w:val="Source"/>
      </w:pPr>
      <w:r>
        <w:t>Source: Department of Treasury and Finance</w:t>
      </w:r>
      <w:r>
        <w:fldChar w:fldCharType="begin"/>
      </w:r>
      <w:r>
        <w:instrText xml:space="preserve"> XE "</w:instrText>
      </w:r>
      <w:r w:rsidRPr="00CB140C">
        <w:rPr>
          <w:lang w:eastAsia="en-AU"/>
        </w:rPr>
        <w:instrText>Department of Treasury and Finance</w:instrText>
      </w:r>
      <w:r w:rsidRPr="00CB140C">
        <w:instrText>:Strategic Policy Advice</w:instrText>
      </w:r>
      <w:r>
        <w:instrText xml:space="preserve">" \r "DTFStratPolicy" </w:instrText>
      </w:r>
      <w:r>
        <w:fldChar w:fldCharType="end"/>
      </w:r>
      <w:r>
        <w:fldChar w:fldCharType="begin"/>
      </w:r>
      <w:r>
        <w:instrText xml:space="preserve"> XE "</w:instrText>
      </w:r>
      <w:r w:rsidRPr="008F564C">
        <w:rPr>
          <w:lang w:eastAsia="en-AU"/>
        </w:rPr>
        <w:instrText>Policy Advice</w:instrText>
      </w:r>
      <w:r>
        <w:instrText xml:space="preserve">" \r "DTFStratPolicy" </w:instrText>
      </w:r>
      <w:r>
        <w:fldChar w:fldCharType="end"/>
      </w:r>
      <w:r>
        <w:t xml:space="preserve"> </w:t>
      </w:r>
    </w:p>
    <w:bookmarkEnd w:id="146"/>
    <w:p w:rsidR="00A53D7D" w:rsidRDefault="00A53D7D" w:rsidP="005140B4"/>
    <w:p w:rsidR="00A53D7D" w:rsidRDefault="00A53D7D" w:rsidP="00497606"/>
    <w:p w:rsidR="00A53D7D" w:rsidRDefault="00A53D7D" w:rsidP="004463C6">
      <w:pPr>
        <w:sectPr w:rsidR="00A53D7D" w:rsidSect="00CD2017">
          <w:footerReference w:type="even" r:id="rId40"/>
          <w:footerReference w:type="default" r:id="rId41"/>
          <w:pgSz w:w="9979" w:h="14181" w:code="138"/>
          <w:pgMar w:top="1140" w:right="1140" w:bottom="1140" w:left="1140" w:header="720" w:footer="431" w:gutter="0"/>
          <w:cols w:space="708"/>
          <w:docGrid w:linePitch="360"/>
        </w:sectPr>
      </w:pPr>
    </w:p>
    <w:p w:rsidR="00A53D7D" w:rsidRPr="00407539" w:rsidRDefault="00A53D7D" w:rsidP="005140B4">
      <w:pPr>
        <w:pStyle w:val="Heading1"/>
      </w:pPr>
      <w:bookmarkStart w:id="147" w:name="_Toc386364080"/>
      <w:bookmarkStart w:id="148" w:name="_Toc386541225"/>
      <w:bookmarkStart w:id="149" w:name="_Toc407116917"/>
      <w:r w:rsidRPr="00407539">
        <w:t>Parliament</w:t>
      </w:r>
      <w:bookmarkEnd w:id="147"/>
      <w:bookmarkEnd w:id="148"/>
      <w:bookmarkEnd w:id="149"/>
    </w:p>
    <w:p w:rsidR="00A53D7D" w:rsidRDefault="00A53D7D" w:rsidP="005140B4">
      <w:pPr>
        <w:pStyle w:val="Heading2"/>
      </w:pPr>
      <w:r>
        <w:t>Departmental mission statement</w:t>
      </w:r>
    </w:p>
    <w:p w:rsidR="00A53D7D" w:rsidRDefault="00A53D7D" w:rsidP="005140B4">
      <w:pPr>
        <w:pStyle w:val="Heading3"/>
      </w:pPr>
      <w:r>
        <w:t>Parliament</w:t>
      </w:r>
    </w:p>
    <w:p w:rsidR="00A53D7D" w:rsidRDefault="00A53D7D" w:rsidP="005140B4">
      <w:r>
        <w:t>The Parliament of Victoria is an independent body that, through its elected representatives, is accountable to the Victorian community for the provision and conduct of representative government in the interests of Victorians.</w:t>
      </w:r>
    </w:p>
    <w:p w:rsidR="00A53D7D" w:rsidRDefault="00A53D7D" w:rsidP="005140B4">
      <w:r>
        <w:t xml:space="preserve">The Parliament of Victoria’s vision is to deliver apolitical, </w:t>
      </w:r>
      <w:proofErr w:type="gramStart"/>
      <w:r>
        <w:t>professional</w:t>
      </w:r>
      <w:proofErr w:type="gramEnd"/>
      <w:r>
        <w:t xml:space="preserve"> and innovative services which will support Victoria’s elected representatives and the Parliament as an institution to ensure the proper, effective and independent functioning of the Parliament.</w:t>
      </w:r>
    </w:p>
    <w:p w:rsidR="00A53D7D" w:rsidRDefault="00A53D7D" w:rsidP="005140B4">
      <w:pPr>
        <w:pStyle w:val="Heading3"/>
      </w:pPr>
      <w:r>
        <w:t>Victorian Auditor</w:t>
      </w:r>
      <w:r>
        <w:noBreakHyphen/>
        <w:t>General’s Office</w:t>
      </w:r>
    </w:p>
    <w:p w:rsidR="00A53D7D" w:rsidRDefault="00A53D7D" w:rsidP="005140B4">
      <w:r>
        <w:t xml:space="preserve">Victoria’s </w:t>
      </w:r>
      <w:r w:rsidRPr="00E34D77">
        <w:rPr>
          <w:i/>
        </w:rPr>
        <w:t>Constitution Act 1975</w:t>
      </w:r>
      <w:r>
        <w:t xml:space="preserve"> provides that the Auditor</w:t>
      </w:r>
      <w:r>
        <w:noBreakHyphen/>
        <w:t>General is an independent officer of Parliament. For budgetary purposes, the Victorian Auditor</w:t>
      </w:r>
      <w:r>
        <w:noBreakHyphen/>
        <w:t xml:space="preserve">General’s Office is included as an output classification within Parliament. </w:t>
      </w:r>
    </w:p>
    <w:p w:rsidR="00A53D7D" w:rsidRDefault="00A53D7D" w:rsidP="005140B4">
      <w:r>
        <w:t>The main purpose of the Victorian Auditor</w:t>
      </w:r>
      <w:r>
        <w:noBreakHyphen/>
        <w:t>General’s Office is to provide assurance to Parliament on the accountability and performance of the Victorian public sector.</w:t>
      </w:r>
    </w:p>
    <w:p w:rsidR="00A53D7D" w:rsidRDefault="00A53D7D" w:rsidP="005140B4">
      <w:pPr>
        <w:pStyle w:val="Heading2"/>
      </w:pPr>
      <w:r>
        <w:t>Departmental objectives, indicators and outputs</w:t>
      </w:r>
    </w:p>
    <w:p w:rsidR="00A53D7D" w:rsidRDefault="00A53D7D" w:rsidP="005140B4">
      <w:pPr>
        <w:pStyle w:val="Heading3"/>
      </w:pPr>
      <w:r>
        <w:t xml:space="preserve">Parliament </w:t>
      </w:r>
    </w:p>
    <w:p w:rsidR="00A53D7D" w:rsidRDefault="00A53D7D" w:rsidP="005140B4">
      <w:r>
        <w:t>The Departments of the Parliament of Victoria aim to:</w:t>
      </w:r>
    </w:p>
    <w:p w:rsidR="00A53D7D" w:rsidRDefault="00A53D7D" w:rsidP="005140B4">
      <w:pPr>
        <w:pStyle w:val="BulletText"/>
      </w:pPr>
      <w:r>
        <w:t>provide services that support operations, support to members, internal communication, knowledge and infrastructure management, legislation processing and compliance;</w:t>
      </w:r>
    </w:p>
    <w:p w:rsidR="00A53D7D" w:rsidRDefault="00A53D7D" w:rsidP="005140B4">
      <w:pPr>
        <w:pStyle w:val="BulletText"/>
      </w:pPr>
      <w:r>
        <w:t>provide fearless, apolitical and impartial advice;</w:t>
      </w:r>
    </w:p>
    <w:p w:rsidR="00A53D7D" w:rsidRDefault="00A53D7D" w:rsidP="005140B4">
      <w:pPr>
        <w:pStyle w:val="BulletText"/>
      </w:pPr>
      <w:r>
        <w:t>safeguard Parliament’s independence and integrity;</w:t>
      </w:r>
    </w:p>
    <w:p w:rsidR="00A53D7D" w:rsidRDefault="00A53D7D" w:rsidP="005140B4">
      <w:pPr>
        <w:pStyle w:val="BulletText"/>
      </w:pPr>
      <w:r>
        <w:t>strengthen links with the community;</w:t>
      </w:r>
    </w:p>
    <w:p w:rsidR="00A53D7D" w:rsidRDefault="00A53D7D" w:rsidP="005140B4">
      <w:pPr>
        <w:pStyle w:val="BulletText"/>
      </w:pPr>
      <w:r>
        <w:t>protect building heritage; and</w:t>
      </w:r>
    </w:p>
    <w:p w:rsidR="00A53D7D" w:rsidRDefault="00A53D7D" w:rsidP="005140B4">
      <w:pPr>
        <w:pStyle w:val="BulletText"/>
      </w:pPr>
      <w:proofErr w:type="gramStart"/>
      <w:r>
        <w:t>strive</w:t>
      </w:r>
      <w:proofErr w:type="gramEnd"/>
      <w:r>
        <w:t xml:space="preserve"> for leadership and best practice in their activities and employment standards.</w:t>
      </w:r>
    </w:p>
    <w:p w:rsidR="00A53D7D" w:rsidRDefault="00A53D7D">
      <w:pPr>
        <w:spacing w:after="0"/>
        <w:rPr>
          <w:rFonts w:ascii="Calibri" w:hAnsi="Calibri"/>
          <w:b/>
          <w:i/>
          <w:kern w:val="28"/>
          <w:sz w:val="24"/>
          <w:szCs w:val="22"/>
        </w:rPr>
      </w:pPr>
      <w:r>
        <w:br w:type="page"/>
      </w:r>
    </w:p>
    <w:p w:rsidR="00A53D7D" w:rsidRDefault="00A53D7D" w:rsidP="005140B4">
      <w:pPr>
        <w:pStyle w:val="Heading3"/>
      </w:pPr>
      <w:r>
        <w:t>Victorian Auditor</w:t>
      </w:r>
      <w:r>
        <w:noBreakHyphen/>
        <w:t>General’s Office</w:t>
      </w:r>
    </w:p>
    <w:p w:rsidR="00A53D7D" w:rsidRDefault="00A53D7D" w:rsidP="005140B4">
      <w:r>
        <w:t>The Victorian Auditor</w:t>
      </w:r>
      <w:r>
        <w:noBreakHyphen/>
        <w:t>General’s Office aims to:</w:t>
      </w:r>
    </w:p>
    <w:p w:rsidR="00A53D7D" w:rsidRDefault="00A53D7D" w:rsidP="005140B4">
      <w:pPr>
        <w:pStyle w:val="BulletText"/>
      </w:pPr>
      <w:r>
        <w:t>provide assurance to Parliament about the accountability and performance of the Victorian public sector through the provision of audits;</w:t>
      </w:r>
    </w:p>
    <w:p w:rsidR="00A53D7D" w:rsidRDefault="00A53D7D" w:rsidP="005140B4">
      <w:pPr>
        <w:pStyle w:val="BulletText"/>
      </w:pPr>
      <w:r>
        <w:t>be authoritative and relevant and be highly regarded by Parliament;</w:t>
      </w:r>
    </w:p>
    <w:p w:rsidR="00A53D7D" w:rsidRDefault="00A53D7D" w:rsidP="005140B4">
      <w:pPr>
        <w:pStyle w:val="BulletText"/>
      </w:pPr>
      <w:r>
        <w:t>leverage our systems and processes to improve organisational performance;</w:t>
      </w:r>
    </w:p>
    <w:p w:rsidR="00A53D7D" w:rsidRDefault="00A53D7D" w:rsidP="005140B4">
      <w:pPr>
        <w:pStyle w:val="BulletText"/>
      </w:pPr>
      <w:r>
        <w:t>foster a stimulating working environment;</w:t>
      </w:r>
    </w:p>
    <w:p w:rsidR="00A53D7D" w:rsidRDefault="00A53D7D" w:rsidP="005140B4">
      <w:pPr>
        <w:pStyle w:val="BulletText"/>
      </w:pPr>
      <w:r>
        <w:t>foster productive relationships with audit clients; and</w:t>
      </w:r>
    </w:p>
    <w:p w:rsidR="00A53D7D" w:rsidRDefault="00A53D7D" w:rsidP="005140B4">
      <w:pPr>
        <w:pStyle w:val="BulletText"/>
      </w:pPr>
      <w:proofErr w:type="gramStart"/>
      <w:r>
        <w:t>recruit</w:t>
      </w:r>
      <w:proofErr w:type="gramEnd"/>
      <w:r>
        <w:t xml:space="preserve"> and retain staff with specialised audit and investigative skills in the Victorian Auditor</w:t>
      </w:r>
      <w:r>
        <w:noBreakHyphen/>
        <w:t>General’s Office to meet the increasing complexity of audit effort within a competitive recruitment market.</w:t>
      </w:r>
    </w:p>
    <w:p w:rsidR="00A6384E" w:rsidRDefault="00A6384E" w:rsidP="00A6384E">
      <w:pPr>
        <w:pStyle w:val="Notes"/>
      </w:pPr>
    </w:p>
    <w:p w:rsidR="00A53D7D" w:rsidRDefault="00A53D7D" w:rsidP="005140B4">
      <w:pPr>
        <w:pStyle w:val="Heading2"/>
      </w:pPr>
      <w:r>
        <w:t xml:space="preserve">Changes to the output structure </w:t>
      </w:r>
    </w:p>
    <w:p w:rsidR="00A53D7D" w:rsidRDefault="00A53D7D" w:rsidP="005140B4">
      <w:r>
        <w:t>The Parliament has not made any changes to its output structure for 2014</w:t>
      </w:r>
      <w:r>
        <w:noBreakHyphen/>
        <w:t xml:space="preserve">15. </w:t>
      </w:r>
    </w:p>
    <w:p w:rsidR="00A53D7D" w:rsidRDefault="00A53D7D" w:rsidP="005140B4">
      <w:pPr>
        <w:pStyle w:val="BulletText"/>
        <w:numPr>
          <w:ilvl w:val="0"/>
          <w:numId w:val="0"/>
        </w:numPr>
      </w:pPr>
      <w:r w:rsidRPr="00557E2A">
        <w:t xml:space="preserve">The following table summarises </w:t>
      </w:r>
      <w:r>
        <w:t xml:space="preserve">Parliament’s </w:t>
      </w:r>
      <w:r w:rsidRPr="00557E2A">
        <w:t xml:space="preserve">total output cost. </w:t>
      </w:r>
    </w:p>
    <w:p w:rsidR="00A53D7D" w:rsidRDefault="00A53D7D" w:rsidP="005140B4">
      <w:pPr>
        <w:pStyle w:val="Tableheading"/>
      </w:pPr>
      <w:r>
        <w:t>Table 2.32:</w:t>
      </w:r>
      <w:r>
        <w:tab/>
        <w:t>Output summary</w:t>
      </w:r>
    </w:p>
    <w:p w:rsidR="00A53D7D" w:rsidRPr="00AC5D7B" w:rsidRDefault="00A53D7D" w:rsidP="005140B4">
      <w:pPr>
        <w:pStyle w:val="million"/>
        <w:rPr>
          <w:rFonts w:ascii="Times New Roman" w:hAnsi="Times New Roman"/>
          <w:sz w:val="20"/>
          <w:lang w:eastAsia="en-AU"/>
        </w:rPr>
      </w:pPr>
      <w:r w:rsidRPr="00407539">
        <w:t>($</w:t>
      </w:r>
      <w:r>
        <w:t> million</w:t>
      </w:r>
      <w:r w:rsidRPr="00407539">
        <w:t>)</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57"/>
        <w:gridCol w:w="1029"/>
      </w:tblGrid>
      <w:tr w:rsidR="00A53D7D" w:rsidRPr="00AC5D7B" w:rsidTr="005140B4">
        <w:tc>
          <w:tcPr>
            <w:tcW w:w="3803" w:type="dxa"/>
            <w:tcBorders>
              <w:top w:val="single" w:sz="12" w:space="0" w:color="auto"/>
              <w:left w:val="single" w:sz="12" w:space="0" w:color="auto"/>
              <w:bottom w:val="nil"/>
              <w:right w:val="nil"/>
            </w:tcBorders>
            <w:shd w:val="clear" w:color="auto" w:fill="000000"/>
          </w:tcPr>
          <w:p w:rsidR="00A53D7D" w:rsidRPr="00AC5D7B" w:rsidRDefault="00A53D7D" w:rsidP="005140B4">
            <w:pPr>
              <w:pStyle w:val="Tabletext"/>
              <w:rPr>
                <w:rFonts w:eastAsiaTheme="minorEastAsia"/>
                <w:lang w:eastAsia="en-AU"/>
              </w:rPr>
            </w:pPr>
          </w:p>
        </w:tc>
        <w:tc>
          <w:tcPr>
            <w:tcW w:w="994" w:type="dxa"/>
            <w:tcBorders>
              <w:top w:val="single" w:sz="12" w:space="0" w:color="auto"/>
              <w:left w:val="nil"/>
              <w:bottom w:val="nil"/>
              <w:right w:val="nil"/>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2013-14</w:t>
            </w:r>
          </w:p>
        </w:tc>
        <w:tc>
          <w:tcPr>
            <w:tcW w:w="993" w:type="dxa"/>
            <w:tcBorders>
              <w:top w:val="single" w:sz="12" w:space="0" w:color="auto"/>
              <w:left w:val="nil"/>
              <w:bottom w:val="nil"/>
              <w:right w:val="nil"/>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2013-14</w:t>
            </w:r>
          </w:p>
        </w:tc>
        <w:tc>
          <w:tcPr>
            <w:tcW w:w="957" w:type="dxa"/>
            <w:tcBorders>
              <w:top w:val="single" w:sz="12" w:space="0" w:color="auto"/>
              <w:left w:val="nil"/>
              <w:bottom w:val="nil"/>
              <w:right w:val="nil"/>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2014-15</w:t>
            </w:r>
          </w:p>
        </w:tc>
        <w:tc>
          <w:tcPr>
            <w:tcW w:w="1029" w:type="dxa"/>
            <w:tcBorders>
              <w:top w:val="single" w:sz="12" w:space="0" w:color="auto"/>
              <w:left w:val="nil"/>
              <w:bottom w:val="nil"/>
              <w:right w:val="single" w:sz="12" w:space="0" w:color="auto"/>
            </w:tcBorders>
            <w:shd w:val="clear" w:color="auto" w:fill="000000"/>
          </w:tcPr>
          <w:p w:rsidR="00A53D7D" w:rsidRPr="00AC5D7B" w:rsidRDefault="00A53D7D" w:rsidP="005140B4">
            <w:pPr>
              <w:pStyle w:val="Tabletextheading"/>
              <w:rPr>
                <w:rFonts w:eastAsiaTheme="minorEastAsia" w:cs="Calibri"/>
                <w:iCs/>
                <w:color w:val="000000"/>
                <w:vertAlign w:val="superscript"/>
                <w:lang w:eastAsia="en-AU"/>
              </w:rPr>
            </w:pPr>
            <w:r w:rsidRPr="00AC5D7B">
              <w:rPr>
                <w:rFonts w:eastAsiaTheme="minorEastAsia"/>
                <w:lang w:eastAsia="en-AU"/>
              </w:rPr>
              <w:t>Variation</w:t>
            </w:r>
            <w:r w:rsidRPr="00AC5D7B">
              <w:rPr>
                <w:rFonts w:eastAsiaTheme="minorEastAsia"/>
                <w:vertAlign w:val="superscript"/>
                <w:lang w:eastAsia="en-AU"/>
              </w:rPr>
              <w:t xml:space="preserve"> </w:t>
            </w:r>
            <w:r w:rsidRPr="00AC5D7B">
              <w:rPr>
                <w:rFonts w:eastAsiaTheme="minorEastAsia" w:cs="Calibri"/>
                <w:iCs/>
                <w:color w:val="FFFFFF" w:themeColor="background1"/>
                <w:vertAlign w:val="superscript"/>
                <w:lang w:eastAsia="en-AU"/>
              </w:rPr>
              <w:t>(a)</w:t>
            </w:r>
          </w:p>
        </w:tc>
      </w:tr>
      <w:tr w:rsidR="00A53D7D" w:rsidRPr="00AC5D7B" w:rsidTr="005140B4">
        <w:tc>
          <w:tcPr>
            <w:tcW w:w="3803" w:type="dxa"/>
            <w:tcBorders>
              <w:top w:val="nil"/>
              <w:left w:val="single" w:sz="12" w:space="0" w:color="auto"/>
              <w:bottom w:val="single" w:sz="12" w:space="0" w:color="auto"/>
              <w:right w:val="nil"/>
            </w:tcBorders>
            <w:shd w:val="clear" w:color="auto" w:fill="000000"/>
          </w:tcPr>
          <w:p w:rsidR="00A53D7D" w:rsidRPr="00AC5D7B" w:rsidRDefault="00A53D7D" w:rsidP="005140B4">
            <w:pPr>
              <w:pStyle w:val="Tabletext"/>
              <w:rPr>
                <w:rFonts w:eastAsiaTheme="minorEastAsia"/>
                <w:lang w:eastAsia="en-AU"/>
              </w:rPr>
            </w:pPr>
          </w:p>
        </w:tc>
        <w:tc>
          <w:tcPr>
            <w:tcW w:w="994" w:type="dxa"/>
            <w:tcBorders>
              <w:top w:val="nil"/>
              <w:left w:val="nil"/>
              <w:bottom w:val="single" w:sz="12" w:space="0" w:color="auto"/>
              <w:right w:val="nil"/>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Budget</w:t>
            </w:r>
          </w:p>
        </w:tc>
        <w:tc>
          <w:tcPr>
            <w:tcW w:w="993" w:type="dxa"/>
            <w:tcBorders>
              <w:top w:val="nil"/>
              <w:left w:val="nil"/>
              <w:bottom w:val="single" w:sz="12" w:space="0" w:color="auto"/>
              <w:right w:val="nil"/>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Revised</w:t>
            </w:r>
          </w:p>
        </w:tc>
        <w:tc>
          <w:tcPr>
            <w:tcW w:w="957" w:type="dxa"/>
            <w:tcBorders>
              <w:top w:val="nil"/>
              <w:left w:val="nil"/>
              <w:bottom w:val="single" w:sz="12" w:space="0" w:color="auto"/>
              <w:right w:val="nil"/>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Budget</w:t>
            </w:r>
          </w:p>
        </w:tc>
        <w:tc>
          <w:tcPr>
            <w:tcW w:w="1029" w:type="dxa"/>
            <w:tcBorders>
              <w:top w:val="nil"/>
              <w:left w:val="nil"/>
              <w:bottom w:val="single" w:sz="12" w:space="0" w:color="auto"/>
              <w:right w:val="single" w:sz="12" w:space="0" w:color="auto"/>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w:t>
            </w:r>
          </w:p>
        </w:tc>
      </w:tr>
      <w:tr w:rsidR="00A53D7D" w:rsidRPr="00AC5D7B" w:rsidTr="005140B4">
        <w:tc>
          <w:tcPr>
            <w:tcW w:w="3803" w:type="dxa"/>
            <w:tcBorders>
              <w:top w:val="nil"/>
              <w:left w:val="nil"/>
              <w:bottom w:val="nil"/>
              <w:right w:val="nil"/>
            </w:tcBorders>
          </w:tcPr>
          <w:p w:rsidR="00A53D7D" w:rsidRPr="00AC5D7B" w:rsidRDefault="00A53D7D" w:rsidP="005140B4">
            <w:pPr>
              <w:pStyle w:val="Tabletext"/>
              <w:rPr>
                <w:rFonts w:eastAsiaTheme="minorEastAsia" w:cs="Calibri"/>
                <w:color w:val="000000"/>
                <w:vertAlign w:val="superscript"/>
                <w:lang w:eastAsia="en-AU"/>
              </w:rPr>
            </w:pPr>
            <w:r w:rsidRPr="00AC5D7B">
              <w:rPr>
                <w:rFonts w:eastAsiaTheme="minorEastAsia"/>
                <w:lang w:eastAsia="en-AU"/>
              </w:rPr>
              <w:t>Legislative Assembly</w:t>
            </w:r>
            <w:r w:rsidRPr="00AC5D7B">
              <w:rPr>
                <w:rFonts w:eastAsiaTheme="minorEastAsia"/>
                <w:vertAlign w:val="superscript"/>
                <w:lang w:eastAsia="en-AU"/>
              </w:rPr>
              <w:t xml:space="preserve"> </w:t>
            </w:r>
            <w:r w:rsidRPr="00AC5D7B">
              <w:rPr>
                <w:rFonts w:eastAsiaTheme="minorEastAsia" w:cs="Calibri"/>
                <w:color w:val="000000"/>
                <w:vertAlign w:val="superscript"/>
                <w:lang w:eastAsia="en-AU"/>
              </w:rPr>
              <w:t>(b)</w:t>
            </w:r>
          </w:p>
        </w:tc>
        <w:tc>
          <w:tcPr>
            <w:tcW w:w="994"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27.4</w:t>
            </w:r>
          </w:p>
        </w:tc>
        <w:tc>
          <w:tcPr>
            <w:tcW w:w="993"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29.7</w:t>
            </w:r>
          </w:p>
        </w:tc>
        <w:tc>
          <w:tcPr>
            <w:tcW w:w="957"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30.3</w:t>
            </w:r>
          </w:p>
        </w:tc>
        <w:tc>
          <w:tcPr>
            <w:tcW w:w="1029" w:type="dxa"/>
            <w:tcBorders>
              <w:top w:val="nil"/>
              <w:left w:val="nil"/>
              <w:bottom w:val="nil"/>
              <w:right w:val="nil"/>
            </w:tcBorders>
          </w:tcPr>
          <w:p w:rsidR="00A53D7D" w:rsidRPr="00AC5D7B" w:rsidRDefault="00A53D7D" w:rsidP="005140B4">
            <w:pPr>
              <w:pStyle w:val="TableofFigures"/>
              <w:rPr>
                <w:rFonts w:eastAsiaTheme="minorEastAsia"/>
                <w:vertAlign w:val="superscript"/>
                <w:lang w:eastAsia="en-AU"/>
              </w:rPr>
            </w:pPr>
            <w:r w:rsidRPr="00AC5D7B">
              <w:rPr>
                <w:rFonts w:eastAsiaTheme="minorEastAsia"/>
                <w:lang w:eastAsia="en-AU"/>
              </w:rPr>
              <w:t>10.5</w:t>
            </w:r>
          </w:p>
        </w:tc>
      </w:tr>
      <w:tr w:rsidR="00A53D7D" w:rsidRPr="00AC5D7B" w:rsidTr="005140B4">
        <w:tc>
          <w:tcPr>
            <w:tcW w:w="3803" w:type="dxa"/>
            <w:tcBorders>
              <w:top w:val="nil"/>
              <w:left w:val="nil"/>
              <w:bottom w:val="nil"/>
              <w:right w:val="nil"/>
            </w:tcBorders>
          </w:tcPr>
          <w:p w:rsidR="00A53D7D" w:rsidRPr="00AC5D7B" w:rsidRDefault="00A53D7D" w:rsidP="005140B4">
            <w:pPr>
              <w:pStyle w:val="Tabletext"/>
              <w:rPr>
                <w:rFonts w:eastAsiaTheme="minorEastAsia" w:cs="Calibri"/>
                <w:color w:val="000000"/>
                <w:vertAlign w:val="superscript"/>
                <w:lang w:eastAsia="en-AU"/>
              </w:rPr>
            </w:pPr>
            <w:r w:rsidRPr="00AC5D7B">
              <w:rPr>
                <w:rFonts w:eastAsiaTheme="minorEastAsia"/>
                <w:lang w:eastAsia="en-AU"/>
              </w:rPr>
              <w:t>Legislative Council</w:t>
            </w:r>
            <w:r w:rsidRPr="00AC5D7B">
              <w:rPr>
                <w:rFonts w:eastAsiaTheme="minorEastAsia"/>
                <w:vertAlign w:val="superscript"/>
                <w:lang w:eastAsia="en-AU"/>
              </w:rPr>
              <w:t xml:space="preserve"> </w:t>
            </w:r>
            <w:r w:rsidRPr="00AC5D7B">
              <w:rPr>
                <w:rFonts w:eastAsiaTheme="minorEastAsia" w:cs="Calibri"/>
                <w:color w:val="000000"/>
                <w:vertAlign w:val="superscript"/>
                <w:lang w:eastAsia="en-AU"/>
              </w:rPr>
              <w:t>(c)</w:t>
            </w:r>
          </w:p>
        </w:tc>
        <w:tc>
          <w:tcPr>
            <w:tcW w:w="994"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14.1</w:t>
            </w:r>
          </w:p>
        </w:tc>
        <w:tc>
          <w:tcPr>
            <w:tcW w:w="993"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15.3</w:t>
            </w:r>
          </w:p>
        </w:tc>
        <w:tc>
          <w:tcPr>
            <w:tcW w:w="957"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15.7</w:t>
            </w:r>
          </w:p>
        </w:tc>
        <w:tc>
          <w:tcPr>
            <w:tcW w:w="1029" w:type="dxa"/>
            <w:tcBorders>
              <w:top w:val="nil"/>
              <w:left w:val="nil"/>
              <w:bottom w:val="nil"/>
              <w:right w:val="nil"/>
            </w:tcBorders>
          </w:tcPr>
          <w:p w:rsidR="00A53D7D" w:rsidRPr="00AC5D7B" w:rsidRDefault="00A53D7D" w:rsidP="005140B4">
            <w:pPr>
              <w:pStyle w:val="TableofFigures"/>
              <w:rPr>
                <w:rFonts w:eastAsiaTheme="minorEastAsia"/>
                <w:vertAlign w:val="superscript"/>
                <w:lang w:eastAsia="en-AU"/>
              </w:rPr>
            </w:pPr>
            <w:r w:rsidRPr="00AC5D7B">
              <w:rPr>
                <w:rFonts w:eastAsiaTheme="minorEastAsia"/>
                <w:lang w:eastAsia="en-AU"/>
              </w:rPr>
              <w:t>11.2</w:t>
            </w:r>
          </w:p>
        </w:tc>
      </w:tr>
      <w:tr w:rsidR="00A53D7D" w:rsidRPr="00AC5D7B" w:rsidTr="005140B4">
        <w:tc>
          <w:tcPr>
            <w:tcW w:w="3803" w:type="dxa"/>
            <w:tcBorders>
              <w:top w:val="nil"/>
              <w:left w:val="nil"/>
              <w:bottom w:val="nil"/>
              <w:right w:val="nil"/>
            </w:tcBorders>
          </w:tcPr>
          <w:p w:rsidR="00A53D7D" w:rsidRPr="00AC5D7B" w:rsidRDefault="00A53D7D" w:rsidP="005140B4">
            <w:pPr>
              <w:pStyle w:val="Tabletext"/>
              <w:rPr>
                <w:rFonts w:eastAsiaTheme="minorEastAsia" w:cs="Calibri"/>
                <w:color w:val="000000"/>
                <w:vertAlign w:val="superscript"/>
                <w:lang w:eastAsia="en-AU"/>
              </w:rPr>
            </w:pPr>
            <w:r w:rsidRPr="00AC5D7B">
              <w:rPr>
                <w:rFonts w:eastAsiaTheme="minorEastAsia"/>
                <w:lang w:eastAsia="en-AU"/>
              </w:rPr>
              <w:t xml:space="preserve">Parliamentary Investigatory Committees </w:t>
            </w:r>
            <w:r w:rsidRPr="00AC5D7B">
              <w:rPr>
                <w:rFonts w:eastAsiaTheme="minorEastAsia" w:cs="Calibri"/>
                <w:color w:val="000000"/>
                <w:vertAlign w:val="superscript"/>
                <w:lang w:eastAsia="en-AU"/>
              </w:rPr>
              <w:t>(d)</w:t>
            </w:r>
          </w:p>
        </w:tc>
        <w:tc>
          <w:tcPr>
            <w:tcW w:w="994"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7.2</w:t>
            </w:r>
          </w:p>
        </w:tc>
        <w:tc>
          <w:tcPr>
            <w:tcW w:w="993"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7.0</w:t>
            </w:r>
          </w:p>
        </w:tc>
        <w:tc>
          <w:tcPr>
            <w:tcW w:w="957"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7.0</w:t>
            </w:r>
          </w:p>
        </w:tc>
        <w:tc>
          <w:tcPr>
            <w:tcW w:w="1029"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-2.6</w:t>
            </w:r>
          </w:p>
        </w:tc>
      </w:tr>
      <w:tr w:rsidR="00A53D7D" w:rsidRPr="00AC5D7B" w:rsidTr="005140B4">
        <w:tc>
          <w:tcPr>
            <w:tcW w:w="3803" w:type="dxa"/>
            <w:tcBorders>
              <w:top w:val="nil"/>
              <w:left w:val="nil"/>
              <w:bottom w:val="nil"/>
              <w:right w:val="nil"/>
            </w:tcBorders>
          </w:tcPr>
          <w:p w:rsidR="00A53D7D" w:rsidRPr="00AC5D7B" w:rsidRDefault="00A53D7D" w:rsidP="005140B4">
            <w:pPr>
              <w:pStyle w:val="Tabletext"/>
              <w:rPr>
                <w:rFonts w:eastAsiaTheme="minorEastAsia" w:cs="Calibri"/>
                <w:color w:val="000000"/>
                <w:vertAlign w:val="superscript"/>
                <w:lang w:eastAsia="en-AU"/>
              </w:rPr>
            </w:pPr>
            <w:r w:rsidRPr="00AC5D7B">
              <w:rPr>
                <w:rFonts w:eastAsiaTheme="minorEastAsia"/>
                <w:lang w:eastAsia="en-AU"/>
              </w:rPr>
              <w:t xml:space="preserve">Parliamentary Services </w:t>
            </w:r>
            <w:r w:rsidRPr="00AC5D7B">
              <w:rPr>
                <w:rFonts w:eastAsiaTheme="minorEastAsia" w:cs="Calibri"/>
                <w:color w:val="000000"/>
                <w:vertAlign w:val="superscript"/>
                <w:lang w:eastAsia="en-AU"/>
              </w:rPr>
              <w:t>(e)</w:t>
            </w:r>
          </w:p>
        </w:tc>
        <w:tc>
          <w:tcPr>
            <w:tcW w:w="994"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87.2</w:t>
            </w:r>
          </w:p>
        </w:tc>
        <w:tc>
          <w:tcPr>
            <w:tcW w:w="993"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80.9</w:t>
            </w:r>
          </w:p>
        </w:tc>
        <w:tc>
          <w:tcPr>
            <w:tcW w:w="957"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90.7</w:t>
            </w:r>
          </w:p>
        </w:tc>
        <w:tc>
          <w:tcPr>
            <w:tcW w:w="1029"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4.0</w:t>
            </w:r>
          </w:p>
        </w:tc>
      </w:tr>
      <w:tr w:rsidR="00A53D7D" w:rsidRPr="00AC5D7B" w:rsidTr="005140B4">
        <w:tc>
          <w:tcPr>
            <w:tcW w:w="3803" w:type="dxa"/>
            <w:tcBorders>
              <w:top w:val="nil"/>
              <w:left w:val="nil"/>
              <w:bottom w:val="nil"/>
              <w:right w:val="nil"/>
            </w:tcBorders>
          </w:tcPr>
          <w:p w:rsidR="00A53D7D" w:rsidRPr="00AC5D7B" w:rsidRDefault="00A53D7D" w:rsidP="005140B4">
            <w:pPr>
              <w:pStyle w:val="Tabletext"/>
              <w:rPr>
                <w:rFonts w:eastAsiaTheme="minorEastAsia" w:cs="Calibri"/>
                <w:color w:val="000000"/>
                <w:vertAlign w:val="superscript"/>
                <w:lang w:eastAsia="en-AU"/>
              </w:rPr>
            </w:pPr>
            <w:r w:rsidRPr="00AC5D7B">
              <w:rPr>
                <w:rFonts w:eastAsiaTheme="minorEastAsia"/>
                <w:lang w:eastAsia="en-AU"/>
              </w:rPr>
              <w:t xml:space="preserve">Victorian Auditor-General's Office </w:t>
            </w:r>
            <w:r w:rsidRPr="00AC5D7B">
              <w:rPr>
                <w:rFonts w:eastAsiaTheme="minorEastAsia"/>
                <w:vertAlign w:val="superscript"/>
                <w:lang w:eastAsia="en-AU"/>
              </w:rPr>
              <w:t>(f</w:t>
            </w:r>
            <w:r w:rsidRPr="00AC5D7B">
              <w:rPr>
                <w:rFonts w:eastAsiaTheme="minorEastAsia" w:cs="Calibri"/>
                <w:color w:val="000000"/>
                <w:vertAlign w:val="superscript"/>
                <w:lang w:eastAsia="en-AU"/>
              </w:rPr>
              <w:t>)</w:t>
            </w:r>
          </w:p>
        </w:tc>
        <w:tc>
          <w:tcPr>
            <w:tcW w:w="994"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38.7</w:t>
            </w:r>
          </w:p>
        </w:tc>
        <w:tc>
          <w:tcPr>
            <w:tcW w:w="993" w:type="dxa"/>
            <w:tcBorders>
              <w:top w:val="nil"/>
              <w:left w:val="nil"/>
              <w:bottom w:val="nil"/>
              <w:right w:val="nil"/>
            </w:tcBorders>
          </w:tcPr>
          <w:p w:rsidR="00A53D7D" w:rsidRPr="00AC5D7B" w:rsidRDefault="00A53D7D" w:rsidP="005140B4">
            <w:pPr>
              <w:pStyle w:val="TableofFigures"/>
              <w:rPr>
                <w:rFonts w:eastAsiaTheme="minorEastAsia"/>
                <w:vertAlign w:val="superscript"/>
                <w:lang w:eastAsia="en-AU"/>
              </w:rPr>
            </w:pPr>
            <w:r w:rsidRPr="00AC5D7B">
              <w:rPr>
                <w:rFonts w:eastAsiaTheme="minorEastAsia"/>
                <w:lang w:eastAsia="en-AU"/>
              </w:rPr>
              <w:t>38.7</w:t>
            </w:r>
          </w:p>
        </w:tc>
        <w:tc>
          <w:tcPr>
            <w:tcW w:w="957" w:type="dxa"/>
            <w:tcBorders>
              <w:top w:val="nil"/>
              <w:left w:val="nil"/>
              <w:bottom w:val="nil"/>
              <w:right w:val="nil"/>
            </w:tcBorders>
          </w:tcPr>
          <w:p w:rsidR="00A53D7D" w:rsidRPr="00AC5D7B" w:rsidRDefault="00A53D7D" w:rsidP="005140B4">
            <w:pPr>
              <w:pStyle w:val="TableofFigures"/>
              <w:rPr>
                <w:rFonts w:eastAsiaTheme="minorEastAsia"/>
                <w:vertAlign w:val="superscript"/>
                <w:lang w:eastAsia="en-AU"/>
              </w:rPr>
            </w:pPr>
            <w:r w:rsidRPr="00AC5D7B">
              <w:rPr>
                <w:rFonts w:eastAsiaTheme="minorEastAsia"/>
                <w:lang w:eastAsia="en-AU"/>
              </w:rPr>
              <w:t>39.7</w:t>
            </w:r>
          </w:p>
        </w:tc>
        <w:tc>
          <w:tcPr>
            <w:tcW w:w="1029"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2.6</w:t>
            </w:r>
          </w:p>
        </w:tc>
      </w:tr>
      <w:tr w:rsidR="00A53D7D" w:rsidRPr="00AC5D7B" w:rsidTr="005140B4">
        <w:tc>
          <w:tcPr>
            <w:tcW w:w="3803" w:type="dxa"/>
            <w:tcBorders>
              <w:top w:val="single" w:sz="6" w:space="0" w:color="auto"/>
              <w:left w:val="nil"/>
              <w:bottom w:val="single" w:sz="12" w:space="0" w:color="auto"/>
              <w:right w:val="nil"/>
            </w:tcBorders>
          </w:tcPr>
          <w:p w:rsidR="00A53D7D" w:rsidRPr="00AC5D7B" w:rsidRDefault="00A53D7D" w:rsidP="005140B4">
            <w:pPr>
              <w:pStyle w:val="Tabletext"/>
              <w:rPr>
                <w:rFonts w:eastAsiaTheme="minorEastAsia"/>
                <w:b/>
                <w:bCs/>
                <w:lang w:eastAsia="en-AU"/>
              </w:rPr>
            </w:pPr>
            <w:r w:rsidRPr="00AC5D7B">
              <w:rPr>
                <w:rFonts w:eastAsiaTheme="minorEastAsia"/>
                <w:b/>
                <w:bCs/>
                <w:lang w:eastAsia="en-AU"/>
              </w:rPr>
              <w:t>Total</w:t>
            </w:r>
          </w:p>
        </w:tc>
        <w:tc>
          <w:tcPr>
            <w:tcW w:w="994" w:type="dxa"/>
            <w:tcBorders>
              <w:top w:val="single" w:sz="6" w:space="0" w:color="auto"/>
              <w:left w:val="nil"/>
              <w:bottom w:val="single" w:sz="12" w:space="0" w:color="auto"/>
              <w:right w:val="nil"/>
            </w:tcBorders>
          </w:tcPr>
          <w:p w:rsidR="00A53D7D" w:rsidRPr="00AC5D7B" w:rsidRDefault="00A53D7D" w:rsidP="005140B4">
            <w:pPr>
              <w:pStyle w:val="TableofFigures"/>
              <w:rPr>
                <w:rFonts w:eastAsiaTheme="minorEastAsia"/>
                <w:b/>
                <w:bCs/>
                <w:lang w:eastAsia="en-AU"/>
              </w:rPr>
            </w:pPr>
            <w:r w:rsidRPr="00AC5D7B">
              <w:rPr>
                <w:rFonts w:eastAsiaTheme="minorEastAsia"/>
                <w:b/>
                <w:bCs/>
                <w:lang w:eastAsia="en-AU"/>
              </w:rPr>
              <w:t>174.6</w:t>
            </w:r>
          </w:p>
        </w:tc>
        <w:tc>
          <w:tcPr>
            <w:tcW w:w="993" w:type="dxa"/>
            <w:tcBorders>
              <w:top w:val="single" w:sz="6" w:space="0" w:color="auto"/>
              <w:left w:val="nil"/>
              <w:bottom w:val="single" w:sz="12" w:space="0" w:color="auto"/>
              <w:right w:val="nil"/>
            </w:tcBorders>
          </w:tcPr>
          <w:p w:rsidR="00A53D7D" w:rsidRPr="00AC5D7B" w:rsidRDefault="00A53D7D" w:rsidP="005140B4">
            <w:pPr>
              <w:pStyle w:val="TableofFigures"/>
              <w:rPr>
                <w:rFonts w:eastAsiaTheme="minorEastAsia"/>
                <w:b/>
                <w:bCs/>
                <w:lang w:eastAsia="en-AU"/>
              </w:rPr>
            </w:pPr>
            <w:r w:rsidRPr="00AC5D7B">
              <w:rPr>
                <w:rFonts w:eastAsiaTheme="minorEastAsia"/>
                <w:b/>
                <w:bCs/>
                <w:lang w:eastAsia="en-AU"/>
              </w:rPr>
              <w:t>171.6</w:t>
            </w:r>
          </w:p>
        </w:tc>
        <w:tc>
          <w:tcPr>
            <w:tcW w:w="957" w:type="dxa"/>
            <w:tcBorders>
              <w:top w:val="single" w:sz="6" w:space="0" w:color="auto"/>
              <w:left w:val="nil"/>
              <w:bottom w:val="single" w:sz="12" w:space="0" w:color="auto"/>
              <w:right w:val="nil"/>
            </w:tcBorders>
          </w:tcPr>
          <w:p w:rsidR="00A53D7D" w:rsidRPr="00AC5D7B" w:rsidRDefault="00A53D7D" w:rsidP="005140B4">
            <w:pPr>
              <w:pStyle w:val="TableofFigures"/>
              <w:rPr>
                <w:rFonts w:eastAsiaTheme="minorEastAsia"/>
                <w:b/>
                <w:bCs/>
                <w:lang w:eastAsia="en-AU"/>
              </w:rPr>
            </w:pPr>
            <w:r w:rsidRPr="00AC5D7B">
              <w:rPr>
                <w:rFonts w:eastAsiaTheme="minorEastAsia"/>
                <w:b/>
                <w:bCs/>
                <w:lang w:eastAsia="en-AU"/>
              </w:rPr>
              <w:t>183.3</w:t>
            </w:r>
          </w:p>
        </w:tc>
        <w:tc>
          <w:tcPr>
            <w:tcW w:w="1029" w:type="dxa"/>
            <w:tcBorders>
              <w:top w:val="single" w:sz="6" w:space="0" w:color="auto"/>
              <w:left w:val="nil"/>
              <w:bottom w:val="single" w:sz="12" w:space="0" w:color="auto"/>
              <w:right w:val="nil"/>
            </w:tcBorders>
          </w:tcPr>
          <w:p w:rsidR="00A53D7D" w:rsidRPr="00AC5D7B" w:rsidRDefault="00A53D7D" w:rsidP="005140B4">
            <w:pPr>
              <w:pStyle w:val="TableofFigures"/>
              <w:rPr>
                <w:rFonts w:eastAsiaTheme="minorEastAsia"/>
                <w:b/>
                <w:bCs/>
                <w:lang w:eastAsia="en-AU"/>
              </w:rPr>
            </w:pPr>
            <w:r w:rsidRPr="00AC5D7B">
              <w:rPr>
                <w:rFonts w:eastAsiaTheme="minorEastAsia"/>
                <w:b/>
                <w:bCs/>
                <w:lang w:eastAsia="en-AU"/>
              </w:rPr>
              <w:t>5.0</w:t>
            </w:r>
          </w:p>
        </w:tc>
      </w:tr>
    </w:tbl>
    <w:p w:rsidR="00A53D7D" w:rsidRDefault="00A53D7D" w:rsidP="005140B4">
      <w:pPr>
        <w:pStyle w:val="Source"/>
      </w:pPr>
      <w:r>
        <w:t>Source: Parliament of Victoria and Victorian Auditor</w:t>
      </w:r>
      <w:r>
        <w:noBreakHyphen/>
        <w:t>General’s Office</w:t>
      </w:r>
      <w:r>
        <w:fldChar w:fldCharType="begin"/>
      </w:r>
      <w:r>
        <w:instrText xml:space="preserve"> XE "</w:instrText>
      </w:r>
      <w:r w:rsidRPr="006C0555">
        <w:instrText>Parliament:Output summary</w:instrText>
      </w:r>
      <w:r>
        <w:instrText xml:space="preserve">" </w:instrText>
      </w:r>
      <w:r>
        <w:fldChar w:fldCharType="end"/>
      </w:r>
    </w:p>
    <w:p w:rsidR="00A53D7D" w:rsidRDefault="00A53D7D" w:rsidP="005140B4">
      <w:pPr>
        <w:pStyle w:val="Notes"/>
      </w:pPr>
      <w:r>
        <w:t>Notes:</w:t>
      </w:r>
    </w:p>
    <w:p w:rsidR="00A53D7D" w:rsidRDefault="00A53D7D" w:rsidP="005140B4">
      <w:pPr>
        <w:pStyle w:val="Notes"/>
      </w:pPr>
      <w:r>
        <w:t>(a)</w:t>
      </w:r>
      <w:r>
        <w:tab/>
        <w:t>Variation between 2013</w:t>
      </w:r>
      <w:r>
        <w:noBreakHyphen/>
        <w:t>14 budget and 2014</w:t>
      </w:r>
      <w:r>
        <w:noBreakHyphen/>
      </w:r>
      <w:r w:rsidRPr="00AF4654">
        <w:t>1</w:t>
      </w:r>
      <w:r>
        <w:t>5</w:t>
      </w:r>
      <w:r w:rsidRPr="00AF4654">
        <w:t xml:space="preserve"> budget.</w:t>
      </w:r>
    </w:p>
    <w:p w:rsidR="00A53D7D" w:rsidRDefault="00A53D7D" w:rsidP="005140B4">
      <w:pPr>
        <w:pStyle w:val="Notes"/>
      </w:pPr>
      <w:r>
        <w:t>(b)</w:t>
      </w:r>
      <w:r>
        <w:tab/>
      </w:r>
      <w:r w:rsidRPr="007E4F2E">
        <w:t>The total output cost for Legislative Assembly for</w:t>
      </w:r>
      <w:r>
        <w:t xml:space="preserve"> the</w:t>
      </w:r>
      <w:r w:rsidRPr="007E4F2E">
        <w:t xml:space="preserve"> 2014</w:t>
      </w:r>
      <w:r>
        <w:noBreakHyphen/>
      </w:r>
      <w:r w:rsidRPr="007E4F2E">
        <w:t xml:space="preserve">15 budget is higher than </w:t>
      </w:r>
      <w:r>
        <w:t xml:space="preserve">the </w:t>
      </w:r>
      <w:r w:rsidRPr="007E4F2E">
        <w:t>2013</w:t>
      </w:r>
      <w:r>
        <w:noBreakHyphen/>
      </w:r>
      <w:r w:rsidRPr="007E4F2E">
        <w:t>14 budget due to additional funding approved for Members' salary and allowances</w:t>
      </w:r>
      <w:r>
        <w:t>.</w:t>
      </w:r>
      <w:r w:rsidRPr="007E4F2E">
        <w:t xml:space="preserve"> </w:t>
      </w:r>
    </w:p>
    <w:p w:rsidR="00A53D7D" w:rsidRDefault="00A53D7D" w:rsidP="005140B4">
      <w:pPr>
        <w:pStyle w:val="Notes"/>
      </w:pPr>
      <w:r>
        <w:t>(c)</w:t>
      </w:r>
      <w:r>
        <w:tab/>
      </w:r>
      <w:r w:rsidRPr="007E4F2E">
        <w:t xml:space="preserve">The total output cost for Legislative Council for </w:t>
      </w:r>
      <w:r>
        <w:t xml:space="preserve">the </w:t>
      </w:r>
      <w:r w:rsidRPr="007E4F2E">
        <w:t>2014</w:t>
      </w:r>
      <w:r>
        <w:noBreakHyphen/>
      </w:r>
      <w:r w:rsidRPr="007E4F2E">
        <w:t xml:space="preserve">15 budget is higher than </w:t>
      </w:r>
      <w:r>
        <w:t xml:space="preserve">the </w:t>
      </w:r>
      <w:r w:rsidRPr="007E4F2E">
        <w:t>2013</w:t>
      </w:r>
      <w:r>
        <w:noBreakHyphen/>
      </w:r>
      <w:r w:rsidRPr="007E4F2E">
        <w:t>14 budget due to additional funding approved for</w:t>
      </w:r>
      <w:r>
        <w:t xml:space="preserve"> Members' salary and allowances</w:t>
      </w:r>
      <w:r w:rsidRPr="007E4F2E">
        <w:t>.</w:t>
      </w:r>
    </w:p>
    <w:p w:rsidR="00A53D7D" w:rsidRDefault="00A53D7D" w:rsidP="005140B4">
      <w:pPr>
        <w:pStyle w:val="Notes"/>
      </w:pPr>
      <w:r>
        <w:t>(d)</w:t>
      </w:r>
      <w:r>
        <w:tab/>
        <w:t>The total output cost for Parliamentary Investigatory Committees for the 2014</w:t>
      </w:r>
      <w:r>
        <w:noBreakHyphen/>
        <w:t>15 budget is lower than the 2013</w:t>
      </w:r>
      <w:r>
        <w:noBreakHyphen/>
        <w:t>14 budget due to expiry of one-off funding for the performance audit of VAGO in 2013</w:t>
      </w:r>
      <w:r>
        <w:noBreakHyphen/>
        <w:t>14.</w:t>
      </w:r>
    </w:p>
    <w:p w:rsidR="00A53D7D" w:rsidRDefault="00A53D7D" w:rsidP="005140B4">
      <w:pPr>
        <w:pStyle w:val="Notes"/>
      </w:pPr>
      <w:r>
        <w:t>(e)</w:t>
      </w:r>
      <w:r>
        <w:tab/>
        <w:t>The total output cost for Parliamentary Services for the 2014</w:t>
      </w:r>
      <w:r>
        <w:noBreakHyphen/>
        <w:t>15 budget is higher than the 2013</w:t>
      </w:r>
      <w:r>
        <w:noBreakHyphen/>
        <w:t>14 budget due to indexation and additional funding in 2014</w:t>
      </w:r>
      <w:r>
        <w:noBreakHyphen/>
        <w:t>15 for Victorian electoral boundary redistribution.</w:t>
      </w:r>
    </w:p>
    <w:p w:rsidR="00A53D7D" w:rsidRPr="007E4F2E" w:rsidRDefault="00A53D7D" w:rsidP="005140B4">
      <w:pPr>
        <w:pStyle w:val="Notes"/>
      </w:pPr>
      <w:r>
        <w:t>(f)</w:t>
      </w:r>
      <w:r>
        <w:tab/>
      </w:r>
      <w:r w:rsidRPr="00457E61">
        <w:t>The higher 2013</w:t>
      </w:r>
      <w:r>
        <w:noBreakHyphen/>
      </w:r>
      <w:r w:rsidRPr="00457E61">
        <w:t>14 target, when compared to 2013</w:t>
      </w:r>
      <w:r>
        <w:noBreakHyphen/>
      </w:r>
      <w:r w:rsidRPr="00457E61">
        <w:t>14 target published in the 2013</w:t>
      </w:r>
      <w:r>
        <w:noBreakHyphen/>
      </w:r>
      <w:r w:rsidRPr="00457E61">
        <w:t>14 budget, corrects an understatement of the 2013</w:t>
      </w:r>
      <w:r>
        <w:noBreakHyphen/>
      </w:r>
      <w:r w:rsidRPr="00457E61">
        <w:t>14 output cost compared to the departmental financial statements.</w:t>
      </w:r>
    </w:p>
    <w:p w:rsidR="00A53D7D" w:rsidRDefault="00A53D7D">
      <w:pPr>
        <w:spacing w:after="0"/>
        <w:rPr>
          <w:rFonts w:ascii="Calibri" w:hAnsi="Calibri"/>
          <w:b/>
          <w:caps/>
          <w:sz w:val="26"/>
          <w:szCs w:val="22"/>
        </w:rPr>
      </w:pPr>
      <w:bookmarkStart w:id="150" w:name="_Toc386364081"/>
      <w:r>
        <w:br w:type="page"/>
      </w:r>
    </w:p>
    <w:p w:rsidR="00A53D7D" w:rsidRDefault="00A53D7D" w:rsidP="005140B4">
      <w:pPr>
        <w:pStyle w:val="Heading2"/>
      </w:pPr>
      <w:r>
        <w:t>Amounts available</w:t>
      </w:r>
      <w:bookmarkEnd w:id="150"/>
    </w:p>
    <w:p w:rsidR="00A53D7D" w:rsidRDefault="00A53D7D" w:rsidP="005140B4">
      <w:r>
        <w:t>The following tables detail the amounts available to the Department from Parliamentary authority and income generated through transactions.</w:t>
      </w:r>
    </w:p>
    <w:p w:rsidR="00A53D7D" w:rsidRDefault="00A53D7D" w:rsidP="005140B4">
      <w:r>
        <w:t>Table 2.33 outlines the Department’s income from transactions and Table 2.34 summarises the sources of Parliamentary authority available to the Department to fund the provision of outputs, additions to net asset base and payments made on behalf of the State.</w:t>
      </w:r>
    </w:p>
    <w:p w:rsidR="00A53D7D" w:rsidRDefault="00A53D7D" w:rsidP="005140B4">
      <w:pPr>
        <w:pStyle w:val="Tableheading"/>
      </w:pPr>
      <w:r>
        <w:t>Table 2.33:</w:t>
      </w:r>
      <w:r>
        <w:tab/>
        <w:t>Income from transactions</w:t>
      </w:r>
    </w:p>
    <w:p w:rsidR="00A53D7D" w:rsidRPr="00AC5D7B" w:rsidRDefault="00A53D7D" w:rsidP="005140B4">
      <w:pPr>
        <w:pStyle w:val="million"/>
        <w:rPr>
          <w:rFonts w:ascii="Times New Roman" w:hAnsi="Times New Roman"/>
          <w:sz w:val="20"/>
          <w:lang w:eastAsia="en-AU"/>
        </w:rPr>
      </w:pPr>
      <w:r>
        <w:t>($million)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AC5D7B" w:rsidTr="005140B4">
        <w:tc>
          <w:tcPr>
            <w:tcW w:w="3801" w:type="dxa"/>
            <w:tcBorders>
              <w:top w:val="single" w:sz="12" w:space="0" w:color="auto"/>
              <w:left w:val="single" w:sz="12" w:space="0" w:color="auto"/>
              <w:bottom w:val="nil"/>
              <w:right w:val="nil"/>
            </w:tcBorders>
            <w:shd w:val="clear" w:color="auto" w:fill="000000"/>
          </w:tcPr>
          <w:p w:rsidR="00A53D7D" w:rsidRPr="00AC5D7B" w:rsidRDefault="00A53D7D" w:rsidP="005140B4">
            <w:pPr>
              <w:pStyle w:val="Tabletext"/>
              <w:rPr>
                <w:rFonts w:eastAsiaTheme="minorEastAsia"/>
                <w:lang w:eastAsia="en-AU"/>
              </w:rPr>
            </w:pPr>
            <w:r w:rsidRPr="00AC5D7B">
              <w:rPr>
                <w:rFonts w:eastAsiaTheme="minorEastAsia"/>
                <w:lang w:eastAsia="en-AU"/>
              </w:rPr>
              <w:t xml:space="preserve"> </w:t>
            </w:r>
          </w:p>
        </w:tc>
        <w:tc>
          <w:tcPr>
            <w:tcW w:w="993" w:type="dxa"/>
            <w:tcBorders>
              <w:top w:val="single" w:sz="12" w:space="0" w:color="auto"/>
              <w:left w:val="nil"/>
              <w:bottom w:val="nil"/>
              <w:right w:val="nil"/>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2012-13</w:t>
            </w:r>
          </w:p>
        </w:tc>
        <w:tc>
          <w:tcPr>
            <w:tcW w:w="993" w:type="dxa"/>
            <w:tcBorders>
              <w:top w:val="single" w:sz="12" w:space="0" w:color="auto"/>
              <w:left w:val="nil"/>
              <w:bottom w:val="nil"/>
              <w:right w:val="nil"/>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2013-14</w:t>
            </w:r>
          </w:p>
        </w:tc>
        <w:tc>
          <w:tcPr>
            <w:tcW w:w="993" w:type="dxa"/>
            <w:tcBorders>
              <w:top w:val="single" w:sz="12" w:space="0" w:color="auto"/>
              <w:left w:val="nil"/>
              <w:bottom w:val="nil"/>
              <w:right w:val="nil"/>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2013-14</w:t>
            </w:r>
          </w:p>
        </w:tc>
        <w:tc>
          <w:tcPr>
            <w:tcW w:w="993" w:type="dxa"/>
            <w:tcBorders>
              <w:top w:val="single" w:sz="12" w:space="0" w:color="auto"/>
              <w:left w:val="nil"/>
              <w:bottom w:val="nil"/>
              <w:right w:val="single" w:sz="12" w:space="0" w:color="auto"/>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2014-15</w:t>
            </w:r>
          </w:p>
        </w:tc>
      </w:tr>
      <w:tr w:rsidR="00A53D7D" w:rsidRPr="00AC5D7B" w:rsidTr="005140B4">
        <w:tc>
          <w:tcPr>
            <w:tcW w:w="3801" w:type="dxa"/>
            <w:tcBorders>
              <w:top w:val="nil"/>
              <w:left w:val="single" w:sz="12" w:space="0" w:color="auto"/>
              <w:bottom w:val="single" w:sz="4" w:space="0" w:color="auto"/>
              <w:right w:val="nil"/>
            </w:tcBorders>
            <w:shd w:val="clear" w:color="auto" w:fill="000000"/>
          </w:tcPr>
          <w:p w:rsidR="00A53D7D" w:rsidRPr="00AC5D7B" w:rsidRDefault="00A53D7D" w:rsidP="005140B4">
            <w:pPr>
              <w:pStyle w:val="Tabletext"/>
              <w:rPr>
                <w:rFonts w:eastAsiaTheme="minorEastAsia"/>
                <w:lang w:eastAsia="en-AU"/>
              </w:rPr>
            </w:pPr>
            <w:r w:rsidRPr="00AC5D7B">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Actual</w:t>
            </w:r>
          </w:p>
        </w:tc>
        <w:tc>
          <w:tcPr>
            <w:tcW w:w="993" w:type="dxa"/>
            <w:tcBorders>
              <w:top w:val="nil"/>
              <w:left w:val="nil"/>
              <w:bottom w:val="single" w:sz="4" w:space="0" w:color="auto"/>
              <w:right w:val="nil"/>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 xml:space="preserve">Budget </w:t>
            </w:r>
          </w:p>
        </w:tc>
        <w:tc>
          <w:tcPr>
            <w:tcW w:w="993" w:type="dxa"/>
            <w:tcBorders>
              <w:top w:val="nil"/>
              <w:left w:val="nil"/>
              <w:bottom w:val="single" w:sz="4" w:space="0" w:color="auto"/>
              <w:right w:val="nil"/>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Revised</w:t>
            </w:r>
          </w:p>
        </w:tc>
        <w:tc>
          <w:tcPr>
            <w:tcW w:w="993" w:type="dxa"/>
            <w:tcBorders>
              <w:top w:val="nil"/>
              <w:left w:val="nil"/>
              <w:bottom w:val="single" w:sz="4" w:space="0" w:color="auto"/>
              <w:right w:val="single" w:sz="12" w:space="0" w:color="auto"/>
            </w:tcBorders>
            <w:shd w:val="clear" w:color="auto" w:fill="000000"/>
          </w:tcPr>
          <w:p w:rsidR="00A53D7D" w:rsidRPr="00AC5D7B" w:rsidRDefault="00A53D7D" w:rsidP="005140B4">
            <w:pPr>
              <w:pStyle w:val="Tabletextheading"/>
              <w:rPr>
                <w:rFonts w:eastAsiaTheme="minorEastAsia"/>
                <w:lang w:eastAsia="en-AU"/>
              </w:rPr>
            </w:pPr>
            <w:r w:rsidRPr="00AC5D7B">
              <w:rPr>
                <w:rFonts w:eastAsiaTheme="minorEastAsia"/>
                <w:lang w:eastAsia="en-AU"/>
              </w:rPr>
              <w:t>Budget</w:t>
            </w:r>
          </w:p>
        </w:tc>
      </w:tr>
      <w:tr w:rsidR="00A53D7D" w:rsidRPr="00AC5D7B" w:rsidTr="005140B4">
        <w:tc>
          <w:tcPr>
            <w:tcW w:w="3801" w:type="dxa"/>
            <w:tcBorders>
              <w:top w:val="single" w:sz="4" w:space="0" w:color="auto"/>
              <w:left w:val="nil"/>
              <w:bottom w:val="nil"/>
              <w:right w:val="nil"/>
            </w:tcBorders>
          </w:tcPr>
          <w:p w:rsidR="00A53D7D" w:rsidRPr="00AC5D7B" w:rsidRDefault="00A53D7D" w:rsidP="005140B4">
            <w:pPr>
              <w:pStyle w:val="Tabletext"/>
              <w:rPr>
                <w:rFonts w:eastAsiaTheme="minorEastAsia"/>
                <w:lang w:eastAsia="en-AU"/>
              </w:rPr>
            </w:pPr>
            <w:r w:rsidRPr="00AC5D7B">
              <w:rPr>
                <w:rFonts w:eastAsiaTheme="minorEastAsia"/>
                <w:lang w:eastAsia="en-AU"/>
              </w:rPr>
              <w:t>Output appropriations</w:t>
            </w:r>
          </w:p>
        </w:tc>
        <w:tc>
          <w:tcPr>
            <w:tcW w:w="993" w:type="dxa"/>
            <w:tcBorders>
              <w:top w:val="single" w:sz="4" w:space="0" w:color="auto"/>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 xml:space="preserve"> 134.0</w:t>
            </w:r>
          </w:p>
        </w:tc>
        <w:tc>
          <w:tcPr>
            <w:tcW w:w="993" w:type="dxa"/>
            <w:tcBorders>
              <w:top w:val="single" w:sz="4" w:space="0" w:color="auto"/>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 xml:space="preserve"> 138.8</w:t>
            </w:r>
          </w:p>
        </w:tc>
        <w:tc>
          <w:tcPr>
            <w:tcW w:w="993" w:type="dxa"/>
            <w:tcBorders>
              <w:top w:val="single" w:sz="4" w:space="0" w:color="auto"/>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 xml:space="preserve"> 133.7</w:t>
            </w:r>
          </w:p>
        </w:tc>
        <w:tc>
          <w:tcPr>
            <w:tcW w:w="993" w:type="dxa"/>
            <w:tcBorders>
              <w:top w:val="single" w:sz="4" w:space="0" w:color="auto"/>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 xml:space="preserve"> 144.7</w:t>
            </w:r>
          </w:p>
        </w:tc>
      </w:tr>
      <w:tr w:rsidR="00A53D7D" w:rsidRPr="00AC5D7B" w:rsidTr="005140B4">
        <w:tc>
          <w:tcPr>
            <w:tcW w:w="3801" w:type="dxa"/>
            <w:tcBorders>
              <w:top w:val="nil"/>
              <w:left w:val="nil"/>
              <w:bottom w:val="nil"/>
              <w:right w:val="nil"/>
            </w:tcBorders>
          </w:tcPr>
          <w:p w:rsidR="00A53D7D" w:rsidRPr="00AC5D7B" w:rsidRDefault="00A53D7D" w:rsidP="005140B4">
            <w:pPr>
              <w:pStyle w:val="Tabletext"/>
              <w:rPr>
                <w:rFonts w:eastAsiaTheme="minorEastAsia"/>
                <w:lang w:eastAsia="en-AU"/>
              </w:rPr>
            </w:pPr>
            <w:r w:rsidRPr="00AC5D7B">
              <w:rPr>
                <w:rFonts w:eastAsiaTheme="minorEastAsia"/>
                <w:lang w:eastAsia="en-AU"/>
              </w:rPr>
              <w:t>Special appropriations</w:t>
            </w:r>
          </w:p>
        </w:tc>
        <w:tc>
          <w:tcPr>
            <w:tcW w:w="993"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 xml:space="preserve"> 33.0</w:t>
            </w:r>
          </w:p>
        </w:tc>
        <w:tc>
          <w:tcPr>
            <w:tcW w:w="993"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 xml:space="preserve"> 34.4</w:t>
            </w:r>
          </w:p>
        </w:tc>
        <w:tc>
          <w:tcPr>
            <w:tcW w:w="993"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 xml:space="preserve"> 37.9</w:t>
            </w:r>
          </w:p>
        </w:tc>
        <w:tc>
          <w:tcPr>
            <w:tcW w:w="993"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 xml:space="preserve"> 38.6</w:t>
            </w:r>
          </w:p>
        </w:tc>
      </w:tr>
      <w:tr w:rsidR="00A53D7D" w:rsidRPr="00AC5D7B" w:rsidTr="005140B4">
        <w:tc>
          <w:tcPr>
            <w:tcW w:w="3801" w:type="dxa"/>
            <w:tcBorders>
              <w:top w:val="nil"/>
              <w:left w:val="nil"/>
              <w:bottom w:val="nil"/>
              <w:right w:val="nil"/>
            </w:tcBorders>
          </w:tcPr>
          <w:p w:rsidR="00A53D7D" w:rsidRPr="00AC5D7B" w:rsidRDefault="00A53D7D" w:rsidP="005140B4">
            <w:pPr>
              <w:pStyle w:val="Tabletext"/>
              <w:rPr>
                <w:rFonts w:eastAsiaTheme="minorEastAsia" w:cs="Calibri"/>
                <w:color w:val="000000"/>
                <w:lang w:eastAsia="en-AU"/>
              </w:rPr>
            </w:pPr>
            <w:r w:rsidRPr="00AC5D7B">
              <w:rPr>
                <w:rFonts w:eastAsiaTheme="minorEastAsia"/>
                <w:lang w:eastAsia="en-AU"/>
              </w:rPr>
              <w:t xml:space="preserve">Sale </w:t>
            </w:r>
            <w:r w:rsidRPr="00AC5D7B">
              <w:rPr>
                <w:rFonts w:eastAsiaTheme="minorEastAsia" w:cs="Calibri"/>
                <w:color w:val="000000"/>
                <w:lang w:eastAsia="en-AU"/>
              </w:rPr>
              <w:t>of goods and services</w:t>
            </w:r>
          </w:p>
        </w:tc>
        <w:tc>
          <w:tcPr>
            <w:tcW w:w="993"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 xml:space="preserve"> 1.4</w:t>
            </w:r>
          </w:p>
        </w:tc>
        <w:tc>
          <w:tcPr>
            <w:tcW w:w="993"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w:t>
            </w:r>
          </w:p>
        </w:tc>
        <w:tc>
          <w:tcPr>
            <w:tcW w:w="993"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w:t>
            </w:r>
          </w:p>
        </w:tc>
        <w:tc>
          <w:tcPr>
            <w:tcW w:w="993"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w:t>
            </w:r>
          </w:p>
        </w:tc>
      </w:tr>
      <w:tr w:rsidR="00A53D7D" w:rsidRPr="00AC5D7B" w:rsidTr="005140B4">
        <w:tc>
          <w:tcPr>
            <w:tcW w:w="3801" w:type="dxa"/>
            <w:tcBorders>
              <w:top w:val="nil"/>
              <w:left w:val="nil"/>
              <w:bottom w:val="nil"/>
              <w:right w:val="nil"/>
            </w:tcBorders>
          </w:tcPr>
          <w:p w:rsidR="00A53D7D" w:rsidRPr="00AC5D7B" w:rsidRDefault="00A53D7D" w:rsidP="005140B4">
            <w:pPr>
              <w:pStyle w:val="Tabletext"/>
              <w:rPr>
                <w:rFonts w:eastAsiaTheme="minorEastAsia"/>
                <w:lang w:eastAsia="en-AU"/>
              </w:rPr>
            </w:pPr>
            <w:r w:rsidRPr="00AC5D7B">
              <w:rPr>
                <w:rFonts w:eastAsiaTheme="minorEastAsia"/>
                <w:lang w:eastAsia="en-AU"/>
              </w:rPr>
              <w:t>Grants</w:t>
            </w:r>
          </w:p>
        </w:tc>
        <w:tc>
          <w:tcPr>
            <w:tcW w:w="993" w:type="dxa"/>
            <w:tcBorders>
              <w:top w:val="nil"/>
              <w:left w:val="nil"/>
              <w:bottom w:val="nil"/>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 xml:space="preserve"> 0.2</w:t>
            </w:r>
          </w:p>
        </w:tc>
        <w:tc>
          <w:tcPr>
            <w:tcW w:w="993" w:type="dxa"/>
            <w:tcBorders>
              <w:top w:val="nil"/>
              <w:left w:val="nil"/>
              <w:bottom w:val="nil"/>
              <w:right w:val="nil"/>
            </w:tcBorders>
          </w:tcPr>
          <w:p w:rsidR="00A53D7D" w:rsidRPr="00AC5D7B" w:rsidRDefault="00A53D7D" w:rsidP="005140B4">
            <w:pPr>
              <w:pStyle w:val="TableofFigures"/>
              <w:rPr>
                <w:rFonts w:eastAsiaTheme="minorEastAsia" w:cs="Calibri"/>
                <w:color w:val="000000"/>
                <w:lang w:eastAsia="en-AU"/>
              </w:rPr>
            </w:pPr>
            <w:r w:rsidRPr="00AC5D7B">
              <w:rPr>
                <w:rFonts w:eastAsiaTheme="minorEastAsia"/>
                <w:lang w:eastAsia="en-AU"/>
              </w:rPr>
              <w:t xml:space="preserve"> ..</w:t>
            </w:r>
          </w:p>
        </w:tc>
        <w:tc>
          <w:tcPr>
            <w:tcW w:w="993" w:type="dxa"/>
            <w:tcBorders>
              <w:top w:val="nil"/>
              <w:left w:val="nil"/>
              <w:bottom w:val="nil"/>
              <w:right w:val="nil"/>
            </w:tcBorders>
          </w:tcPr>
          <w:p w:rsidR="00A53D7D" w:rsidRPr="00AC5D7B" w:rsidRDefault="00A53D7D" w:rsidP="005140B4">
            <w:pPr>
              <w:pStyle w:val="TableofFigures"/>
              <w:rPr>
                <w:rFonts w:eastAsiaTheme="minorEastAsia" w:cs="Calibri"/>
                <w:color w:val="000000"/>
                <w:lang w:eastAsia="en-AU"/>
              </w:rPr>
            </w:pPr>
            <w:r w:rsidRPr="00AC5D7B">
              <w:rPr>
                <w:rFonts w:eastAsiaTheme="minorEastAsia"/>
                <w:lang w:eastAsia="en-AU"/>
              </w:rPr>
              <w:t xml:space="preserve"> ..</w:t>
            </w:r>
          </w:p>
        </w:tc>
        <w:tc>
          <w:tcPr>
            <w:tcW w:w="993" w:type="dxa"/>
            <w:tcBorders>
              <w:top w:val="nil"/>
              <w:left w:val="nil"/>
              <w:bottom w:val="nil"/>
              <w:right w:val="nil"/>
            </w:tcBorders>
          </w:tcPr>
          <w:p w:rsidR="00A53D7D" w:rsidRPr="00AC5D7B" w:rsidRDefault="00A53D7D" w:rsidP="005140B4">
            <w:pPr>
              <w:pStyle w:val="TableofFigures"/>
              <w:rPr>
                <w:rFonts w:eastAsiaTheme="minorEastAsia" w:cs="Calibri"/>
                <w:color w:val="000000"/>
                <w:lang w:eastAsia="en-AU"/>
              </w:rPr>
            </w:pPr>
            <w:r w:rsidRPr="00AC5D7B">
              <w:rPr>
                <w:rFonts w:eastAsiaTheme="minorEastAsia"/>
                <w:lang w:eastAsia="en-AU"/>
              </w:rPr>
              <w:t xml:space="preserve"> ..</w:t>
            </w:r>
          </w:p>
        </w:tc>
      </w:tr>
      <w:tr w:rsidR="00A53D7D" w:rsidRPr="00AC5D7B" w:rsidTr="005140B4">
        <w:tc>
          <w:tcPr>
            <w:tcW w:w="3801" w:type="dxa"/>
            <w:tcBorders>
              <w:top w:val="nil"/>
              <w:left w:val="nil"/>
              <w:bottom w:val="single" w:sz="6" w:space="0" w:color="auto"/>
              <w:right w:val="nil"/>
            </w:tcBorders>
          </w:tcPr>
          <w:p w:rsidR="00A53D7D" w:rsidRPr="00AC5D7B" w:rsidRDefault="00A53D7D" w:rsidP="005140B4">
            <w:pPr>
              <w:pStyle w:val="Tabletext"/>
              <w:rPr>
                <w:rFonts w:eastAsiaTheme="minorEastAsia" w:cs="Calibri"/>
                <w:color w:val="000000"/>
                <w:lang w:eastAsia="en-AU"/>
              </w:rPr>
            </w:pPr>
            <w:r w:rsidRPr="00AC5D7B">
              <w:rPr>
                <w:rFonts w:eastAsiaTheme="minorEastAsia"/>
                <w:lang w:eastAsia="en-AU"/>
              </w:rPr>
              <w:t xml:space="preserve">Fair </w:t>
            </w:r>
            <w:r w:rsidRPr="00AC5D7B">
              <w:rPr>
                <w:rFonts w:eastAsiaTheme="minorEastAsia" w:cs="Calibri"/>
                <w:color w:val="000000"/>
                <w:lang w:eastAsia="en-AU"/>
              </w:rPr>
              <w:t>value of assets and services received free of charge or for nominal consideration</w:t>
            </w:r>
          </w:p>
        </w:tc>
        <w:tc>
          <w:tcPr>
            <w:tcW w:w="993" w:type="dxa"/>
            <w:tcBorders>
              <w:top w:val="nil"/>
              <w:left w:val="nil"/>
              <w:bottom w:val="single" w:sz="6" w:space="0" w:color="auto"/>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 xml:space="preserve"> 0.1</w:t>
            </w:r>
          </w:p>
        </w:tc>
        <w:tc>
          <w:tcPr>
            <w:tcW w:w="993" w:type="dxa"/>
            <w:tcBorders>
              <w:top w:val="nil"/>
              <w:left w:val="nil"/>
              <w:bottom w:val="single" w:sz="6" w:space="0" w:color="auto"/>
              <w:right w:val="nil"/>
            </w:tcBorders>
          </w:tcPr>
          <w:p w:rsidR="00A53D7D" w:rsidRPr="00AC5D7B" w:rsidRDefault="00A53D7D" w:rsidP="005140B4">
            <w:pPr>
              <w:pStyle w:val="TableofFigures"/>
              <w:rPr>
                <w:rFonts w:eastAsiaTheme="minorEastAsia"/>
                <w:lang w:eastAsia="en-AU"/>
              </w:rPr>
            </w:pPr>
            <w:r w:rsidRPr="00AC5D7B">
              <w:rPr>
                <w:rFonts w:eastAsiaTheme="minorEastAsia"/>
                <w:lang w:eastAsia="en-AU"/>
              </w:rPr>
              <w:t xml:space="preserve"> 0.3</w:t>
            </w:r>
          </w:p>
        </w:tc>
        <w:tc>
          <w:tcPr>
            <w:tcW w:w="993" w:type="dxa"/>
            <w:tcBorders>
              <w:top w:val="nil"/>
              <w:left w:val="nil"/>
              <w:bottom w:val="single" w:sz="6" w:space="0" w:color="auto"/>
              <w:right w:val="nil"/>
            </w:tcBorders>
          </w:tcPr>
          <w:p w:rsidR="00A53D7D" w:rsidRPr="00AC5D7B" w:rsidRDefault="00A53D7D" w:rsidP="005140B4">
            <w:pPr>
              <w:pStyle w:val="TableofFigures"/>
              <w:rPr>
                <w:rFonts w:eastAsiaTheme="minorEastAsia" w:cs="Calibri"/>
                <w:lang w:eastAsia="en-AU"/>
              </w:rPr>
            </w:pPr>
            <w:r w:rsidRPr="00AC5D7B">
              <w:rPr>
                <w:rFonts w:eastAsiaTheme="minorEastAsia"/>
                <w:lang w:eastAsia="en-AU"/>
              </w:rPr>
              <w:t xml:space="preserve"> ..</w:t>
            </w:r>
          </w:p>
        </w:tc>
        <w:tc>
          <w:tcPr>
            <w:tcW w:w="993" w:type="dxa"/>
            <w:tcBorders>
              <w:top w:val="nil"/>
              <w:left w:val="nil"/>
              <w:bottom w:val="single" w:sz="6" w:space="0" w:color="auto"/>
              <w:right w:val="nil"/>
            </w:tcBorders>
          </w:tcPr>
          <w:p w:rsidR="00A53D7D" w:rsidRPr="00AC5D7B" w:rsidRDefault="00A53D7D" w:rsidP="005140B4">
            <w:pPr>
              <w:pStyle w:val="TableofFigures"/>
              <w:rPr>
                <w:rFonts w:eastAsiaTheme="minorEastAsia" w:cs="Calibri"/>
                <w:lang w:eastAsia="en-AU"/>
              </w:rPr>
            </w:pPr>
            <w:r w:rsidRPr="00AC5D7B">
              <w:rPr>
                <w:rFonts w:eastAsiaTheme="minorEastAsia"/>
                <w:lang w:eastAsia="en-AU"/>
              </w:rPr>
              <w:t xml:space="preserve"> ..</w:t>
            </w:r>
          </w:p>
        </w:tc>
      </w:tr>
      <w:tr w:rsidR="00A53D7D" w:rsidRPr="00AC5D7B" w:rsidTr="005140B4">
        <w:tc>
          <w:tcPr>
            <w:tcW w:w="3801" w:type="dxa"/>
            <w:tcBorders>
              <w:top w:val="single" w:sz="6" w:space="0" w:color="auto"/>
              <w:left w:val="nil"/>
              <w:bottom w:val="single" w:sz="12" w:space="0" w:color="auto"/>
              <w:right w:val="nil"/>
            </w:tcBorders>
          </w:tcPr>
          <w:p w:rsidR="00A53D7D" w:rsidRPr="00AC5D7B" w:rsidRDefault="00A53D7D" w:rsidP="005140B4">
            <w:pPr>
              <w:pStyle w:val="Tabletext"/>
              <w:rPr>
                <w:rFonts w:eastAsiaTheme="minorEastAsia"/>
                <w:b/>
                <w:lang w:eastAsia="en-AU"/>
              </w:rPr>
            </w:pPr>
            <w:r w:rsidRPr="00AC5D7B">
              <w:rPr>
                <w:rFonts w:eastAsiaTheme="minorEastAsia"/>
                <w:b/>
                <w:lang w:eastAsia="en-AU"/>
              </w:rPr>
              <w:t>Total income from transactions</w:t>
            </w:r>
          </w:p>
        </w:tc>
        <w:tc>
          <w:tcPr>
            <w:tcW w:w="993" w:type="dxa"/>
            <w:tcBorders>
              <w:top w:val="single" w:sz="6" w:space="0" w:color="auto"/>
              <w:left w:val="nil"/>
              <w:bottom w:val="single" w:sz="12" w:space="0" w:color="auto"/>
              <w:right w:val="nil"/>
            </w:tcBorders>
          </w:tcPr>
          <w:p w:rsidR="00A53D7D" w:rsidRPr="00AC5D7B" w:rsidRDefault="00A53D7D" w:rsidP="005140B4">
            <w:pPr>
              <w:pStyle w:val="TableofFigures"/>
              <w:rPr>
                <w:rFonts w:eastAsiaTheme="minorEastAsia"/>
                <w:b/>
                <w:lang w:eastAsia="en-AU"/>
              </w:rPr>
            </w:pPr>
            <w:r w:rsidRPr="00AC5D7B">
              <w:rPr>
                <w:rFonts w:eastAsiaTheme="minorEastAsia"/>
                <w:b/>
                <w:lang w:eastAsia="en-AU"/>
              </w:rPr>
              <w:t xml:space="preserve"> 168.7</w:t>
            </w:r>
          </w:p>
        </w:tc>
        <w:tc>
          <w:tcPr>
            <w:tcW w:w="993" w:type="dxa"/>
            <w:tcBorders>
              <w:top w:val="single" w:sz="6" w:space="0" w:color="auto"/>
              <w:left w:val="nil"/>
              <w:bottom w:val="single" w:sz="12" w:space="0" w:color="auto"/>
              <w:right w:val="nil"/>
            </w:tcBorders>
          </w:tcPr>
          <w:p w:rsidR="00A53D7D" w:rsidRPr="00AC5D7B" w:rsidRDefault="00A53D7D" w:rsidP="005140B4">
            <w:pPr>
              <w:pStyle w:val="TableofFigures"/>
              <w:rPr>
                <w:rFonts w:eastAsiaTheme="minorEastAsia"/>
                <w:b/>
                <w:lang w:eastAsia="en-AU"/>
              </w:rPr>
            </w:pPr>
            <w:r w:rsidRPr="00AC5D7B">
              <w:rPr>
                <w:rFonts w:eastAsiaTheme="minorEastAsia"/>
                <w:b/>
                <w:lang w:eastAsia="en-AU"/>
              </w:rPr>
              <w:t xml:space="preserve"> 173.5</w:t>
            </w:r>
          </w:p>
        </w:tc>
        <w:tc>
          <w:tcPr>
            <w:tcW w:w="993" w:type="dxa"/>
            <w:tcBorders>
              <w:top w:val="single" w:sz="6" w:space="0" w:color="auto"/>
              <w:left w:val="nil"/>
              <w:bottom w:val="single" w:sz="12" w:space="0" w:color="auto"/>
              <w:right w:val="nil"/>
            </w:tcBorders>
          </w:tcPr>
          <w:p w:rsidR="00A53D7D" w:rsidRPr="00AC5D7B" w:rsidRDefault="00A53D7D" w:rsidP="005140B4">
            <w:pPr>
              <w:pStyle w:val="TableofFigures"/>
              <w:rPr>
                <w:rFonts w:eastAsiaTheme="minorEastAsia"/>
                <w:b/>
                <w:lang w:eastAsia="en-AU"/>
              </w:rPr>
            </w:pPr>
            <w:r w:rsidRPr="00AC5D7B">
              <w:rPr>
                <w:rFonts w:eastAsiaTheme="minorEastAsia"/>
                <w:b/>
                <w:lang w:eastAsia="en-AU"/>
              </w:rPr>
              <w:t xml:space="preserve"> 171.6</w:t>
            </w:r>
          </w:p>
        </w:tc>
        <w:tc>
          <w:tcPr>
            <w:tcW w:w="993" w:type="dxa"/>
            <w:tcBorders>
              <w:top w:val="single" w:sz="6" w:space="0" w:color="auto"/>
              <w:left w:val="nil"/>
              <w:bottom w:val="single" w:sz="12" w:space="0" w:color="auto"/>
              <w:right w:val="nil"/>
            </w:tcBorders>
          </w:tcPr>
          <w:p w:rsidR="00A53D7D" w:rsidRPr="00AC5D7B" w:rsidRDefault="00A53D7D" w:rsidP="005140B4">
            <w:pPr>
              <w:pStyle w:val="TableofFigures"/>
              <w:rPr>
                <w:rFonts w:eastAsiaTheme="minorEastAsia"/>
                <w:b/>
                <w:lang w:eastAsia="en-AU"/>
              </w:rPr>
            </w:pPr>
            <w:r w:rsidRPr="00AC5D7B">
              <w:rPr>
                <w:rFonts w:eastAsiaTheme="minorEastAsia"/>
                <w:b/>
                <w:lang w:eastAsia="en-AU"/>
              </w:rPr>
              <w:t xml:space="preserve"> 183.3</w:t>
            </w:r>
          </w:p>
        </w:tc>
      </w:tr>
    </w:tbl>
    <w:p w:rsidR="00A53D7D" w:rsidRPr="007E4F2E" w:rsidRDefault="00A53D7D" w:rsidP="005140B4">
      <w:pPr>
        <w:pStyle w:val="Source"/>
      </w:pPr>
      <w:r>
        <w:t>Source: Parliament of Victoria, Victorian Auditor</w:t>
      </w:r>
      <w:r>
        <w:noBreakHyphen/>
        <w:t xml:space="preserve">General’s Office and Department of Treasury and Finance </w:t>
      </w:r>
      <w:r>
        <w:fldChar w:fldCharType="begin"/>
      </w:r>
      <w:r>
        <w:instrText xml:space="preserve"> XE "</w:instrText>
      </w:r>
      <w:r w:rsidRPr="00C642EA">
        <w:instrText>Parliament:Income from transactions</w:instrText>
      </w:r>
      <w:r>
        <w:instrText xml:space="preserve">" </w:instrText>
      </w:r>
      <w:r>
        <w:fldChar w:fldCharType="end"/>
      </w:r>
    </w:p>
    <w:p w:rsidR="00A6384E" w:rsidRDefault="00A6384E" w:rsidP="00A6384E">
      <w:pPr>
        <w:pStyle w:val="Notes"/>
      </w:pPr>
    </w:p>
    <w:p w:rsidR="00A53D7D" w:rsidRDefault="00A53D7D" w:rsidP="005140B4">
      <w:pPr>
        <w:pStyle w:val="Tableheading"/>
      </w:pPr>
      <w:r>
        <w:t>Table 2.34:</w:t>
      </w:r>
      <w:r>
        <w:tab/>
        <w:t>Parliamentary authority for resources</w:t>
      </w:r>
    </w:p>
    <w:p w:rsidR="00A53D7D" w:rsidRPr="00F04060" w:rsidRDefault="00A53D7D" w:rsidP="005140B4">
      <w:pPr>
        <w:pStyle w:val="million"/>
        <w:rPr>
          <w:rFonts w:ascii="Times New Roman" w:hAnsi="Times New Roman"/>
          <w:sz w:val="20"/>
          <w:lang w:eastAsia="en-AU"/>
        </w:rPr>
      </w:pPr>
      <w:r>
        <w:t>($million)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53D7D" w:rsidRPr="00F04060" w:rsidTr="005140B4">
        <w:tc>
          <w:tcPr>
            <w:tcW w:w="4668" w:type="dxa"/>
            <w:tcBorders>
              <w:top w:val="single" w:sz="12" w:space="0" w:color="FFFFFF" w:themeColor="background1"/>
              <w:left w:val="single" w:sz="12" w:space="0" w:color="FFFFFF" w:themeColor="background1"/>
              <w:bottom w:val="nil"/>
              <w:right w:val="nil"/>
            </w:tcBorders>
            <w:shd w:val="clear" w:color="auto" w:fill="000000"/>
          </w:tcPr>
          <w:p w:rsidR="00A53D7D" w:rsidRPr="00F04060" w:rsidRDefault="00A53D7D" w:rsidP="005140B4">
            <w:pPr>
              <w:pStyle w:val="Tabletext"/>
              <w:rPr>
                <w:rFonts w:eastAsiaTheme="minorEastAsia"/>
                <w:lang w:eastAsia="en-AU"/>
              </w:rPr>
            </w:pPr>
            <w:r w:rsidRPr="00F04060">
              <w:rPr>
                <w:rFonts w:eastAsiaTheme="minorEastAsia"/>
                <w:lang w:eastAsia="en-AU"/>
              </w:rPr>
              <w:t xml:space="preserve"> </w:t>
            </w:r>
          </w:p>
        </w:tc>
        <w:tc>
          <w:tcPr>
            <w:tcW w:w="1036" w:type="dxa"/>
            <w:tcBorders>
              <w:top w:val="single" w:sz="12" w:space="0" w:color="FFFFFF" w:themeColor="background1"/>
              <w:left w:val="nil"/>
              <w:bottom w:val="nil"/>
              <w:right w:val="nil"/>
            </w:tcBorders>
            <w:shd w:val="clear" w:color="auto" w:fill="000000"/>
          </w:tcPr>
          <w:p w:rsidR="00A53D7D" w:rsidRPr="00F04060" w:rsidRDefault="00A53D7D" w:rsidP="005140B4">
            <w:pPr>
              <w:pStyle w:val="Tabletextheading"/>
              <w:rPr>
                <w:rFonts w:eastAsiaTheme="minorEastAsia"/>
                <w:lang w:eastAsia="en-AU"/>
              </w:rPr>
            </w:pPr>
            <w:r w:rsidRPr="00F04060">
              <w:rPr>
                <w:rFonts w:eastAsiaTheme="minorEastAsia"/>
                <w:lang w:eastAsia="en-AU"/>
              </w:rPr>
              <w:t>2013-14</w:t>
            </w:r>
          </w:p>
        </w:tc>
        <w:tc>
          <w:tcPr>
            <w:tcW w:w="1036" w:type="dxa"/>
            <w:tcBorders>
              <w:top w:val="single" w:sz="12" w:space="0" w:color="FFFFFF" w:themeColor="background1"/>
              <w:left w:val="nil"/>
              <w:bottom w:val="nil"/>
              <w:right w:val="nil"/>
            </w:tcBorders>
            <w:shd w:val="clear" w:color="auto" w:fill="000000"/>
          </w:tcPr>
          <w:p w:rsidR="00A53D7D" w:rsidRPr="00F04060" w:rsidRDefault="00A53D7D" w:rsidP="005140B4">
            <w:pPr>
              <w:pStyle w:val="Tabletextheading"/>
              <w:rPr>
                <w:rFonts w:eastAsiaTheme="minorEastAsia"/>
                <w:lang w:eastAsia="en-AU"/>
              </w:rPr>
            </w:pPr>
            <w:r w:rsidRPr="00F04060">
              <w:rPr>
                <w:rFonts w:eastAsiaTheme="minorEastAsia"/>
                <w:lang w:eastAsia="en-AU"/>
              </w:rPr>
              <w:t>2013-14</w:t>
            </w:r>
          </w:p>
        </w:tc>
        <w:tc>
          <w:tcPr>
            <w:tcW w:w="1036" w:type="dxa"/>
            <w:tcBorders>
              <w:top w:val="single" w:sz="12" w:space="0" w:color="FFFFFF" w:themeColor="background1"/>
              <w:left w:val="nil"/>
              <w:bottom w:val="nil"/>
              <w:right w:val="single" w:sz="12" w:space="0" w:color="FFFFFF" w:themeColor="background1"/>
            </w:tcBorders>
            <w:shd w:val="clear" w:color="auto" w:fill="000000"/>
          </w:tcPr>
          <w:p w:rsidR="00A53D7D" w:rsidRPr="00F04060" w:rsidRDefault="00A53D7D" w:rsidP="005140B4">
            <w:pPr>
              <w:pStyle w:val="Tabletextheading"/>
              <w:rPr>
                <w:rFonts w:eastAsiaTheme="minorEastAsia"/>
                <w:lang w:eastAsia="en-AU"/>
              </w:rPr>
            </w:pPr>
            <w:r w:rsidRPr="00F04060">
              <w:rPr>
                <w:rFonts w:eastAsiaTheme="minorEastAsia"/>
                <w:lang w:eastAsia="en-AU"/>
              </w:rPr>
              <w:t>2014-15</w:t>
            </w:r>
          </w:p>
        </w:tc>
      </w:tr>
      <w:tr w:rsidR="00A53D7D" w:rsidRPr="00F04060" w:rsidTr="005140B4">
        <w:tc>
          <w:tcPr>
            <w:tcW w:w="4668" w:type="dxa"/>
            <w:tcBorders>
              <w:top w:val="nil"/>
              <w:left w:val="single" w:sz="12" w:space="0" w:color="FFFFFF" w:themeColor="background1"/>
              <w:bottom w:val="single" w:sz="12" w:space="0" w:color="FFFFFF" w:themeColor="background1"/>
              <w:right w:val="nil"/>
            </w:tcBorders>
            <w:shd w:val="clear" w:color="auto" w:fill="000000"/>
          </w:tcPr>
          <w:p w:rsidR="00A53D7D" w:rsidRPr="00F04060" w:rsidRDefault="00A53D7D" w:rsidP="005140B4">
            <w:pPr>
              <w:pStyle w:val="Tabletext"/>
              <w:rPr>
                <w:rFonts w:eastAsiaTheme="minorEastAsia"/>
                <w:lang w:eastAsia="en-AU"/>
              </w:rPr>
            </w:pPr>
            <w:r w:rsidRPr="00F04060">
              <w:rPr>
                <w:rFonts w:eastAsiaTheme="minorEastAsia"/>
                <w:lang w:eastAsia="en-AU"/>
              </w:rPr>
              <w:t xml:space="preserve"> </w:t>
            </w:r>
          </w:p>
        </w:tc>
        <w:tc>
          <w:tcPr>
            <w:tcW w:w="1036" w:type="dxa"/>
            <w:tcBorders>
              <w:top w:val="nil"/>
              <w:left w:val="nil"/>
              <w:bottom w:val="single" w:sz="12" w:space="0" w:color="FFFFFF" w:themeColor="background1"/>
              <w:right w:val="nil"/>
            </w:tcBorders>
            <w:shd w:val="clear" w:color="auto" w:fill="000000"/>
          </w:tcPr>
          <w:p w:rsidR="00A53D7D" w:rsidRPr="00F04060" w:rsidRDefault="00A53D7D" w:rsidP="005140B4">
            <w:pPr>
              <w:pStyle w:val="Tabletextheading"/>
              <w:rPr>
                <w:rFonts w:eastAsiaTheme="minorEastAsia"/>
                <w:lang w:eastAsia="en-AU"/>
              </w:rPr>
            </w:pPr>
            <w:r w:rsidRPr="00F04060">
              <w:rPr>
                <w:rFonts w:eastAsiaTheme="minorEastAsia"/>
                <w:lang w:eastAsia="en-AU"/>
              </w:rPr>
              <w:t>Budget</w:t>
            </w:r>
          </w:p>
        </w:tc>
        <w:tc>
          <w:tcPr>
            <w:tcW w:w="1036" w:type="dxa"/>
            <w:tcBorders>
              <w:top w:val="nil"/>
              <w:left w:val="nil"/>
              <w:bottom w:val="single" w:sz="12" w:space="0" w:color="FFFFFF" w:themeColor="background1"/>
              <w:right w:val="nil"/>
            </w:tcBorders>
            <w:shd w:val="clear" w:color="auto" w:fill="000000"/>
          </w:tcPr>
          <w:p w:rsidR="00A53D7D" w:rsidRPr="00F04060" w:rsidRDefault="00A53D7D" w:rsidP="005140B4">
            <w:pPr>
              <w:pStyle w:val="Tabletextheading"/>
              <w:rPr>
                <w:rFonts w:eastAsiaTheme="minorEastAsia"/>
                <w:lang w:eastAsia="en-AU"/>
              </w:rPr>
            </w:pPr>
            <w:r w:rsidRPr="00F04060">
              <w:rPr>
                <w:rFonts w:eastAsiaTheme="minorEastAsia"/>
                <w:lang w:eastAsia="en-AU"/>
              </w:rPr>
              <w:t>Revised</w:t>
            </w:r>
          </w:p>
        </w:tc>
        <w:tc>
          <w:tcPr>
            <w:tcW w:w="1036" w:type="dxa"/>
            <w:tcBorders>
              <w:top w:val="nil"/>
              <w:left w:val="nil"/>
              <w:bottom w:val="single" w:sz="12" w:space="0" w:color="FFFFFF" w:themeColor="background1"/>
              <w:right w:val="single" w:sz="12" w:space="0" w:color="FFFFFF" w:themeColor="background1"/>
            </w:tcBorders>
            <w:shd w:val="clear" w:color="auto" w:fill="000000"/>
          </w:tcPr>
          <w:p w:rsidR="00A53D7D" w:rsidRPr="00F04060" w:rsidRDefault="00A53D7D" w:rsidP="005140B4">
            <w:pPr>
              <w:pStyle w:val="Tabletextheading"/>
              <w:rPr>
                <w:rFonts w:eastAsiaTheme="minorEastAsia"/>
                <w:vertAlign w:val="superscript"/>
                <w:lang w:eastAsia="en-AU"/>
              </w:rPr>
            </w:pPr>
            <w:r w:rsidRPr="00F04060">
              <w:rPr>
                <w:rFonts w:eastAsiaTheme="minorEastAsia"/>
                <w:lang w:eastAsia="en-AU"/>
              </w:rPr>
              <w:t>Budget</w:t>
            </w:r>
          </w:p>
        </w:tc>
      </w:tr>
      <w:tr w:rsidR="00A53D7D" w:rsidRPr="00F04060" w:rsidTr="005140B4">
        <w:tc>
          <w:tcPr>
            <w:tcW w:w="4668" w:type="dxa"/>
            <w:tcBorders>
              <w:top w:val="nil"/>
              <w:left w:val="nil"/>
              <w:right w:val="nil"/>
            </w:tcBorders>
            <w:shd w:val="clear" w:color="auto" w:fill="auto"/>
          </w:tcPr>
          <w:p w:rsidR="00A53D7D" w:rsidRPr="00F04060" w:rsidRDefault="00A53D7D" w:rsidP="005140B4">
            <w:pPr>
              <w:pStyle w:val="Tabletext"/>
              <w:rPr>
                <w:rFonts w:eastAsiaTheme="minorEastAsia"/>
                <w:b/>
                <w:bCs/>
                <w:lang w:eastAsia="en-AU"/>
              </w:rPr>
            </w:pPr>
            <w:r w:rsidRPr="00F04060">
              <w:rPr>
                <w:rFonts w:eastAsiaTheme="minorEastAsia"/>
                <w:b/>
                <w:lang w:eastAsia="en-AU"/>
              </w:rPr>
              <w:t>Annual</w:t>
            </w:r>
            <w:r w:rsidRPr="00F04060">
              <w:rPr>
                <w:rFonts w:eastAsiaTheme="minorEastAsia"/>
                <w:b/>
                <w:bCs/>
                <w:lang w:eastAsia="en-AU"/>
              </w:rPr>
              <w:t xml:space="preserve"> appropriations</w:t>
            </w:r>
          </w:p>
        </w:tc>
        <w:tc>
          <w:tcPr>
            <w:tcW w:w="1036" w:type="dxa"/>
            <w:tcBorders>
              <w:top w:val="nil"/>
              <w:left w:val="nil"/>
              <w:right w:val="nil"/>
            </w:tcBorders>
            <w:shd w:val="clear" w:color="auto" w:fill="auto"/>
          </w:tcPr>
          <w:p w:rsidR="00A53D7D" w:rsidRPr="00F04060" w:rsidRDefault="00A53D7D" w:rsidP="005140B4">
            <w:pPr>
              <w:pStyle w:val="TableofFigures"/>
              <w:rPr>
                <w:rFonts w:eastAsiaTheme="minorEastAsia"/>
                <w:b/>
                <w:bCs/>
                <w:lang w:eastAsia="en-AU"/>
              </w:rPr>
            </w:pPr>
            <w:r w:rsidRPr="00F04060">
              <w:rPr>
                <w:rFonts w:eastAsiaTheme="minorEastAsia"/>
                <w:b/>
                <w:lang w:eastAsia="en-AU"/>
              </w:rPr>
              <w:t xml:space="preserve"> </w:t>
            </w:r>
            <w:r w:rsidRPr="00F04060">
              <w:rPr>
                <w:rFonts w:eastAsiaTheme="minorEastAsia"/>
                <w:b/>
                <w:bCs/>
                <w:lang w:eastAsia="en-AU"/>
              </w:rPr>
              <w:t>112.2</w:t>
            </w:r>
          </w:p>
        </w:tc>
        <w:tc>
          <w:tcPr>
            <w:tcW w:w="1036" w:type="dxa"/>
            <w:tcBorders>
              <w:top w:val="nil"/>
              <w:left w:val="nil"/>
              <w:right w:val="nil"/>
            </w:tcBorders>
            <w:shd w:val="clear" w:color="auto" w:fill="auto"/>
          </w:tcPr>
          <w:p w:rsidR="00A53D7D" w:rsidRPr="00F04060" w:rsidRDefault="00A53D7D" w:rsidP="005140B4">
            <w:pPr>
              <w:pStyle w:val="TableofFigures"/>
              <w:rPr>
                <w:rFonts w:eastAsiaTheme="minorEastAsia"/>
                <w:b/>
                <w:bCs/>
                <w:lang w:eastAsia="en-AU"/>
              </w:rPr>
            </w:pPr>
            <w:r w:rsidRPr="00F04060">
              <w:rPr>
                <w:rFonts w:eastAsiaTheme="minorEastAsia"/>
                <w:b/>
                <w:lang w:eastAsia="en-AU"/>
              </w:rPr>
              <w:t xml:space="preserve"> </w:t>
            </w:r>
            <w:r w:rsidRPr="00F04060">
              <w:rPr>
                <w:rFonts w:eastAsiaTheme="minorEastAsia"/>
                <w:b/>
                <w:bCs/>
                <w:lang w:eastAsia="en-AU"/>
              </w:rPr>
              <w:t>107.0</w:t>
            </w:r>
          </w:p>
        </w:tc>
        <w:tc>
          <w:tcPr>
            <w:tcW w:w="1036" w:type="dxa"/>
            <w:tcBorders>
              <w:top w:val="nil"/>
              <w:left w:val="nil"/>
              <w:right w:val="nil"/>
            </w:tcBorders>
            <w:shd w:val="clear" w:color="auto" w:fill="auto"/>
          </w:tcPr>
          <w:p w:rsidR="00A53D7D" w:rsidRPr="00F04060" w:rsidRDefault="00A53D7D" w:rsidP="005140B4">
            <w:pPr>
              <w:pStyle w:val="TableofFigures"/>
              <w:rPr>
                <w:rFonts w:eastAsiaTheme="minorEastAsia"/>
                <w:b/>
                <w:bCs/>
                <w:lang w:eastAsia="en-AU"/>
              </w:rPr>
            </w:pPr>
            <w:r w:rsidRPr="00F04060">
              <w:rPr>
                <w:rFonts w:eastAsiaTheme="minorEastAsia"/>
                <w:b/>
                <w:lang w:eastAsia="en-AU"/>
              </w:rPr>
              <w:t xml:space="preserve"> </w:t>
            </w:r>
            <w:r w:rsidRPr="00F04060">
              <w:rPr>
                <w:rFonts w:eastAsiaTheme="minorEastAsia"/>
                <w:b/>
                <w:bCs/>
                <w:lang w:eastAsia="en-AU"/>
              </w:rPr>
              <w:t>115.8</w:t>
            </w:r>
          </w:p>
        </w:tc>
      </w:tr>
      <w:tr w:rsidR="00A53D7D" w:rsidRPr="00F04060" w:rsidTr="005140B4">
        <w:tc>
          <w:tcPr>
            <w:tcW w:w="4668" w:type="dxa"/>
            <w:tcBorders>
              <w:left w:val="nil"/>
              <w:bottom w:val="nil"/>
              <w:right w:val="nil"/>
            </w:tcBorders>
            <w:shd w:val="solid" w:color="FFFFFF" w:fill="auto"/>
          </w:tcPr>
          <w:p w:rsidR="00A53D7D" w:rsidRPr="00F04060" w:rsidRDefault="003A72EE" w:rsidP="005140B4">
            <w:pPr>
              <w:pStyle w:val="Tabletext"/>
              <w:rPr>
                <w:rFonts w:eastAsiaTheme="minorEastAsia"/>
                <w:lang w:eastAsia="en-AU"/>
              </w:rPr>
            </w:pPr>
            <w:r>
              <w:rPr>
                <w:rFonts w:eastAsiaTheme="minorEastAsia"/>
                <w:bCs/>
                <w:lang w:eastAsia="en-AU"/>
              </w:rPr>
              <w:t xml:space="preserve"> </w:t>
            </w:r>
            <w:r w:rsidR="00A53D7D" w:rsidRPr="00F04060">
              <w:rPr>
                <w:rFonts w:eastAsiaTheme="minorEastAsia"/>
                <w:bCs/>
                <w:lang w:eastAsia="en-AU"/>
              </w:rPr>
              <w:t>Provision of</w:t>
            </w:r>
            <w:r w:rsidR="00A53D7D" w:rsidRPr="00F04060">
              <w:rPr>
                <w:rFonts w:eastAsiaTheme="minorEastAsia"/>
                <w:lang w:eastAsia="en-AU"/>
              </w:rPr>
              <w:t xml:space="preserve"> outputs</w:t>
            </w:r>
          </w:p>
        </w:tc>
        <w:tc>
          <w:tcPr>
            <w:tcW w:w="1036" w:type="dxa"/>
            <w:tcBorders>
              <w:left w:val="nil"/>
              <w:bottom w:val="nil"/>
              <w:right w:val="nil"/>
            </w:tcBorders>
            <w:shd w:val="solid" w:color="FFFFFF" w:fill="auto"/>
          </w:tcPr>
          <w:p w:rsidR="00A53D7D" w:rsidRPr="00F04060" w:rsidRDefault="00A53D7D" w:rsidP="005140B4">
            <w:pPr>
              <w:pStyle w:val="TableofFigures"/>
              <w:rPr>
                <w:rFonts w:eastAsiaTheme="minorEastAsia"/>
                <w:bCs/>
                <w:lang w:eastAsia="en-AU"/>
              </w:rPr>
            </w:pPr>
            <w:r w:rsidRPr="00F04060">
              <w:rPr>
                <w:rFonts w:eastAsiaTheme="minorEastAsia"/>
                <w:bCs/>
                <w:lang w:eastAsia="en-AU"/>
              </w:rPr>
              <w:t xml:space="preserve"> 112.2</w:t>
            </w:r>
          </w:p>
        </w:tc>
        <w:tc>
          <w:tcPr>
            <w:tcW w:w="1036" w:type="dxa"/>
            <w:tcBorders>
              <w:left w:val="nil"/>
              <w:bottom w:val="nil"/>
              <w:right w:val="nil"/>
            </w:tcBorders>
            <w:shd w:val="solid" w:color="FFFFFF" w:fill="auto"/>
          </w:tcPr>
          <w:p w:rsidR="00A53D7D" w:rsidRPr="00F04060" w:rsidRDefault="00A53D7D" w:rsidP="005140B4">
            <w:pPr>
              <w:pStyle w:val="TableofFigures"/>
              <w:rPr>
                <w:rFonts w:eastAsiaTheme="minorEastAsia"/>
                <w:bCs/>
                <w:lang w:eastAsia="en-AU"/>
              </w:rPr>
            </w:pPr>
            <w:r w:rsidRPr="00F04060">
              <w:rPr>
                <w:rFonts w:eastAsiaTheme="minorEastAsia"/>
                <w:bCs/>
                <w:lang w:eastAsia="en-AU"/>
              </w:rPr>
              <w:t xml:space="preserve"> 107.0</w:t>
            </w:r>
          </w:p>
        </w:tc>
        <w:tc>
          <w:tcPr>
            <w:tcW w:w="1036" w:type="dxa"/>
            <w:tcBorders>
              <w:left w:val="nil"/>
              <w:bottom w:val="nil"/>
              <w:right w:val="nil"/>
            </w:tcBorders>
            <w:shd w:val="solid" w:color="FFFFFF" w:fill="auto"/>
          </w:tcPr>
          <w:p w:rsidR="00A53D7D" w:rsidRPr="00F04060" w:rsidRDefault="00A53D7D" w:rsidP="005140B4">
            <w:pPr>
              <w:pStyle w:val="TableofFigures"/>
              <w:rPr>
                <w:rFonts w:eastAsiaTheme="minorEastAsia"/>
                <w:bCs/>
                <w:lang w:eastAsia="en-AU"/>
              </w:rPr>
            </w:pPr>
            <w:r w:rsidRPr="00F04060">
              <w:rPr>
                <w:rFonts w:eastAsiaTheme="minorEastAsia"/>
                <w:bCs/>
                <w:lang w:eastAsia="en-AU"/>
              </w:rPr>
              <w:t xml:space="preserve"> 115.8</w:t>
            </w:r>
          </w:p>
        </w:tc>
      </w:tr>
      <w:tr w:rsidR="00A53D7D" w:rsidRPr="00F04060" w:rsidTr="005140B4">
        <w:tc>
          <w:tcPr>
            <w:tcW w:w="4668" w:type="dxa"/>
            <w:tcBorders>
              <w:top w:val="nil"/>
              <w:left w:val="nil"/>
              <w:bottom w:val="nil"/>
              <w:right w:val="nil"/>
            </w:tcBorders>
            <w:shd w:val="solid" w:color="FFFFFF" w:fill="auto"/>
          </w:tcPr>
          <w:p w:rsidR="00A53D7D" w:rsidRPr="00F04060" w:rsidRDefault="00A53D7D" w:rsidP="005140B4">
            <w:pPr>
              <w:pStyle w:val="Tabletext"/>
              <w:rPr>
                <w:rFonts w:eastAsiaTheme="minorEastAsia"/>
                <w:lang w:eastAsia="en-AU"/>
              </w:rPr>
            </w:pPr>
            <w:r w:rsidRPr="00F04060">
              <w:rPr>
                <w:rFonts w:eastAsiaTheme="minorEastAsia"/>
                <w:lang w:eastAsia="en-AU"/>
              </w:rPr>
              <w:t>Receipts credited to appropriations</w:t>
            </w:r>
          </w:p>
        </w:tc>
        <w:tc>
          <w:tcPr>
            <w:tcW w:w="1036" w:type="dxa"/>
            <w:tcBorders>
              <w:top w:val="nil"/>
              <w:left w:val="nil"/>
              <w:bottom w:val="nil"/>
              <w:right w:val="nil"/>
            </w:tcBorders>
            <w:shd w:val="solid" w:color="FFFFFF" w:fill="auto"/>
          </w:tcPr>
          <w:p w:rsidR="00A53D7D" w:rsidRPr="00F04060" w:rsidRDefault="00A53D7D" w:rsidP="005140B4">
            <w:pPr>
              <w:pStyle w:val="TableofFigures"/>
              <w:rPr>
                <w:rFonts w:eastAsiaTheme="minorEastAsia"/>
                <w:lang w:eastAsia="en-AU"/>
              </w:rPr>
            </w:pPr>
            <w:r w:rsidRPr="00F04060">
              <w:rPr>
                <w:rFonts w:eastAsiaTheme="minorEastAsia"/>
                <w:lang w:eastAsia="en-AU"/>
              </w:rPr>
              <w:t xml:space="preserve"> 21.6</w:t>
            </w:r>
          </w:p>
        </w:tc>
        <w:tc>
          <w:tcPr>
            <w:tcW w:w="1036" w:type="dxa"/>
            <w:tcBorders>
              <w:top w:val="nil"/>
              <w:left w:val="nil"/>
              <w:bottom w:val="nil"/>
              <w:right w:val="nil"/>
            </w:tcBorders>
            <w:shd w:val="solid" w:color="FFFFFF" w:fill="auto"/>
          </w:tcPr>
          <w:p w:rsidR="00A53D7D" w:rsidRPr="00F04060" w:rsidRDefault="00A53D7D" w:rsidP="005140B4">
            <w:pPr>
              <w:pStyle w:val="TableofFigures"/>
              <w:rPr>
                <w:rFonts w:eastAsiaTheme="minorEastAsia"/>
                <w:lang w:eastAsia="en-AU"/>
              </w:rPr>
            </w:pPr>
            <w:r w:rsidRPr="00F04060">
              <w:rPr>
                <w:rFonts w:eastAsiaTheme="minorEastAsia"/>
                <w:lang w:eastAsia="en-AU"/>
              </w:rPr>
              <w:t xml:space="preserve"> 23.2</w:t>
            </w:r>
          </w:p>
        </w:tc>
        <w:tc>
          <w:tcPr>
            <w:tcW w:w="1036" w:type="dxa"/>
            <w:tcBorders>
              <w:top w:val="nil"/>
              <w:left w:val="nil"/>
              <w:bottom w:val="nil"/>
              <w:right w:val="nil"/>
            </w:tcBorders>
            <w:shd w:val="solid" w:color="FFFFFF" w:fill="auto"/>
          </w:tcPr>
          <w:p w:rsidR="00A53D7D" w:rsidRPr="00F04060" w:rsidRDefault="00A53D7D" w:rsidP="005140B4">
            <w:pPr>
              <w:pStyle w:val="TableofFigures"/>
              <w:rPr>
                <w:rFonts w:eastAsiaTheme="minorEastAsia"/>
                <w:lang w:eastAsia="en-AU"/>
              </w:rPr>
            </w:pPr>
            <w:r w:rsidRPr="00F04060">
              <w:rPr>
                <w:rFonts w:eastAsiaTheme="minorEastAsia"/>
                <w:lang w:eastAsia="en-AU"/>
              </w:rPr>
              <w:t xml:space="preserve"> 23.8</w:t>
            </w:r>
          </w:p>
        </w:tc>
      </w:tr>
      <w:tr w:rsidR="00A53D7D" w:rsidRPr="00F04060" w:rsidTr="005140B4">
        <w:tc>
          <w:tcPr>
            <w:tcW w:w="4668" w:type="dxa"/>
            <w:tcBorders>
              <w:top w:val="nil"/>
              <w:left w:val="nil"/>
              <w:bottom w:val="nil"/>
              <w:right w:val="nil"/>
            </w:tcBorders>
            <w:shd w:val="solid" w:color="FFFFFF" w:fill="auto"/>
          </w:tcPr>
          <w:p w:rsidR="00A53D7D" w:rsidRPr="00F04060" w:rsidRDefault="00A53D7D" w:rsidP="005140B4">
            <w:pPr>
              <w:pStyle w:val="Tabletext"/>
              <w:rPr>
                <w:rFonts w:eastAsiaTheme="minorEastAsia"/>
                <w:b/>
                <w:lang w:eastAsia="en-AU"/>
              </w:rPr>
            </w:pPr>
            <w:r w:rsidRPr="00F04060">
              <w:rPr>
                <w:rFonts w:eastAsiaTheme="minorEastAsia"/>
                <w:b/>
                <w:lang w:eastAsia="en-AU"/>
              </w:rPr>
              <w:t>Unapplied previous years appropriation</w:t>
            </w:r>
          </w:p>
        </w:tc>
        <w:tc>
          <w:tcPr>
            <w:tcW w:w="1036" w:type="dxa"/>
            <w:tcBorders>
              <w:top w:val="nil"/>
              <w:left w:val="nil"/>
              <w:bottom w:val="nil"/>
              <w:right w:val="nil"/>
            </w:tcBorders>
            <w:shd w:val="solid" w:color="FFFFFF" w:fill="auto"/>
          </w:tcPr>
          <w:p w:rsidR="00A53D7D" w:rsidRPr="00F04060" w:rsidRDefault="00A53D7D" w:rsidP="005140B4">
            <w:pPr>
              <w:pStyle w:val="TableofFigures"/>
              <w:rPr>
                <w:rFonts w:eastAsiaTheme="minorEastAsia"/>
                <w:b/>
                <w:lang w:eastAsia="en-AU"/>
              </w:rPr>
            </w:pPr>
            <w:r w:rsidRPr="00F04060">
              <w:rPr>
                <w:rFonts w:eastAsiaTheme="minorEastAsia"/>
                <w:b/>
                <w:lang w:eastAsia="en-AU"/>
              </w:rPr>
              <w:t xml:space="preserve"> 5.0</w:t>
            </w:r>
          </w:p>
        </w:tc>
        <w:tc>
          <w:tcPr>
            <w:tcW w:w="1036" w:type="dxa"/>
            <w:tcBorders>
              <w:top w:val="nil"/>
              <w:left w:val="nil"/>
              <w:bottom w:val="nil"/>
              <w:right w:val="nil"/>
            </w:tcBorders>
            <w:shd w:val="solid" w:color="FFFFFF" w:fill="auto"/>
          </w:tcPr>
          <w:p w:rsidR="00A53D7D" w:rsidRPr="00F04060" w:rsidRDefault="00A53D7D" w:rsidP="005140B4">
            <w:pPr>
              <w:pStyle w:val="TableofFigures"/>
              <w:rPr>
                <w:rFonts w:eastAsiaTheme="minorEastAsia"/>
                <w:b/>
                <w:lang w:eastAsia="en-AU"/>
              </w:rPr>
            </w:pPr>
            <w:r w:rsidRPr="00F04060">
              <w:rPr>
                <w:rFonts w:eastAsiaTheme="minorEastAsia"/>
                <w:b/>
                <w:lang w:eastAsia="en-AU"/>
              </w:rPr>
              <w:t xml:space="preserve"> 3.5</w:t>
            </w:r>
          </w:p>
        </w:tc>
        <w:tc>
          <w:tcPr>
            <w:tcW w:w="1036" w:type="dxa"/>
            <w:tcBorders>
              <w:top w:val="nil"/>
              <w:left w:val="nil"/>
              <w:bottom w:val="nil"/>
              <w:right w:val="nil"/>
            </w:tcBorders>
            <w:shd w:val="solid" w:color="FFFFFF" w:fill="auto"/>
          </w:tcPr>
          <w:p w:rsidR="00A53D7D" w:rsidRPr="00F04060" w:rsidRDefault="00A53D7D" w:rsidP="005140B4">
            <w:pPr>
              <w:pStyle w:val="TableofFigures"/>
              <w:rPr>
                <w:rFonts w:eastAsiaTheme="minorEastAsia"/>
                <w:b/>
                <w:lang w:eastAsia="en-AU"/>
              </w:rPr>
            </w:pPr>
            <w:r w:rsidRPr="00F04060">
              <w:rPr>
                <w:rFonts w:eastAsiaTheme="minorEastAsia"/>
                <w:b/>
                <w:lang w:eastAsia="en-AU"/>
              </w:rPr>
              <w:t xml:space="preserve"> 5.1</w:t>
            </w:r>
          </w:p>
        </w:tc>
      </w:tr>
      <w:tr w:rsidR="00A53D7D" w:rsidRPr="00F04060" w:rsidTr="005140B4">
        <w:tc>
          <w:tcPr>
            <w:tcW w:w="4668" w:type="dxa"/>
            <w:tcBorders>
              <w:top w:val="nil"/>
              <w:left w:val="nil"/>
              <w:bottom w:val="nil"/>
              <w:right w:val="nil"/>
            </w:tcBorders>
            <w:shd w:val="solid" w:color="FFFFFF" w:fill="auto"/>
          </w:tcPr>
          <w:p w:rsidR="00A53D7D" w:rsidRPr="00F04060" w:rsidRDefault="003A72EE" w:rsidP="005140B4">
            <w:pPr>
              <w:pStyle w:val="Tabletext"/>
              <w:rPr>
                <w:rFonts w:eastAsiaTheme="minorEastAsia"/>
                <w:bCs/>
                <w:lang w:eastAsia="en-AU"/>
              </w:rPr>
            </w:pPr>
            <w:r>
              <w:rPr>
                <w:rFonts w:eastAsiaTheme="minorEastAsia"/>
                <w:bCs/>
                <w:lang w:eastAsia="en-AU"/>
              </w:rPr>
              <w:t xml:space="preserve"> </w:t>
            </w:r>
            <w:r w:rsidR="00A53D7D" w:rsidRPr="00F04060">
              <w:rPr>
                <w:rFonts w:eastAsiaTheme="minorEastAsia"/>
                <w:bCs/>
                <w:lang w:eastAsia="en-AU"/>
              </w:rPr>
              <w:t>Provision of outputs</w:t>
            </w:r>
          </w:p>
        </w:tc>
        <w:tc>
          <w:tcPr>
            <w:tcW w:w="1036" w:type="dxa"/>
            <w:tcBorders>
              <w:top w:val="nil"/>
              <w:left w:val="nil"/>
              <w:bottom w:val="nil"/>
              <w:right w:val="nil"/>
            </w:tcBorders>
            <w:shd w:val="solid" w:color="FFFFFF" w:fill="auto"/>
          </w:tcPr>
          <w:p w:rsidR="00A53D7D" w:rsidRPr="00F04060" w:rsidRDefault="00A53D7D" w:rsidP="005140B4">
            <w:pPr>
              <w:pStyle w:val="TableofFigures"/>
              <w:rPr>
                <w:rFonts w:eastAsiaTheme="minorEastAsia"/>
                <w:lang w:eastAsia="en-AU"/>
              </w:rPr>
            </w:pPr>
            <w:r w:rsidRPr="00F04060">
              <w:rPr>
                <w:rFonts w:eastAsiaTheme="minorEastAsia"/>
                <w:lang w:eastAsia="en-AU"/>
              </w:rPr>
              <w:t xml:space="preserve"> 5.0</w:t>
            </w:r>
          </w:p>
        </w:tc>
        <w:tc>
          <w:tcPr>
            <w:tcW w:w="1036" w:type="dxa"/>
            <w:tcBorders>
              <w:top w:val="nil"/>
              <w:left w:val="nil"/>
              <w:bottom w:val="nil"/>
              <w:right w:val="nil"/>
            </w:tcBorders>
            <w:shd w:val="solid" w:color="FFFFFF" w:fill="auto"/>
          </w:tcPr>
          <w:p w:rsidR="00A53D7D" w:rsidRPr="00F04060" w:rsidRDefault="00A53D7D" w:rsidP="005140B4">
            <w:pPr>
              <w:pStyle w:val="TableofFigures"/>
              <w:rPr>
                <w:rFonts w:eastAsiaTheme="minorEastAsia"/>
                <w:lang w:eastAsia="en-AU"/>
              </w:rPr>
            </w:pPr>
            <w:r w:rsidRPr="00F04060">
              <w:rPr>
                <w:rFonts w:eastAsiaTheme="minorEastAsia"/>
                <w:lang w:eastAsia="en-AU"/>
              </w:rPr>
              <w:t xml:space="preserve"> 3.5</w:t>
            </w:r>
          </w:p>
        </w:tc>
        <w:tc>
          <w:tcPr>
            <w:tcW w:w="1036" w:type="dxa"/>
            <w:tcBorders>
              <w:top w:val="nil"/>
              <w:left w:val="nil"/>
              <w:bottom w:val="nil"/>
              <w:right w:val="nil"/>
            </w:tcBorders>
            <w:shd w:val="solid" w:color="FFFFFF" w:fill="auto"/>
          </w:tcPr>
          <w:p w:rsidR="00A53D7D" w:rsidRPr="00F04060" w:rsidRDefault="00A53D7D" w:rsidP="005140B4">
            <w:pPr>
              <w:pStyle w:val="TableofFigures"/>
              <w:rPr>
                <w:rFonts w:eastAsiaTheme="minorEastAsia"/>
                <w:lang w:eastAsia="en-AU"/>
              </w:rPr>
            </w:pPr>
            <w:r w:rsidRPr="00F04060">
              <w:rPr>
                <w:rFonts w:eastAsiaTheme="minorEastAsia"/>
                <w:lang w:eastAsia="en-AU"/>
              </w:rPr>
              <w:t xml:space="preserve"> 5.1</w:t>
            </w:r>
          </w:p>
        </w:tc>
      </w:tr>
      <w:tr w:rsidR="00A53D7D" w:rsidRPr="00F04060" w:rsidTr="005140B4">
        <w:tc>
          <w:tcPr>
            <w:tcW w:w="4668" w:type="dxa"/>
            <w:tcBorders>
              <w:top w:val="nil"/>
              <w:left w:val="nil"/>
              <w:bottom w:val="single" w:sz="6" w:space="0" w:color="auto"/>
              <w:right w:val="nil"/>
            </w:tcBorders>
            <w:shd w:val="solid" w:color="FFFFFF" w:fill="auto"/>
          </w:tcPr>
          <w:p w:rsidR="00A53D7D" w:rsidRPr="00F04060" w:rsidRDefault="00A53D7D" w:rsidP="005140B4">
            <w:pPr>
              <w:pStyle w:val="Tabletext"/>
              <w:rPr>
                <w:rFonts w:eastAsiaTheme="minorEastAsia"/>
                <w:lang w:eastAsia="en-AU"/>
              </w:rPr>
            </w:pPr>
            <w:r w:rsidRPr="00F04060">
              <w:rPr>
                <w:rFonts w:eastAsiaTheme="minorEastAsia"/>
                <w:lang w:eastAsia="en-AU"/>
              </w:rPr>
              <w:t>Accumulated surplus – previously applied appropriation</w:t>
            </w:r>
          </w:p>
        </w:tc>
        <w:tc>
          <w:tcPr>
            <w:tcW w:w="1036" w:type="dxa"/>
            <w:tcBorders>
              <w:top w:val="nil"/>
              <w:left w:val="nil"/>
              <w:bottom w:val="single" w:sz="6" w:space="0" w:color="auto"/>
              <w:right w:val="nil"/>
            </w:tcBorders>
            <w:shd w:val="solid" w:color="FFFFFF" w:fill="auto"/>
          </w:tcPr>
          <w:p w:rsidR="00A53D7D" w:rsidRPr="00F04060" w:rsidRDefault="00A53D7D" w:rsidP="005140B4">
            <w:pPr>
              <w:pStyle w:val="TableofFigures"/>
              <w:rPr>
                <w:rFonts w:eastAsiaTheme="minorEastAsia"/>
                <w:lang w:eastAsia="en-AU"/>
              </w:rPr>
            </w:pPr>
            <w:r w:rsidRPr="00F04060">
              <w:rPr>
                <w:rFonts w:eastAsiaTheme="minorEastAsia"/>
                <w:lang w:eastAsia="en-AU"/>
              </w:rPr>
              <w:t xml:space="preserve"> 0.6</w:t>
            </w:r>
          </w:p>
        </w:tc>
        <w:tc>
          <w:tcPr>
            <w:tcW w:w="1036" w:type="dxa"/>
            <w:tcBorders>
              <w:top w:val="nil"/>
              <w:left w:val="nil"/>
              <w:bottom w:val="single" w:sz="6" w:space="0" w:color="auto"/>
              <w:right w:val="nil"/>
            </w:tcBorders>
            <w:shd w:val="solid" w:color="FFFFFF" w:fill="auto"/>
          </w:tcPr>
          <w:p w:rsidR="00A53D7D" w:rsidRPr="00F04060" w:rsidRDefault="00A53D7D" w:rsidP="005140B4">
            <w:pPr>
              <w:pStyle w:val="TableofFigures"/>
              <w:rPr>
                <w:rFonts w:eastAsiaTheme="minorEastAsia"/>
                <w:lang w:eastAsia="en-AU"/>
              </w:rPr>
            </w:pPr>
            <w:r w:rsidRPr="00F04060">
              <w:rPr>
                <w:rFonts w:eastAsiaTheme="minorEastAsia"/>
                <w:lang w:eastAsia="en-AU"/>
              </w:rPr>
              <w:t>..</w:t>
            </w:r>
          </w:p>
        </w:tc>
        <w:tc>
          <w:tcPr>
            <w:tcW w:w="1036" w:type="dxa"/>
            <w:tcBorders>
              <w:top w:val="nil"/>
              <w:left w:val="nil"/>
              <w:bottom w:val="single" w:sz="6" w:space="0" w:color="auto"/>
              <w:right w:val="nil"/>
            </w:tcBorders>
            <w:shd w:val="solid" w:color="FFFFFF" w:fill="auto"/>
          </w:tcPr>
          <w:p w:rsidR="00A53D7D" w:rsidRPr="00F04060" w:rsidRDefault="00A53D7D" w:rsidP="005140B4">
            <w:pPr>
              <w:pStyle w:val="TableofFigures"/>
              <w:rPr>
                <w:rFonts w:eastAsiaTheme="minorEastAsia"/>
                <w:lang w:eastAsia="en-AU"/>
              </w:rPr>
            </w:pPr>
            <w:r w:rsidRPr="00F04060">
              <w:rPr>
                <w:rFonts w:eastAsiaTheme="minorEastAsia"/>
                <w:lang w:eastAsia="en-AU"/>
              </w:rPr>
              <w:t>..</w:t>
            </w:r>
          </w:p>
        </w:tc>
      </w:tr>
      <w:tr w:rsidR="00A53D7D" w:rsidRPr="00F04060" w:rsidTr="005140B4">
        <w:tc>
          <w:tcPr>
            <w:tcW w:w="4668" w:type="dxa"/>
            <w:tcBorders>
              <w:top w:val="single" w:sz="6" w:space="0" w:color="auto"/>
              <w:left w:val="nil"/>
              <w:right w:val="nil"/>
            </w:tcBorders>
            <w:shd w:val="solid" w:color="FFFFFF" w:fill="auto"/>
          </w:tcPr>
          <w:p w:rsidR="00A53D7D" w:rsidRPr="00F04060" w:rsidRDefault="00A53D7D" w:rsidP="005140B4">
            <w:pPr>
              <w:pStyle w:val="Tabletext"/>
              <w:rPr>
                <w:rFonts w:eastAsiaTheme="minorEastAsia"/>
                <w:b/>
                <w:lang w:eastAsia="en-AU"/>
              </w:rPr>
            </w:pPr>
            <w:r w:rsidRPr="00F04060">
              <w:rPr>
                <w:rFonts w:eastAsiaTheme="minorEastAsia"/>
                <w:b/>
                <w:lang w:eastAsia="en-AU"/>
              </w:rPr>
              <w:t>Gross annual appropriation</w:t>
            </w:r>
          </w:p>
        </w:tc>
        <w:tc>
          <w:tcPr>
            <w:tcW w:w="1036" w:type="dxa"/>
            <w:tcBorders>
              <w:top w:val="single" w:sz="6" w:space="0" w:color="auto"/>
              <w:left w:val="nil"/>
              <w:right w:val="nil"/>
            </w:tcBorders>
            <w:shd w:val="solid" w:color="FFFFFF" w:fill="auto"/>
          </w:tcPr>
          <w:p w:rsidR="00A53D7D" w:rsidRPr="00F04060" w:rsidRDefault="00A53D7D" w:rsidP="005140B4">
            <w:pPr>
              <w:pStyle w:val="TableofFigures"/>
              <w:rPr>
                <w:rFonts w:eastAsiaTheme="minorEastAsia"/>
                <w:b/>
                <w:lang w:eastAsia="en-AU"/>
              </w:rPr>
            </w:pPr>
            <w:r w:rsidRPr="00F04060">
              <w:rPr>
                <w:rFonts w:eastAsiaTheme="minorEastAsia"/>
                <w:b/>
                <w:lang w:eastAsia="en-AU"/>
              </w:rPr>
              <w:t xml:space="preserve"> 139.5</w:t>
            </w:r>
          </w:p>
        </w:tc>
        <w:tc>
          <w:tcPr>
            <w:tcW w:w="1036" w:type="dxa"/>
            <w:tcBorders>
              <w:top w:val="single" w:sz="6" w:space="0" w:color="auto"/>
              <w:left w:val="nil"/>
              <w:right w:val="nil"/>
            </w:tcBorders>
            <w:shd w:val="solid" w:color="FFFFFF" w:fill="auto"/>
          </w:tcPr>
          <w:p w:rsidR="00A53D7D" w:rsidRPr="00F04060" w:rsidRDefault="00A53D7D" w:rsidP="005140B4">
            <w:pPr>
              <w:pStyle w:val="TableofFigures"/>
              <w:rPr>
                <w:rFonts w:eastAsiaTheme="minorEastAsia"/>
                <w:b/>
                <w:lang w:eastAsia="en-AU"/>
              </w:rPr>
            </w:pPr>
            <w:r w:rsidRPr="00F04060">
              <w:rPr>
                <w:rFonts w:eastAsiaTheme="minorEastAsia"/>
                <w:b/>
                <w:lang w:eastAsia="en-AU"/>
              </w:rPr>
              <w:t xml:space="preserve"> 133.7</w:t>
            </w:r>
          </w:p>
        </w:tc>
        <w:tc>
          <w:tcPr>
            <w:tcW w:w="1036" w:type="dxa"/>
            <w:tcBorders>
              <w:top w:val="single" w:sz="6" w:space="0" w:color="auto"/>
              <w:left w:val="nil"/>
              <w:right w:val="nil"/>
            </w:tcBorders>
            <w:shd w:val="solid" w:color="FFFFFF" w:fill="auto"/>
          </w:tcPr>
          <w:p w:rsidR="00A53D7D" w:rsidRPr="00F04060" w:rsidRDefault="00A53D7D" w:rsidP="005140B4">
            <w:pPr>
              <w:pStyle w:val="TableofFigures"/>
              <w:rPr>
                <w:rFonts w:eastAsiaTheme="minorEastAsia"/>
                <w:b/>
                <w:lang w:eastAsia="en-AU"/>
              </w:rPr>
            </w:pPr>
            <w:r w:rsidRPr="00F04060">
              <w:rPr>
                <w:rFonts w:eastAsiaTheme="minorEastAsia"/>
                <w:b/>
                <w:lang w:eastAsia="en-AU"/>
              </w:rPr>
              <w:t xml:space="preserve"> 144.7</w:t>
            </w:r>
          </w:p>
        </w:tc>
      </w:tr>
      <w:tr w:rsidR="00A53D7D" w:rsidRPr="00F04060" w:rsidTr="005140B4">
        <w:tc>
          <w:tcPr>
            <w:tcW w:w="4668" w:type="dxa"/>
            <w:tcBorders>
              <w:left w:val="nil"/>
              <w:right w:val="nil"/>
            </w:tcBorders>
            <w:shd w:val="solid" w:color="FFFFFF" w:fill="auto"/>
          </w:tcPr>
          <w:p w:rsidR="00A53D7D" w:rsidRPr="00F04060" w:rsidRDefault="00A53D7D" w:rsidP="005140B4">
            <w:pPr>
              <w:pStyle w:val="Tabletext"/>
              <w:rPr>
                <w:rFonts w:eastAsiaTheme="minorEastAsia"/>
                <w:lang w:eastAsia="en-AU"/>
              </w:rPr>
            </w:pPr>
            <w:r w:rsidRPr="00F04060">
              <w:rPr>
                <w:rFonts w:eastAsiaTheme="minorEastAsia"/>
                <w:lang w:eastAsia="en-AU"/>
              </w:rPr>
              <w:t>Special appropriations</w:t>
            </w:r>
          </w:p>
        </w:tc>
        <w:tc>
          <w:tcPr>
            <w:tcW w:w="1036" w:type="dxa"/>
            <w:tcBorders>
              <w:left w:val="nil"/>
              <w:right w:val="nil"/>
            </w:tcBorders>
            <w:shd w:val="solid" w:color="FFFFFF" w:fill="auto"/>
          </w:tcPr>
          <w:p w:rsidR="00A53D7D" w:rsidRPr="00F04060" w:rsidRDefault="00A53D7D" w:rsidP="005140B4">
            <w:pPr>
              <w:pStyle w:val="TableofFigures"/>
              <w:rPr>
                <w:rFonts w:eastAsiaTheme="minorEastAsia"/>
                <w:lang w:eastAsia="en-AU"/>
              </w:rPr>
            </w:pPr>
            <w:r w:rsidRPr="00F04060">
              <w:rPr>
                <w:rFonts w:eastAsiaTheme="minorEastAsia"/>
                <w:lang w:eastAsia="en-AU"/>
              </w:rPr>
              <w:t xml:space="preserve"> 34.4</w:t>
            </w:r>
          </w:p>
        </w:tc>
        <w:tc>
          <w:tcPr>
            <w:tcW w:w="1036" w:type="dxa"/>
            <w:tcBorders>
              <w:left w:val="nil"/>
              <w:right w:val="nil"/>
            </w:tcBorders>
            <w:shd w:val="solid" w:color="FFFFFF" w:fill="auto"/>
          </w:tcPr>
          <w:p w:rsidR="00A53D7D" w:rsidRPr="00F04060" w:rsidRDefault="00A53D7D" w:rsidP="005140B4">
            <w:pPr>
              <w:pStyle w:val="TableofFigures"/>
              <w:rPr>
                <w:rFonts w:eastAsiaTheme="minorEastAsia"/>
                <w:lang w:eastAsia="en-AU"/>
              </w:rPr>
            </w:pPr>
            <w:r w:rsidRPr="00F04060">
              <w:rPr>
                <w:rFonts w:eastAsiaTheme="minorEastAsia"/>
                <w:lang w:eastAsia="en-AU"/>
              </w:rPr>
              <w:t xml:space="preserve"> 37.9</w:t>
            </w:r>
          </w:p>
        </w:tc>
        <w:tc>
          <w:tcPr>
            <w:tcW w:w="1036" w:type="dxa"/>
            <w:tcBorders>
              <w:left w:val="nil"/>
              <w:right w:val="nil"/>
            </w:tcBorders>
            <w:shd w:val="solid" w:color="FFFFFF" w:fill="auto"/>
          </w:tcPr>
          <w:p w:rsidR="00A53D7D" w:rsidRPr="00F04060" w:rsidRDefault="00A53D7D" w:rsidP="005140B4">
            <w:pPr>
              <w:pStyle w:val="TableofFigures"/>
              <w:rPr>
                <w:rFonts w:eastAsiaTheme="minorEastAsia"/>
                <w:lang w:eastAsia="en-AU"/>
              </w:rPr>
            </w:pPr>
            <w:r w:rsidRPr="00F04060">
              <w:rPr>
                <w:rFonts w:eastAsiaTheme="minorEastAsia"/>
                <w:lang w:eastAsia="en-AU"/>
              </w:rPr>
              <w:t xml:space="preserve"> 38.6</w:t>
            </w:r>
          </w:p>
        </w:tc>
      </w:tr>
      <w:tr w:rsidR="00A53D7D" w:rsidRPr="00F04060" w:rsidTr="005140B4">
        <w:tc>
          <w:tcPr>
            <w:tcW w:w="4668" w:type="dxa"/>
            <w:tcBorders>
              <w:left w:val="nil"/>
              <w:bottom w:val="single" w:sz="6" w:space="0" w:color="auto"/>
              <w:right w:val="nil"/>
            </w:tcBorders>
            <w:shd w:val="solid" w:color="FFFFFF" w:fill="auto"/>
          </w:tcPr>
          <w:p w:rsidR="00A53D7D" w:rsidRPr="00F04060" w:rsidRDefault="00A53D7D" w:rsidP="005140B4">
            <w:pPr>
              <w:pStyle w:val="Tabletext"/>
              <w:rPr>
                <w:rFonts w:eastAsiaTheme="minorEastAsia"/>
                <w:bCs/>
                <w:lang w:eastAsia="en-AU"/>
              </w:rPr>
            </w:pPr>
            <w:r w:rsidRPr="00F04060">
              <w:rPr>
                <w:rFonts w:eastAsiaTheme="minorEastAsia"/>
                <w:bCs/>
                <w:lang w:eastAsia="en-AU"/>
              </w:rPr>
              <w:t>Trust funds</w:t>
            </w:r>
          </w:p>
        </w:tc>
        <w:tc>
          <w:tcPr>
            <w:tcW w:w="1036" w:type="dxa"/>
            <w:tcBorders>
              <w:left w:val="nil"/>
              <w:bottom w:val="single" w:sz="6" w:space="0" w:color="auto"/>
              <w:right w:val="nil"/>
            </w:tcBorders>
            <w:shd w:val="solid" w:color="FFFFFF" w:fill="auto"/>
          </w:tcPr>
          <w:p w:rsidR="00A53D7D" w:rsidRPr="00F04060" w:rsidRDefault="00A53D7D" w:rsidP="005140B4">
            <w:pPr>
              <w:pStyle w:val="TableofFigures"/>
              <w:rPr>
                <w:rFonts w:eastAsiaTheme="minorEastAsia"/>
                <w:bCs/>
                <w:lang w:eastAsia="en-AU"/>
              </w:rPr>
            </w:pPr>
            <w:r w:rsidRPr="00F04060">
              <w:rPr>
                <w:rFonts w:eastAsiaTheme="minorEastAsia"/>
                <w:bCs/>
                <w:lang w:eastAsia="en-AU"/>
              </w:rPr>
              <w:t xml:space="preserve"> 0.0</w:t>
            </w:r>
          </w:p>
        </w:tc>
        <w:tc>
          <w:tcPr>
            <w:tcW w:w="1036" w:type="dxa"/>
            <w:tcBorders>
              <w:left w:val="nil"/>
              <w:bottom w:val="single" w:sz="6" w:space="0" w:color="auto"/>
              <w:right w:val="nil"/>
            </w:tcBorders>
            <w:shd w:val="solid" w:color="FFFFFF" w:fill="auto"/>
          </w:tcPr>
          <w:p w:rsidR="00A53D7D" w:rsidRPr="00F04060" w:rsidRDefault="00A53D7D" w:rsidP="005140B4">
            <w:pPr>
              <w:pStyle w:val="TableofFigures"/>
              <w:rPr>
                <w:rFonts w:eastAsiaTheme="minorEastAsia"/>
                <w:bCs/>
                <w:lang w:eastAsia="en-AU"/>
              </w:rPr>
            </w:pPr>
            <w:r w:rsidRPr="00F04060">
              <w:rPr>
                <w:rFonts w:eastAsiaTheme="minorEastAsia"/>
                <w:bCs/>
                <w:lang w:eastAsia="en-AU"/>
              </w:rPr>
              <w:t xml:space="preserve"> 0.0</w:t>
            </w:r>
          </w:p>
        </w:tc>
        <w:tc>
          <w:tcPr>
            <w:tcW w:w="1036" w:type="dxa"/>
            <w:tcBorders>
              <w:left w:val="nil"/>
              <w:bottom w:val="single" w:sz="6" w:space="0" w:color="auto"/>
              <w:right w:val="nil"/>
            </w:tcBorders>
            <w:shd w:val="solid" w:color="FFFFFF" w:fill="auto"/>
          </w:tcPr>
          <w:p w:rsidR="00A53D7D" w:rsidRPr="00F04060" w:rsidRDefault="00A53D7D" w:rsidP="005140B4">
            <w:pPr>
              <w:pStyle w:val="TableofFigures"/>
              <w:rPr>
                <w:rFonts w:eastAsiaTheme="minorEastAsia"/>
                <w:bCs/>
                <w:lang w:eastAsia="en-AU"/>
              </w:rPr>
            </w:pPr>
            <w:r w:rsidRPr="00F04060">
              <w:rPr>
                <w:rFonts w:eastAsiaTheme="minorEastAsia"/>
                <w:bCs/>
                <w:lang w:eastAsia="en-AU"/>
              </w:rPr>
              <w:t xml:space="preserve"> 0.0</w:t>
            </w:r>
          </w:p>
        </w:tc>
      </w:tr>
      <w:tr w:rsidR="00A53D7D" w:rsidRPr="00F04060" w:rsidTr="005140B4">
        <w:tc>
          <w:tcPr>
            <w:tcW w:w="4668" w:type="dxa"/>
            <w:tcBorders>
              <w:top w:val="single" w:sz="6" w:space="0" w:color="auto"/>
              <w:left w:val="nil"/>
              <w:bottom w:val="single" w:sz="12" w:space="0" w:color="auto"/>
              <w:right w:val="nil"/>
            </w:tcBorders>
            <w:shd w:val="solid" w:color="FFFFFF" w:fill="auto"/>
          </w:tcPr>
          <w:p w:rsidR="00A53D7D" w:rsidRPr="00F04060" w:rsidRDefault="00A53D7D" w:rsidP="005140B4">
            <w:pPr>
              <w:pStyle w:val="Tabletext"/>
              <w:rPr>
                <w:rFonts w:eastAsiaTheme="minorEastAsia" w:cs="Calibri"/>
                <w:b/>
                <w:bCs/>
                <w:lang w:eastAsia="en-AU"/>
              </w:rPr>
            </w:pPr>
            <w:r w:rsidRPr="00F04060">
              <w:rPr>
                <w:rFonts w:eastAsiaTheme="minorEastAsia"/>
                <w:b/>
                <w:lang w:eastAsia="en-AU"/>
              </w:rPr>
              <w:t xml:space="preserve">Total parliamentary </w:t>
            </w:r>
            <w:r w:rsidRPr="00F04060">
              <w:rPr>
                <w:rFonts w:eastAsiaTheme="minorEastAsia" w:cs="Calibri"/>
                <w:b/>
                <w:bCs/>
                <w:lang w:eastAsia="en-AU"/>
              </w:rPr>
              <w:t>authority</w:t>
            </w:r>
          </w:p>
        </w:tc>
        <w:tc>
          <w:tcPr>
            <w:tcW w:w="1036" w:type="dxa"/>
            <w:tcBorders>
              <w:top w:val="single" w:sz="6" w:space="0" w:color="auto"/>
              <w:left w:val="nil"/>
              <w:bottom w:val="single" w:sz="12" w:space="0" w:color="auto"/>
              <w:right w:val="nil"/>
            </w:tcBorders>
            <w:shd w:val="solid" w:color="FFFFFF" w:fill="auto"/>
          </w:tcPr>
          <w:p w:rsidR="00A53D7D" w:rsidRPr="00F04060" w:rsidRDefault="00A53D7D" w:rsidP="005140B4">
            <w:pPr>
              <w:pStyle w:val="TableofFigures"/>
              <w:rPr>
                <w:rFonts w:eastAsiaTheme="minorEastAsia"/>
                <w:b/>
                <w:lang w:eastAsia="en-AU"/>
              </w:rPr>
            </w:pPr>
            <w:r w:rsidRPr="00F04060">
              <w:rPr>
                <w:rFonts w:eastAsiaTheme="minorEastAsia"/>
                <w:b/>
                <w:lang w:eastAsia="en-AU"/>
              </w:rPr>
              <w:t xml:space="preserve"> 173.9</w:t>
            </w:r>
          </w:p>
        </w:tc>
        <w:tc>
          <w:tcPr>
            <w:tcW w:w="1036" w:type="dxa"/>
            <w:tcBorders>
              <w:top w:val="single" w:sz="6" w:space="0" w:color="auto"/>
              <w:left w:val="nil"/>
              <w:bottom w:val="single" w:sz="12" w:space="0" w:color="auto"/>
              <w:right w:val="nil"/>
            </w:tcBorders>
            <w:shd w:val="solid" w:color="FFFFFF" w:fill="auto"/>
          </w:tcPr>
          <w:p w:rsidR="00A53D7D" w:rsidRPr="00F04060" w:rsidRDefault="00A53D7D" w:rsidP="005140B4">
            <w:pPr>
              <w:pStyle w:val="TableofFigures"/>
              <w:rPr>
                <w:rFonts w:eastAsiaTheme="minorEastAsia"/>
                <w:b/>
                <w:lang w:eastAsia="en-AU"/>
              </w:rPr>
            </w:pPr>
            <w:r w:rsidRPr="00F04060">
              <w:rPr>
                <w:rFonts w:eastAsiaTheme="minorEastAsia"/>
                <w:b/>
                <w:lang w:eastAsia="en-AU"/>
              </w:rPr>
              <w:t xml:space="preserve"> 171.6</w:t>
            </w:r>
          </w:p>
        </w:tc>
        <w:tc>
          <w:tcPr>
            <w:tcW w:w="1036" w:type="dxa"/>
            <w:tcBorders>
              <w:top w:val="single" w:sz="6" w:space="0" w:color="auto"/>
              <w:left w:val="nil"/>
              <w:bottom w:val="single" w:sz="12" w:space="0" w:color="auto"/>
              <w:right w:val="nil"/>
            </w:tcBorders>
            <w:shd w:val="solid" w:color="FFFFFF" w:fill="auto"/>
          </w:tcPr>
          <w:p w:rsidR="00A53D7D" w:rsidRPr="00F04060" w:rsidRDefault="00A53D7D" w:rsidP="005140B4">
            <w:pPr>
              <w:pStyle w:val="TableofFigures"/>
              <w:rPr>
                <w:rFonts w:eastAsiaTheme="minorEastAsia"/>
                <w:b/>
                <w:lang w:eastAsia="en-AU"/>
              </w:rPr>
            </w:pPr>
            <w:r w:rsidRPr="00F04060">
              <w:rPr>
                <w:rFonts w:eastAsiaTheme="minorEastAsia"/>
                <w:b/>
                <w:lang w:eastAsia="en-AU"/>
              </w:rPr>
              <w:t xml:space="preserve"> 183.3</w:t>
            </w:r>
          </w:p>
        </w:tc>
      </w:tr>
    </w:tbl>
    <w:p w:rsidR="00A53D7D" w:rsidRDefault="00A53D7D" w:rsidP="005140B4">
      <w:pPr>
        <w:pStyle w:val="Source"/>
      </w:pPr>
      <w:r>
        <w:t>Source: Parliament of Victoria, Victorian Auditor</w:t>
      </w:r>
      <w:r>
        <w:noBreakHyphen/>
        <w:t xml:space="preserve">General’s Office and Department of Treasury and Finance </w:t>
      </w:r>
      <w:r>
        <w:fldChar w:fldCharType="begin"/>
      </w:r>
      <w:r>
        <w:instrText xml:space="preserve"> XE "</w:instrText>
      </w:r>
      <w:r w:rsidRPr="00ED1DC7">
        <w:instrText>Parliament:Parliamentary authority for resources</w:instrText>
      </w:r>
      <w:r>
        <w:instrText xml:space="preserve">" </w:instrText>
      </w:r>
      <w:r>
        <w:fldChar w:fldCharType="end"/>
      </w:r>
    </w:p>
    <w:p w:rsidR="00A53D7D" w:rsidRDefault="00A53D7D" w:rsidP="005140B4"/>
    <w:p w:rsidR="00A53D7D" w:rsidRDefault="00A53D7D">
      <w:pPr>
        <w:spacing w:after="0"/>
      </w:pPr>
      <w:r>
        <w:br w:type="page"/>
      </w:r>
    </w:p>
    <w:p w:rsidR="00A53D7D" w:rsidRPr="00204234" w:rsidRDefault="00A53D7D" w:rsidP="005140B4">
      <w:pPr>
        <w:pStyle w:val="OGHeading1"/>
        <w:rPr>
          <w:lang w:eastAsia="en-AU"/>
        </w:rPr>
      </w:pPr>
      <w:r>
        <w:t>Legislative Assembly</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204234" w:rsidTr="005140B4">
        <w:trPr>
          <w:cantSplit/>
        </w:trPr>
        <w:tc>
          <w:tcPr>
            <w:tcW w:w="7776" w:type="dxa"/>
            <w:gridSpan w:val="6"/>
            <w:tcBorders>
              <w:top w:val="nil"/>
              <w:left w:val="nil"/>
              <w:bottom w:val="nil"/>
              <w:right w:val="nil"/>
            </w:tcBorders>
            <w:shd w:val="clear" w:color="auto" w:fill="auto"/>
            <w:hideMark/>
          </w:tcPr>
          <w:p w:rsidR="00A53D7D" w:rsidRPr="00DD6772" w:rsidRDefault="00A53D7D" w:rsidP="005140B4">
            <w:pPr>
              <w:pStyle w:val="OGHeading2"/>
              <w:rPr>
                <w:lang w:eastAsia="en-AU"/>
              </w:rPr>
            </w:pPr>
            <w:r w:rsidRPr="00204234">
              <w:rPr>
                <w:lang w:eastAsia="en-AU"/>
              </w:rPr>
              <w:t>Procedural Support, Documentation Preparation and Provision of Information for Assembly</w:t>
            </w:r>
          </w:p>
        </w:tc>
      </w:tr>
      <w:tr w:rsidR="00A53D7D" w:rsidRPr="00204234" w:rsidTr="005140B4">
        <w:trPr>
          <w:cantSplit/>
        </w:trPr>
        <w:tc>
          <w:tcPr>
            <w:tcW w:w="7776" w:type="dxa"/>
            <w:gridSpan w:val="6"/>
            <w:tcBorders>
              <w:top w:val="nil"/>
              <w:left w:val="nil"/>
              <w:bottom w:val="single" w:sz="6" w:space="0" w:color="auto"/>
              <w:right w:val="nil"/>
            </w:tcBorders>
            <w:shd w:val="clear" w:color="auto" w:fill="auto"/>
            <w:hideMark/>
          </w:tcPr>
          <w:p w:rsidR="00A53D7D" w:rsidRPr="00204234" w:rsidRDefault="00A53D7D" w:rsidP="005140B4">
            <w:pPr>
              <w:pStyle w:val="OGText"/>
              <w:rPr>
                <w:color w:val="000000"/>
                <w:szCs w:val="22"/>
                <w:lang w:eastAsia="en-AU"/>
              </w:rPr>
            </w:pPr>
            <w:r w:rsidRPr="00204234">
              <w:rPr>
                <w:lang w:eastAsia="en-AU"/>
              </w:rPr>
              <w:t xml:space="preserve">This output involves the provision of procedural advice to Members of the Legislative Assembly including: processing of </w:t>
            </w:r>
            <w:r w:rsidRPr="00DD6772">
              <w:t>legislation</w:t>
            </w:r>
            <w:r w:rsidRPr="00204234">
              <w:rPr>
                <w:lang w:eastAsia="en-AU"/>
              </w:rPr>
              <w:t>, preparation of the records of the proceedings and documentation required for the sittings of the Assembly, provision of assistance to Parliamentary Committees, provision of information relating to the proceedings of the Assembly, and the enhancement of public awareness of Parliament.</w:t>
            </w:r>
          </w:p>
        </w:tc>
      </w:tr>
      <w:tr w:rsidR="00A53D7D" w:rsidRPr="00204234" w:rsidTr="005140B4">
        <w:trPr>
          <w:cantSplit/>
        </w:trPr>
        <w:tc>
          <w:tcPr>
            <w:tcW w:w="3155" w:type="dxa"/>
            <w:tcBorders>
              <w:top w:val="single" w:sz="6" w:space="0" w:color="auto"/>
              <w:left w:val="nil"/>
              <w:bottom w:val="nil"/>
              <w:right w:val="nil"/>
            </w:tcBorders>
            <w:shd w:val="clear" w:color="auto" w:fill="auto"/>
            <w:hideMark/>
          </w:tcPr>
          <w:p w:rsidR="00A53D7D" w:rsidRPr="00204234" w:rsidRDefault="00A53D7D" w:rsidP="005140B4">
            <w:pPr>
              <w:pStyle w:val="OGTabHead"/>
              <w:rPr>
                <w:lang w:eastAsia="en-AU"/>
              </w:rPr>
            </w:pPr>
            <w:r w:rsidRPr="009B7EC0">
              <w:rPr>
                <w:bCs/>
                <w:iCs/>
                <w:color w:val="000000"/>
                <w:lang w:eastAsia="en-AU"/>
              </w:rPr>
              <w:t>Quantity</w:t>
            </w: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6" w:space="0" w:color="auto"/>
              <w:left w:val="nil"/>
              <w:bottom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Procedural references updated biannually</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number</w:t>
            </w:r>
          </w:p>
        </w:tc>
        <w:tc>
          <w:tcPr>
            <w:tcW w:w="907" w:type="dxa"/>
            <w:tcBorders>
              <w:top w:val="nil"/>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2</w:t>
            </w:r>
          </w:p>
        </w:tc>
        <w:tc>
          <w:tcPr>
            <w:tcW w:w="993"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2</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2</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2</w:t>
            </w:r>
          </w:p>
        </w:tc>
      </w:tr>
      <w:tr w:rsidR="00A53D7D" w:rsidRPr="00204234" w:rsidTr="005140B4">
        <w:trPr>
          <w:cantSplit/>
        </w:trPr>
        <w:tc>
          <w:tcPr>
            <w:tcW w:w="3155" w:type="dxa"/>
            <w:tcBorders>
              <w:top w:val="single" w:sz="6" w:space="0" w:color="auto"/>
              <w:left w:val="nil"/>
              <w:bottom w:val="nil"/>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Regional visits to schools to conduct Parliamentary role plays</w:t>
            </w:r>
          </w:p>
        </w:tc>
        <w:tc>
          <w:tcPr>
            <w:tcW w:w="907" w:type="dxa"/>
            <w:tcBorders>
              <w:top w:val="single" w:sz="6" w:space="0" w:color="auto"/>
              <w:left w:val="nil"/>
              <w:bottom w:val="nil"/>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number</w:t>
            </w:r>
          </w:p>
        </w:tc>
        <w:tc>
          <w:tcPr>
            <w:tcW w:w="907" w:type="dxa"/>
            <w:tcBorders>
              <w:top w:val="single" w:sz="6" w:space="0" w:color="auto"/>
              <w:left w:val="nil"/>
              <w:bottom w:val="nil"/>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5</w:t>
            </w:r>
          </w:p>
        </w:tc>
        <w:tc>
          <w:tcPr>
            <w:tcW w:w="993" w:type="dxa"/>
            <w:tcBorders>
              <w:top w:val="single" w:sz="6" w:space="0" w:color="auto"/>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5</w:t>
            </w:r>
          </w:p>
        </w:tc>
        <w:tc>
          <w:tcPr>
            <w:tcW w:w="907" w:type="dxa"/>
            <w:tcBorders>
              <w:top w:val="single" w:sz="6" w:space="0" w:color="auto"/>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5</w:t>
            </w:r>
          </w:p>
        </w:tc>
        <w:tc>
          <w:tcPr>
            <w:tcW w:w="907" w:type="dxa"/>
            <w:tcBorders>
              <w:top w:val="single" w:sz="6" w:space="0" w:color="auto"/>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5</w:t>
            </w:r>
          </w:p>
        </w:tc>
      </w:tr>
      <w:tr w:rsidR="00A53D7D" w:rsidRPr="00204234" w:rsidTr="005140B4">
        <w:trPr>
          <w:cantSplit/>
        </w:trPr>
        <w:tc>
          <w:tcPr>
            <w:tcW w:w="7776" w:type="dxa"/>
            <w:gridSpan w:val="6"/>
            <w:tcBorders>
              <w:top w:val="nil"/>
              <w:left w:val="nil"/>
              <w:bottom w:val="single" w:sz="6" w:space="0" w:color="auto"/>
              <w:right w:val="nil"/>
            </w:tcBorders>
            <w:shd w:val="clear" w:color="auto" w:fill="auto"/>
            <w:hideMark/>
          </w:tcPr>
          <w:p w:rsidR="00A53D7D" w:rsidRPr="00204234" w:rsidRDefault="00A53D7D" w:rsidP="005140B4">
            <w:pPr>
              <w:pStyle w:val="OGNotes"/>
              <w:rPr>
                <w:color w:val="000000"/>
                <w:szCs w:val="22"/>
              </w:rPr>
            </w:pPr>
            <w:r w:rsidRPr="00204234">
              <w:t>This performance measure renames the 2013</w:t>
            </w:r>
            <w:r>
              <w:noBreakHyphen/>
            </w:r>
            <w:r w:rsidRPr="00204234">
              <w:t>14 performance measure 'Regional visits to schools to conduct Parliamentary information talks and Parliamentary role plays'. The measure reports on the same activity as the previous measure however has been amended since the Parliamentary information talks and the Parliamentary role plays programs have been merged, and the program is now known as 'Parliamentary role plays'.</w:t>
            </w:r>
          </w:p>
        </w:tc>
      </w:tr>
      <w:tr w:rsidR="00A53D7D" w:rsidRPr="00204234" w:rsidTr="005140B4">
        <w:trPr>
          <w:cantSplit/>
        </w:trPr>
        <w:tc>
          <w:tcPr>
            <w:tcW w:w="3155" w:type="dxa"/>
            <w:tcBorders>
              <w:top w:val="single" w:sz="6" w:space="0" w:color="auto"/>
              <w:left w:val="nil"/>
              <w:bottom w:val="nil"/>
              <w:right w:val="nil"/>
            </w:tcBorders>
            <w:shd w:val="clear" w:color="auto" w:fill="auto"/>
            <w:hideMark/>
          </w:tcPr>
          <w:p w:rsidR="00A53D7D" w:rsidRPr="00204234" w:rsidRDefault="00A53D7D" w:rsidP="005140B4">
            <w:pPr>
              <w:pStyle w:val="OGTabHead"/>
              <w:rPr>
                <w:lang w:eastAsia="en-AU"/>
              </w:rPr>
            </w:pPr>
            <w:r w:rsidRPr="00204234">
              <w:rPr>
                <w:lang w:eastAsia="en-AU"/>
              </w:rPr>
              <w:t>Quality</w:t>
            </w: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6" w:space="0" w:color="auto"/>
              <w:left w:val="nil"/>
              <w:bottom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Bills and amendments processed accurately through all relevant stages in compliance with constitutional requirements and standing orders</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nil"/>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100</w:t>
            </w:r>
          </w:p>
        </w:tc>
        <w:tc>
          <w:tcPr>
            <w:tcW w:w="993"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r>
      <w:tr w:rsidR="00A53D7D" w:rsidRPr="0020423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Member satisfaction that advice is responsive, prompt, clear and objective</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80</w:t>
            </w:r>
          </w:p>
        </w:tc>
        <w:tc>
          <w:tcPr>
            <w:tcW w:w="993"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80</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80</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99</w:t>
            </w:r>
          </w:p>
        </w:tc>
      </w:tr>
      <w:tr w:rsidR="00A53D7D" w:rsidRPr="0020423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Teacher satisfaction with tours of Parliament for school groups</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95</w:t>
            </w:r>
          </w:p>
        </w:tc>
        <w:tc>
          <w:tcPr>
            <w:tcW w:w="993"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97</w:t>
            </w:r>
          </w:p>
        </w:tc>
      </w:tr>
      <w:tr w:rsidR="00A53D7D" w:rsidRPr="00204234" w:rsidTr="005140B4">
        <w:trPr>
          <w:cantSplit/>
        </w:trPr>
        <w:tc>
          <w:tcPr>
            <w:tcW w:w="3155" w:type="dxa"/>
            <w:tcBorders>
              <w:top w:val="single" w:sz="6" w:space="0" w:color="auto"/>
              <w:left w:val="nil"/>
              <w:bottom w:val="nil"/>
              <w:right w:val="nil"/>
            </w:tcBorders>
            <w:shd w:val="clear" w:color="auto" w:fill="auto"/>
            <w:hideMark/>
          </w:tcPr>
          <w:p w:rsidR="00A53D7D" w:rsidRPr="00204234" w:rsidRDefault="00A53D7D" w:rsidP="005140B4">
            <w:pPr>
              <w:pStyle w:val="OGTabHead"/>
              <w:rPr>
                <w:lang w:eastAsia="en-AU"/>
              </w:rPr>
            </w:pPr>
            <w:r w:rsidRPr="00204234">
              <w:rPr>
                <w:lang w:eastAsia="en-AU"/>
              </w:rPr>
              <w:t>Timeliness</w:t>
            </w: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6" w:space="0" w:color="auto"/>
              <w:left w:val="nil"/>
              <w:bottom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Documents tabled within time guidelines</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nil"/>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90</w:t>
            </w:r>
          </w:p>
        </w:tc>
        <w:tc>
          <w:tcPr>
            <w:tcW w:w="993"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90</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90</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r>
      <w:tr w:rsidR="00A53D7D" w:rsidRPr="0020423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House documents available one day after sitting day</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100</w:t>
            </w:r>
          </w:p>
        </w:tc>
        <w:tc>
          <w:tcPr>
            <w:tcW w:w="993"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r>
      <w:tr w:rsidR="00A53D7D" w:rsidRPr="0020423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Online information relating to bills updated within one day</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98</w:t>
            </w:r>
          </w:p>
        </w:tc>
        <w:tc>
          <w:tcPr>
            <w:tcW w:w="993"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98</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98</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r>
      <w:tr w:rsidR="00A53D7D" w:rsidRPr="00204234" w:rsidTr="005140B4">
        <w:trPr>
          <w:cantSplit/>
        </w:trPr>
        <w:tc>
          <w:tcPr>
            <w:tcW w:w="3155" w:type="dxa"/>
            <w:tcBorders>
              <w:top w:val="single" w:sz="6" w:space="0" w:color="auto"/>
              <w:left w:val="nil"/>
              <w:right w:val="nil"/>
            </w:tcBorders>
            <w:shd w:val="clear" w:color="auto" w:fill="auto"/>
            <w:hideMark/>
          </w:tcPr>
          <w:p w:rsidR="00A53D7D" w:rsidRPr="00204234" w:rsidRDefault="00A53D7D" w:rsidP="005140B4">
            <w:pPr>
              <w:pStyle w:val="OGTabHead"/>
              <w:rPr>
                <w:lang w:eastAsia="en-AU"/>
              </w:rPr>
            </w:pPr>
            <w:r w:rsidRPr="00204234">
              <w:rPr>
                <w:lang w:eastAsia="en-AU"/>
              </w:rPr>
              <w:t>Cost</w:t>
            </w:r>
          </w:p>
        </w:tc>
        <w:tc>
          <w:tcPr>
            <w:tcW w:w="907" w:type="dxa"/>
            <w:tcBorders>
              <w:top w:val="single" w:sz="6" w:space="0" w:color="auto"/>
              <w:left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6" w:space="0" w:color="auto"/>
              <w:left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6" w:space="0" w:color="auto"/>
              <w:left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nil"/>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Total output cost</w:t>
            </w:r>
          </w:p>
        </w:tc>
        <w:tc>
          <w:tcPr>
            <w:tcW w:w="907" w:type="dxa"/>
            <w:tcBorders>
              <w:top w:val="nil"/>
              <w:left w:val="nil"/>
              <w:bottom w:val="nil"/>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w:t>
            </w:r>
            <w:r>
              <w:rPr>
                <w:color w:val="000000"/>
                <w:lang w:eastAsia="en-AU"/>
              </w:rPr>
              <w:t> million</w:t>
            </w:r>
          </w:p>
        </w:tc>
        <w:tc>
          <w:tcPr>
            <w:tcW w:w="907" w:type="dxa"/>
            <w:tcBorders>
              <w:top w:val="nil"/>
              <w:left w:val="nil"/>
              <w:bottom w:val="nil"/>
              <w:right w:val="nil"/>
            </w:tcBorders>
            <w:shd w:val="clear" w:color="auto" w:fill="D9D9D9"/>
            <w:hideMark/>
          </w:tcPr>
          <w:p w:rsidR="00A53D7D" w:rsidRPr="00EE0494" w:rsidRDefault="00A53D7D" w:rsidP="005140B4">
            <w:pPr>
              <w:pStyle w:val="OGTableofFigures"/>
              <w:rPr>
                <w:lang w:eastAsia="en-AU"/>
              </w:rPr>
            </w:pPr>
            <w:r w:rsidRPr="00EE0494">
              <w:rPr>
                <w:lang w:eastAsia="en-AU"/>
              </w:rPr>
              <w:t>30.3</w:t>
            </w:r>
          </w:p>
        </w:tc>
        <w:tc>
          <w:tcPr>
            <w:tcW w:w="993" w:type="dxa"/>
            <w:tcBorders>
              <w:top w:val="nil"/>
              <w:left w:val="nil"/>
              <w:bottom w:val="nil"/>
              <w:right w:val="nil"/>
            </w:tcBorders>
            <w:shd w:val="clear" w:color="000000" w:fill="FFFFFF"/>
            <w:hideMark/>
          </w:tcPr>
          <w:p w:rsidR="00A53D7D" w:rsidRPr="00EE0494" w:rsidRDefault="00A53D7D" w:rsidP="005140B4">
            <w:pPr>
              <w:pStyle w:val="OGTableofFigures"/>
              <w:rPr>
                <w:lang w:eastAsia="en-AU"/>
              </w:rPr>
            </w:pPr>
            <w:r w:rsidRPr="00EE0494">
              <w:rPr>
                <w:lang w:eastAsia="en-AU"/>
              </w:rPr>
              <w:t>29.7</w:t>
            </w:r>
          </w:p>
        </w:tc>
        <w:tc>
          <w:tcPr>
            <w:tcW w:w="907" w:type="dxa"/>
            <w:tcBorders>
              <w:top w:val="nil"/>
              <w:left w:val="nil"/>
              <w:bottom w:val="nil"/>
              <w:right w:val="nil"/>
            </w:tcBorders>
            <w:shd w:val="clear" w:color="000000" w:fill="FFFFFF"/>
            <w:hideMark/>
          </w:tcPr>
          <w:p w:rsidR="00A53D7D" w:rsidRPr="00EE0494" w:rsidRDefault="00A53D7D" w:rsidP="005140B4">
            <w:pPr>
              <w:pStyle w:val="OGTableofFigures"/>
              <w:rPr>
                <w:color w:val="000000"/>
                <w:lang w:eastAsia="en-AU"/>
              </w:rPr>
            </w:pPr>
            <w:r w:rsidRPr="00EE0494">
              <w:rPr>
                <w:color w:val="000000"/>
                <w:lang w:eastAsia="en-AU"/>
              </w:rPr>
              <w:t>27.4</w:t>
            </w:r>
          </w:p>
        </w:tc>
        <w:tc>
          <w:tcPr>
            <w:tcW w:w="907" w:type="dxa"/>
            <w:tcBorders>
              <w:top w:val="nil"/>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26.4</w:t>
            </w:r>
          </w:p>
        </w:tc>
      </w:tr>
      <w:tr w:rsidR="00A53D7D" w:rsidRPr="00204234" w:rsidTr="005140B4">
        <w:trPr>
          <w:cantSplit/>
        </w:trPr>
        <w:tc>
          <w:tcPr>
            <w:tcW w:w="7776" w:type="dxa"/>
            <w:gridSpan w:val="6"/>
            <w:tcBorders>
              <w:top w:val="nil"/>
              <w:left w:val="nil"/>
              <w:bottom w:val="single" w:sz="12" w:space="0" w:color="auto"/>
              <w:right w:val="nil"/>
            </w:tcBorders>
            <w:shd w:val="clear" w:color="000000" w:fill="FFFFFF"/>
          </w:tcPr>
          <w:p w:rsidR="00A53D7D" w:rsidRPr="00204234" w:rsidRDefault="00A53D7D" w:rsidP="005140B4">
            <w:pPr>
              <w:pStyle w:val="OGNotes"/>
            </w:pPr>
            <w:r>
              <w:t xml:space="preserve">The higher 2014-15 target is due to additional funding approved for Members’ salary and allowances. </w:t>
            </w:r>
          </w:p>
        </w:tc>
      </w:tr>
    </w:tbl>
    <w:p w:rsidR="00A53D7D" w:rsidRDefault="00A53D7D" w:rsidP="005140B4">
      <w:pPr>
        <w:pStyle w:val="Source"/>
      </w:pPr>
      <w:r>
        <w:t xml:space="preserve">Source: Parliament of Victoria  </w:t>
      </w:r>
      <w:r>
        <w:fldChar w:fldCharType="begin"/>
      </w:r>
      <w:r>
        <w:instrText xml:space="preserve"> XE "</w:instrText>
      </w:r>
      <w:r w:rsidRPr="0068060C">
        <w:instrText>Parliament:Legislative Assembly</w:instrText>
      </w:r>
      <w:r>
        <w:instrText xml:space="preserve">" </w:instrText>
      </w:r>
      <w:r>
        <w:fldChar w:fldCharType="end"/>
      </w:r>
      <w:r>
        <w:fldChar w:fldCharType="begin"/>
      </w:r>
      <w:r>
        <w:instrText xml:space="preserve"> XE "</w:instrText>
      </w:r>
      <w:r w:rsidRPr="0008381B">
        <w:instrText>Legislative Assembly</w:instrText>
      </w:r>
      <w:r>
        <w:instrText xml:space="preserve">" </w:instrText>
      </w:r>
      <w:r>
        <w:fldChar w:fldCharType="end"/>
      </w:r>
      <w:r>
        <w:t xml:space="preserve"> </w:t>
      </w:r>
    </w:p>
    <w:p w:rsidR="00A53D7D" w:rsidRPr="00204234" w:rsidRDefault="00A53D7D" w:rsidP="005140B4">
      <w:pPr>
        <w:pStyle w:val="OGHeading1"/>
        <w:rPr>
          <w:color w:val="000000"/>
          <w:szCs w:val="22"/>
          <w:lang w:eastAsia="en-AU"/>
        </w:rPr>
      </w:pPr>
      <w:r w:rsidRPr="00204234">
        <w:rPr>
          <w:lang w:eastAsia="en-AU"/>
        </w:rPr>
        <w:t>Legislative Council</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EF427D">
              <w:t>Performance</w:t>
            </w:r>
            <w:r w:rsidRPr="00204234">
              <w:rPr>
                <w:lang w:eastAsia="en-AU"/>
              </w:rPr>
              <w:t xml:space="preserve"> </w:t>
            </w:r>
            <w:r>
              <w:rPr>
                <w:lang w:eastAsia="en-AU"/>
              </w:rPr>
              <w:t>m</w:t>
            </w:r>
            <w:r w:rsidRPr="00204234">
              <w:rPr>
                <w:lang w:eastAsia="en-AU"/>
              </w:rPr>
              <w:t>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204234" w:rsidTr="005140B4">
        <w:trPr>
          <w:cantSplit/>
        </w:trPr>
        <w:tc>
          <w:tcPr>
            <w:tcW w:w="7776" w:type="dxa"/>
            <w:gridSpan w:val="6"/>
            <w:tcBorders>
              <w:top w:val="nil"/>
              <w:left w:val="nil"/>
              <w:bottom w:val="nil"/>
              <w:right w:val="nil"/>
            </w:tcBorders>
            <w:shd w:val="clear" w:color="auto" w:fill="auto"/>
            <w:hideMark/>
          </w:tcPr>
          <w:p w:rsidR="00A53D7D" w:rsidRPr="004E5CD9" w:rsidRDefault="00A53D7D" w:rsidP="005140B4">
            <w:pPr>
              <w:pStyle w:val="OGHeading2"/>
              <w:rPr>
                <w:lang w:eastAsia="en-AU"/>
              </w:rPr>
            </w:pPr>
            <w:r w:rsidRPr="00204234">
              <w:rPr>
                <w:lang w:eastAsia="en-AU"/>
              </w:rPr>
              <w:t>Procedural Support, Documentation Preparation and Provision of Information for Council</w:t>
            </w:r>
          </w:p>
        </w:tc>
      </w:tr>
      <w:tr w:rsidR="00A53D7D" w:rsidRPr="00204234" w:rsidTr="005140B4">
        <w:trPr>
          <w:cantSplit/>
        </w:trPr>
        <w:tc>
          <w:tcPr>
            <w:tcW w:w="7776" w:type="dxa"/>
            <w:gridSpan w:val="6"/>
            <w:tcBorders>
              <w:top w:val="nil"/>
              <w:left w:val="nil"/>
              <w:bottom w:val="single" w:sz="6" w:space="0" w:color="auto"/>
              <w:right w:val="nil"/>
            </w:tcBorders>
            <w:shd w:val="clear" w:color="auto" w:fill="auto"/>
            <w:hideMark/>
          </w:tcPr>
          <w:p w:rsidR="00A53D7D" w:rsidRPr="00204234" w:rsidRDefault="00A53D7D" w:rsidP="005140B4">
            <w:pPr>
              <w:pStyle w:val="OGText"/>
              <w:rPr>
                <w:color w:val="000000"/>
                <w:szCs w:val="22"/>
                <w:lang w:eastAsia="en-AU"/>
              </w:rPr>
            </w:pPr>
            <w:r w:rsidRPr="00204234">
              <w:rPr>
                <w:lang w:eastAsia="en-AU"/>
              </w:rPr>
              <w:t>This output involves the provision of procedural advice to Members of the Legislative Council including: processing of legislation, preparation of the records of the proceedings and documentation required for the sittings of the Council, provision of assistance to Parliamentary Committees, provision of information relating to the proceedings of the Council, and the enhancement of public awareness of Parliament.</w:t>
            </w:r>
          </w:p>
        </w:tc>
      </w:tr>
      <w:tr w:rsidR="00A53D7D" w:rsidRPr="00204234" w:rsidTr="005140B4">
        <w:trPr>
          <w:cantSplit/>
        </w:trPr>
        <w:tc>
          <w:tcPr>
            <w:tcW w:w="3155" w:type="dxa"/>
            <w:tcBorders>
              <w:top w:val="single" w:sz="6" w:space="0" w:color="auto"/>
              <w:left w:val="nil"/>
              <w:bottom w:val="nil"/>
              <w:right w:val="nil"/>
            </w:tcBorders>
            <w:shd w:val="clear" w:color="auto" w:fill="auto"/>
            <w:hideMark/>
          </w:tcPr>
          <w:p w:rsidR="00A53D7D" w:rsidRPr="00204234" w:rsidRDefault="00A53D7D" w:rsidP="005140B4">
            <w:pPr>
              <w:pStyle w:val="OGTabHead"/>
              <w:rPr>
                <w:lang w:eastAsia="en-AU"/>
              </w:rPr>
            </w:pPr>
            <w:r w:rsidRPr="009B7EC0">
              <w:rPr>
                <w:bCs/>
                <w:iCs/>
                <w:color w:val="000000"/>
                <w:lang w:eastAsia="en-AU"/>
              </w:rPr>
              <w:t>Quantity</w:t>
            </w: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6" w:space="0" w:color="auto"/>
              <w:left w:val="nil"/>
              <w:bottom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Procedural references updated biannually</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number</w:t>
            </w:r>
          </w:p>
        </w:tc>
        <w:tc>
          <w:tcPr>
            <w:tcW w:w="907" w:type="dxa"/>
            <w:tcBorders>
              <w:top w:val="nil"/>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2</w:t>
            </w:r>
          </w:p>
        </w:tc>
        <w:tc>
          <w:tcPr>
            <w:tcW w:w="993"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2</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2</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2</w:t>
            </w:r>
          </w:p>
        </w:tc>
      </w:tr>
      <w:tr w:rsidR="00A53D7D" w:rsidRPr="00204234" w:rsidTr="005140B4">
        <w:trPr>
          <w:cantSplit/>
        </w:trPr>
        <w:tc>
          <w:tcPr>
            <w:tcW w:w="3155" w:type="dxa"/>
            <w:tcBorders>
              <w:top w:val="single" w:sz="6" w:space="0" w:color="auto"/>
              <w:left w:val="nil"/>
              <w:bottom w:val="nil"/>
              <w:right w:val="nil"/>
            </w:tcBorders>
            <w:shd w:val="clear" w:color="auto" w:fill="auto"/>
            <w:hideMark/>
          </w:tcPr>
          <w:p w:rsidR="00A53D7D" w:rsidRPr="00204234" w:rsidRDefault="00A53D7D" w:rsidP="005140B4">
            <w:pPr>
              <w:pStyle w:val="OGTabHead"/>
              <w:rPr>
                <w:lang w:eastAsia="en-AU"/>
              </w:rPr>
            </w:pPr>
            <w:r w:rsidRPr="00DD6772">
              <w:t>Quality</w:t>
            </w: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6" w:space="0" w:color="auto"/>
              <w:left w:val="nil"/>
              <w:bottom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Bills and amendments processed accurately through all relevant stages and other business of the House conducted according to law, Standing and Sessional Orders</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nil"/>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100</w:t>
            </w:r>
          </w:p>
        </w:tc>
        <w:tc>
          <w:tcPr>
            <w:tcW w:w="993"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r>
      <w:tr w:rsidR="00A53D7D" w:rsidRPr="0020423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Member satisfaction with accuracy, clarity and timeliness of advice</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90</w:t>
            </w:r>
          </w:p>
        </w:tc>
        <w:tc>
          <w:tcPr>
            <w:tcW w:w="993"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90</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90</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90</w:t>
            </w:r>
          </w:p>
        </w:tc>
      </w:tr>
      <w:tr w:rsidR="00A53D7D" w:rsidRPr="00204234" w:rsidTr="005140B4">
        <w:trPr>
          <w:cantSplit/>
        </w:trPr>
        <w:tc>
          <w:tcPr>
            <w:tcW w:w="3155" w:type="dxa"/>
            <w:tcBorders>
              <w:top w:val="single" w:sz="6" w:space="0" w:color="auto"/>
              <w:left w:val="nil"/>
              <w:bottom w:val="nil"/>
              <w:right w:val="nil"/>
            </w:tcBorders>
            <w:shd w:val="clear" w:color="auto" w:fill="auto"/>
            <w:hideMark/>
          </w:tcPr>
          <w:p w:rsidR="00A53D7D" w:rsidRPr="00204234" w:rsidRDefault="00A53D7D" w:rsidP="005140B4">
            <w:pPr>
              <w:pStyle w:val="OGTabHead"/>
              <w:rPr>
                <w:lang w:eastAsia="en-AU"/>
              </w:rPr>
            </w:pPr>
            <w:r w:rsidRPr="00204234">
              <w:rPr>
                <w:lang w:eastAsia="en-AU"/>
              </w:rPr>
              <w:t>Timeliness</w:t>
            </w: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6" w:space="0" w:color="auto"/>
              <w:left w:val="nil"/>
              <w:bottom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Documents tabled within time guidelines</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nil"/>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95</w:t>
            </w:r>
          </w:p>
        </w:tc>
        <w:tc>
          <w:tcPr>
            <w:tcW w:w="993"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95</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95</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95</w:t>
            </w:r>
          </w:p>
        </w:tc>
      </w:tr>
      <w:tr w:rsidR="00A53D7D" w:rsidRPr="00204234" w:rsidTr="005140B4">
        <w:trPr>
          <w:cantSplit/>
        </w:trPr>
        <w:tc>
          <w:tcPr>
            <w:tcW w:w="3155" w:type="dxa"/>
            <w:tcBorders>
              <w:top w:val="single" w:sz="6" w:space="0" w:color="auto"/>
              <w:left w:val="nil"/>
              <w:bottom w:val="nil"/>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House documents and other sitting</w:t>
            </w:r>
            <w:r>
              <w:rPr>
                <w:color w:val="000000"/>
                <w:lang w:eastAsia="en-AU"/>
              </w:rPr>
              <w:noBreakHyphen/>
            </w:r>
            <w:r w:rsidRPr="00204234">
              <w:rPr>
                <w:color w:val="000000"/>
                <w:lang w:eastAsia="en-AU"/>
              </w:rPr>
              <w:t>related information available one day after sitting day</w:t>
            </w:r>
          </w:p>
        </w:tc>
        <w:tc>
          <w:tcPr>
            <w:tcW w:w="907" w:type="dxa"/>
            <w:tcBorders>
              <w:top w:val="single" w:sz="6" w:space="0" w:color="auto"/>
              <w:left w:val="nil"/>
              <w:bottom w:val="nil"/>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single" w:sz="6" w:space="0" w:color="auto"/>
              <w:left w:val="nil"/>
              <w:bottom w:val="nil"/>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100</w:t>
            </w:r>
          </w:p>
        </w:tc>
        <w:tc>
          <w:tcPr>
            <w:tcW w:w="993" w:type="dxa"/>
            <w:tcBorders>
              <w:top w:val="single" w:sz="6" w:space="0" w:color="auto"/>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98</w:t>
            </w:r>
          </w:p>
        </w:tc>
        <w:tc>
          <w:tcPr>
            <w:tcW w:w="907" w:type="dxa"/>
            <w:tcBorders>
              <w:top w:val="single" w:sz="6" w:space="0" w:color="auto"/>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98</w:t>
            </w:r>
          </w:p>
        </w:tc>
        <w:tc>
          <w:tcPr>
            <w:tcW w:w="907" w:type="dxa"/>
            <w:tcBorders>
              <w:top w:val="single" w:sz="6" w:space="0" w:color="auto"/>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98</w:t>
            </w:r>
          </w:p>
        </w:tc>
      </w:tr>
      <w:tr w:rsidR="00A53D7D" w:rsidRPr="00204234" w:rsidTr="005140B4">
        <w:trPr>
          <w:cantSplit/>
        </w:trPr>
        <w:tc>
          <w:tcPr>
            <w:tcW w:w="7776" w:type="dxa"/>
            <w:gridSpan w:val="6"/>
            <w:tcBorders>
              <w:top w:val="nil"/>
              <w:left w:val="nil"/>
              <w:bottom w:val="single" w:sz="6" w:space="0" w:color="auto"/>
              <w:right w:val="nil"/>
            </w:tcBorders>
            <w:shd w:val="clear" w:color="auto" w:fill="auto"/>
            <w:hideMark/>
          </w:tcPr>
          <w:p w:rsidR="00A53D7D" w:rsidRPr="00204234" w:rsidRDefault="00A53D7D" w:rsidP="005140B4">
            <w:pPr>
              <w:pStyle w:val="OGNotes"/>
              <w:rPr>
                <w:color w:val="000000"/>
                <w:szCs w:val="22"/>
              </w:rPr>
            </w:pPr>
            <w:r w:rsidRPr="00204234">
              <w:t>This performance measure renames the 2013</w:t>
            </w:r>
            <w:r>
              <w:noBreakHyphen/>
            </w:r>
            <w:r w:rsidRPr="00204234">
              <w:t>14 performance measure 'House documents and other sitting</w:t>
            </w:r>
            <w:r>
              <w:noBreakHyphen/>
            </w:r>
            <w:r w:rsidRPr="00204234">
              <w:t>related information available online one day after sitting day'. The measure reports on the same activity as the previous measure however has been amended since not all information is provided online.</w:t>
            </w:r>
          </w:p>
        </w:tc>
      </w:tr>
      <w:tr w:rsidR="00A53D7D" w:rsidRPr="00204234" w:rsidTr="005140B4">
        <w:trPr>
          <w:cantSplit/>
        </w:trPr>
        <w:tc>
          <w:tcPr>
            <w:tcW w:w="3155" w:type="dxa"/>
            <w:tcBorders>
              <w:top w:val="single" w:sz="6" w:space="0" w:color="auto"/>
              <w:left w:val="nil"/>
              <w:right w:val="nil"/>
            </w:tcBorders>
            <w:shd w:val="clear" w:color="auto" w:fill="auto"/>
            <w:hideMark/>
          </w:tcPr>
          <w:p w:rsidR="00A53D7D" w:rsidRPr="00204234" w:rsidRDefault="00A53D7D" w:rsidP="005140B4">
            <w:pPr>
              <w:pStyle w:val="OGTabHead"/>
              <w:rPr>
                <w:lang w:eastAsia="en-AU"/>
              </w:rPr>
            </w:pPr>
            <w:r w:rsidRPr="00204234">
              <w:rPr>
                <w:lang w:eastAsia="en-AU"/>
              </w:rPr>
              <w:t>Cost</w:t>
            </w:r>
          </w:p>
        </w:tc>
        <w:tc>
          <w:tcPr>
            <w:tcW w:w="907" w:type="dxa"/>
            <w:tcBorders>
              <w:top w:val="single" w:sz="6" w:space="0" w:color="auto"/>
              <w:left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6" w:space="0" w:color="auto"/>
              <w:left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6" w:space="0" w:color="auto"/>
              <w:left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nil"/>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Total output cost</w:t>
            </w:r>
          </w:p>
        </w:tc>
        <w:tc>
          <w:tcPr>
            <w:tcW w:w="907" w:type="dxa"/>
            <w:tcBorders>
              <w:top w:val="nil"/>
              <w:left w:val="nil"/>
              <w:bottom w:val="nil"/>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w:t>
            </w:r>
            <w:r>
              <w:rPr>
                <w:color w:val="000000"/>
                <w:lang w:eastAsia="en-AU"/>
              </w:rPr>
              <w:t> million</w:t>
            </w:r>
          </w:p>
        </w:tc>
        <w:tc>
          <w:tcPr>
            <w:tcW w:w="907" w:type="dxa"/>
            <w:tcBorders>
              <w:top w:val="nil"/>
              <w:left w:val="nil"/>
              <w:bottom w:val="nil"/>
              <w:right w:val="nil"/>
            </w:tcBorders>
            <w:shd w:val="clear" w:color="auto" w:fill="D9D9D9"/>
            <w:hideMark/>
          </w:tcPr>
          <w:p w:rsidR="00A53D7D" w:rsidRPr="00EE0494" w:rsidRDefault="00A53D7D" w:rsidP="005140B4">
            <w:pPr>
              <w:pStyle w:val="OGTableofFigures"/>
              <w:rPr>
                <w:lang w:eastAsia="en-AU"/>
              </w:rPr>
            </w:pPr>
            <w:r w:rsidRPr="00EE0494">
              <w:rPr>
                <w:lang w:eastAsia="en-AU"/>
              </w:rPr>
              <w:t>15.7</w:t>
            </w:r>
          </w:p>
        </w:tc>
        <w:tc>
          <w:tcPr>
            <w:tcW w:w="993" w:type="dxa"/>
            <w:tcBorders>
              <w:top w:val="nil"/>
              <w:left w:val="nil"/>
              <w:bottom w:val="nil"/>
              <w:right w:val="nil"/>
            </w:tcBorders>
            <w:shd w:val="clear" w:color="000000" w:fill="FFFFFF"/>
            <w:hideMark/>
          </w:tcPr>
          <w:p w:rsidR="00A53D7D" w:rsidRPr="00EE0494" w:rsidRDefault="00A53D7D" w:rsidP="005140B4">
            <w:pPr>
              <w:pStyle w:val="OGTableofFigures"/>
              <w:rPr>
                <w:lang w:eastAsia="en-AU"/>
              </w:rPr>
            </w:pPr>
            <w:r w:rsidRPr="00EE0494">
              <w:rPr>
                <w:lang w:eastAsia="en-AU"/>
              </w:rPr>
              <w:t>15.3</w:t>
            </w:r>
          </w:p>
        </w:tc>
        <w:tc>
          <w:tcPr>
            <w:tcW w:w="907" w:type="dxa"/>
            <w:tcBorders>
              <w:top w:val="nil"/>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14.1</w:t>
            </w:r>
          </w:p>
        </w:tc>
        <w:tc>
          <w:tcPr>
            <w:tcW w:w="907" w:type="dxa"/>
            <w:tcBorders>
              <w:top w:val="nil"/>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13.5</w:t>
            </w:r>
          </w:p>
        </w:tc>
      </w:tr>
      <w:tr w:rsidR="00A53D7D" w:rsidRPr="00204234" w:rsidTr="005140B4">
        <w:trPr>
          <w:cantSplit/>
        </w:trPr>
        <w:tc>
          <w:tcPr>
            <w:tcW w:w="7776" w:type="dxa"/>
            <w:gridSpan w:val="6"/>
            <w:tcBorders>
              <w:top w:val="nil"/>
              <w:left w:val="nil"/>
              <w:bottom w:val="single" w:sz="12" w:space="0" w:color="auto"/>
              <w:right w:val="nil"/>
            </w:tcBorders>
            <w:shd w:val="clear" w:color="000000" w:fill="FFFFFF"/>
          </w:tcPr>
          <w:p w:rsidR="00A53D7D" w:rsidRPr="00204234" w:rsidRDefault="00A53D7D" w:rsidP="005140B4">
            <w:pPr>
              <w:pStyle w:val="OGNotes"/>
            </w:pPr>
            <w:r>
              <w:t>The higher 2014-15 target is due to additional funding approved for Members’ salary and allowances.</w:t>
            </w:r>
          </w:p>
        </w:tc>
      </w:tr>
    </w:tbl>
    <w:p w:rsidR="00A53D7D" w:rsidRDefault="00A53D7D" w:rsidP="005140B4">
      <w:pPr>
        <w:pStyle w:val="Source"/>
      </w:pPr>
      <w:r>
        <w:t xml:space="preserve">Source: Parliament of Victoria </w:t>
      </w:r>
      <w:r>
        <w:fldChar w:fldCharType="begin"/>
      </w:r>
      <w:r>
        <w:instrText xml:space="preserve"> XE "</w:instrText>
      </w:r>
      <w:r w:rsidRPr="006878C3">
        <w:rPr>
          <w:lang w:eastAsia="en-AU"/>
        </w:rPr>
        <w:instrText>Parliament</w:instrText>
      </w:r>
      <w:r w:rsidRPr="006878C3">
        <w:instrText>:Legislative Council</w:instrText>
      </w:r>
      <w:r>
        <w:instrText xml:space="preserve">" </w:instrText>
      </w:r>
      <w:r>
        <w:fldChar w:fldCharType="end"/>
      </w:r>
      <w:r>
        <w:fldChar w:fldCharType="begin"/>
      </w:r>
      <w:r>
        <w:instrText xml:space="preserve"> XE "</w:instrText>
      </w:r>
      <w:r w:rsidRPr="0008381B">
        <w:rPr>
          <w:lang w:eastAsia="en-AU"/>
        </w:rPr>
        <w:instrText>Legislative Council</w:instrText>
      </w:r>
      <w:r>
        <w:instrText xml:space="preserve">" </w:instrText>
      </w:r>
      <w:r>
        <w:fldChar w:fldCharType="end"/>
      </w:r>
      <w:r>
        <w:t xml:space="preserve"> </w:t>
      </w:r>
    </w:p>
    <w:p w:rsidR="00A53D7D" w:rsidRDefault="00A53D7D"/>
    <w:p w:rsidR="00A53D7D" w:rsidRPr="00204234" w:rsidRDefault="00A53D7D" w:rsidP="005140B4">
      <w:pPr>
        <w:pStyle w:val="OGHeading1"/>
        <w:keepNext/>
        <w:rPr>
          <w:color w:val="000000"/>
          <w:szCs w:val="22"/>
          <w:lang w:eastAsia="en-AU"/>
        </w:rPr>
      </w:pPr>
      <w:r w:rsidRPr="00204234">
        <w:rPr>
          <w:lang w:eastAsia="en-AU"/>
        </w:rPr>
        <w:t>Parliamentary Investigatory Committees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keepNex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keepNex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204234" w:rsidTr="005140B4">
        <w:trPr>
          <w:cantSplit/>
        </w:trPr>
        <w:tc>
          <w:tcPr>
            <w:tcW w:w="7776" w:type="dxa"/>
            <w:gridSpan w:val="6"/>
            <w:tcBorders>
              <w:top w:val="nil"/>
              <w:left w:val="nil"/>
              <w:bottom w:val="nil"/>
              <w:right w:val="nil"/>
            </w:tcBorders>
            <w:shd w:val="clear" w:color="auto" w:fill="auto"/>
            <w:hideMark/>
          </w:tcPr>
          <w:p w:rsidR="00A53D7D" w:rsidRPr="00204234" w:rsidRDefault="00A53D7D" w:rsidP="005140B4">
            <w:pPr>
              <w:pStyle w:val="OGHeading2"/>
              <w:rPr>
                <w:color w:val="000000"/>
                <w:szCs w:val="22"/>
                <w:lang w:eastAsia="en-AU"/>
              </w:rPr>
            </w:pPr>
            <w:r w:rsidRPr="00204234">
              <w:rPr>
                <w:lang w:eastAsia="en-AU"/>
              </w:rPr>
              <w:t>Reports tabled and papers published</w:t>
            </w:r>
          </w:p>
        </w:tc>
      </w:tr>
      <w:tr w:rsidR="00A53D7D" w:rsidRPr="00204234" w:rsidTr="005140B4">
        <w:trPr>
          <w:cantSplit/>
        </w:trPr>
        <w:tc>
          <w:tcPr>
            <w:tcW w:w="7776" w:type="dxa"/>
            <w:gridSpan w:val="6"/>
            <w:tcBorders>
              <w:top w:val="nil"/>
              <w:left w:val="nil"/>
              <w:bottom w:val="single" w:sz="6" w:space="0" w:color="auto"/>
              <w:right w:val="nil"/>
            </w:tcBorders>
            <w:shd w:val="clear" w:color="auto" w:fill="auto"/>
            <w:hideMark/>
          </w:tcPr>
          <w:p w:rsidR="00A53D7D" w:rsidRPr="00204234" w:rsidRDefault="00A53D7D" w:rsidP="005140B4">
            <w:pPr>
              <w:pStyle w:val="OGText"/>
              <w:rPr>
                <w:lang w:eastAsia="en-AU"/>
              </w:rPr>
            </w:pPr>
            <w:r w:rsidRPr="00204234">
              <w:rPr>
                <w:lang w:eastAsia="en-AU"/>
              </w:rPr>
              <w:t xml:space="preserve">Joint Investigatory Committees are appointed pursuant to the </w:t>
            </w:r>
            <w:r>
              <w:rPr>
                <w:i/>
                <w:iCs/>
                <w:lang w:eastAsia="en-AU"/>
              </w:rPr>
              <w:t>Parliamentary Committees Act </w:t>
            </w:r>
            <w:r w:rsidRPr="00204234">
              <w:rPr>
                <w:i/>
                <w:iCs/>
                <w:lang w:eastAsia="en-AU"/>
              </w:rPr>
              <w:t>2003</w:t>
            </w:r>
            <w:r w:rsidRPr="00204234">
              <w:rPr>
                <w:lang w:eastAsia="en-AU"/>
              </w:rPr>
              <w:t xml:space="preserve"> to inquire into and report on matters referred by either House or the Governor in Council, or which may be self</w:t>
            </w:r>
            <w:r>
              <w:rPr>
                <w:i/>
                <w:lang w:eastAsia="en-AU"/>
              </w:rPr>
              <w:noBreakHyphen/>
            </w:r>
            <w:r w:rsidRPr="00204234">
              <w:rPr>
                <w:lang w:eastAsia="en-AU"/>
              </w:rPr>
              <w:t>generated by a committee.</w:t>
            </w:r>
          </w:p>
        </w:tc>
      </w:tr>
      <w:tr w:rsidR="00A53D7D" w:rsidRPr="00204234" w:rsidTr="005140B4">
        <w:trPr>
          <w:cantSplit/>
        </w:trPr>
        <w:tc>
          <w:tcPr>
            <w:tcW w:w="3155" w:type="dxa"/>
            <w:tcBorders>
              <w:top w:val="single" w:sz="6" w:space="0" w:color="auto"/>
              <w:left w:val="nil"/>
              <w:bottom w:val="nil"/>
              <w:right w:val="nil"/>
            </w:tcBorders>
            <w:shd w:val="clear" w:color="auto" w:fill="auto"/>
            <w:hideMark/>
          </w:tcPr>
          <w:p w:rsidR="00A53D7D" w:rsidRPr="00204234" w:rsidRDefault="00A53D7D" w:rsidP="005140B4">
            <w:pPr>
              <w:pStyle w:val="OGTabHead"/>
              <w:rPr>
                <w:lang w:eastAsia="en-AU"/>
              </w:rPr>
            </w:pPr>
            <w:r w:rsidRPr="009B7EC0">
              <w:rPr>
                <w:bCs/>
                <w:iCs/>
                <w:color w:val="000000"/>
                <w:lang w:eastAsia="en-AU"/>
              </w:rPr>
              <w:t>Quantity</w:t>
            </w: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6" w:space="0" w:color="auto"/>
              <w:left w:val="nil"/>
              <w:bottom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nil"/>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Reports tabled per annum</w:t>
            </w:r>
          </w:p>
        </w:tc>
        <w:tc>
          <w:tcPr>
            <w:tcW w:w="907" w:type="dxa"/>
            <w:tcBorders>
              <w:top w:val="nil"/>
              <w:left w:val="nil"/>
              <w:bottom w:val="nil"/>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number</w:t>
            </w:r>
          </w:p>
        </w:tc>
        <w:tc>
          <w:tcPr>
            <w:tcW w:w="907" w:type="dxa"/>
            <w:tcBorders>
              <w:top w:val="nil"/>
              <w:left w:val="nil"/>
              <w:bottom w:val="nil"/>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22</w:t>
            </w:r>
          </w:p>
        </w:tc>
        <w:tc>
          <w:tcPr>
            <w:tcW w:w="993" w:type="dxa"/>
            <w:tcBorders>
              <w:top w:val="nil"/>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28</w:t>
            </w:r>
          </w:p>
        </w:tc>
        <w:tc>
          <w:tcPr>
            <w:tcW w:w="907" w:type="dxa"/>
            <w:tcBorders>
              <w:top w:val="nil"/>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28</w:t>
            </w:r>
          </w:p>
        </w:tc>
        <w:tc>
          <w:tcPr>
            <w:tcW w:w="907" w:type="dxa"/>
            <w:tcBorders>
              <w:top w:val="nil"/>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39</w:t>
            </w:r>
          </w:p>
        </w:tc>
      </w:tr>
      <w:tr w:rsidR="00A53D7D" w:rsidRPr="00204234" w:rsidTr="005140B4">
        <w:trPr>
          <w:cantSplit/>
        </w:trPr>
        <w:tc>
          <w:tcPr>
            <w:tcW w:w="7776" w:type="dxa"/>
            <w:gridSpan w:val="6"/>
            <w:tcBorders>
              <w:top w:val="nil"/>
              <w:left w:val="nil"/>
              <w:bottom w:val="single" w:sz="6" w:space="0" w:color="auto"/>
              <w:right w:val="nil"/>
            </w:tcBorders>
            <w:shd w:val="clear" w:color="auto" w:fill="auto"/>
            <w:hideMark/>
          </w:tcPr>
          <w:p w:rsidR="00A53D7D" w:rsidRPr="00204234" w:rsidRDefault="00A53D7D" w:rsidP="005140B4">
            <w:pPr>
              <w:pStyle w:val="OGNotes"/>
              <w:rPr>
                <w:color w:val="000000"/>
                <w:szCs w:val="22"/>
              </w:rPr>
            </w:pPr>
            <w:r w:rsidRPr="00204234">
              <w:t>The lower 2014</w:t>
            </w:r>
            <w:r>
              <w:noBreakHyphen/>
            </w:r>
            <w:r w:rsidRPr="00204234">
              <w:t>15 target reflects reduced Committee activity in an election year.</w:t>
            </w:r>
          </w:p>
        </w:tc>
      </w:tr>
      <w:tr w:rsidR="00A53D7D" w:rsidRPr="00204234" w:rsidTr="005140B4">
        <w:trPr>
          <w:cantSplit/>
        </w:trPr>
        <w:tc>
          <w:tcPr>
            <w:tcW w:w="3155" w:type="dxa"/>
            <w:tcBorders>
              <w:top w:val="single" w:sz="6" w:space="0" w:color="auto"/>
              <w:left w:val="nil"/>
              <w:bottom w:val="nil"/>
              <w:right w:val="nil"/>
            </w:tcBorders>
            <w:shd w:val="clear" w:color="auto" w:fill="auto"/>
            <w:hideMark/>
          </w:tcPr>
          <w:p w:rsidR="00A53D7D" w:rsidRPr="00204234" w:rsidRDefault="00A53D7D" w:rsidP="005140B4">
            <w:pPr>
              <w:pStyle w:val="OGTabHead"/>
              <w:rPr>
                <w:lang w:eastAsia="en-AU"/>
              </w:rPr>
            </w:pPr>
            <w:r w:rsidRPr="00204234">
              <w:rPr>
                <w:lang w:eastAsia="en-AU"/>
              </w:rPr>
              <w:t>Quality</w:t>
            </w: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6" w:space="0" w:color="auto"/>
              <w:left w:val="nil"/>
              <w:bottom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Committee members satisfied that advice about procedure, research and administration is responsive, clear, objective and prompt</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nil"/>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80</w:t>
            </w:r>
          </w:p>
        </w:tc>
        <w:tc>
          <w:tcPr>
            <w:tcW w:w="993"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80</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80</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98</w:t>
            </w:r>
          </w:p>
        </w:tc>
      </w:tr>
      <w:tr w:rsidR="00A53D7D" w:rsidRPr="0020423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Inquiries conducted and reports produced in compliance with procedural and legislative requirements</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95</w:t>
            </w:r>
          </w:p>
        </w:tc>
        <w:tc>
          <w:tcPr>
            <w:tcW w:w="993"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95</w:t>
            </w:r>
          </w:p>
        </w:tc>
      </w:tr>
      <w:tr w:rsidR="00A53D7D" w:rsidRPr="00204234" w:rsidTr="005140B4">
        <w:trPr>
          <w:cantSplit/>
        </w:trPr>
        <w:tc>
          <w:tcPr>
            <w:tcW w:w="3155" w:type="dxa"/>
            <w:tcBorders>
              <w:top w:val="single" w:sz="6" w:space="0" w:color="auto"/>
              <w:left w:val="nil"/>
              <w:bottom w:val="nil"/>
              <w:right w:val="nil"/>
            </w:tcBorders>
            <w:shd w:val="clear" w:color="auto" w:fill="auto"/>
            <w:hideMark/>
          </w:tcPr>
          <w:p w:rsidR="00A53D7D" w:rsidRPr="00204234" w:rsidRDefault="00A53D7D" w:rsidP="005140B4">
            <w:pPr>
              <w:pStyle w:val="OGTabHead"/>
              <w:rPr>
                <w:lang w:eastAsia="en-AU"/>
              </w:rPr>
            </w:pPr>
            <w:r w:rsidRPr="00204234">
              <w:rPr>
                <w:lang w:eastAsia="en-AU"/>
              </w:rPr>
              <w:t>Timeliness</w:t>
            </w: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6" w:space="0" w:color="auto"/>
              <w:left w:val="nil"/>
              <w:bottom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Reports tabled in compliance with procedural and legislative deadlines</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nil"/>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95</w:t>
            </w:r>
          </w:p>
        </w:tc>
        <w:tc>
          <w:tcPr>
            <w:tcW w:w="993"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95</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95</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r>
      <w:tr w:rsidR="00A53D7D" w:rsidRPr="00204234" w:rsidTr="005140B4">
        <w:trPr>
          <w:cantSplit/>
        </w:trPr>
        <w:tc>
          <w:tcPr>
            <w:tcW w:w="3155" w:type="dxa"/>
            <w:tcBorders>
              <w:top w:val="single" w:sz="6" w:space="0" w:color="auto"/>
              <w:left w:val="nil"/>
              <w:right w:val="nil"/>
            </w:tcBorders>
            <w:shd w:val="clear" w:color="auto" w:fill="auto"/>
            <w:hideMark/>
          </w:tcPr>
          <w:p w:rsidR="00A53D7D" w:rsidRPr="00204234" w:rsidRDefault="00A53D7D" w:rsidP="005140B4">
            <w:pPr>
              <w:pStyle w:val="OGTabHead"/>
              <w:rPr>
                <w:lang w:eastAsia="en-AU"/>
              </w:rPr>
            </w:pPr>
            <w:r w:rsidRPr="00204234">
              <w:rPr>
                <w:lang w:eastAsia="en-AU"/>
              </w:rPr>
              <w:t>Cost</w:t>
            </w:r>
          </w:p>
        </w:tc>
        <w:tc>
          <w:tcPr>
            <w:tcW w:w="907" w:type="dxa"/>
            <w:tcBorders>
              <w:top w:val="single" w:sz="6" w:space="0" w:color="auto"/>
              <w:left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6" w:space="0" w:color="auto"/>
              <w:left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6" w:space="0" w:color="auto"/>
              <w:left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single" w:sz="12"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Total output cost</w:t>
            </w:r>
          </w:p>
        </w:tc>
        <w:tc>
          <w:tcPr>
            <w:tcW w:w="907" w:type="dxa"/>
            <w:tcBorders>
              <w:top w:val="nil"/>
              <w:left w:val="nil"/>
              <w:bottom w:val="single" w:sz="12"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w:t>
            </w:r>
            <w:r>
              <w:rPr>
                <w:color w:val="000000"/>
                <w:lang w:eastAsia="en-AU"/>
              </w:rPr>
              <w:t> million</w:t>
            </w:r>
          </w:p>
        </w:tc>
        <w:tc>
          <w:tcPr>
            <w:tcW w:w="907" w:type="dxa"/>
            <w:tcBorders>
              <w:top w:val="nil"/>
              <w:left w:val="nil"/>
              <w:bottom w:val="single" w:sz="12" w:space="0" w:color="auto"/>
              <w:right w:val="nil"/>
            </w:tcBorders>
            <w:shd w:val="clear" w:color="auto" w:fill="D9D9D9"/>
            <w:hideMark/>
          </w:tcPr>
          <w:p w:rsidR="00A53D7D" w:rsidRPr="00EE0494" w:rsidRDefault="00A53D7D" w:rsidP="005140B4">
            <w:pPr>
              <w:pStyle w:val="OGTableofFigures"/>
              <w:rPr>
                <w:lang w:eastAsia="en-AU"/>
              </w:rPr>
            </w:pPr>
            <w:r w:rsidRPr="00EE0494">
              <w:rPr>
                <w:lang w:eastAsia="en-AU"/>
              </w:rPr>
              <w:t>7.0</w:t>
            </w:r>
          </w:p>
        </w:tc>
        <w:tc>
          <w:tcPr>
            <w:tcW w:w="993" w:type="dxa"/>
            <w:tcBorders>
              <w:top w:val="nil"/>
              <w:left w:val="nil"/>
              <w:bottom w:val="single" w:sz="12" w:space="0" w:color="auto"/>
              <w:right w:val="nil"/>
            </w:tcBorders>
            <w:shd w:val="clear" w:color="000000" w:fill="FFFFFF"/>
            <w:hideMark/>
          </w:tcPr>
          <w:p w:rsidR="00A53D7D" w:rsidRPr="00EE0494" w:rsidRDefault="00A53D7D" w:rsidP="005140B4">
            <w:pPr>
              <w:pStyle w:val="OGTableofFigures"/>
              <w:rPr>
                <w:lang w:eastAsia="en-AU"/>
              </w:rPr>
            </w:pPr>
            <w:r w:rsidRPr="00EE0494">
              <w:rPr>
                <w:lang w:eastAsia="en-AU"/>
              </w:rPr>
              <w:t>7.0</w:t>
            </w:r>
          </w:p>
        </w:tc>
        <w:tc>
          <w:tcPr>
            <w:tcW w:w="907" w:type="dxa"/>
            <w:tcBorders>
              <w:top w:val="nil"/>
              <w:left w:val="nil"/>
              <w:bottom w:val="single" w:sz="12"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7.2</w:t>
            </w:r>
          </w:p>
        </w:tc>
        <w:tc>
          <w:tcPr>
            <w:tcW w:w="907" w:type="dxa"/>
            <w:tcBorders>
              <w:top w:val="nil"/>
              <w:left w:val="nil"/>
              <w:bottom w:val="single" w:sz="12"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6.7</w:t>
            </w:r>
          </w:p>
        </w:tc>
      </w:tr>
    </w:tbl>
    <w:p w:rsidR="00A53D7D" w:rsidRDefault="00A53D7D" w:rsidP="005140B4">
      <w:pPr>
        <w:pStyle w:val="Source"/>
      </w:pPr>
      <w:r>
        <w:t xml:space="preserve">Source: Parliament of Victoria </w:t>
      </w:r>
      <w:r>
        <w:fldChar w:fldCharType="begin"/>
      </w:r>
      <w:r>
        <w:instrText xml:space="preserve"> XE "</w:instrText>
      </w:r>
      <w:r w:rsidRPr="009A1B0E">
        <w:rPr>
          <w:lang w:eastAsia="en-AU"/>
        </w:rPr>
        <w:instrText>Parliament</w:instrText>
      </w:r>
      <w:r w:rsidRPr="009A1B0E">
        <w:instrText>:Parliamentary Investigatory Committees</w:instrText>
      </w:r>
      <w:r>
        <w:instrText xml:space="preserve">" </w:instrText>
      </w:r>
      <w:r>
        <w:fldChar w:fldCharType="end"/>
      </w:r>
      <w:r>
        <w:fldChar w:fldCharType="begin"/>
      </w:r>
      <w:r>
        <w:instrText xml:space="preserve"> XE "</w:instrText>
      </w:r>
      <w:r w:rsidRPr="0008381B">
        <w:rPr>
          <w:lang w:eastAsia="en-AU"/>
        </w:rPr>
        <w:instrText>Parliamentary Investigatory Committees</w:instrText>
      </w:r>
      <w:r>
        <w:instrText xml:space="preserve">" </w:instrText>
      </w:r>
      <w:r>
        <w:fldChar w:fldCharType="end"/>
      </w:r>
      <w:r>
        <w:t xml:space="preserve"> </w:t>
      </w:r>
    </w:p>
    <w:p w:rsidR="00A53D7D" w:rsidRDefault="00A53D7D"/>
    <w:p w:rsidR="00A53D7D" w:rsidRPr="00204234" w:rsidRDefault="00A53D7D" w:rsidP="005140B4">
      <w:pPr>
        <w:pStyle w:val="OGHeading1"/>
        <w:keepNext/>
        <w:rPr>
          <w:color w:val="000000"/>
          <w:szCs w:val="22"/>
          <w:lang w:eastAsia="en-AU"/>
        </w:rPr>
      </w:pPr>
      <w:r w:rsidRPr="00204234">
        <w:rPr>
          <w:lang w:eastAsia="en-AU"/>
        </w:rPr>
        <w:t>Parliamentary Services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keepNex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keepNex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204234" w:rsidTr="005140B4">
        <w:trPr>
          <w:cantSplit/>
        </w:trPr>
        <w:tc>
          <w:tcPr>
            <w:tcW w:w="7776" w:type="dxa"/>
            <w:gridSpan w:val="6"/>
            <w:tcBorders>
              <w:top w:val="nil"/>
              <w:left w:val="nil"/>
              <w:bottom w:val="nil"/>
              <w:right w:val="nil"/>
            </w:tcBorders>
            <w:shd w:val="clear" w:color="auto" w:fill="auto"/>
            <w:hideMark/>
          </w:tcPr>
          <w:p w:rsidR="00A53D7D" w:rsidRPr="00204234" w:rsidRDefault="00A53D7D" w:rsidP="005140B4">
            <w:pPr>
              <w:pStyle w:val="OGHeading2"/>
              <w:rPr>
                <w:color w:val="000000"/>
                <w:szCs w:val="22"/>
                <w:lang w:eastAsia="en-AU"/>
              </w:rPr>
            </w:pPr>
            <w:r w:rsidRPr="00204234">
              <w:rPr>
                <w:lang w:eastAsia="en-AU"/>
              </w:rPr>
              <w:t>Provision of Information and Resources to Parliament</w:t>
            </w:r>
          </w:p>
        </w:tc>
      </w:tr>
      <w:tr w:rsidR="00A53D7D" w:rsidRPr="00204234" w:rsidTr="005140B4">
        <w:trPr>
          <w:cantSplit/>
        </w:trPr>
        <w:tc>
          <w:tcPr>
            <w:tcW w:w="7776" w:type="dxa"/>
            <w:gridSpan w:val="6"/>
            <w:tcBorders>
              <w:top w:val="nil"/>
              <w:left w:val="nil"/>
              <w:bottom w:val="single" w:sz="6" w:space="0" w:color="auto"/>
              <w:right w:val="nil"/>
            </w:tcBorders>
            <w:shd w:val="clear" w:color="auto" w:fill="auto"/>
            <w:hideMark/>
          </w:tcPr>
          <w:p w:rsidR="00A53D7D" w:rsidRPr="00204234" w:rsidRDefault="00A53D7D" w:rsidP="005140B4">
            <w:pPr>
              <w:pStyle w:val="OGText"/>
              <w:rPr>
                <w:color w:val="000000"/>
                <w:szCs w:val="22"/>
                <w:lang w:eastAsia="en-AU"/>
              </w:rPr>
            </w:pPr>
            <w:r w:rsidRPr="00204234">
              <w:rPr>
                <w:lang w:eastAsia="en-AU"/>
              </w:rPr>
              <w:t xml:space="preserve">Parliamentary Services provides consultancy, advisory and support services in the areas of library, Hansard, education, human resources, finance, information technology (IT), maintenance, grounds and facilities along with planning, </w:t>
            </w:r>
            <w:proofErr w:type="gramStart"/>
            <w:r w:rsidRPr="00204234">
              <w:rPr>
                <w:lang w:eastAsia="en-AU"/>
              </w:rPr>
              <w:t>implementation</w:t>
            </w:r>
            <w:proofErr w:type="gramEnd"/>
            <w:r w:rsidRPr="00204234">
              <w:rPr>
                <w:lang w:eastAsia="en-AU"/>
              </w:rPr>
              <w:t xml:space="preserve"> and management of capital projects, for the Parliament of Victoria.</w:t>
            </w:r>
          </w:p>
        </w:tc>
      </w:tr>
      <w:tr w:rsidR="00A53D7D" w:rsidRPr="00204234" w:rsidTr="005140B4">
        <w:trPr>
          <w:cantSplit/>
        </w:trPr>
        <w:tc>
          <w:tcPr>
            <w:tcW w:w="3155" w:type="dxa"/>
            <w:tcBorders>
              <w:top w:val="single" w:sz="6" w:space="0" w:color="auto"/>
              <w:left w:val="nil"/>
              <w:bottom w:val="nil"/>
              <w:right w:val="nil"/>
            </w:tcBorders>
            <w:shd w:val="clear" w:color="auto" w:fill="auto"/>
            <w:hideMark/>
          </w:tcPr>
          <w:p w:rsidR="00A53D7D" w:rsidRPr="00204234" w:rsidRDefault="00A53D7D" w:rsidP="005140B4">
            <w:pPr>
              <w:pStyle w:val="OGTabHead"/>
              <w:rPr>
                <w:lang w:eastAsia="en-AU"/>
              </w:rPr>
            </w:pPr>
            <w:r w:rsidRPr="009B7EC0">
              <w:rPr>
                <w:bCs/>
                <w:iCs/>
                <w:color w:val="000000"/>
                <w:lang w:eastAsia="en-AU"/>
              </w:rPr>
              <w:t>Quantity</w:t>
            </w: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UoM"/>
              <w:keepNext/>
              <w:rPr>
                <w:color w:val="000000"/>
                <w:szCs w:val="22"/>
                <w:lang w:eastAsia="en-AU"/>
              </w:rPr>
            </w:pPr>
          </w:p>
        </w:tc>
        <w:tc>
          <w:tcPr>
            <w:tcW w:w="907" w:type="dxa"/>
            <w:tcBorders>
              <w:top w:val="single" w:sz="6" w:space="0" w:color="auto"/>
              <w:left w:val="nil"/>
              <w:bottom w:val="nil"/>
              <w:right w:val="nil"/>
            </w:tcBorders>
            <w:shd w:val="clear" w:color="auto" w:fill="D9D9D9"/>
            <w:noWrap/>
            <w:hideMark/>
          </w:tcPr>
          <w:p w:rsidR="00A53D7D" w:rsidRPr="00204234" w:rsidRDefault="00A53D7D" w:rsidP="005140B4">
            <w:pPr>
              <w:pStyle w:val="OGTableofFigures"/>
              <w:keepNext/>
              <w:rPr>
                <w:color w:val="000000"/>
                <w:szCs w:val="22"/>
                <w:lang w:eastAsia="en-AU"/>
              </w:rPr>
            </w:pPr>
          </w:p>
        </w:tc>
        <w:tc>
          <w:tcPr>
            <w:tcW w:w="993"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keepNext/>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keepNext/>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keepNext/>
              <w:rPr>
                <w:color w:val="000000"/>
                <w:szCs w:val="22"/>
                <w:lang w:eastAsia="en-AU"/>
              </w:rPr>
            </w:pPr>
          </w:p>
        </w:tc>
      </w:tr>
      <w:tr w:rsidR="00A53D7D" w:rsidRPr="00204234" w:rsidTr="005140B4">
        <w:trPr>
          <w:cantSplit/>
        </w:trPr>
        <w:tc>
          <w:tcPr>
            <w:tcW w:w="3155" w:type="dxa"/>
            <w:tcBorders>
              <w:top w:val="nil"/>
              <w:left w:val="nil"/>
              <w:bottom w:val="single" w:sz="6" w:space="0" w:color="auto"/>
              <w:right w:val="nil"/>
            </w:tcBorders>
            <w:shd w:val="clear" w:color="000000" w:fill="FFFFFF"/>
            <w:hideMark/>
          </w:tcPr>
          <w:p w:rsidR="00A53D7D" w:rsidRPr="00204234" w:rsidRDefault="00A53D7D" w:rsidP="005140B4">
            <w:pPr>
              <w:pStyle w:val="OGTabText"/>
              <w:keepNext/>
              <w:rPr>
                <w:color w:val="000000"/>
                <w:lang w:eastAsia="en-AU"/>
              </w:rPr>
            </w:pPr>
            <w:r w:rsidRPr="00204234">
              <w:rPr>
                <w:color w:val="000000"/>
                <w:lang w:eastAsia="en-AU"/>
              </w:rPr>
              <w:t xml:space="preserve">IT systems availability </w:t>
            </w:r>
            <w:r>
              <w:rPr>
                <w:color w:val="000000"/>
                <w:lang w:eastAsia="en-AU"/>
              </w:rPr>
              <w:t>–</w:t>
            </w:r>
            <w:r w:rsidRPr="00204234">
              <w:rPr>
                <w:color w:val="000000"/>
                <w:lang w:eastAsia="en-AU"/>
              </w:rPr>
              <w:t xml:space="preserve"> (Parliament and Electorate Offices)</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UoM"/>
              <w:keepNext/>
              <w:rPr>
                <w:color w:val="000000"/>
                <w:lang w:eastAsia="en-AU"/>
              </w:rPr>
            </w:pPr>
            <w:r w:rsidRPr="00204234">
              <w:rPr>
                <w:color w:val="000000"/>
                <w:lang w:eastAsia="en-AU"/>
              </w:rPr>
              <w:t>per cent</w:t>
            </w:r>
          </w:p>
        </w:tc>
        <w:tc>
          <w:tcPr>
            <w:tcW w:w="907" w:type="dxa"/>
            <w:tcBorders>
              <w:top w:val="nil"/>
              <w:left w:val="nil"/>
              <w:bottom w:val="single" w:sz="6" w:space="0" w:color="auto"/>
              <w:right w:val="nil"/>
            </w:tcBorders>
            <w:shd w:val="clear" w:color="auto" w:fill="D9D9D9"/>
            <w:hideMark/>
          </w:tcPr>
          <w:p w:rsidR="00A53D7D" w:rsidRPr="00204234" w:rsidRDefault="00A53D7D" w:rsidP="005140B4">
            <w:pPr>
              <w:pStyle w:val="OGTableofFigures"/>
              <w:keepNext/>
              <w:rPr>
                <w:color w:val="000000"/>
                <w:lang w:eastAsia="en-AU"/>
              </w:rPr>
            </w:pPr>
            <w:r w:rsidRPr="00204234">
              <w:rPr>
                <w:color w:val="000000"/>
                <w:lang w:eastAsia="en-AU"/>
              </w:rPr>
              <w:t>99</w:t>
            </w:r>
          </w:p>
        </w:tc>
        <w:tc>
          <w:tcPr>
            <w:tcW w:w="993"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keepNext/>
              <w:rPr>
                <w:color w:val="000000"/>
                <w:lang w:eastAsia="en-AU"/>
              </w:rPr>
            </w:pPr>
            <w:r w:rsidRPr="00204234">
              <w:rPr>
                <w:color w:val="000000"/>
                <w:lang w:eastAsia="en-AU"/>
              </w:rPr>
              <w:t>99</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keepNext/>
              <w:rPr>
                <w:color w:val="000000"/>
                <w:lang w:eastAsia="en-AU"/>
              </w:rPr>
            </w:pPr>
            <w:r w:rsidRPr="00204234">
              <w:rPr>
                <w:color w:val="000000"/>
                <w:lang w:eastAsia="en-AU"/>
              </w:rPr>
              <w:t>99</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keepNext/>
              <w:rPr>
                <w:color w:val="000000"/>
                <w:lang w:eastAsia="en-AU"/>
              </w:rPr>
            </w:pPr>
            <w:r w:rsidRPr="00204234">
              <w:rPr>
                <w:color w:val="000000"/>
                <w:lang w:eastAsia="en-AU"/>
              </w:rPr>
              <w:t>99</w:t>
            </w:r>
          </w:p>
        </w:tc>
      </w:tr>
      <w:tr w:rsidR="00A53D7D" w:rsidRPr="0020423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Text"/>
              <w:keepNext/>
              <w:rPr>
                <w:color w:val="000000"/>
                <w:lang w:eastAsia="en-AU"/>
              </w:rPr>
            </w:pPr>
            <w:r w:rsidRPr="00204234">
              <w:rPr>
                <w:color w:val="000000"/>
                <w:lang w:eastAsia="en-AU"/>
              </w:rPr>
              <w:t>Monthly management reports to MPs and departments</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UoM"/>
              <w:keepNext/>
              <w:rPr>
                <w:color w:val="000000"/>
                <w:lang w:eastAsia="en-AU"/>
              </w:rPr>
            </w:pPr>
            <w:r w:rsidRPr="00204234">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A53D7D" w:rsidRPr="00204234" w:rsidRDefault="00A53D7D" w:rsidP="005140B4">
            <w:pPr>
              <w:pStyle w:val="OGTableofFigures"/>
              <w:keepNext/>
              <w:rPr>
                <w:color w:val="000000"/>
                <w:lang w:eastAsia="en-AU"/>
              </w:rPr>
            </w:pPr>
            <w:r w:rsidRPr="00204234">
              <w:rPr>
                <w:color w:val="000000"/>
                <w:lang w:eastAsia="en-AU"/>
              </w:rPr>
              <w:t>12</w:t>
            </w:r>
          </w:p>
        </w:tc>
        <w:tc>
          <w:tcPr>
            <w:tcW w:w="993"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keepNext/>
              <w:rPr>
                <w:color w:val="000000"/>
                <w:lang w:eastAsia="en-AU"/>
              </w:rPr>
            </w:pPr>
            <w:r w:rsidRPr="00204234">
              <w:rPr>
                <w:color w:val="000000"/>
                <w:lang w:eastAsia="en-AU"/>
              </w:rPr>
              <w:t>12</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keepNext/>
              <w:rPr>
                <w:color w:val="000000"/>
                <w:lang w:eastAsia="en-AU"/>
              </w:rPr>
            </w:pPr>
            <w:r w:rsidRPr="00204234">
              <w:rPr>
                <w:color w:val="000000"/>
                <w:lang w:eastAsia="en-AU"/>
              </w:rPr>
              <w:t>12</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keepNext/>
              <w:rPr>
                <w:color w:val="000000"/>
                <w:lang w:eastAsia="en-AU"/>
              </w:rPr>
            </w:pPr>
            <w:r w:rsidRPr="00204234">
              <w:rPr>
                <w:color w:val="000000"/>
                <w:lang w:eastAsia="en-AU"/>
              </w:rPr>
              <w:t>12</w:t>
            </w:r>
          </w:p>
        </w:tc>
      </w:tr>
      <w:tr w:rsidR="00A53D7D" w:rsidRPr="0020423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Text"/>
              <w:keepNext/>
              <w:rPr>
                <w:color w:val="000000"/>
                <w:lang w:eastAsia="en-AU"/>
              </w:rPr>
            </w:pPr>
            <w:r w:rsidRPr="00204234">
              <w:rPr>
                <w:color w:val="000000"/>
                <w:lang w:eastAsia="en-AU"/>
              </w:rPr>
              <w:t>Parliamentary audio system transmission availability</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UoM"/>
              <w:keepNext/>
              <w:rPr>
                <w:color w:val="000000"/>
                <w:lang w:eastAsia="en-AU"/>
              </w:rPr>
            </w:pPr>
            <w:r w:rsidRPr="00204234">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204234" w:rsidRDefault="00A53D7D" w:rsidP="005140B4">
            <w:pPr>
              <w:pStyle w:val="OGTableofFigures"/>
              <w:keepNext/>
              <w:rPr>
                <w:color w:val="000000"/>
                <w:lang w:eastAsia="en-AU"/>
              </w:rPr>
            </w:pPr>
            <w:r w:rsidRPr="00204234">
              <w:rPr>
                <w:color w:val="000000"/>
                <w:lang w:eastAsia="en-AU"/>
              </w:rPr>
              <w:t>99</w:t>
            </w:r>
          </w:p>
        </w:tc>
        <w:tc>
          <w:tcPr>
            <w:tcW w:w="993"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keepNext/>
              <w:rPr>
                <w:color w:val="000000"/>
                <w:lang w:eastAsia="en-AU"/>
              </w:rPr>
            </w:pPr>
            <w:r w:rsidRPr="00204234">
              <w:rPr>
                <w:color w:val="000000"/>
                <w:lang w:eastAsia="en-AU"/>
              </w:rPr>
              <w:t>99</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keepNext/>
              <w:rPr>
                <w:color w:val="000000"/>
                <w:lang w:eastAsia="en-AU"/>
              </w:rPr>
            </w:pPr>
            <w:r w:rsidRPr="00204234">
              <w:rPr>
                <w:color w:val="000000"/>
                <w:lang w:eastAsia="en-AU"/>
              </w:rPr>
              <w:t>99</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keepNext/>
              <w:rPr>
                <w:color w:val="000000"/>
                <w:lang w:eastAsia="en-AU"/>
              </w:rPr>
            </w:pPr>
            <w:r w:rsidRPr="00204234">
              <w:rPr>
                <w:color w:val="000000"/>
                <w:lang w:eastAsia="en-AU"/>
              </w:rPr>
              <w:t>99</w:t>
            </w:r>
          </w:p>
        </w:tc>
      </w:tr>
      <w:tr w:rsidR="00A53D7D" w:rsidRPr="0020423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Text"/>
              <w:keepNext/>
              <w:rPr>
                <w:color w:val="000000"/>
                <w:lang w:eastAsia="en-AU"/>
              </w:rPr>
            </w:pPr>
            <w:r w:rsidRPr="00204234">
              <w:rPr>
                <w:color w:val="000000"/>
                <w:lang w:eastAsia="en-AU"/>
              </w:rPr>
              <w:t>Provide MPs with a functional electorate office</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UoM"/>
              <w:keepNext/>
              <w:rPr>
                <w:color w:val="000000"/>
                <w:lang w:eastAsia="en-AU"/>
              </w:rPr>
            </w:pPr>
            <w:r w:rsidRPr="00204234">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204234" w:rsidRDefault="00A53D7D" w:rsidP="005140B4">
            <w:pPr>
              <w:pStyle w:val="OGTableofFigures"/>
              <w:keepNext/>
              <w:rPr>
                <w:color w:val="000000"/>
                <w:lang w:eastAsia="en-AU"/>
              </w:rPr>
            </w:pPr>
            <w:r w:rsidRPr="00204234">
              <w:rPr>
                <w:color w:val="000000"/>
                <w:lang w:eastAsia="en-AU"/>
              </w:rPr>
              <w:t>95</w:t>
            </w:r>
          </w:p>
        </w:tc>
        <w:tc>
          <w:tcPr>
            <w:tcW w:w="993"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keepNext/>
              <w:rPr>
                <w:color w:val="000000"/>
                <w:lang w:eastAsia="en-AU"/>
              </w:rPr>
            </w:pPr>
            <w:r w:rsidRPr="00204234">
              <w:rPr>
                <w:color w:val="000000"/>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keepNext/>
              <w:rPr>
                <w:color w:val="000000"/>
                <w:lang w:eastAsia="en-AU"/>
              </w:rPr>
            </w:pPr>
            <w:r w:rsidRPr="00204234">
              <w:rPr>
                <w:color w:val="000000"/>
                <w:lang w:eastAsia="en-AU"/>
              </w:rPr>
              <w:t>95</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keepNext/>
              <w:rPr>
                <w:color w:val="000000"/>
                <w:lang w:eastAsia="en-AU"/>
              </w:rPr>
            </w:pPr>
            <w:r w:rsidRPr="00204234">
              <w:rPr>
                <w:color w:val="000000"/>
                <w:lang w:eastAsia="en-AU"/>
              </w:rPr>
              <w:t>100</w:t>
            </w:r>
          </w:p>
        </w:tc>
      </w:tr>
      <w:tr w:rsidR="00A53D7D" w:rsidRPr="00204234" w:rsidTr="005140B4">
        <w:trPr>
          <w:cantSplit/>
        </w:trPr>
        <w:tc>
          <w:tcPr>
            <w:tcW w:w="3155" w:type="dxa"/>
            <w:tcBorders>
              <w:top w:val="single" w:sz="6" w:space="0" w:color="auto"/>
              <w:left w:val="nil"/>
              <w:bottom w:val="nil"/>
              <w:right w:val="nil"/>
            </w:tcBorders>
            <w:shd w:val="clear" w:color="auto" w:fill="auto"/>
            <w:hideMark/>
          </w:tcPr>
          <w:p w:rsidR="00A53D7D" w:rsidRPr="00204234" w:rsidRDefault="00A53D7D" w:rsidP="005140B4">
            <w:pPr>
              <w:pStyle w:val="OGTabHead"/>
              <w:rPr>
                <w:lang w:eastAsia="en-AU"/>
              </w:rPr>
            </w:pPr>
            <w:r w:rsidRPr="00204234">
              <w:rPr>
                <w:lang w:eastAsia="en-AU"/>
              </w:rPr>
              <w:t>Quality</w:t>
            </w: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6" w:space="0" w:color="auto"/>
              <w:left w:val="nil"/>
              <w:bottom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6"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Clear audit opinion on Parliamentary Financial Statements (previous year)</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nil"/>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100</w:t>
            </w:r>
          </w:p>
        </w:tc>
        <w:tc>
          <w:tcPr>
            <w:tcW w:w="993"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r>
      <w:tr w:rsidR="00A53D7D" w:rsidRPr="00204234" w:rsidTr="005140B4">
        <w:trPr>
          <w:cantSplit/>
        </w:trPr>
        <w:tc>
          <w:tcPr>
            <w:tcW w:w="3155"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Clients satisfied with quality of information provided by library staff</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85</w:t>
            </w:r>
          </w:p>
        </w:tc>
        <w:tc>
          <w:tcPr>
            <w:tcW w:w="993"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85</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85</w:t>
            </w:r>
          </w:p>
        </w:tc>
        <w:tc>
          <w:tcPr>
            <w:tcW w:w="907" w:type="dxa"/>
            <w:tcBorders>
              <w:top w:val="single" w:sz="6" w:space="0" w:color="auto"/>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96</w:t>
            </w:r>
          </w:p>
        </w:tc>
      </w:tr>
      <w:tr w:rsidR="00A53D7D" w:rsidRPr="00204234" w:rsidTr="005140B4">
        <w:trPr>
          <w:cantSplit/>
        </w:trPr>
        <w:tc>
          <w:tcPr>
            <w:tcW w:w="3155" w:type="dxa"/>
            <w:tcBorders>
              <w:top w:val="single" w:sz="6" w:space="0" w:color="auto"/>
              <w:left w:val="nil"/>
              <w:bottom w:val="single" w:sz="4"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Maintain and secure the parliamentary precinct and have it available for legislative program</w:t>
            </w:r>
          </w:p>
        </w:tc>
        <w:tc>
          <w:tcPr>
            <w:tcW w:w="907" w:type="dxa"/>
            <w:tcBorders>
              <w:top w:val="single" w:sz="6" w:space="0" w:color="auto"/>
              <w:left w:val="nil"/>
              <w:bottom w:val="single" w:sz="4"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single" w:sz="6" w:space="0" w:color="auto"/>
              <w:left w:val="nil"/>
              <w:bottom w:val="single" w:sz="4"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95</w:t>
            </w:r>
          </w:p>
        </w:tc>
        <w:tc>
          <w:tcPr>
            <w:tcW w:w="993" w:type="dxa"/>
            <w:tcBorders>
              <w:top w:val="single" w:sz="6" w:space="0" w:color="auto"/>
              <w:left w:val="nil"/>
              <w:bottom w:val="single" w:sz="4"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95</w:t>
            </w:r>
          </w:p>
        </w:tc>
        <w:tc>
          <w:tcPr>
            <w:tcW w:w="907" w:type="dxa"/>
            <w:tcBorders>
              <w:top w:val="single" w:sz="6" w:space="0" w:color="auto"/>
              <w:left w:val="nil"/>
              <w:bottom w:val="single" w:sz="4"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95</w:t>
            </w:r>
          </w:p>
        </w:tc>
        <w:tc>
          <w:tcPr>
            <w:tcW w:w="907" w:type="dxa"/>
            <w:tcBorders>
              <w:top w:val="single" w:sz="6" w:space="0" w:color="auto"/>
              <w:left w:val="nil"/>
              <w:bottom w:val="single" w:sz="4"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r>
      <w:tr w:rsidR="00A53D7D" w:rsidRPr="00204234" w:rsidTr="005140B4">
        <w:trPr>
          <w:cantSplit/>
        </w:trPr>
        <w:tc>
          <w:tcPr>
            <w:tcW w:w="3155" w:type="dxa"/>
            <w:tcBorders>
              <w:top w:val="single" w:sz="4" w:space="0" w:color="auto"/>
              <w:left w:val="nil"/>
              <w:bottom w:val="nil"/>
              <w:right w:val="nil"/>
            </w:tcBorders>
            <w:shd w:val="clear" w:color="auto" w:fill="auto"/>
            <w:hideMark/>
          </w:tcPr>
          <w:p w:rsidR="00A53D7D" w:rsidRPr="00204234" w:rsidRDefault="00A53D7D" w:rsidP="005140B4">
            <w:pPr>
              <w:pStyle w:val="OGTabHead"/>
              <w:rPr>
                <w:lang w:eastAsia="en-AU"/>
              </w:rPr>
            </w:pPr>
            <w:r w:rsidRPr="00204234">
              <w:rPr>
                <w:lang w:eastAsia="en-AU"/>
              </w:rPr>
              <w:t>Timeliness</w:t>
            </w:r>
          </w:p>
        </w:tc>
        <w:tc>
          <w:tcPr>
            <w:tcW w:w="907" w:type="dxa"/>
            <w:tcBorders>
              <w:top w:val="single" w:sz="4" w:space="0" w:color="auto"/>
              <w:left w:val="nil"/>
              <w:bottom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4" w:space="0" w:color="auto"/>
              <w:left w:val="nil"/>
              <w:bottom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4"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4"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4" w:space="0" w:color="auto"/>
              <w:left w:val="nil"/>
              <w:bottom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single" w:sz="6"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Indexes, records and speeches and transcripts provided within agreed timeframes</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nil"/>
              <w:left w:val="nil"/>
              <w:bottom w:val="single" w:sz="6"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90</w:t>
            </w:r>
          </w:p>
        </w:tc>
        <w:tc>
          <w:tcPr>
            <w:tcW w:w="993"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90</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90</w:t>
            </w:r>
          </w:p>
        </w:tc>
        <w:tc>
          <w:tcPr>
            <w:tcW w:w="907" w:type="dxa"/>
            <w:tcBorders>
              <w:top w:val="nil"/>
              <w:left w:val="nil"/>
              <w:bottom w:val="single" w:sz="6"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98</w:t>
            </w:r>
          </w:p>
        </w:tc>
      </w:tr>
      <w:tr w:rsidR="00A53D7D" w:rsidRPr="00204234" w:rsidTr="005140B4">
        <w:trPr>
          <w:cantSplit/>
        </w:trPr>
        <w:tc>
          <w:tcPr>
            <w:tcW w:w="3155" w:type="dxa"/>
            <w:tcBorders>
              <w:top w:val="single" w:sz="6" w:space="0" w:color="auto"/>
              <w:left w:val="nil"/>
              <w:bottom w:val="single" w:sz="4" w:space="0" w:color="auto"/>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Payroll processing completed accurately and within agreed timeframes</w:t>
            </w:r>
          </w:p>
        </w:tc>
        <w:tc>
          <w:tcPr>
            <w:tcW w:w="907" w:type="dxa"/>
            <w:tcBorders>
              <w:top w:val="single" w:sz="6" w:space="0" w:color="auto"/>
              <w:left w:val="nil"/>
              <w:bottom w:val="single" w:sz="4" w:space="0" w:color="auto"/>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per cent</w:t>
            </w:r>
          </w:p>
        </w:tc>
        <w:tc>
          <w:tcPr>
            <w:tcW w:w="907" w:type="dxa"/>
            <w:tcBorders>
              <w:top w:val="single" w:sz="6" w:space="0" w:color="auto"/>
              <w:left w:val="nil"/>
              <w:bottom w:val="single" w:sz="4" w:space="0" w:color="auto"/>
              <w:right w:val="nil"/>
            </w:tcBorders>
            <w:shd w:val="clear" w:color="auto" w:fill="D9D9D9"/>
            <w:hideMark/>
          </w:tcPr>
          <w:p w:rsidR="00A53D7D" w:rsidRPr="00204234" w:rsidRDefault="00A53D7D" w:rsidP="005140B4">
            <w:pPr>
              <w:pStyle w:val="OGTableofFigures"/>
              <w:rPr>
                <w:color w:val="000000"/>
                <w:lang w:eastAsia="en-AU"/>
              </w:rPr>
            </w:pPr>
            <w:r w:rsidRPr="00204234">
              <w:rPr>
                <w:color w:val="000000"/>
                <w:lang w:eastAsia="en-AU"/>
              </w:rPr>
              <w:t>99</w:t>
            </w:r>
          </w:p>
        </w:tc>
        <w:tc>
          <w:tcPr>
            <w:tcW w:w="993" w:type="dxa"/>
            <w:tcBorders>
              <w:top w:val="single" w:sz="6" w:space="0" w:color="auto"/>
              <w:left w:val="nil"/>
              <w:bottom w:val="single" w:sz="4"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99</w:t>
            </w:r>
          </w:p>
        </w:tc>
        <w:tc>
          <w:tcPr>
            <w:tcW w:w="907" w:type="dxa"/>
            <w:tcBorders>
              <w:top w:val="single" w:sz="6" w:space="0" w:color="auto"/>
              <w:left w:val="nil"/>
              <w:bottom w:val="single" w:sz="4"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99</w:t>
            </w:r>
          </w:p>
        </w:tc>
        <w:tc>
          <w:tcPr>
            <w:tcW w:w="907" w:type="dxa"/>
            <w:tcBorders>
              <w:top w:val="single" w:sz="6" w:space="0" w:color="auto"/>
              <w:left w:val="nil"/>
              <w:bottom w:val="single" w:sz="4" w:space="0" w:color="auto"/>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100</w:t>
            </w:r>
          </w:p>
        </w:tc>
      </w:tr>
      <w:tr w:rsidR="00A53D7D" w:rsidRPr="00204234" w:rsidTr="005140B4">
        <w:trPr>
          <w:cantSplit/>
        </w:trPr>
        <w:tc>
          <w:tcPr>
            <w:tcW w:w="3155" w:type="dxa"/>
            <w:tcBorders>
              <w:top w:val="single" w:sz="4" w:space="0" w:color="auto"/>
              <w:left w:val="nil"/>
              <w:right w:val="nil"/>
            </w:tcBorders>
            <w:shd w:val="clear" w:color="auto" w:fill="auto"/>
            <w:hideMark/>
          </w:tcPr>
          <w:p w:rsidR="00A53D7D" w:rsidRPr="00204234" w:rsidRDefault="00A53D7D" w:rsidP="005140B4">
            <w:pPr>
              <w:pStyle w:val="OGTabHead"/>
              <w:rPr>
                <w:lang w:eastAsia="en-AU"/>
              </w:rPr>
            </w:pPr>
            <w:r w:rsidRPr="00204234">
              <w:rPr>
                <w:lang w:eastAsia="en-AU"/>
              </w:rPr>
              <w:t>Cost</w:t>
            </w:r>
          </w:p>
        </w:tc>
        <w:tc>
          <w:tcPr>
            <w:tcW w:w="907" w:type="dxa"/>
            <w:tcBorders>
              <w:top w:val="single" w:sz="4" w:space="0" w:color="auto"/>
              <w:left w:val="nil"/>
              <w:right w:val="nil"/>
            </w:tcBorders>
            <w:shd w:val="clear" w:color="auto" w:fill="auto"/>
            <w:noWrap/>
            <w:hideMark/>
          </w:tcPr>
          <w:p w:rsidR="00A53D7D" w:rsidRPr="00204234" w:rsidRDefault="00A53D7D" w:rsidP="005140B4">
            <w:pPr>
              <w:pStyle w:val="OGUoM"/>
              <w:rPr>
                <w:color w:val="000000"/>
                <w:szCs w:val="22"/>
                <w:lang w:eastAsia="en-AU"/>
              </w:rPr>
            </w:pPr>
          </w:p>
        </w:tc>
        <w:tc>
          <w:tcPr>
            <w:tcW w:w="907" w:type="dxa"/>
            <w:tcBorders>
              <w:top w:val="single" w:sz="4" w:space="0" w:color="auto"/>
              <w:left w:val="nil"/>
              <w:right w:val="nil"/>
            </w:tcBorders>
            <w:shd w:val="clear" w:color="auto" w:fill="D9D9D9"/>
            <w:noWrap/>
            <w:hideMark/>
          </w:tcPr>
          <w:p w:rsidR="00A53D7D" w:rsidRPr="00204234" w:rsidRDefault="00A53D7D" w:rsidP="005140B4">
            <w:pPr>
              <w:pStyle w:val="OGTableofFigures"/>
              <w:rPr>
                <w:color w:val="000000"/>
                <w:szCs w:val="22"/>
                <w:lang w:eastAsia="en-AU"/>
              </w:rPr>
            </w:pPr>
          </w:p>
        </w:tc>
        <w:tc>
          <w:tcPr>
            <w:tcW w:w="993" w:type="dxa"/>
            <w:tcBorders>
              <w:top w:val="single" w:sz="4" w:space="0" w:color="auto"/>
              <w:left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4" w:space="0" w:color="auto"/>
              <w:left w:val="nil"/>
              <w:right w:val="nil"/>
            </w:tcBorders>
            <w:shd w:val="clear" w:color="auto" w:fill="auto"/>
            <w:noWrap/>
            <w:hideMark/>
          </w:tcPr>
          <w:p w:rsidR="00A53D7D" w:rsidRPr="00204234" w:rsidRDefault="00A53D7D" w:rsidP="005140B4">
            <w:pPr>
              <w:pStyle w:val="OGTableofFigures"/>
              <w:rPr>
                <w:color w:val="000000"/>
                <w:szCs w:val="22"/>
                <w:lang w:eastAsia="en-AU"/>
              </w:rPr>
            </w:pPr>
          </w:p>
        </w:tc>
        <w:tc>
          <w:tcPr>
            <w:tcW w:w="907" w:type="dxa"/>
            <w:tcBorders>
              <w:top w:val="single" w:sz="4" w:space="0" w:color="auto"/>
              <w:left w:val="nil"/>
              <w:right w:val="nil"/>
            </w:tcBorders>
            <w:shd w:val="clear" w:color="auto" w:fill="auto"/>
            <w:noWrap/>
            <w:hideMark/>
          </w:tcPr>
          <w:p w:rsidR="00A53D7D" w:rsidRPr="00204234" w:rsidRDefault="00A53D7D" w:rsidP="005140B4">
            <w:pPr>
              <w:pStyle w:val="OGTableofFigures"/>
              <w:rPr>
                <w:color w:val="000000"/>
                <w:szCs w:val="22"/>
                <w:lang w:eastAsia="en-AU"/>
              </w:rPr>
            </w:pPr>
          </w:p>
        </w:tc>
      </w:tr>
      <w:tr w:rsidR="00A53D7D" w:rsidRPr="00204234" w:rsidTr="005140B4">
        <w:trPr>
          <w:cantSplit/>
        </w:trPr>
        <w:tc>
          <w:tcPr>
            <w:tcW w:w="3155" w:type="dxa"/>
            <w:tcBorders>
              <w:top w:val="nil"/>
              <w:left w:val="nil"/>
              <w:bottom w:val="nil"/>
              <w:right w:val="nil"/>
            </w:tcBorders>
            <w:shd w:val="clear" w:color="000000" w:fill="FFFFFF"/>
            <w:hideMark/>
          </w:tcPr>
          <w:p w:rsidR="00A53D7D" w:rsidRPr="00204234" w:rsidRDefault="00A53D7D" w:rsidP="005140B4">
            <w:pPr>
              <w:pStyle w:val="OGTabText"/>
              <w:rPr>
                <w:color w:val="000000"/>
                <w:lang w:eastAsia="en-AU"/>
              </w:rPr>
            </w:pPr>
            <w:r w:rsidRPr="00204234">
              <w:rPr>
                <w:color w:val="000000"/>
                <w:lang w:eastAsia="en-AU"/>
              </w:rPr>
              <w:t>Total output cost</w:t>
            </w:r>
          </w:p>
        </w:tc>
        <w:tc>
          <w:tcPr>
            <w:tcW w:w="907" w:type="dxa"/>
            <w:tcBorders>
              <w:top w:val="nil"/>
              <w:left w:val="nil"/>
              <w:bottom w:val="nil"/>
              <w:right w:val="nil"/>
            </w:tcBorders>
            <w:shd w:val="clear" w:color="000000" w:fill="FFFFFF"/>
            <w:hideMark/>
          </w:tcPr>
          <w:p w:rsidR="00A53D7D" w:rsidRPr="00204234" w:rsidRDefault="00A53D7D" w:rsidP="005140B4">
            <w:pPr>
              <w:pStyle w:val="OGUoM"/>
              <w:rPr>
                <w:color w:val="000000"/>
                <w:lang w:eastAsia="en-AU"/>
              </w:rPr>
            </w:pPr>
            <w:r w:rsidRPr="00204234">
              <w:rPr>
                <w:color w:val="000000"/>
                <w:lang w:eastAsia="en-AU"/>
              </w:rPr>
              <w:t>$</w:t>
            </w:r>
            <w:r>
              <w:rPr>
                <w:color w:val="000000"/>
                <w:lang w:eastAsia="en-AU"/>
              </w:rPr>
              <w:t> million</w:t>
            </w:r>
          </w:p>
        </w:tc>
        <w:tc>
          <w:tcPr>
            <w:tcW w:w="907" w:type="dxa"/>
            <w:tcBorders>
              <w:top w:val="nil"/>
              <w:left w:val="nil"/>
              <w:bottom w:val="nil"/>
              <w:right w:val="nil"/>
            </w:tcBorders>
            <w:shd w:val="clear" w:color="auto" w:fill="D9D9D9"/>
            <w:hideMark/>
          </w:tcPr>
          <w:p w:rsidR="00A53D7D" w:rsidRPr="00EE0494" w:rsidRDefault="00A53D7D" w:rsidP="005140B4">
            <w:pPr>
              <w:pStyle w:val="OGTableofFigures"/>
              <w:rPr>
                <w:lang w:eastAsia="en-AU"/>
              </w:rPr>
            </w:pPr>
            <w:r w:rsidRPr="00EE0494">
              <w:rPr>
                <w:lang w:eastAsia="en-AU"/>
              </w:rPr>
              <w:t>90.7</w:t>
            </w:r>
          </w:p>
        </w:tc>
        <w:tc>
          <w:tcPr>
            <w:tcW w:w="993" w:type="dxa"/>
            <w:tcBorders>
              <w:top w:val="nil"/>
              <w:left w:val="nil"/>
              <w:bottom w:val="nil"/>
              <w:right w:val="nil"/>
            </w:tcBorders>
            <w:shd w:val="clear" w:color="000000" w:fill="FFFFFF"/>
            <w:hideMark/>
          </w:tcPr>
          <w:p w:rsidR="00A53D7D" w:rsidRPr="00EE0494" w:rsidRDefault="00A53D7D" w:rsidP="005140B4">
            <w:pPr>
              <w:pStyle w:val="OGTableofFigures"/>
              <w:rPr>
                <w:lang w:eastAsia="en-AU"/>
              </w:rPr>
            </w:pPr>
            <w:r w:rsidRPr="00EE0494">
              <w:rPr>
                <w:lang w:eastAsia="en-AU"/>
              </w:rPr>
              <w:t>80.9</w:t>
            </w:r>
          </w:p>
        </w:tc>
        <w:tc>
          <w:tcPr>
            <w:tcW w:w="907" w:type="dxa"/>
            <w:tcBorders>
              <w:top w:val="nil"/>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87.2</w:t>
            </w:r>
          </w:p>
        </w:tc>
        <w:tc>
          <w:tcPr>
            <w:tcW w:w="907" w:type="dxa"/>
            <w:tcBorders>
              <w:top w:val="nil"/>
              <w:left w:val="nil"/>
              <w:bottom w:val="nil"/>
              <w:right w:val="nil"/>
            </w:tcBorders>
            <w:shd w:val="clear" w:color="000000" w:fill="FFFFFF"/>
            <w:hideMark/>
          </w:tcPr>
          <w:p w:rsidR="00A53D7D" w:rsidRPr="00204234" w:rsidRDefault="00A53D7D" w:rsidP="005140B4">
            <w:pPr>
              <w:pStyle w:val="OGTableofFigures"/>
              <w:rPr>
                <w:color w:val="000000"/>
                <w:lang w:eastAsia="en-AU"/>
              </w:rPr>
            </w:pPr>
            <w:r w:rsidRPr="00204234">
              <w:rPr>
                <w:color w:val="000000"/>
                <w:lang w:eastAsia="en-AU"/>
              </w:rPr>
              <w:t>81.9</w:t>
            </w:r>
          </w:p>
        </w:tc>
      </w:tr>
      <w:tr w:rsidR="00A53D7D" w:rsidRPr="00204234" w:rsidTr="005140B4">
        <w:trPr>
          <w:cantSplit/>
        </w:trPr>
        <w:tc>
          <w:tcPr>
            <w:tcW w:w="7776" w:type="dxa"/>
            <w:gridSpan w:val="6"/>
            <w:tcBorders>
              <w:top w:val="nil"/>
              <w:left w:val="nil"/>
              <w:bottom w:val="single" w:sz="12" w:space="0" w:color="auto"/>
              <w:right w:val="nil"/>
            </w:tcBorders>
            <w:shd w:val="clear" w:color="000000" w:fill="FFFFFF"/>
          </w:tcPr>
          <w:p w:rsidR="00A53D7D" w:rsidRPr="00204234" w:rsidRDefault="00A53D7D" w:rsidP="005140B4">
            <w:pPr>
              <w:pStyle w:val="OGNotes"/>
            </w:pPr>
            <w:r>
              <w:t>The higher 2014-15 target is due to indexation and additional funding in 2014-15 for Victorian electoral boundary redistribution.</w:t>
            </w:r>
          </w:p>
        </w:tc>
      </w:tr>
    </w:tbl>
    <w:p w:rsidR="00A53D7D" w:rsidRDefault="00A53D7D" w:rsidP="005140B4">
      <w:pPr>
        <w:pStyle w:val="Source"/>
      </w:pPr>
      <w:r>
        <w:t xml:space="preserve">Source: Parliament of Victoria </w:t>
      </w:r>
      <w:r>
        <w:fldChar w:fldCharType="begin"/>
      </w:r>
      <w:r>
        <w:instrText xml:space="preserve"> XE "</w:instrText>
      </w:r>
      <w:r w:rsidRPr="00597471">
        <w:rPr>
          <w:lang w:eastAsia="en-AU"/>
        </w:rPr>
        <w:instrText>Parliament</w:instrText>
      </w:r>
      <w:r w:rsidRPr="00597471">
        <w:instrText>:Parliamentary Services</w:instrText>
      </w:r>
      <w:r>
        <w:instrText xml:space="preserve">" </w:instrText>
      </w:r>
      <w:r>
        <w:fldChar w:fldCharType="end"/>
      </w:r>
      <w:r>
        <w:fldChar w:fldCharType="begin"/>
      </w:r>
      <w:r>
        <w:instrText xml:space="preserve"> XE "</w:instrText>
      </w:r>
      <w:r w:rsidRPr="0008381B">
        <w:rPr>
          <w:lang w:eastAsia="en-AU"/>
        </w:rPr>
        <w:instrText>Parliamentary Services</w:instrText>
      </w:r>
      <w:r>
        <w:instrText xml:space="preserve">" </w:instrText>
      </w:r>
      <w:r>
        <w:fldChar w:fldCharType="end"/>
      </w:r>
      <w:r>
        <w:t xml:space="preserve"> </w:t>
      </w:r>
    </w:p>
    <w:p w:rsidR="00A53D7D" w:rsidRDefault="00A53D7D"/>
    <w:p w:rsidR="00A53D7D" w:rsidRPr="00BB7C92" w:rsidRDefault="00A53D7D" w:rsidP="005140B4">
      <w:pPr>
        <w:pStyle w:val="OGHeading1"/>
        <w:keepNext/>
        <w:rPr>
          <w:color w:val="000000"/>
          <w:lang w:eastAsia="en-AU"/>
        </w:rPr>
      </w:pPr>
      <w:bookmarkStart w:id="151" w:name="ParlVAGO"/>
      <w:r w:rsidRPr="00BB7C92">
        <w:rPr>
          <w:lang w:eastAsia="en-AU"/>
        </w:rPr>
        <w:t>Victorian Auditor</w:t>
      </w:r>
      <w:r>
        <w:rPr>
          <w:lang w:eastAsia="en-AU"/>
        </w:rPr>
        <w:noBreakHyphen/>
      </w:r>
      <w:r w:rsidRPr="00BB7C92">
        <w:rPr>
          <w:lang w:eastAsia="en-AU"/>
        </w:rPr>
        <w:t>General's Office</w:t>
      </w:r>
    </w:p>
    <w:p w:rsidR="00A53D7D" w:rsidRPr="00BB7C92" w:rsidRDefault="00A53D7D" w:rsidP="005140B4">
      <w:pPr>
        <w:pStyle w:val="OGText"/>
        <w:rPr>
          <w:lang w:eastAsia="en-AU"/>
        </w:rPr>
      </w:pPr>
      <w:r w:rsidRPr="00BB7C92">
        <w:rPr>
          <w:lang w:eastAsia="en-AU"/>
        </w:rPr>
        <w:t>The purpose of the Victorian Auditor</w:t>
      </w:r>
      <w:r>
        <w:rPr>
          <w:i/>
          <w:lang w:eastAsia="en-AU"/>
        </w:rPr>
        <w:noBreakHyphen/>
      </w:r>
      <w:r w:rsidRPr="00BB7C92">
        <w:rPr>
          <w:lang w:eastAsia="en-AU"/>
        </w:rPr>
        <w:t xml:space="preserve">General's Office is to provide assurance to Parliament on the accountability and performance of the Victorian public sector. Under the </w:t>
      </w:r>
      <w:r w:rsidRPr="00773596">
        <w:rPr>
          <w:i/>
          <w:lang w:eastAsia="en-AU"/>
        </w:rPr>
        <w:t>Audit Act 1994</w:t>
      </w:r>
      <w:r w:rsidRPr="00BB7C92">
        <w:rPr>
          <w:lang w:eastAsia="en-AU"/>
        </w:rPr>
        <w:t>, the Auditor</w:t>
      </w:r>
      <w:r>
        <w:rPr>
          <w:lang w:eastAsia="en-AU"/>
        </w:rPr>
        <w:noBreakHyphen/>
      </w:r>
      <w:r w:rsidRPr="00BB7C92">
        <w:rPr>
          <w:lang w:eastAsia="en-AU"/>
        </w:rPr>
        <w:t xml:space="preserve">General audits financial </w:t>
      </w:r>
      <w:r w:rsidRPr="00EF427D">
        <w:t>statements</w:t>
      </w:r>
      <w:r w:rsidRPr="00BB7C92">
        <w:rPr>
          <w:lang w:eastAsia="en-AU"/>
        </w:rPr>
        <w:t xml:space="preserve"> prepared by Victorian public sector agencies and issues audit reports. In addition, the Auditor</w:t>
      </w:r>
      <w:r>
        <w:rPr>
          <w:lang w:eastAsia="en-AU"/>
        </w:rPr>
        <w:noBreakHyphen/>
      </w:r>
      <w:r w:rsidRPr="00BB7C92">
        <w:rPr>
          <w:lang w:eastAsia="en-AU"/>
        </w:rPr>
        <w:t xml:space="preserve">General carries out performance audits to determine whether authorities, </w:t>
      </w:r>
      <w:proofErr w:type="gramStart"/>
      <w:r w:rsidRPr="00BB7C92">
        <w:rPr>
          <w:lang w:eastAsia="en-AU"/>
        </w:rPr>
        <w:t>operations</w:t>
      </w:r>
      <w:proofErr w:type="gramEnd"/>
      <w:r w:rsidRPr="00BB7C92">
        <w:rPr>
          <w:lang w:eastAsia="en-AU"/>
        </w:rPr>
        <w:t xml:space="preserve"> or activities are operating effectively, economically and efficiently in compliance with all relevant Acts.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 xml:space="preserve">Performance </w:t>
            </w:r>
            <w:r>
              <w:rPr>
                <w:lang w:eastAsia="en-AU"/>
              </w:rPr>
              <w:t>m</w:t>
            </w:r>
            <w:r w:rsidRPr="00204234">
              <w:rPr>
                <w:lang w:eastAsia="en-AU"/>
              </w:rPr>
              <w:t>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5D6F5B" w:rsidTr="005140B4">
        <w:trPr>
          <w:cantSplit/>
        </w:trPr>
        <w:tc>
          <w:tcPr>
            <w:tcW w:w="7776" w:type="dxa"/>
            <w:gridSpan w:val="6"/>
            <w:tcBorders>
              <w:top w:val="nil"/>
              <w:left w:val="nil"/>
              <w:bottom w:val="single" w:sz="6" w:space="0" w:color="auto"/>
              <w:right w:val="nil"/>
            </w:tcBorders>
            <w:shd w:val="clear" w:color="000000" w:fill="FFFFFF"/>
          </w:tcPr>
          <w:p w:rsidR="00A53D7D" w:rsidRPr="00BB7C92" w:rsidRDefault="00A53D7D" w:rsidP="005140B4">
            <w:pPr>
              <w:pStyle w:val="OGHeading2"/>
              <w:rPr>
                <w:color w:val="000000"/>
                <w:lang w:eastAsia="en-AU"/>
              </w:rPr>
            </w:pPr>
            <w:r w:rsidRPr="00BB7C92">
              <w:rPr>
                <w:lang w:eastAsia="en-AU"/>
              </w:rPr>
              <w:t>Audit reports on Financial Statements</w:t>
            </w:r>
          </w:p>
        </w:tc>
      </w:tr>
      <w:tr w:rsidR="00A53D7D" w:rsidRPr="005D6F5B" w:rsidTr="005140B4">
        <w:trPr>
          <w:cantSplit/>
        </w:trPr>
        <w:tc>
          <w:tcPr>
            <w:tcW w:w="3155" w:type="dxa"/>
            <w:tcBorders>
              <w:top w:val="single" w:sz="6" w:space="0" w:color="auto"/>
              <w:left w:val="nil"/>
              <w:bottom w:val="nil"/>
              <w:right w:val="nil"/>
            </w:tcBorders>
            <w:shd w:val="clear" w:color="000000" w:fill="FFFFFF"/>
          </w:tcPr>
          <w:p w:rsidR="00A53D7D" w:rsidRPr="00BB7C92" w:rsidRDefault="00A53D7D" w:rsidP="005140B4">
            <w:pPr>
              <w:pStyle w:val="OGTabHead"/>
              <w:rPr>
                <w:lang w:eastAsia="en-AU"/>
              </w:rPr>
            </w:pPr>
            <w:r w:rsidRPr="00BB7C92">
              <w:rPr>
                <w:lang w:eastAsia="en-AU"/>
              </w:rPr>
              <w:t>Quantity</w:t>
            </w: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UoM"/>
              <w:rPr>
                <w:color w:val="000000"/>
                <w:lang w:eastAsia="en-AU"/>
              </w:rPr>
            </w:pPr>
          </w:p>
        </w:tc>
        <w:tc>
          <w:tcPr>
            <w:tcW w:w="907" w:type="dxa"/>
            <w:tcBorders>
              <w:top w:val="single" w:sz="6" w:space="0" w:color="auto"/>
              <w:left w:val="nil"/>
              <w:bottom w:val="nil"/>
              <w:right w:val="nil"/>
            </w:tcBorders>
            <w:shd w:val="clear" w:color="auto" w:fill="D9D9D9"/>
          </w:tcPr>
          <w:p w:rsidR="00A53D7D" w:rsidRPr="00BB7C92" w:rsidRDefault="00A53D7D" w:rsidP="005140B4">
            <w:pPr>
              <w:pStyle w:val="OGTableofFigures"/>
              <w:rPr>
                <w:color w:val="000000"/>
                <w:lang w:eastAsia="en-AU"/>
              </w:rPr>
            </w:pPr>
          </w:p>
        </w:tc>
        <w:tc>
          <w:tcPr>
            <w:tcW w:w="993" w:type="dxa"/>
            <w:tcBorders>
              <w:top w:val="single" w:sz="6" w:space="0" w:color="auto"/>
              <w:left w:val="nil"/>
              <w:bottom w:val="nil"/>
              <w:right w:val="nil"/>
            </w:tcBorders>
            <w:shd w:val="clear" w:color="000000" w:fill="FFFFFF"/>
          </w:tcPr>
          <w:p w:rsidR="00A53D7D" w:rsidRPr="00BB7C92" w:rsidRDefault="00A53D7D" w:rsidP="005140B4">
            <w:pPr>
              <w:pStyle w:val="OGTableofFigures"/>
              <w:rPr>
                <w:color w:val="000000"/>
                <w:lang w:eastAsia="en-AU"/>
              </w:rPr>
            </w:pP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TableofFigures"/>
              <w:rPr>
                <w:color w:val="000000"/>
                <w:lang w:eastAsia="en-AU"/>
              </w:rPr>
            </w:pP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TableofFigures"/>
              <w:rPr>
                <w:color w:val="000000"/>
                <w:lang w:eastAsia="en-AU"/>
              </w:rPr>
            </w:pPr>
          </w:p>
        </w:tc>
      </w:tr>
      <w:tr w:rsidR="00A53D7D" w:rsidRPr="005D6F5B" w:rsidTr="005140B4">
        <w:trPr>
          <w:cantSplit/>
        </w:trPr>
        <w:tc>
          <w:tcPr>
            <w:tcW w:w="3155" w:type="dxa"/>
            <w:tcBorders>
              <w:top w:val="nil"/>
              <w:left w:val="nil"/>
              <w:bottom w:val="single" w:sz="6" w:space="0" w:color="auto"/>
              <w:right w:val="nil"/>
            </w:tcBorders>
            <w:shd w:val="clear" w:color="000000" w:fill="FFFFFF"/>
          </w:tcPr>
          <w:p w:rsidR="00A53D7D" w:rsidRPr="00BB7C92" w:rsidRDefault="00A53D7D" w:rsidP="005140B4">
            <w:pPr>
              <w:pStyle w:val="OGTabText"/>
              <w:rPr>
                <w:lang w:eastAsia="en-AU"/>
              </w:rPr>
            </w:pPr>
            <w:r w:rsidRPr="00BB7C92">
              <w:rPr>
                <w:lang w:eastAsia="en-AU"/>
              </w:rPr>
              <w:t>Audit opinions issued on non</w:t>
            </w:r>
            <w:r>
              <w:rPr>
                <w:lang w:eastAsia="en-AU"/>
              </w:rPr>
              <w:noBreakHyphen/>
            </w:r>
            <w:r w:rsidRPr="00BB7C92">
              <w:rPr>
                <w:lang w:eastAsia="en-AU"/>
              </w:rPr>
              <w:t>financial performance indicators</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UoM"/>
              <w:rPr>
                <w:color w:val="000000"/>
                <w:lang w:eastAsia="en-AU"/>
              </w:rPr>
            </w:pPr>
            <w:r w:rsidRPr="00BB7C92">
              <w:rPr>
                <w:color w:val="000000"/>
                <w:lang w:eastAsia="en-AU"/>
              </w:rPr>
              <w:t>number</w:t>
            </w:r>
          </w:p>
        </w:tc>
        <w:tc>
          <w:tcPr>
            <w:tcW w:w="907" w:type="dxa"/>
            <w:tcBorders>
              <w:top w:val="nil"/>
              <w:left w:val="nil"/>
              <w:bottom w:val="single" w:sz="6" w:space="0" w:color="auto"/>
              <w:right w:val="nil"/>
            </w:tcBorders>
            <w:shd w:val="clear" w:color="auto" w:fill="D9D9D9"/>
          </w:tcPr>
          <w:p w:rsidR="00A53D7D" w:rsidRPr="00BB7C92" w:rsidRDefault="00A53D7D" w:rsidP="005140B4">
            <w:pPr>
              <w:pStyle w:val="OGTableofFigures"/>
              <w:rPr>
                <w:color w:val="000000"/>
                <w:lang w:eastAsia="en-AU"/>
              </w:rPr>
            </w:pPr>
            <w:r w:rsidRPr="00BB7C92">
              <w:rPr>
                <w:color w:val="000000"/>
                <w:lang w:eastAsia="en-AU"/>
              </w:rPr>
              <w:t>115</w:t>
            </w:r>
          </w:p>
        </w:tc>
        <w:tc>
          <w:tcPr>
            <w:tcW w:w="993" w:type="dxa"/>
            <w:tcBorders>
              <w:top w:val="nil"/>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115</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115</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115</w:t>
            </w:r>
          </w:p>
        </w:tc>
      </w:tr>
      <w:tr w:rsidR="00A53D7D" w:rsidRPr="005D6F5B" w:rsidTr="005140B4">
        <w:trPr>
          <w:cantSplit/>
        </w:trPr>
        <w:tc>
          <w:tcPr>
            <w:tcW w:w="3155"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TabText"/>
              <w:rPr>
                <w:color w:val="000000"/>
                <w:lang w:eastAsia="en-AU"/>
              </w:rPr>
            </w:pPr>
            <w:r w:rsidRPr="00BB7C92">
              <w:rPr>
                <w:color w:val="000000"/>
                <w:lang w:eastAsia="en-AU"/>
              </w:rPr>
              <w:t>Audit opinions issued on the financial statements of agencies</w:t>
            </w:r>
          </w:p>
        </w:tc>
        <w:tc>
          <w:tcPr>
            <w:tcW w:w="907"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UoM"/>
              <w:rPr>
                <w:color w:val="000000"/>
                <w:lang w:eastAsia="en-AU"/>
              </w:rPr>
            </w:pPr>
            <w:r w:rsidRPr="00BB7C92">
              <w:rPr>
                <w:color w:val="000000"/>
                <w:lang w:eastAsia="en-AU"/>
              </w:rPr>
              <w:t>number</w:t>
            </w:r>
          </w:p>
        </w:tc>
        <w:tc>
          <w:tcPr>
            <w:tcW w:w="907" w:type="dxa"/>
            <w:tcBorders>
              <w:top w:val="single" w:sz="6" w:space="0" w:color="auto"/>
              <w:left w:val="nil"/>
              <w:bottom w:val="single" w:sz="6" w:space="0" w:color="auto"/>
              <w:right w:val="nil"/>
            </w:tcBorders>
            <w:shd w:val="clear" w:color="auto" w:fill="D9D9D9"/>
          </w:tcPr>
          <w:p w:rsidR="00A53D7D" w:rsidRPr="00BB7C92" w:rsidRDefault="00A53D7D" w:rsidP="005140B4">
            <w:pPr>
              <w:pStyle w:val="OGTableofFigures"/>
              <w:rPr>
                <w:color w:val="000000"/>
                <w:lang w:eastAsia="en-AU"/>
              </w:rPr>
            </w:pPr>
            <w:r w:rsidRPr="00BB7C92">
              <w:rPr>
                <w:color w:val="000000"/>
                <w:lang w:eastAsia="en-AU"/>
              </w:rPr>
              <w:t>559</w:t>
            </w:r>
          </w:p>
        </w:tc>
        <w:tc>
          <w:tcPr>
            <w:tcW w:w="993"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559</w:t>
            </w:r>
          </w:p>
        </w:tc>
        <w:tc>
          <w:tcPr>
            <w:tcW w:w="907"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559</w:t>
            </w:r>
          </w:p>
        </w:tc>
        <w:tc>
          <w:tcPr>
            <w:tcW w:w="907"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550</w:t>
            </w:r>
          </w:p>
        </w:tc>
      </w:tr>
      <w:tr w:rsidR="00A53D7D" w:rsidRPr="005D6F5B" w:rsidTr="005140B4">
        <w:trPr>
          <w:cantSplit/>
        </w:trPr>
        <w:tc>
          <w:tcPr>
            <w:tcW w:w="3155" w:type="dxa"/>
            <w:tcBorders>
              <w:top w:val="single" w:sz="6" w:space="0" w:color="auto"/>
              <w:left w:val="nil"/>
              <w:bottom w:val="nil"/>
              <w:right w:val="nil"/>
            </w:tcBorders>
            <w:shd w:val="clear" w:color="000000" w:fill="FFFFFF"/>
          </w:tcPr>
          <w:p w:rsidR="00A53D7D" w:rsidRPr="00BB7C92" w:rsidRDefault="00A53D7D" w:rsidP="005140B4">
            <w:pPr>
              <w:pStyle w:val="OGTabHead"/>
              <w:rPr>
                <w:lang w:eastAsia="en-AU"/>
              </w:rPr>
            </w:pPr>
            <w:r w:rsidRPr="00BB7C92">
              <w:rPr>
                <w:lang w:eastAsia="en-AU"/>
              </w:rPr>
              <w:t>Quality</w:t>
            </w: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UoM"/>
              <w:rPr>
                <w:color w:val="000000"/>
                <w:lang w:eastAsia="en-AU"/>
              </w:rPr>
            </w:pPr>
          </w:p>
        </w:tc>
        <w:tc>
          <w:tcPr>
            <w:tcW w:w="907" w:type="dxa"/>
            <w:tcBorders>
              <w:top w:val="single" w:sz="6" w:space="0" w:color="auto"/>
              <w:left w:val="nil"/>
              <w:bottom w:val="nil"/>
              <w:right w:val="nil"/>
            </w:tcBorders>
            <w:shd w:val="clear" w:color="auto" w:fill="D9D9D9"/>
          </w:tcPr>
          <w:p w:rsidR="00A53D7D" w:rsidRPr="00BB7C92" w:rsidRDefault="00A53D7D" w:rsidP="005140B4">
            <w:pPr>
              <w:pStyle w:val="OGTableofFigures"/>
              <w:rPr>
                <w:color w:val="000000"/>
                <w:lang w:eastAsia="en-AU"/>
              </w:rPr>
            </w:pPr>
          </w:p>
        </w:tc>
        <w:tc>
          <w:tcPr>
            <w:tcW w:w="993" w:type="dxa"/>
            <w:tcBorders>
              <w:top w:val="single" w:sz="6" w:space="0" w:color="auto"/>
              <w:left w:val="nil"/>
              <w:bottom w:val="nil"/>
              <w:right w:val="nil"/>
            </w:tcBorders>
            <w:shd w:val="clear" w:color="000000" w:fill="FFFFFF"/>
          </w:tcPr>
          <w:p w:rsidR="00A53D7D" w:rsidRPr="00BB7C92" w:rsidRDefault="00A53D7D" w:rsidP="005140B4">
            <w:pPr>
              <w:pStyle w:val="OGTableofFigures"/>
              <w:rPr>
                <w:color w:val="000000"/>
                <w:lang w:eastAsia="en-AU"/>
              </w:rPr>
            </w:pP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TableofFigures"/>
              <w:rPr>
                <w:color w:val="000000"/>
                <w:lang w:eastAsia="en-AU"/>
              </w:rPr>
            </w:pP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TableofFigures"/>
              <w:rPr>
                <w:color w:val="000000"/>
                <w:lang w:eastAsia="en-AU"/>
              </w:rPr>
            </w:pPr>
          </w:p>
        </w:tc>
      </w:tr>
      <w:tr w:rsidR="00A53D7D" w:rsidRPr="005D6F5B" w:rsidTr="005140B4">
        <w:trPr>
          <w:cantSplit/>
        </w:trPr>
        <w:tc>
          <w:tcPr>
            <w:tcW w:w="3155" w:type="dxa"/>
            <w:tcBorders>
              <w:top w:val="nil"/>
              <w:left w:val="nil"/>
              <w:bottom w:val="single" w:sz="6" w:space="0" w:color="auto"/>
              <w:right w:val="nil"/>
            </w:tcBorders>
            <w:shd w:val="clear" w:color="000000" w:fill="FFFFFF"/>
          </w:tcPr>
          <w:p w:rsidR="00A53D7D" w:rsidRPr="00BB7C92" w:rsidRDefault="00A53D7D" w:rsidP="005140B4">
            <w:pPr>
              <w:pStyle w:val="OGTabText"/>
              <w:rPr>
                <w:color w:val="000000"/>
                <w:lang w:eastAsia="en-AU"/>
              </w:rPr>
            </w:pPr>
            <w:r w:rsidRPr="00BB7C92">
              <w:rPr>
                <w:color w:val="000000"/>
                <w:lang w:eastAsia="en-AU"/>
              </w:rPr>
              <w:t>External/peer reviews finding no material departures from professional and regulatory standards</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UoM"/>
              <w:rPr>
                <w:color w:val="000000"/>
                <w:lang w:eastAsia="en-AU"/>
              </w:rPr>
            </w:pPr>
            <w:r w:rsidRPr="00BB7C92">
              <w:rPr>
                <w:color w:val="000000"/>
                <w:lang w:eastAsia="en-AU"/>
              </w:rPr>
              <w:t>per cent</w:t>
            </w:r>
          </w:p>
        </w:tc>
        <w:tc>
          <w:tcPr>
            <w:tcW w:w="907" w:type="dxa"/>
            <w:tcBorders>
              <w:top w:val="nil"/>
              <w:left w:val="nil"/>
              <w:bottom w:val="single" w:sz="6" w:space="0" w:color="auto"/>
              <w:right w:val="nil"/>
            </w:tcBorders>
            <w:shd w:val="clear" w:color="auto" w:fill="D9D9D9"/>
          </w:tcPr>
          <w:p w:rsidR="00A53D7D" w:rsidRPr="00BB7C92" w:rsidRDefault="00A53D7D" w:rsidP="005140B4">
            <w:pPr>
              <w:pStyle w:val="OGTableofFigures"/>
              <w:rPr>
                <w:color w:val="000000"/>
                <w:lang w:eastAsia="en-AU"/>
              </w:rPr>
            </w:pPr>
            <w:r w:rsidRPr="00BB7C92">
              <w:rPr>
                <w:color w:val="000000"/>
                <w:lang w:eastAsia="en-AU"/>
              </w:rPr>
              <w:t>100</w:t>
            </w:r>
          </w:p>
        </w:tc>
        <w:tc>
          <w:tcPr>
            <w:tcW w:w="993" w:type="dxa"/>
            <w:tcBorders>
              <w:top w:val="nil"/>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100</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100</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100</w:t>
            </w:r>
          </w:p>
        </w:tc>
      </w:tr>
      <w:tr w:rsidR="00A53D7D" w:rsidRPr="005D6F5B" w:rsidTr="005140B4">
        <w:trPr>
          <w:cantSplit/>
        </w:trPr>
        <w:tc>
          <w:tcPr>
            <w:tcW w:w="3155" w:type="dxa"/>
            <w:tcBorders>
              <w:top w:val="single" w:sz="6" w:space="0" w:color="auto"/>
              <w:left w:val="nil"/>
              <w:bottom w:val="nil"/>
              <w:right w:val="nil"/>
            </w:tcBorders>
            <w:shd w:val="clear" w:color="000000" w:fill="FFFFFF"/>
          </w:tcPr>
          <w:p w:rsidR="00A53D7D" w:rsidRPr="00BB7C92" w:rsidRDefault="00A53D7D" w:rsidP="005140B4">
            <w:pPr>
              <w:pStyle w:val="OGTabHead"/>
              <w:rPr>
                <w:lang w:eastAsia="en-AU"/>
              </w:rPr>
            </w:pPr>
            <w:r w:rsidRPr="00BB7C92">
              <w:rPr>
                <w:lang w:eastAsia="en-AU"/>
              </w:rPr>
              <w:t>Timeliness</w:t>
            </w: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UoM"/>
              <w:rPr>
                <w:color w:val="000000"/>
                <w:lang w:eastAsia="en-AU"/>
              </w:rPr>
            </w:pPr>
          </w:p>
        </w:tc>
        <w:tc>
          <w:tcPr>
            <w:tcW w:w="907" w:type="dxa"/>
            <w:tcBorders>
              <w:top w:val="single" w:sz="6" w:space="0" w:color="auto"/>
              <w:left w:val="nil"/>
              <w:bottom w:val="nil"/>
              <w:right w:val="nil"/>
            </w:tcBorders>
            <w:shd w:val="clear" w:color="auto" w:fill="D9D9D9"/>
          </w:tcPr>
          <w:p w:rsidR="00A53D7D" w:rsidRPr="00BB7C92" w:rsidRDefault="00A53D7D" w:rsidP="005140B4">
            <w:pPr>
              <w:pStyle w:val="OGTableofFigures"/>
              <w:rPr>
                <w:color w:val="000000"/>
                <w:lang w:eastAsia="en-AU"/>
              </w:rPr>
            </w:pPr>
          </w:p>
        </w:tc>
        <w:tc>
          <w:tcPr>
            <w:tcW w:w="993" w:type="dxa"/>
            <w:tcBorders>
              <w:top w:val="single" w:sz="6" w:space="0" w:color="auto"/>
              <w:left w:val="nil"/>
              <w:bottom w:val="nil"/>
              <w:right w:val="nil"/>
            </w:tcBorders>
            <w:shd w:val="clear" w:color="000000" w:fill="FFFFFF"/>
          </w:tcPr>
          <w:p w:rsidR="00A53D7D" w:rsidRPr="00BB7C92" w:rsidRDefault="00A53D7D" w:rsidP="005140B4">
            <w:pPr>
              <w:pStyle w:val="OGTableofFigures"/>
              <w:rPr>
                <w:color w:val="000000"/>
                <w:lang w:eastAsia="en-AU"/>
              </w:rPr>
            </w:pP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TableofFigures"/>
              <w:rPr>
                <w:color w:val="000000"/>
                <w:lang w:eastAsia="en-AU"/>
              </w:rPr>
            </w:pP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TableofFigures"/>
              <w:rPr>
                <w:color w:val="000000"/>
                <w:lang w:eastAsia="en-AU"/>
              </w:rPr>
            </w:pPr>
          </w:p>
        </w:tc>
      </w:tr>
      <w:tr w:rsidR="00A53D7D" w:rsidRPr="005D6F5B" w:rsidTr="005140B4">
        <w:trPr>
          <w:cantSplit/>
        </w:trPr>
        <w:tc>
          <w:tcPr>
            <w:tcW w:w="3155" w:type="dxa"/>
            <w:tcBorders>
              <w:top w:val="nil"/>
              <w:left w:val="nil"/>
              <w:bottom w:val="single" w:sz="6" w:space="0" w:color="auto"/>
              <w:right w:val="nil"/>
            </w:tcBorders>
            <w:shd w:val="clear" w:color="000000" w:fill="FFFFFF"/>
          </w:tcPr>
          <w:p w:rsidR="00A53D7D" w:rsidRPr="00BB7C92" w:rsidRDefault="00A53D7D" w:rsidP="005140B4">
            <w:pPr>
              <w:pStyle w:val="OGTabText"/>
              <w:rPr>
                <w:color w:val="000000"/>
                <w:lang w:eastAsia="en-AU"/>
              </w:rPr>
            </w:pPr>
            <w:r w:rsidRPr="00BB7C92">
              <w:rPr>
                <w:color w:val="000000"/>
                <w:lang w:eastAsia="en-AU"/>
              </w:rPr>
              <w:t>Audit opinions issued within statutory deadlines</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UoM"/>
              <w:rPr>
                <w:color w:val="000000"/>
                <w:lang w:eastAsia="en-AU"/>
              </w:rPr>
            </w:pPr>
            <w:r w:rsidRPr="00BB7C92">
              <w:rPr>
                <w:color w:val="000000"/>
                <w:lang w:eastAsia="en-AU"/>
              </w:rPr>
              <w:t>per cent</w:t>
            </w:r>
          </w:p>
        </w:tc>
        <w:tc>
          <w:tcPr>
            <w:tcW w:w="907" w:type="dxa"/>
            <w:tcBorders>
              <w:top w:val="nil"/>
              <w:left w:val="nil"/>
              <w:bottom w:val="single" w:sz="6" w:space="0" w:color="auto"/>
              <w:right w:val="nil"/>
            </w:tcBorders>
            <w:shd w:val="clear" w:color="auto" w:fill="D9D9D9"/>
          </w:tcPr>
          <w:p w:rsidR="00A53D7D" w:rsidRPr="00BB7C92" w:rsidRDefault="00A53D7D" w:rsidP="005140B4">
            <w:pPr>
              <w:pStyle w:val="OGTableofFigures"/>
              <w:rPr>
                <w:color w:val="000000"/>
                <w:lang w:eastAsia="en-AU"/>
              </w:rPr>
            </w:pPr>
            <w:r w:rsidRPr="00BB7C92">
              <w:rPr>
                <w:color w:val="000000"/>
                <w:lang w:eastAsia="en-AU"/>
              </w:rPr>
              <w:t>98</w:t>
            </w:r>
          </w:p>
        </w:tc>
        <w:tc>
          <w:tcPr>
            <w:tcW w:w="993" w:type="dxa"/>
            <w:tcBorders>
              <w:top w:val="nil"/>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98</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98</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100</w:t>
            </w:r>
          </w:p>
        </w:tc>
      </w:tr>
      <w:tr w:rsidR="00A53D7D" w:rsidRPr="005D6F5B" w:rsidTr="005140B4">
        <w:trPr>
          <w:cantSplit/>
        </w:trPr>
        <w:tc>
          <w:tcPr>
            <w:tcW w:w="3155"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TabText"/>
              <w:rPr>
                <w:color w:val="000000"/>
                <w:lang w:eastAsia="en-AU"/>
              </w:rPr>
            </w:pPr>
            <w:r w:rsidRPr="00BB7C92">
              <w:rPr>
                <w:color w:val="000000"/>
                <w:lang w:eastAsia="en-AU"/>
              </w:rPr>
              <w:t>Management letters issued to agencies within established timeframes</w:t>
            </w:r>
          </w:p>
        </w:tc>
        <w:tc>
          <w:tcPr>
            <w:tcW w:w="907"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UoM"/>
              <w:rPr>
                <w:color w:val="000000"/>
                <w:lang w:eastAsia="en-AU"/>
              </w:rPr>
            </w:pPr>
            <w:r w:rsidRPr="00BB7C92">
              <w:rPr>
                <w:color w:val="000000"/>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BB7C92" w:rsidRDefault="00A53D7D" w:rsidP="005140B4">
            <w:pPr>
              <w:pStyle w:val="OGTableofFigures"/>
              <w:rPr>
                <w:color w:val="000000"/>
                <w:lang w:eastAsia="en-AU"/>
              </w:rPr>
            </w:pPr>
            <w:r w:rsidRPr="00BB7C92">
              <w:rPr>
                <w:color w:val="000000"/>
                <w:lang w:eastAsia="en-AU"/>
              </w:rPr>
              <w:t>90</w:t>
            </w:r>
          </w:p>
        </w:tc>
        <w:tc>
          <w:tcPr>
            <w:tcW w:w="993"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90</w:t>
            </w:r>
          </w:p>
        </w:tc>
        <w:tc>
          <w:tcPr>
            <w:tcW w:w="907"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90</w:t>
            </w:r>
          </w:p>
        </w:tc>
        <w:tc>
          <w:tcPr>
            <w:tcW w:w="907"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92</w:t>
            </w:r>
          </w:p>
        </w:tc>
      </w:tr>
      <w:tr w:rsidR="00A53D7D" w:rsidRPr="005D6F5B" w:rsidTr="005140B4">
        <w:trPr>
          <w:cantSplit/>
        </w:trPr>
        <w:tc>
          <w:tcPr>
            <w:tcW w:w="3155" w:type="dxa"/>
            <w:tcBorders>
              <w:top w:val="single" w:sz="6" w:space="0" w:color="auto"/>
              <w:left w:val="nil"/>
              <w:right w:val="nil"/>
            </w:tcBorders>
            <w:shd w:val="clear" w:color="000000" w:fill="FFFFFF"/>
          </w:tcPr>
          <w:p w:rsidR="00A53D7D" w:rsidRPr="00BB7C92" w:rsidRDefault="00A53D7D" w:rsidP="005140B4">
            <w:pPr>
              <w:pStyle w:val="OGTabHead"/>
              <w:rPr>
                <w:lang w:eastAsia="en-AU"/>
              </w:rPr>
            </w:pPr>
            <w:r w:rsidRPr="00BB7C92">
              <w:rPr>
                <w:lang w:eastAsia="en-AU"/>
              </w:rPr>
              <w:t>Cost</w:t>
            </w:r>
          </w:p>
        </w:tc>
        <w:tc>
          <w:tcPr>
            <w:tcW w:w="907" w:type="dxa"/>
            <w:tcBorders>
              <w:top w:val="single" w:sz="6" w:space="0" w:color="auto"/>
              <w:left w:val="nil"/>
              <w:right w:val="nil"/>
            </w:tcBorders>
            <w:shd w:val="clear" w:color="000000" w:fill="FFFFFF"/>
          </w:tcPr>
          <w:p w:rsidR="00A53D7D" w:rsidRPr="00BB7C92" w:rsidRDefault="00A53D7D" w:rsidP="005140B4">
            <w:pPr>
              <w:pStyle w:val="OGUoM"/>
              <w:rPr>
                <w:color w:val="000000"/>
                <w:lang w:eastAsia="en-AU"/>
              </w:rPr>
            </w:pPr>
          </w:p>
        </w:tc>
        <w:tc>
          <w:tcPr>
            <w:tcW w:w="907" w:type="dxa"/>
            <w:tcBorders>
              <w:top w:val="single" w:sz="6" w:space="0" w:color="auto"/>
              <w:left w:val="nil"/>
              <w:right w:val="nil"/>
            </w:tcBorders>
            <w:shd w:val="clear" w:color="auto" w:fill="D9D9D9"/>
          </w:tcPr>
          <w:p w:rsidR="00A53D7D" w:rsidRPr="00BB7C92" w:rsidRDefault="00A53D7D" w:rsidP="005140B4">
            <w:pPr>
              <w:pStyle w:val="OGTableofFigures"/>
              <w:rPr>
                <w:color w:val="000000"/>
                <w:lang w:eastAsia="en-AU"/>
              </w:rPr>
            </w:pPr>
          </w:p>
        </w:tc>
        <w:tc>
          <w:tcPr>
            <w:tcW w:w="993" w:type="dxa"/>
            <w:tcBorders>
              <w:top w:val="single" w:sz="6" w:space="0" w:color="auto"/>
              <w:left w:val="nil"/>
              <w:right w:val="nil"/>
            </w:tcBorders>
            <w:shd w:val="clear" w:color="000000" w:fill="FFFFFF"/>
          </w:tcPr>
          <w:p w:rsidR="00A53D7D" w:rsidRPr="00BB7C92" w:rsidRDefault="00A53D7D" w:rsidP="005140B4">
            <w:pPr>
              <w:pStyle w:val="OGTableofFigures"/>
              <w:rPr>
                <w:color w:val="000000"/>
                <w:lang w:eastAsia="en-AU"/>
              </w:rPr>
            </w:pPr>
          </w:p>
        </w:tc>
        <w:tc>
          <w:tcPr>
            <w:tcW w:w="907" w:type="dxa"/>
            <w:tcBorders>
              <w:top w:val="single" w:sz="6" w:space="0" w:color="auto"/>
              <w:left w:val="nil"/>
              <w:right w:val="nil"/>
            </w:tcBorders>
            <w:shd w:val="clear" w:color="000000" w:fill="FFFFFF"/>
          </w:tcPr>
          <w:p w:rsidR="00A53D7D" w:rsidRPr="00BB7C92" w:rsidRDefault="00A53D7D" w:rsidP="005140B4">
            <w:pPr>
              <w:pStyle w:val="OGTableofFigures"/>
              <w:rPr>
                <w:color w:val="000000"/>
                <w:lang w:eastAsia="en-AU"/>
              </w:rPr>
            </w:pPr>
          </w:p>
        </w:tc>
        <w:tc>
          <w:tcPr>
            <w:tcW w:w="907" w:type="dxa"/>
            <w:tcBorders>
              <w:top w:val="single" w:sz="6" w:space="0" w:color="auto"/>
              <w:left w:val="nil"/>
              <w:right w:val="nil"/>
            </w:tcBorders>
            <w:shd w:val="clear" w:color="000000" w:fill="FFFFFF"/>
          </w:tcPr>
          <w:p w:rsidR="00A53D7D" w:rsidRPr="00BB7C92" w:rsidRDefault="00A53D7D" w:rsidP="005140B4">
            <w:pPr>
              <w:pStyle w:val="OGTableofFigures"/>
              <w:rPr>
                <w:color w:val="000000"/>
                <w:lang w:eastAsia="en-AU"/>
              </w:rPr>
            </w:pPr>
          </w:p>
        </w:tc>
      </w:tr>
      <w:tr w:rsidR="00A53D7D" w:rsidRPr="005D6F5B" w:rsidTr="005140B4">
        <w:trPr>
          <w:cantSplit/>
        </w:trPr>
        <w:tc>
          <w:tcPr>
            <w:tcW w:w="3155" w:type="dxa"/>
            <w:tcBorders>
              <w:top w:val="nil"/>
              <w:left w:val="nil"/>
              <w:right w:val="nil"/>
            </w:tcBorders>
            <w:shd w:val="clear" w:color="000000" w:fill="FFFFFF"/>
          </w:tcPr>
          <w:p w:rsidR="00A53D7D" w:rsidRPr="00BB7C92" w:rsidRDefault="00A53D7D" w:rsidP="005140B4">
            <w:pPr>
              <w:pStyle w:val="OGTabText"/>
              <w:rPr>
                <w:color w:val="000000"/>
                <w:lang w:eastAsia="en-AU"/>
              </w:rPr>
            </w:pPr>
            <w:r w:rsidRPr="00BB7C92">
              <w:rPr>
                <w:color w:val="000000"/>
                <w:lang w:eastAsia="en-AU"/>
              </w:rPr>
              <w:t>Total output cost</w:t>
            </w:r>
          </w:p>
        </w:tc>
        <w:tc>
          <w:tcPr>
            <w:tcW w:w="907" w:type="dxa"/>
            <w:tcBorders>
              <w:top w:val="nil"/>
              <w:left w:val="nil"/>
              <w:right w:val="nil"/>
            </w:tcBorders>
            <w:shd w:val="clear" w:color="000000" w:fill="FFFFFF"/>
          </w:tcPr>
          <w:p w:rsidR="00A53D7D" w:rsidRPr="00BB7C92" w:rsidRDefault="00A53D7D" w:rsidP="005140B4">
            <w:pPr>
              <w:pStyle w:val="OGUoM"/>
              <w:rPr>
                <w:color w:val="000000"/>
                <w:lang w:eastAsia="en-AU"/>
              </w:rPr>
            </w:pPr>
            <w:r w:rsidRPr="00BB7C92">
              <w:rPr>
                <w:color w:val="000000"/>
                <w:lang w:eastAsia="en-AU"/>
              </w:rPr>
              <w:t>$</w:t>
            </w:r>
            <w:r>
              <w:rPr>
                <w:color w:val="000000"/>
                <w:lang w:eastAsia="en-AU"/>
              </w:rPr>
              <w:t> million</w:t>
            </w:r>
          </w:p>
        </w:tc>
        <w:tc>
          <w:tcPr>
            <w:tcW w:w="907" w:type="dxa"/>
            <w:tcBorders>
              <w:top w:val="nil"/>
              <w:left w:val="nil"/>
              <w:right w:val="nil"/>
            </w:tcBorders>
            <w:shd w:val="clear" w:color="auto" w:fill="D9D9D9"/>
          </w:tcPr>
          <w:p w:rsidR="00A53D7D" w:rsidRPr="006472B2" w:rsidRDefault="00A53D7D" w:rsidP="005140B4">
            <w:pPr>
              <w:pStyle w:val="OGTableofFigures"/>
              <w:rPr>
                <w:color w:val="000000"/>
                <w:vertAlign w:val="superscript"/>
                <w:lang w:eastAsia="en-AU"/>
              </w:rPr>
            </w:pPr>
            <w:r w:rsidRPr="00BB7C92">
              <w:rPr>
                <w:color w:val="000000"/>
                <w:lang w:eastAsia="en-AU"/>
              </w:rPr>
              <w:t>24</w:t>
            </w:r>
            <w:r>
              <w:rPr>
                <w:color w:val="000000"/>
                <w:lang w:eastAsia="en-AU"/>
              </w:rPr>
              <w:t>.0</w:t>
            </w:r>
          </w:p>
        </w:tc>
        <w:tc>
          <w:tcPr>
            <w:tcW w:w="993" w:type="dxa"/>
            <w:tcBorders>
              <w:top w:val="nil"/>
              <w:left w:val="nil"/>
              <w:right w:val="nil"/>
            </w:tcBorders>
            <w:shd w:val="clear" w:color="000000" w:fill="FFFFFF"/>
          </w:tcPr>
          <w:p w:rsidR="00A53D7D" w:rsidRPr="006472B2" w:rsidRDefault="00A53D7D" w:rsidP="005140B4">
            <w:pPr>
              <w:pStyle w:val="OGTableofFigures"/>
              <w:rPr>
                <w:color w:val="000000"/>
                <w:vertAlign w:val="superscript"/>
                <w:lang w:eastAsia="en-AU"/>
              </w:rPr>
            </w:pPr>
            <w:r w:rsidRPr="00BB7C92">
              <w:rPr>
                <w:color w:val="000000"/>
                <w:lang w:eastAsia="en-AU"/>
              </w:rPr>
              <w:t>23.4</w:t>
            </w:r>
          </w:p>
        </w:tc>
        <w:tc>
          <w:tcPr>
            <w:tcW w:w="907" w:type="dxa"/>
            <w:tcBorders>
              <w:top w:val="nil"/>
              <w:left w:val="nil"/>
              <w:right w:val="nil"/>
            </w:tcBorders>
            <w:shd w:val="clear" w:color="000000" w:fill="FFFFFF"/>
          </w:tcPr>
          <w:p w:rsidR="00A53D7D" w:rsidRPr="006472B2" w:rsidRDefault="00A53D7D" w:rsidP="005140B4">
            <w:pPr>
              <w:pStyle w:val="OGTableofFigures"/>
              <w:rPr>
                <w:color w:val="000000"/>
                <w:vertAlign w:val="superscript"/>
                <w:lang w:eastAsia="en-AU"/>
              </w:rPr>
            </w:pPr>
            <w:r w:rsidRPr="00BB7C92">
              <w:rPr>
                <w:color w:val="000000"/>
                <w:lang w:eastAsia="en-AU"/>
              </w:rPr>
              <w:t>23.4</w:t>
            </w:r>
          </w:p>
        </w:tc>
        <w:tc>
          <w:tcPr>
            <w:tcW w:w="907" w:type="dxa"/>
            <w:tcBorders>
              <w:top w:val="nil"/>
              <w:left w:val="nil"/>
              <w:right w:val="nil"/>
            </w:tcBorders>
            <w:shd w:val="clear" w:color="000000" w:fill="FFFFFF"/>
          </w:tcPr>
          <w:p w:rsidR="00A53D7D" w:rsidRPr="00BB7C92" w:rsidRDefault="00A53D7D" w:rsidP="005140B4">
            <w:pPr>
              <w:pStyle w:val="OGTableofFigures"/>
              <w:rPr>
                <w:color w:val="000000"/>
                <w:lang w:eastAsia="en-AU"/>
              </w:rPr>
            </w:pPr>
            <w:r w:rsidRPr="00BB7C92">
              <w:rPr>
                <w:color w:val="000000"/>
                <w:lang w:eastAsia="en-AU"/>
              </w:rPr>
              <w:t>22.7</w:t>
            </w:r>
          </w:p>
        </w:tc>
      </w:tr>
      <w:tr w:rsidR="00A53D7D" w:rsidRPr="005D6F5B" w:rsidTr="005140B4">
        <w:trPr>
          <w:cantSplit/>
        </w:trPr>
        <w:tc>
          <w:tcPr>
            <w:tcW w:w="7776" w:type="dxa"/>
            <w:gridSpan w:val="6"/>
            <w:tcBorders>
              <w:top w:val="nil"/>
              <w:left w:val="nil"/>
              <w:bottom w:val="single" w:sz="6" w:space="0" w:color="auto"/>
              <w:right w:val="nil"/>
            </w:tcBorders>
            <w:shd w:val="clear" w:color="000000" w:fill="FFFFFF"/>
          </w:tcPr>
          <w:p w:rsidR="00A53D7D" w:rsidRDefault="00A53D7D" w:rsidP="005140B4">
            <w:pPr>
              <w:pStyle w:val="OGNotesIndent"/>
            </w:pPr>
            <w:r w:rsidRPr="00E1669D">
              <w:t>The higher 201</w:t>
            </w:r>
            <w:r>
              <w:t>4</w:t>
            </w:r>
            <w:r>
              <w:noBreakHyphen/>
              <w:t>15 target reflects indexation.</w:t>
            </w:r>
          </w:p>
          <w:p w:rsidR="00A53D7D" w:rsidRPr="0020740D" w:rsidRDefault="00A53D7D" w:rsidP="005140B4">
            <w:pPr>
              <w:pStyle w:val="OGNotesIndent"/>
              <w:ind w:left="397" w:hanging="37"/>
            </w:pPr>
            <w:r w:rsidRPr="00E1669D">
              <w:t>The higher 2013</w:t>
            </w:r>
            <w:r>
              <w:noBreakHyphen/>
            </w:r>
            <w:r w:rsidRPr="00E1669D">
              <w:t>14 target, when compared to 2013</w:t>
            </w:r>
            <w:r>
              <w:noBreakHyphen/>
            </w:r>
            <w:r w:rsidRPr="00E1669D">
              <w:t xml:space="preserve">14 target published in the </w:t>
            </w:r>
            <w:r w:rsidRPr="002C090F">
              <w:rPr>
                <w:i w:val="0"/>
              </w:rPr>
              <w:t>2013</w:t>
            </w:r>
            <w:r w:rsidRPr="002C090F">
              <w:rPr>
                <w:i w:val="0"/>
              </w:rPr>
              <w:noBreakHyphen/>
              <w:t>14 Budget</w:t>
            </w:r>
            <w:r w:rsidRPr="00E1669D">
              <w:t>, corrects an understatement of the 2013</w:t>
            </w:r>
            <w:r>
              <w:noBreakHyphen/>
            </w:r>
            <w:r w:rsidRPr="00E1669D">
              <w:t>14 output cost compared to the departmental financial statements.</w:t>
            </w:r>
          </w:p>
        </w:tc>
      </w:tr>
      <w:tr w:rsidR="00A53D7D" w:rsidRPr="005D6F5B" w:rsidTr="005140B4">
        <w:trPr>
          <w:cantSplit/>
        </w:trPr>
        <w:tc>
          <w:tcPr>
            <w:tcW w:w="7776" w:type="dxa"/>
            <w:gridSpan w:val="6"/>
            <w:tcBorders>
              <w:top w:val="single" w:sz="6" w:space="0" w:color="auto"/>
              <w:left w:val="nil"/>
              <w:bottom w:val="single" w:sz="6" w:space="0" w:color="auto"/>
              <w:right w:val="nil"/>
            </w:tcBorders>
            <w:shd w:val="clear" w:color="000000" w:fill="FFFFFF"/>
          </w:tcPr>
          <w:p w:rsidR="00A53D7D" w:rsidRPr="00BB7C92" w:rsidRDefault="00A53D7D" w:rsidP="005140B4">
            <w:pPr>
              <w:pStyle w:val="OGHeading2"/>
              <w:rPr>
                <w:color w:val="000000"/>
                <w:lang w:eastAsia="en-AU"/>
              </w:rPr>
            </w:pPr>
            <w:r w:rsidRPr="00BB7C92">
              <w:rPr>
                <w:lang w:eastAsia="en-AU"/>
              </w:rPr>
              <w:t>Parliamentary Reports and Services</w:t>
            </w:r>
          </w:p>
        </w:tc>
      </w:tr>
      <w:tr w:rsidR="00A53D7D" w:rsidRPr="005D6F5B" w:rsidTr="005140B4">
        <w:trPr>
          <w:cantSplit/>
        </w:trPr>
        <w:tc>
          <w:tcPr>
            <w:tcW w:w="3155" w:type="dxa"/>
            <w:tcBorders>
              <w:top w:val="single" w:sz="6" w:space="0" w:color="auto"/>
              <w:left w:val="nil"/>
              <w:bottom w:val="nil"/>
              <w:right w:val="nil"/>
            </w:tcBorders>
            <w:shd w:val="clear" w:color="000000" w:fill="FFFFFF"/>
          </w:tcPr>
          <w:p w:rsidR="00A53D7D" w:rsidRPr="00BB7C92" w:rsidRDefault="00A53D7D" w:rsidP="005140B4">
            <w:pPr>
              <w:pStyle w:val="OGTabHead"/>
              <w:rPr>
                <w:lang w:eastAsia="en-AU"/>
              </w:rPr>
            </w:pPr>
            <w:r w:rsidRPr="00BB7C92">
              <w:rPr>
                <w:lang w:eastAsia="en-AU"/>
              </w:rPr>
              <w:t>Quantity</w:t>
            </w: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UoM"/>
              <w:keepNext/>
              <w:rPr>
                <w:color w:val="000000"/>
                <w:lang w:eastAsia="en-AU"/>
              </w:rPr>
            </w:pPr>
          </w:p>
        </w:tc>
        <w:tc>
          <w:tcPr>
            <w:tcW w:w="907" w:type="dxa"/>
            <w:tcBorders>
              <w:top w:val="single" w:sz="6" w:space="0" w:color="auto"/>
              <w:left w:val="nil"/>
              <w:bottom w:val="nil"/>
              <w:right w:val="nil"/>
            </w:tcBorders>
            <w:shd w:val="clear" w:color="auto" w:fill="D9D9D9"/>
          </w:tcPr>
          <w:p w:rsidR="00A53D7D" w:rsidRPr="00BB7C92" w:rsidRDefault="00A53D7D" w:rsidP="005140B4">
            <w:pPr>
              <w:pStyle w:val="OGTableofFigures"/>
              <w:keepNext/>
              <w:rPr>
                <w:color w:val="000000"/>
                <w:lang w:eastAsia="en-AU"/>
              </w:rPr>
            </w:pPr>
          </w:p>
        </w:tc>
        <w:tc>
          <w:tcPr>
            <w:tcW w:w="993" w:type="dxa"/>
            <w:tcBorders>
              <w:top w:val="single" w:sz="6" w:space="0" w:color="auto"/>
              <w:left w:val="nil"/>
              <w:bottom w:val="nil"/>
              <w:right w:val="nil"/>
            </w:tcBorders>
            <w:shd w:val="clear" w:color="000000" w:fill="FFFFFF"/>
          </w:tcPr>
          <w:p w:rsidR="00A53D7D" w:rsidRPr="00BB7C92" w:rsidRDefault="00A53D7D" w:rsidP="005140B4">
            <w:pPr>
              <w:pStyle w:val="OGTableofFigures"/>
              <w:keepNext/>
              <w:rPr>
                <w:color w:val="000000"/>
                <w:lang w:eastAsia="en-AU"/>
              </w:rPr>
            </w:pP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TableofFigures"/>
              <w:keepNext/>
              <w:rPr>
                <w:color w:val="000000"/>
                <w:lang w:eastAsia="en-AU"/>
              </w:rPr>
            </w:pP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TableofFigures"/>
              <w:keepNext/>
              <w:rPr>
                <w:color w:val="000000"/>
                <w:lang w:eastAsia="en-AU"/>
              </w:rPr>
            </w:pPr>
          </w:p>
        </w:tc>
      </w:tr>
      <w:tr w:rsidR="00A53D7D" w:rsidRPr="005D6F5B" w:rsidTr="005140B4">
        <w:trPr>
          <w:cantSplit/>
        </w:trPr>
        <w:tc>
          <w:tcPr>
            <w:tcW w:w="3155" w:type="dxa"/>
            <w:tcBorders>
              <w:top w:val="nil"/>
              <w:left w:val="nil"/>
              <w:bottom w:val="single" w:sz="6" w:space="0" w:color="auto"/>
              <w:right w:val="nil"/>
            </w:tcBorders>
            <w:shd w:val="clear" w:color="000000" w:fill="FFFFFF"/>
          </w:tcPr>
          <w:p w:rsidR="00A53D7D" w:rsidRPr="00BB7C92" w:rsidRDefault="00A53D7D" w:rsidP="005140B4">
            <w:pPr>
              <w:pStyle w:val="OGTabText"/>
              <w:keepNext/>
              <w:rPr>
                <w:lang w:eastAsia="en-AU"/>
              </w:rPr>
            </w:pPr>
            <w:r w:rsidRPr="00BB7C92">
              <w:rPr>
                <w:lang w:eastAsia="en-AU"/>
              </w:rPr>
              <w:t>Auditor</w:t>
            </w:r>
            <w:r>
              <w:rPr>
                <w:lang w:eastAsia="en-AU"/>
              </w:rPr>
              <w:noBreakHyphen/>
            </w:r>
            <w:r w:rsidRPr="00BB7C92">
              <w:rPr>
                <w:lang w:eastAsia="en-AU"/>
              </w:rPr>
              <w:t>General's reports</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UoM"/>
              <w:keepNext/>
              <w:rPr>
                <w:color w:val="000000"/>
                <w:lang w:eastAsia="en-AU"/>
              </w:rPr>
            </w:pPr>
            <w:r w:rsidRPr="00BB7C92">
              <w:rPr>
                <w:color w:val="000000"/>
                <w:lang w:eastAsia="en-AU"/>
              </w:rPr>
              <w:t>number</w:t>
            </w:r>
          </w:p>
        </w:tc>
        <w:tc>
          <w:tcPr>
            <w:tcW w:w="907" w:type="dxa"/>
            <w:tcBorders>
              <w:top w:val="nil"/>
              <w:left w:val="nil"/>
              <w:bottom w:val="single" w:sz="6" w:space="0" w:color="auto"/>
              <w:right w:val="nil"/>
            </w:tcBorders>
            <w:shd w:val="clear" w:color="auto" w:fill="D9D9D9"/>
          </w:tcPr>
          <w:p w:rsidR="00A53D7D" w:rsidRPr="00BB7C92" w:rsidRDefault="00A53D7D" w:rsidP="005140B4">
            <w:pPr>
              <w:pStyle w:val="OGTableofFigures"/>
              <w:keepNext/>
              <w:rPr>
                <w:color w:val="000000"/>
                <w:lang w:eastAsia="en-AU"/>
              </w:rPr>
            </w:pPr>
            <w:r w:rsidRPr="00BB7C92">
              <w:rPr>
                <w:color w:val="000000"/>
                <w:lang w:eastAsia="en-AU"/>
              </w:rPr>
              <w:t>36</w:t>
            </w:r>
          </w:p>
        </w:tc>
        <w:tc>
          <w:tcPr>
            <w:tcW w:w="993" w:type="dxa"/>
            <w:tcBorders>
              <w:top w:val="nil"/>
              <w:left w:val="nil"/>
              <w:bottom w:val="single" w:sz="6"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36</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36</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37</w:t>
            </w:r>
          </w:p>
        </w:tc>
      </w:tr>
      <w:tr w:rsidR="00A53D7D" w:rsidRPr="005D6F5B" w:rsidTr="005140B4">
        <w:trPr>
          <w:cantSplit/>
        </w:trPr>
        <w:tc>
          <w:tcPr>
            <w:tcW w:w="3155" w:type="dxa"/>
            <w:tcBorders>
              <w:top w:val="single" w:sz="6" w:space="0" w:color="auto"/>
              <w:left w:val="nil"/>
              <w:bottom w:val="nil"/>
              <w:right w:val="nil"/>
            </w:tcBorders>
            <w:shd w:val="clear" w:color="000000" w:fill="FFFFFF"/>
          </w:tcPr>
          <w:p w:rsidR="00A53D7D" w:rsidRPr="00BB7C92" w:rsidRDefault="00A53D7D" w:rsidP="005140B4">
            <w:pPr>
              <w:pStyle w:val="OGTabHead"/>
              <w:rPr>
                <w:lang w:eastAsia="en-AU"/>
              </w:rPr>
            </w:pPr>
            <w:r w:rsidRPr="00BB7C92">
              <w:rPr>
                <w:lang w:eastAsia="en-AU"/>
              </w:rPr>
              <w:t>Quality</w:t>
            </w: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UoM"/>
              <w:keepNext/>
              <w:rPr>
                <w:color w:val="000000"/>
                <w:lang w:eastAsia="en-AU"/>
              </w:rPr>
            </w:pPr>
          </w:p>
        </w:tc>
        <w:tc>
          <w:tcPr>
            <w:tcW w:w="907" w:type="dxa"/>
            <w:tcBorders>
              <w:top w:val="single" w:sz="6" w:space="0" w:color="auto"/>
              <w:left w:val="nil"/>
              <w:bottom w:val="nil"/>
              <w:right w:val="nil"/>
            </w:tcBorders>
            <w:shd w:val="clear" w:color="auto" w:fill="D9D9D9"/>
          </w:tcPr>
          <w:p w:rsidR="00A53D7D" w:rsidRPr="00BB7C92" w:rsidRDefault="00A53D7D" w:rsidP="005140B4">
            <w:pPr>
              <w:pStyle w:val="OGTableofFigures"/>
              <w:keepNext/>
              <w:rPr>
                <w:color w:val="000000"/>
                <w:lang w:eastAsia="en-AU"/>
              </w:rPr>
            </w:pPr>
          </w:p>
        </w:tc>
        <w:tc>
          <w:tcPr>
            <w:tcW w:w="993" w:type="dxa"/>
            <w:tcBorders>
              <w:top w:val="single" w:sz="6" w:space="0" w:color="auto"/>
              <w:left w:val="nil"/>
              <w:bottom w:val="nil"/>
              <w:right w:val="nil"/>
            </w:tcBorders>
            <w:shd w:val="clear" w:color="000000" w:fill="FFFFFF"/>
          </w:tcPr>
          <w:p w:rsidR="00A53D7D" w:rsidRPr="00BB7C92" w:rsidRDefault="00A53D7D" w:rsidP="005140B4">
            <w:pPr>
              <w:pStyle w:val="OGTableofFigures"/>
              <w:keepNext/>
              <w:rPr>
                <w:color w:val="000000"/>
                <w:lang w:eastAsia="en-AU"/>
              </w:rPr>
            </w:pP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TableofFigures"/>
              <w:keepNext/>
              <w:rPr>
                <w:color w:val="000000"/>
                <w:lang w:eastAsia="en-AU"/>
              </w:rPr>
            </w:pP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TableofFigures"/>
              <w:keepNext/>
              <w:rPr>
                <w:color w:val="000000"/>
                <w:lang w:eastAsia="en-AU"/>
              </w:rPr>
            </w:pPr>
          </w:p>
        </w:tc>
      </w:tr>
      <w:tr w:rsidR="00A53D7D" w:rsidRPr="005D6F5B" w:rsidTr="005140B4">
        <w:trPr>
          <w:cantSplit/>
        </w:trPr>
        <w:tc>
          <w:tcPr>
            <w:tcW w:w="3155" w:type="dxa"/>
            <w:tcBorders>
              <w:top w:val="nil"/>
              <w:left w:val="nil"/>
              <w:bottom w:val="single" w:sz="6" w:space="0" w:color="auto"/>
              <w:right w:val="nil"/>
            </w:tcBorders>
            <w:shd w:val="clear" w:color="000000" w:fill="FFFFFF"/>
          </w:tcPr>
          <w:p w:rsidR="00A53D7D" w:rsidRPr="00BB7C92" w:rsidRDefault="00A53D7D" w:rsidP="005140B4">
            <w:pPr>
              <w:pStyle w:val="OGTabText"/>
              <w:keepNext/>
              <w:rPr>
                <w:color w:val="000000"/>
                <w:lang w:eastAsia="en-AU"/>
              </w:rPr>
            </w:pPr>
            <w:r w:rsidRPr="00BB7C92">
              <w:rPr>
                <w:color w:val="000000"/>
                <w:lang w:eastAsia="en-AU"/>
              </w:rPr>
              <w:t>Average score of audit reports by external/peer assessors</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UoM"/>
              <w:keepNext/>
              <w:rPr>
                <w:color w:val="000000"/>
                <w:lang w:eastAsia="en-AU"/>
              </w:rPr>
            </w:pPr>
            <w:r w:rsidRPr="00BB7C92">
              <w:rPr>
                <w:color w:val="000000"/>
                <w:lang w:eastAsia="en-AU"/>
              </w:rPr>
              <w:t>per cent</w:t>
            </w:r>
          </w:p>
        </w:tc>
        <w:tc>
          <w:tcPr>
            <w:tcW w:w="907" w:type="dxa"/>
            <w:tcBorders>
              <w:top w:val="nil"/>
              <w:left w:val="nil"/>
              <w:bottom w:val="single" w:sz="6" w:space="0" w:color="auto"/>
              <w:right w:val="nil"/>
            </w:tcBorders>
            <w:shd w:val="clear" w:color="auto" w:fill="D9D9D9"/>
          </w:tcPr>
          <w:p w:rsidR="00A53D7D" w:rsidRPr="00BB7C92" w:rsidRDefault="00A53D7D" w:rsidP="005140B4">
            <w:pPr>
              <w:pStyle w:val="OGTableofFigures"/>
              <w:keepNext/>
              <w:rPr>
                <w:color w:val="000000"/>
                <w:lang w:eastAsia="en-AU"/>
              </w:rPr>
            </w:pPr>
            <w:r w:rsidRPr="00BB7C92">
              <w:rPr>
                <w:color w:val="000000"/>
                <w:lang w:eastAsia="en-AU"/>
              </w:rPr>
              <w:t>80</w:t>
            </w:r>
          </w:p>
        </w:tc>
        <w:tc>
          <w:tcPr>
            <w:tcW w:w="993" w:type="dxa"/>
            <w:tcBorders>
              <w:top w:val="nil"/>
              <w:left w:val="nil"/>
              <w:bottom w:val="single" w:sz="6"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80</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80</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84</w:t>
            </w:r>
          </w:p>
        </w:tc>
      </w:tr>
      <w:tr w:rsidR="00A53D7D" w:rsidRPr="005D6F5B" w:rsidTr="005140B4">
        <w:trPr>
          <w:cantSplit/>
        </w:trPr>
        <w:tc>
          <w:tcPr>
            <w:tcW w:w="3155"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TabText"/>
              <w:keepNext/>
              <w:rPr>
                <w:color w:val="000000"/>
                <w:lang w:eastAsia="en-AU"/>
              </w:rPr>
            </w:pPr>
            <w:r w:rsidRPr="00BB7C92">
              <w:rPr>
                <w:color w:val="000000"/>
                <w:lang w:eastAsia="en-AU"/>
              </w:rPr>
              <w:t xml:space="preserve">Overall level of external satisfaction with audit reports and services </w:t>
            </w:r>
            <w:r>
              <w:rPr>
                <w:color w:val="000000"/>
                <w:lang w:eastAsia="en-AU"/>
              </w:rPr>
              <w:t>–</w:t>
            </w:r>
            <w:r w:rsidRPr="00BB7C92">
              <w:rPr>
                <w:color w:val="000000"/>
                <w:lang w:eastAsia="en-AU"/>
              </w:rPr>
              <w:t xml:space="preserve"> Parliamentarians</w:t>
            </w:r>
          </w:p>
        </w:tc>
        <w:tc>
          <w:tcPr>
            <w:tcW w:w="907"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UoM"/>
              <w:keepNext/>
              <w:rPr>
                <w:color w:val="000000"/>
                <w:lang w:eastAsia="en-AU"/>
              </w:rPr>
            </w:pPr>
            <w:r w:rsidRPr="00BB7C92">
              <w:rPr>
                <w:color w:val="000000"/>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BB7C92" w:rsidRDefault="00A53D7D" w:rsidP="005140B4">
            <w:pPr>
              <w:pStyle w:val="OGTableofFigures"/>
              <w:keepNext/>
              <w:rPr>
                <w:color w:val="000000"/>
                <w:lang w:eastAsia="en-AU"/>
              </w:rPr>
            </w:pPr>
            <w:r w:rsidRPr="00BB7C92">
              <w:rPr>
                <w:color w:val="000000"/>
                <w:lang w:eastAsia="en-AU"/>
              </w:rPr>
              <w:t>85</w:t>
            </w:r>
          </w:p>
        </w:tc>
        <w:tc>
          <w:tcPr>
            <w:tcW w:w="993"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85</w:t>
            </w:r>
          </w:p>
        </w:tc>
        <w:tc>
          <w:tcPr>
            <w:tcW w:w="907"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85</w:t>
            </w:r>
          </w:p>
        </w:tc>
        <w:tc>
          <w:tcPr>
            <w:tcW w:w="907" w:type="dxa"/>
            <w:tcBorders>
              <w:top w:val="single" w:sz="6" w:space="0" w:color="auto"/>
              <w:left w:val="nil"/>
              <w:bottom w:val="single" w:sz="6"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92</w:t>
            </w:r>
          </w:p>
        </w:tc>
      </w:tr>
      <w:tr w:rsidR="00A53D7D" w:rsidRPr="005D6F5B" w:rsidTr="005140B4">
        <w:trPr>
          <w:cantSplit/>
        </w:trPr>
        <w:tc>
          <w:tcPr>
            <w:tcW w:w="3155" w:type="dxa"/>
            <w:tcBorders>
              <w:top w:val="single" w:sz="6" w:space="0" w:color="auto"/>
              <w:left w:val="nil"/>
              <w:bottom w:val="nil"/>
              <w:right w:val="nil"/>
            </w:tcBorders>
            <w:shd w:val="clear" w:color="000000" w:fill="FFFFFF"/>
          </w:tcPr>
          <w:p w:rsidR="00A53D7D" w:rsidRPr="00BB7C92" w:rsidRDefault="00A53D7D" w:rsidP="005140B4">
            <w:pPr>
              <w:pStyle w:val="OGTabHead"/>
              <w:rPr>
                <w:lang w:eastAsia="en-AU"/>
              </w:rPr>
            </w:pPr>
            <w:r w:rsidRPr="00BB7C92">
              <w:rPr>
                <w:lang w:eastAsia="en-AU"/>
              </w:rPr>
              <w:t>Timeliness</w:t>
            </w: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UoM"/>
              <w:keepNext/>
              <w:rPr>
                <w:color w:val="000000"/>
                <w:lang w:eastAsia="en-AU"/>
              </w:rPr>
            </w:pPr>
          </w:p>
        </w:tc>
        <w:tc>
          <w:tcPr>
            <w:tcW w:w="907" w:type="dxa"/>
            <w:tcBorders>
              <w:top w:val="single" w:sz="6" w:space="0" w:color="auto"/>
              <w:left w:val="nil"/>
              <w:bottom w:val="nil"/>
              <w:right w:val="nil"/>
            </w:tcBorders>
            <w:shd w:val="clear" w:color="auto" w:fill="D9D9D9"/>
          </w:tcPr>
          <w:p w:rsidR="00A53D7D" w:rsidRPr="00BB7C92" w:rsidRDefault="00A53D7D" w:rsidP="005140B4">
            <w:pPr>
              <w:pStyle w:val="OGTableofFigures"/>
              <w:keepNext/>
              <w:rPr>
                <w:color w:val="000000"/>
                <w:lang w:eastAsia="en-AU"/>
              </w:rPr>
            </w:pPr>
          </w:p>
        </w:tc>
        <w:tc>
          <w:tcPr>
            <w:tcW w:w="993" w:type="dxa"/>
            <w:tcBorders>
              <w:top w:val="single" w:sz="6" w:space="0" w:color="auto"/>
              <w:left w:val="nil"/>
              <w:bottom w:val="nil"/>
              <w:right w:val="nil"/>
            </w:tcBorders>
            <w:shd w:val="clear" w:color="000000" w:fill="FFFFFF"/>
          </w:tcPr>
          <w:p w:rsidR="00A53D7D" w:rsidRPr="00BB7C92" w:rsidRDefault="00A53D7D" w:rsidP="005140B4">
            <w:pPr>
              <w:pStyle w:val="OGTableofFigures"/>
              <w:keepNext/>
              <w:rPr>
                <w:color w:val="000000"/>
                <w:lang w:eastAsia="en-AU"/>
              </w:rPr>
            </w:pP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TableofFigures"/>
              <w:keepNext/>
              <w:rPr>
                <w:color w:val="000000"/>
                <w:lang w:eastAsia="en-AU"/>
              </w:rPr>
            </w:pPr>
          </w:p>
        </w:tc>
        <w:tc>
          <w:tcPr>
            <w:tcW w:w="907" w:type="dxa"/>
            <w:tcBorders>
              <w:top w:val="single" w:sz="6" w:space="0" w:color="auto"/>
              <w:left w:val="nil"/>
              <w:bottom w:val="nil"/>
              <w:right w:val="nil"/>
            </w:tcBorders>
            <w:shd w:val="clear" w:color="000000" w:fill="FFFFFF"/>
          </w:tcPr>
          <w:p w:rsidR="00A53D7D" w:rsidRPr="00BB7C92" w:rsidRDefault="00A53D7D" w:rsidP="005140B4">
            <w:pPr>
              <w:pStyle w:val="OGTableofFigures"/>
              <w:keepNext/>
              <w:rPr>
                <w:color w:val="000000"/>
                <w:lang w:eastAsia="en-AU"/>
              </w:rPr>
            </w:pPr>
          </w:p>
        </w:tc>
      </w:tr>
      <w:tr w:rsidR="00A53D7D" w:rsidRPr="005D6F5B" w:rsidTr="005140B4">
        <w:trPr>
          <w:cantSplit/>
        </w:trPr>
        <w:tc>
          <w:tcPr>
            <w:tcW w:w="3155" w:type="dxa"/>
            <w:tcBorders>
              <w:top w:val="nil"/>
              <w:left w:val="nil"/>
              <w:bottom w:val="single" w:sz="6" w:space="0" w:color="auto"/>
              <w:right w:val="nil"/>
            </w:tcBorders>
            <w:shd w:val="clear" w:color="000000" w:fill="FFFFFF"/>
          </w:tcPr>
          <w:p w:rsidR="00A53D7D" w:rsidRPr="00BB7C92" w:rsidRDefault="00A53D7D" w:rsidP="005140B4">
            <w:pPr>
              <w:pStyle w:val="OGTabText"/>
              <w:keepNext/>
              <w:rPr>
                <w:color w:val="000000"/>
                <w:lang w:eastAsia="en-AU"/>
              </w:rPr>
            </w:pPr>
            <w:r w:rsidRPr="00BB7C92">
              <w:rPr>
                <w:color w:val="000000"/>
                <w:lang w:eastAsia="en-AU"/>
              </w:rPr>
              <w:t>Inquiries from Members of Parliament and the public responded to within 28 days</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UoM"/>
              <w:keepNext/>
              <w:rPr>
                <w:color w:val="000000"/>
                <w:lang w:eastAsia="en-AU"/>
              </w:rPr>
            </w:pPr>
            <w:r w:rsidRPr="00BB7C92">
              <w:rPr>
                <w:color w:val="000000"/>
                <w:lang w:eastAsia="en-AU"/>
              </w:rPr>
              <w:t>per cent</w:t>
            </w:r>
          </w:p>
        </w:tc>
        <w:tc>
          <w:tcPr>
            <w:tcW w:w="907" w:type="dxa"/>
            <w:tcBorders>
              <w:top w:val="nil"/>
              <w:left w:val="nil"/>
              <w:bottom w:val="single" w:sz="6" w:space="0" w:color="auto"/>
              <w:right w:val="nil"/>
            </w:tcBorders>
            <w:shd w:val="clear" w:color="auto" w:fill="D9D9D9"/>
          </w:tcPr>
          <w:p w:rsidR="00A53D7D" w:rsidRPr="00BB7C92" w:rsidRDefault="00A53D7D" w:rsidP="005140B4">
            <w:pPr>
              <w:pStyle w:val="OGTableofFigures"/>
              <w:keepNext/>
              <w:rPr>
                <w:color w:val="000000"/>
                <w:lang w:eastAsia="en-AU"/>
              </w:rPr>
            </w:pPr>
            <w:r w:rsidRPr="00BB7C92">
              <w:rPr>
                <w:color w:val="000000"/>
                <w:lang w:eastAsia="en-AU"/>
              </w:rPr>
              <w:t>95</w:t>
            </w:r>
          </w:p>
        </w:tc>
        <w:tc>
          <w:tcPr>
            <w:tcW w:w="993" w:type="dxa"/>
            <w:tcBorders>
              <w:top w:val="nil"/>
              <w:left w:val="nil"/>
              <w:bottom w:val="single" w:sz="6"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95</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95</w:t>
            </w:r>
          </w:p>
        </w:tc>
        <w:tc>
          <w:tcPr>
            <w:tcW w:w="907" w:type="dxa"/>
            <w:tcBorders>
              <w:top w:val="nil"/>
              <w:left w:val="nil"/>
              <w:bottom w:val="single" w:sz="6"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99</w:t>
            </w:r>
          </w:p>
        </w:tc>
      </w:tr>
      <w:tr w:rsidR="00A53D7D" w:rsidRPr="005D6F5B" w:rsidTr="005140B4">
        <w:trPr>
          <w:cantSplit/>
        </w:trPr>
        <w:tc>
          <w:tcPr>
            <w:tcW w:w="3155" w:type="dxa"/>
            <w:tcBorders>
              <w:top w:val="single" w:sz="6" w:space="0" w:color="auto"/>
              <w:left w:val="nil"/>
              <w:bottom w:val="single" w:sz="4" w:space="0" w:color="auto"/>
              <w:right w:val="nil"/>
            </w:tcBorders>
            <w:shd w:val="clear" w:color="000000" w:fill="FFFFFF"/>
          </w:tcPr>
          <w:p w:rsidR="00A53D7D" w:rsidRPr="00BB7C92" w:rsidRDefault="00A53D7D" w:rsidP="005140B4">
            <w:pPr>
              <w:pStyle w:val="OGTabText"/>
              <w:keepNext/>
              <w:rPr>
                <w:color w:val="000000"/>
                <w:lang w:eastAsia="en-AU"/>
              </w:rPr>
            </w:pPr>
            <w:r w:rsidRPr="00BB7C92">
              <w:rPr>
                <w:color w:val="000000"/>
                <w:lang w:eastAsia="en-AU"/>
              </w:rPr>
              <w:t>Reports completed on time</w:t>
            </w:r>
          </w:p>
        </w:tc>
        <w:tc>
          <w:tcPr>
            <w:tcW w:w="907" w:type="dxa"/>
            <w:tcBorders>
              <w:top w:val="single" w:sz="6" w:space="0" w:color="auto"/>
              <w:left w:val="nil"/>
              <w:bottom w:val="single" w:sz="4" w:space="0" w:color="auto"/>
              <w:right w:val="nil"/>
            </w:tcBorders>
            <w:shd w:val="clear" w:color="000000" w:fill="FFFFFF"/>
          </w:tcPr>
          <w:p w:rsidR="00A53D7D" w:rsidRPr="00BB7C92" w:rsidRDefault="00A53D7D" w:rsidP="005140B4">
            <w:pPr>
              <w:pStyle w:val="OGUoM"/>
              <w:keepNext/>
              <w:rPr>
                <w:color w:val="000000"/>
                <w:lang w:eastAsia="en-AU"/>
              </w:rPr>
            </w:pPr>
            <w:r w:rsidRPr="00BB7C92">
              <w:rPr>
                <w:color w:val="000000"/>
                <w:lang w:eastAsia="en-AU"/>
              </w:rPr>
              <w:t>per cent</w:t>
            </w:r>
          </w:p>
        </w:tc>
        <w:tc>
          <w:tcPr>
            <w:tcW w:w="907" w:type="dxa"/>
            <w:tcBorders>
              <w:top w:val="single" w:sz="6" w:space="0" w:color="auto"/>
              <w:left w:val="nil"/>
              <w:bottom w:val="single" w:sz="4" w:space="0" w:color="auto"/>
              <w:right w:val="nil"/>
            </w:tcBorders>
            <w:shd w:val="clear" w:color="auto" w:fill="D9D9D9"/>
          </w:tcPr>
          <w:p w:rsidR="00A53D7D" w:rsidRPr="00BB7C92" w:rsidRDefault="00A53D7D" w:rsidP="005140B4">
            <w:pPr>
              <w:pStyle w:val="OGTableofFigures"/>
              <w:keepNext/>
              <w:rPr>
                <w:color w:val="000000"/>
                <w:lang w:eastAsia="en-AU"/>
              </w:rPr>
            </w:pPr>
            <w:r w:rsidRPr="00BB7C92">
              <w:rPr>
                <w:color w:val="000000"/>
                <w:lang w:eastAsia="en-AU"/>
              </w:rPr>
              <w:t>90</w:t>
            </w:r>
          </w:p>
        </w:tc>
        <w:tc>
          <w:tcPr>
            <w:tcW w:w="993" w:type="dxa"/>
            <w:tcBorders>
              <w:top w:val="single" w:sz="6" w:space="0" w:color="auto"/>
              <w:left w:val="nil"/>
              <w:bottom w:val="single" w:sz="4"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90</w:t>
            </w:r>
          </w:p>
        </w:tc>
        <w:tc>
          <w:tcPr>
            <w:tcW w:w="907" w:type="dxa"/>
            <w:tcBorders>
              <w:top w:val="single" w:sz="6" w:space="0" w:color="auto"/>
              <w:left w:val="nil"/>
              <w:bottom w:val="single" w:sz="4"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90</w:t>
            </w:r>
          </w:p>
        </w:tc>
        <w:tc>
          <w:tcPr>
            <w:tcW w:w="907" w:type="dxa"/>
            <w:tcBorders>
              <w:top w:val="single" w:sz="6" w:space="0" w:color="auto"/>
              <w:left w:val="nil"/>
              <w:bottom w:val="single" w:sz="4" w:space="0" w:color="auto"/>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97</w:t>
            </w:r>
          </w:p>
        </w:tc>
      </w:tr>
      <w:tr w:rsidR="00A53D7D" w:rsidRPr="005D6F5B" w:rsidTr="005140B4">
        <w:trPr>
          <w:cantSplit/>
        </w:trPr>
        <w:tc>
          <w:tcPr>
            <w:tcW w:w="3155" w:type="dxa"/>
            <w:tcBorders>
              <w:top w:val="single" w:sz="4" w:space="0" w:color="auto"/>
              <w:left w:val="nil"/>
              <w:right w:val="nil"/>
            </w:tcBorders>
            <w:shd w:val="clear" w:color="000000" w:fill="FFFFFF"/>
          </w:tcPr>
          <w:p w:rsidR="00A53D7D" w:rsidRPr="00BB7C92" w:rsidRDefault="00A53D7D" w:rsidP="005140B4">
            <w:pPr>
              <w:pStyle w:val="OGTabHead"/>
              <w:rPr>
                <w:lang w:eastAsia="en-AU"/>
              </w:rPr>
            </w:pPr>
            <w:r w:rsidRPr="00BB7C92">
              <w:rPr>
                <w:lang w:eastAsia="en-AU"/>
              </w:rPr>
              <w:t>Cost</w:t>
            </w:r>
          </w:p>
        </w:tc>
        <w:tc>
          <w:tcPr>
            <w:tcW w:w="907" w:type="dxa"/>
            <w:tcBorders>
              <w:top w:val="single" w:sz="4" w:space="0" w:color="auto"/>
              <w:left w:val="nil"/>
              <w:right w:val="nil"/>
            </w:tcBorders>
            <w:shd w:val="clear" w:color="000000" w:fill="FFFFFF"/>
          </w:tcPr>
          <w:p w:rsidR="00A53D7D" w:rsidRPr="00BB7C92" w:rsidRDefault="00A53D7D" w:rsidP="005140B4">
            <w:pPr>
              <w:pStyle w:val="OGUoM"/>
              <w:keepNext/>
              <w:rPr>
                <w:color w:val="000000"/>
                <w:lang w:eastAsia="en-AU"/>
              </w:rPr>
            </w:pPr>
          </w:p>
        </w:tc>
        <w:tc>
          <w:tcPr>
            <w:tcW w:w="907" w:type="dxa"/>
            <w:tcBorders>
              <w:top w:val="single" w:sz="4" w:space="0" w:color="auto"/>
              <w:left w:val="nil"/>
              <w:right w:val="nil"/>
            </w:tcBorders>
            <w:shd w:val="clear" w:color="auto" w:fill="D9D9D9"/>
          </w:tcPr>
          <w:p w:rsidR="00A53D7D" w:rsidRPr="00BB7C92" w:rsidRDefault="00A53D7D" w:rsidP="005140B4">
            <w:pPr>
              <w:pStyle w:val="OGTableofFigures"/>
              <w:keepNext/>
              <w:rPr>
                <w:color w:val="000000"/>
                <w:lang w:eastAsia="en-AU"/>
              </w:rPr>
            </w:pPr>
          </w:p>
        </w:tc>
        <w:tc>
          <w:tcPr>
            <w:tcW w:w="993" w:type="dxa"/>
            <w:tcBorders>
              <w:top w:val="single" w:sz="4" w:space="0" w:color="auto"/>
              <w:left w:val="nil"/>
              <w:right w:val="nil"/>
            </w:tcBorders>
            <w:shd w:val="clear" w:color="000000" w:fill="FFFFFF"/>
          </w:tcPr>
          <w:p w:rsidR="00A53D7D" w:rsidRPr="00BB7C92" w:rsidRDefault="00A53D7D" w:rsidP="005140B4">
            <w:pPr>
              <w:pStyle w:val="OGTableofFigures"/>
              <w:keepNext/>
              <w:rPr>
                <w:color w:val="000000"/>
                <w:lang w:eastAsia="en-AU"/>
              </w:rPr>
            </w:pPr>
          </w:p>
        </w:tc>
        <w:tc>
          <w:tcPr>
            <w:tcW w:w="907" w:type="dxa"/>
            <w:tcBorders>
              <w:top w:val="single" w:sz="4" w:space="0" w:color="auto"/>
              <w:left w:val="nil"/>
              <w:right w:val="nil"/>
            </w:tcBorders>
            <w:shd w:val="clear" w:color="000000" w:fill="FFFFFF"/>
          </w:tcPr>
          <w:p w:rsidR="00A53D7D" w:rsidRPr="00BB7C92" w:rsidRDefault="00A53D7D" w:rsidP="005140B4">
            <w:pPr>
              <w:pStyle w:val="OGTableofFigures"/>
              <w:keepNext/>
              <w:rPr>
                <w:color w:val="000000"/>
                <w:lang w:eastAsia="en-AU"/>
              </w:rPr>
            </w:pPr>
          </w:p>
        </w:tc>
        <w:tc>
          <w:tcPr>
            <w:tcW w:w="907" w:type="dxa"/>
            <w:tcBorders>
              <w:top w:val="single" w:sz="4" w:space="0" w:color="auto"/>
              <w:left w:val="nil"/>
              <w:right w:val="nil"/>
            </w:tcBorders>
            <w:shd w:val="clear" w:color="000000" w:fill="FFFFFF"/>
          </w:tcPr>
          <w:p w:rsidR="00A53D7D" w:rsidRPr="00BB7C92" w:rsidRDefault="00A53D7D" w:rsidP="005140B4">
            <w:pPr>
              <w:pStyle w:val="OGTableofFigures"/>
              <w:keepNext/>
              <w:rPr>
                <w:color w:val="000000"/>
                <w:lang w:eastAsia="en-AU"/>
              </w:rPr>
            </w:pPr>
          </w:p>
        </w:tc>
      </w:tr>
      <w:tr w:rsidR="00A53D7D" w:rsidRPr="005D6F5B" w:rsidTr="005140B4">
        <w:trPr>
          <w:cantSplit/>
        </w:trPr>
        <w:tc>
          <w:tcPr>
            <w:tcW w:w="3155" w:type="dxa"/>
            <w:tcBorders>
              <w:top w:val="nil"/>
              <w:left w:val="nil"/>
              <w:right w:val="nil"/>
            </w:tcBorders>
            <w:shd w:val="clear" w:color="000000" w:fill="FFFFFF"/>
          </w:tcPr>
          <w:p w:rsidR="00A53D7D" w:rsidRPr="00BB7C92" w:rsidRDefault="00A53D7D" w:rsidP="005140B4">
            <w:pPr>
              <w:pStyle w:val="OGTabText"/>
              <w:keepNext/>
              <w:rPr>
                <w:color w:val="000000"/>
                <w:lang w:eastAsia="en-AU"/>
              </w:rPr>
            </w:pPr>
            <w:r w:rsidRPr="00BB7C92">
              <w:rPr>
                <w:color w:val="000000"/>
                <w:lang w:eastAsia="en-AU"/>
              </w:rPr>
              <w:t>Total output cost</w:t>
            </w:r>
          </w:p>
        </w:tc>
        <w:tc>
          <w:tcPr>
            <w:tcW w:w="907" w:type="dxa"/>
            <w:tcBorders>
              <w:top w:val="nil"/>
              <w:left w:val="nil"/>
              <w:right w:val="nil"/>
            </w:tcBorders>
            <w:shd w:val="clear" w:color="000000" w:fill="FFFFFF"/>
          </w:tcPr>
          <w:p w:rsidR="00A53D7D" w:rsidRPr="00BB7C92" w:rsidRDefault="00A53D7D" w:rsidP="005140B4">
            <w:pPr>
              <w:pStyle w:val="OGUoM"/>
              <w:keepNext/>
              <w:rPr>
                <w:color w:val="000000"/>
                <w:lang w:eastAsia="en-AU"/>
              </w:rPr>
            </w:pPr>
            <w:r w:rsidRPr="00BB7C92">
              <w:rPr>
                <w:color w:val="000000"/>
                <w:lang w:eastAsia="en-AU"/>
              </w:rPr>
              <w:t>$</w:t>
            </w:r>
            <w:r>
              <w:rPr>
                <w:color w:val="000000"/>
                <w:lang w:eastAsia="en-AU"/>
              </w:rPr>
              <w:t> million</w:t>
            </w:r>
          </w:p>
        </w:tc>
        <w:tc>
          <w:tcPr>
            <w:tcW w:w="907" w:type="dxa"/>
            <w:tcBorders>
              <w:top w:val="nil"/>
              <w:left w:val="nil"/>
              <w:right w:val="nil"/>
            </w:tcBorders>
            <w:shd w:val="clear" w:color="auto" w:fill="D9D9D9"/>
          </w:tcPr>
          <w:p w:rsidR="00A53D7D" w:rsidRPr="00BB7C92" w:rsidRDefault="00A53D7D" w:rsidP="005140B4">
            <w:pPr>
              <w:pStyle w:val="OGTableofFigures"/>
              <w:keepNext/>
              <w:rPr>
                <w:color w:val="000000"/>
                <w:lang w:eastAsia="en-AU"/>
              </w:rPr>
            </w:pPr>
            <w:r w:rsidRPr="00BB7C92">
              <w:rPr>
                <w:color w:val="000000"/>
                <w:lang w:eastAsia="en-AU"/>
              </w:rPr>
              <w:t>15.7</w:t>
            </w:r>
          </w:p>
        </w:tc>
        <w:tc>
          <w:tcPr>
            <w:tcW w:w="993" w:type="dxa"/>
            <w:tcBorders>
              <w:top w:val="nil"/>
              <w:left w:val="nil"/>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15.3</w:t>
            </w:r>
          </w:p>
        </w:tc>
        <w:tc>
          <w:tcPr>
            <w:tcW w:w="907" w:type="dxa"/>
            <w:tcBorders>
              <w:top w:val="nil"/>
              <w:left w:val="nil"/>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15.3</w:t>
            </w:r>
          </w:p>
        </w:tc>
        <w:tc>
          <w:tcPr>
            <w:tcW w:w="907" w:type="dxa"/>
            <w:tcBorders>
              <w:top w:val="nil"/>
              <w:left w:val="nil"/>
              <w:right w:val="nil"/>
            </w:tcBorders>
            <w:shd w:val="clear" w:color="000000" w:fill="FFFFFF"/>
          </w:tcPr>
          <w:p w:rsidR="00A53D7D" w:rsidRPr="00BB7C92" w:rsidRDefault="00A53D7D" w:rsidP="005140B4">
            <w:pPr>
              <w:pStyle w:val="OGTableofFigures"/>
              <w:keepNext/>
              <w:rPr>
                <w:color w:val="000000"/>
                <w:lang w:eastAsia="en-AU"/>
              </w:rPr>
            </w:pPr>
            <w:r w:rsidRPr="00BB7C92">
              <w:rPr>
                <w:color w:val="000000"/>
                <w:lang w:eastAsia="en-AU"/>
              </w:rPr>
              <w:t>14.5</w:t>
            </w:r>
          </w:p>
        </w:tc>
      </w:tr>
      <w:tr w:rsidR="00A53D7D" w:rsidRPr="005D6F5B" w:rsidTr="005140B4">
        <w:trPr>
          <w:cantSplit/>
        </w:trPr>
        <w:tc>
          <w:tcPr>
            <w:tcW w:w="7776" w:type="dxa"/>
            <w:gridSpan w:val="6"/>
            <w:tcBorders>
              <w:top w:val="nil"/>
              <w:left w:val="nil"/>
              <w:bottom w:val="single" w:sz="12" w:space="0" w:color="auto"/>
              <w:right w:val="nil"/>
            </w:tcBorders>
            <w:shd w:val="clear" w:color="000000" w:fill="FFFFFF"/>
          </w:tcPr>
          <w:p w:rsidR="00A53D7D" w:rsidRPr="0020740D" w:rsidRDefault="00A53D7D" w:rsidP="005140B4">
            <w:pPr>
              <w:pStyle w:val="OGNotesIndent"/>
            </w:pPr>
            <w:r w:rsidRPr="00E1669D">
              <w:t>The higher 201</w:t>
            </w:r>
            <w:r>
              <w:t>4</w:t>
            </w:r>
            <w:r>
              <w:noBreakHyphen/>
              <w:t>15 target reflects indexation</w:t>
            </w:r>
            <w:r w:rsidRPr="00E1669D">
              <w:t>.</w:t>
            </w:r>
          </w:p>
        </w:tc>
      </w:tr>
    </w:tbl>
    <w:p w:rsidR="00A53D7D" w:rsidRDefault="00A53D7D" w:rsidP="005140B4">
      <w:pPr>
        <w:pStyle w:val="Source"/>
      </w:pPr>
      <w:r>
        <w:t>Source: Victorian Auditor</w:t>
      </w:r>
      <w:r>
        <w:noBreakHyphen/>
        <w:t xml:space="preserve">General’s Office </w:t>
      </w:r>
      <w:r>
        <w:fldChar w:fldCharType="begin"/>
      </w:r>
      <w:r>
        <w:instrText xml:space="preserve"> XE "</w:instrText>
      </w:r>
      <w:r w:rsidRPr="00961ED4">
        <w:rPr>
          <w:lang w:eastAsia="en-AU"/>
        </w:rPr>
        <w:instrText>Parliament</w:instrText>
      </w:r>
      <w:r w:rsidRPr="00961ED4">
        <w:instrText>:Victorian Auditor</w:instrText>
      </w:r>
      <w:r>
        <w:noBreakHyphen/>
      </w:r>
      <w:r w:rsidRPr="00961ED4">
        <w:instrText>General's Office</w:instrText>
      </w:r>
      <w:r>
        <w:instrText xml:space="preserve">" \r "ParlVAGO" </w:instrText>
      </w:r>
      <w:r>
        <w:fldChar w:fldCharType="end"/>
      </w:r>
      <w:r>
        <w:fldChar w:fldCharType="begin"/>
      </w:r>
      <w:r>
        <w:instrText xml:space="preserve"> XE "</w:instrText>
      </w:r>
      <w:r w:rsidRPr="0008381B">
        <w:rPr>
          <w:lang w:eastAsia="en-AU"/>
        </w:rPr>
        <w:instrText>Victorian Auditor</w:instrText>
      </w:r>
      <w:r>
        <w:rPr>
          <w:lang w:eastAsia="en-AU"/>
        </w:rPr>
        <w:noBreakHyphen/>
      </w:r>
      <w:r w:rsidRPr="0008381B">
        <w:rPr>
          <w:lang w:eastAsia="en-AU"/>
        </w:rPr>
        <w:instrText>General's Office</w:instrText>
      </w:r>
      <w:r>
        <w:instrText xml:space="preserve">" \r "ParlVAGO" </w:instrText>
      </w:r>
      <w:r>
        <w:fldChar w:fldCharType="end"/>
      </w:r>
      <w:r>
        <w:t xml:space="preserve"> </w:t>
      </w:r>
      <w:bookmarkEnd w:id="151"/>
      <w:r>
        <w:t xml:space="preserve"> </w:t>
      </w:r>
    </w:p>
    <w:p w:rsidR="00A53D7D" w:rsidRDefault="00A53D7D" w:rsidP="005140B4"/>
    <w:p w:rsidR="00A53D7D" w:rsidRDefault="00A53D7D" w:rsidP="00497606"/>
    <w:p w:rsidR="00A53D7D" w:rsidRDefault="00A53D7D" w:rsidP="004463C6">
      <w:pPr>
        <w:sectPr w:rsidR="00A53D7D" w:rsidSect="00CD2017">
          <w:footerReference w:type="even" r:id="rId42"/>
          <w:footerReference w:type="default" r:id="rId43"/>
          <w:pgSz w:w="9979" w:h="14181" w:code="138"/>
          <w:pgMar w:top="1140" w:right="1140" w:bottom="1140" w:left="1140" w:header="720" w:footer="431" w:gutter="0"/>
          <w:cols w:space="708"/>
          <w:docGrid w:linePitch="360"/>
        </w:sectPr>
      </w:pPr>
    </w:p>
    <w:p w:rsidR="00A53D7D" w:rsidRDefault="00A53D7D" w:rsidP="005140B4">
      <w:pPr>
        <w:pStyle w:val="Heading1"/>
      </w:pPr>
      <w:bookmarkStart w:id="152" w:name="_Toc386541226"/>
      <w:bookmarkStart w:id="153" w:name="_Toc407116918"/>
      <w:r w:rsidRPr="00E215FC">
        <w:t>Courts</w:t>
      </w:r>
      <w:bookmarkEnd w:id="152"/>
      <w:bookmarkEnd w:id="153"/>
    </w:p>
    <w:p w:rsidR="00A53D7D" w:rsidRDefault="00A53D7D" w:rsidP="005140B4">
      <w:pPr>
        <w:pStyle w:val="Heading2"/>
      </w:pPr>
      <w:r>
        <w:t>Mission statement</w:t>
      </w:r>
    </w:p>
    <w:p w:rsidR="00A53D7D" w:rsidRPr="00C015A2" w:rsidRDefault="00A53D7D" w:rsidP="005140B4">
      <w:r>
        <w:t xml:space="preserve">Victoria’s courts and tribunals </w:t>
      </w:r>
      <w:r w:rsidRPr="00C015A2">
        <w:t xml:space="preserve">safeguard and maintain the rule of law </w:t>
      </w:r>
      <w:r>
        <w:t xml:space="preserve">through the fair, </w:t>
      </w:r>
      <w:proofErr w:type="gramStart"/>
      <w:r>
        <w:t>timely</w:t>
      </w:r>
      <w:proofErr w:type="gramEnd"/>
      <w:r>
        <w:t xml:space="preserve"> and efficient dispensing of justice.</w:t>
      </w:r>
    </w:p>
    <w:p w:rsidR="00A53D7D" w:rsidRPr="00E0401B" w:rsidRDefault="00A53D7D" w:rsidP="005140B4">
      <w:pPr>
        <w:pStyle w:val="Heading2"/>
      </w:pPr>
      <w:r>
        <w:t>O</w:t>
      </w:r>
      <w:r w:rsidRPr="00E0401B">
        <w:t>bjectives, indicators and outputs</w:t>
      </w:r>
    </w:p>
    <w:p w:rsidR="00A53D7D" w:rsidRDefault="00A53D7D" w:rsidP="005140B4">
      <w:r w:rsidRPr="00E0401B">
        <w:t xml:space="preserve">The objectives, </w:t>
      </w:r>
      <w:proofErr w:type="gramStart"/>
      <w:r w:rsidRPr="00E0401B">
        <w:t>indicators</w:t>
      </w:r>
      <w:proofErr w:type="gramEnd"/>
      <w:r w:rsidRPr="00E0401B">
        <w:t xml:space="preserve"> and linked outputs</w:t>
      </w:r>
      <w:r>
        <w:t xml:space="preserve"> for </w:t>
      </w:r>
      <w:smartTag w:uri="urn:schemas-microsoft-com:office:smarttags" w:element="State">
        <w:smartTag w:uri="urn:schemas-microsoft-com:office:smarttags" w:element="place">
          <w:r>
            <w:t>Victoria</w:t>
          </w:r>
        </w:smartTag>
      </w:smartTag>
      <w:r>
        <w:t>’s courts and tribunals</w:t>
      </w:r>
      <w:r w:rsidRPr="00E0401B">
        <w:t xml:space="preserve"> are:</w:t>
      </w:r>
    </w:p>
    <w:tbl>
      <w:tblPr>
        <w:tblW w:w="7776" w:type="dxa"/>
        <w:tblInd w:w="29" w:type="dxa"/>
        <w:tblBorders>
          <w:insideH w:val="single" w:sz="6" w:space="0" w:color="auto"/>
        </w:tblBorders>
        <w:tblLayout w:type="fixed"/>
        <w:tblCellMar>
          <w:left w:w="43" w:type="dxa"/>
          <w:right w:w="43" w:type="dxa"/>
        </w:tblCellMar>
        <w:tblLook w:val="00A0" w:firstRow="1" w:lastRow="0" w:firstColumn="1" w:lastColumn="0" w:noHBand="0" w:noVBand="0"/>
      </w:tblPr>
      <w:tblGrid>
        <w:gridCol w:w="2592"/>
        <w:gridCol w:w="2592"/>
        <w:gridCol w:w="2592"/>
      </w:tblGrid>
      <w:tr w:rsidR="00A53D7D" w:rsidTr="005140B4">
        <w:trPr>
          <w:cantSplit/>
          <w:tblHeader/>
        </w:trPr>
        <w:tc>
          <w:tcPr>
            <w:tcW w:w="2592" w:type="dxa"/>
            <w:shd w:val="clear" w:color="auto" w:fill="000000"/>
          </w:tcPr>
          <w:p w:rsidR="00A53D7D" w:rsidRPr="00EC2CB7" w:rsidRDefault="00A53D7D" w:rsidP="005140B4">
            <w:pPr>
              <w:pStyle w:val="TabletextheadingLeft0"/>
            </w:pPr>
            <w:r>
              <w:rPr>
                <w:highlight w:val="black"/>
                <w:lang w:eastAsia="en-AU"/>
              </w:rPr>
              <w:t>Courts</w:t>
            </w:r>
            <w:r w:rsidRPr="00EC2CB7">
              <w:rPr>
                <w:highlight w:val="black"/>
                <w:lang w:eastAsia="en-AU"/>
              </w:rPr>
              <w:t xml:space="preserve"> objectives</w:t>
            </w:r>
          </w:p>
        </w:tc>
        <w:tc>
          <w:tcPr>
            <w:tcW w:w="2592" w:type="dxa"/>
            <w:shd w:val="clear" w:color="auto" w:fill="000000"/>
          </w:tcPr>
          <w:p w:rsidR="00A53D7D" w:rsidRPr="00EC2CB7" w:rsidRDefault="00A53D7D" w:rsidP="005140B4">
            <w:pPr>
              <w:pStyle w:val="TabletextheadingLeft0"/>
            </w:pPr>
            <w:r w:rsidRPr="00EC2CB7">
              <w:rPr>
                <w:highlight w:val="black"/>
                <w:lang w:eastAsia="en-AU"/>
              </w:rPr>
              <w:t>Indicators</w:t>
            </w:r>
          </w:p>
        </w:tc>
        <w:tc>
          <w:tcPr>
            <w:tcW w:w="2592" w:type="dxa"/>
            <w:shd w:val="clear" w:color="auto" w:fill="000000"/>
          </w:tcPr>
          <w:p w:rsidR="00A53D7D" w:rsidRPr="00EC2CB7" w:rsidRDefault="00A53D7D" w:rsidP="005140B4">
            <w:pPr>
              <w:pStyle w:val="TabletextheadingLeft0"/>
            </w:pPr>
            <w:r w:rsidRPr="00EC2CB7">
              <w:rPr>
                <w:highlight w:val="black"/>
                <w:lang w:eastAsia="en-AU"/>
              </w:rPr>
              <w:t>Outputs</w:t>
            </w:r>
          </w:p>
        </w:tc>
      </w:tr>
      <w:tr w:rsidR="00A53D7D" w:rsidTr="005140B4">
        <w:trPr>
          <w:cantSplit/>
        </w:trPr>
        <w:tc>
          <w:tcPr>
            <w:tcW w:w="2592" w:type="dxa"/>
            <w:tcBorders>
              <w:bottom w:val="single" w:sz="12" w:space="0" w:color="auto"/>
            </w:tcBorders>
          </w:tcPr>
          <w:p w:rsidR="00A53D7D" w:rsidRPr="00E0401B" w:rsidRDefault="00A53D7D" w:rsidP="005140B4">
            <w:pPr>
              <w:pStyle w:val="Tabletextnoindent"/>
            </w:pPr>
            <w:r>
              <w:t>The fair, timely and efficient dispensing of justice</w:t>
            </w:r>
          </w:p>
        </w:tc>
        <w:tc>
          <w:tcPr>
            <w:tcW w:w="2592" w:type="dxa"/>
            <w:tcBorders>
              <w:bottom w:val="single" w:sz="12" w:space="0" w:color="auto"/>
            </w:tcBorders>
          </w:tcPr>
          <w:p w:rsidR="00A53D7D" w:rsidRDefault="00A53D7D" w:rsidP="005140B4">
            <w:pPr>
              <w:pStyle w:val="Tabletextnoindent"/>
            </w:pPr>
            <w:r>
              <w:t xml:space="preserve">Clearance of criminal caseload </w:t>
            </w:r>
          </w:p>
          <w:p w:rsidR="00A53D7D" w:rsidRDefault="00A53D7D" w:rsidP="005140B4">
            <w:pPr>
              <w:pStyle w:val="Tabletextnoindent"/>
            </w:pPr>
            <w:r>
              <w:t>(finalisations/lodgements)</w:t>
            </w:r>
          </w:p>
          <w:p w:rsidR="00A53D7D" w:rsidRDefault="00A53D7D" w:rsidP="005140B4">
            <w:pPr>
              <w:pStyle w:val="Tabletextnoindent"/>
            </w:pPr>
            <w:r>
              <w:t>Clearance of civil caseload</w:t>
            </w:r>
          </w:p>
          <w:p w:rsidR="00A53D7D" w:rsidRPr="00E0401B" w:rsidRDefault="00A53D7D" w:rsidP="005140B4">
            <w:pPr>
              <w:pStyle w:val="Tabletextnoindent"/>
            </w:pPr>
            <w:r>
              <w:t>(finalisations/lodgements)</w:t>
            </w:r>
          </w:p>
        </w:tc>
        <w:tc>
          <w:tcPr>
            <w:tcW w:w="2592" w:type="dxa"/>
            <w:tcBorders>
              <w:bottom w:val="single" w:sz="12" w:space="0" w:color="auto"/>
            </w:tcBorders>
          </w:tcPr>
          <w:p w:rsidR="00A53D7D" w:rsidRPr="00E0401B" w:rsidRDefault="00A53D7D" w:rsidP="005140B4">
            <w:pPr>
              <w:pStyle w:val="Tabletextnoindent"/>
            </w:pPr>
            <w:r>
              <w:t>Courts</w:t>
            </w:r>
          </w:p>
        </w:tc>
      </w:tr>
    </w:tbl>
    <w:p w:rsidR="00A53D7D" w:rsidRDefault="00A53D7D" w:rsidP="005140B4">
      <w:pPr>
        <w:pStyle w:val="Source"/>
      </w:pPr>
      <w:r>
        <w:t>Source: Courts</w:t>
      </w:r>
    </w:p>
    <w:p w:rsidR="00A53D7D" w:rsidRPr="00C015A2" w:rsidRDefault="00A53D7D" w:rsidP="005140B4">
      <w:r>
        <w:t>Victoria’s courts and tribunals aim to:</w:t>
      </w:r>
    </w:p>
    <w:p w:rsidR="00A53D7D" w:rsidRPr="00C015A2" w:rsidRDefault="00A53D7D" w:rsidP="005140B4">
      <w:pPr>
        <w:pStyle w:val="BulletText"/>
      </w:pPr>
      <w:r>
        <w:t>provide equal access to justice;</w:t>
      </w:r>
    </w:p>
    <w:p w:rsidR="00A53D7D" w:rsidRPr="00C015A2" w:rsidRDefault="00A53D7D" w:rsidP="005140B4">
      <w:pPr>
        <w:pStyle w:val="BulletText"/>
      </w:pPr>
      <w:r w:rsidRPr="00C015A2">
        <w:t>ensure fairness, impartiality and independence in decision</w:t>
      </w:r>
      <w:r>
        <w:noBreakHyphen/>
      </w:r>
      <w:r w:rsidRPr="00C015A2">
        <w:t>making</w:t>
      </w:r>
      <w:r>
        <w:t>;</w:t>
      </w:r>
    </w:p>
    <w:p w:rsidR="00A53D7D" w:rsidRPr="00C015A2" w:rsidRDefault="00A53D7D" w:rsidP="005140B4">
      <w:pPr>
        <w:pStyle w:val="BulletText"/>
      </w:pPr>
      <w:r>
        <w:t>follow</w:t>
      </w:r>
      <w:r w:rsidRPr="00C015A2">
        <w:t xml:space="preserve"> processes that are transparent, timely and certain</w:t>
      </w:r>
      <w:r>
        <w:t>;</w:t>
      </w:r>
    </w:p>
    <w:p w:rsidR="00A53D7D" w:rsidRPr="00C015A2" w:rsidRDefault="00A53D7D" w:rsidP="005140B4">
      <w:pPr>
        <w:pStyle w:val="BulletText"/>
      </w:pPr>
      <w:r w:rsidRPr="00C015A2">
        <w:t>strive for leadership and best practice in court administration; and</w:t>
      </w:r>
    </w:p>
    <w:p w:rsidR="00A53D7D" w:rsidRDefault="00A53D7D" w:rsidP="005140B4">
      <w:pPr>
        <w:pStyle w:val="BulletText"/>
      </w:pPr>
      <w:proofErr w:type="gramStart"/>
      <w:r w:rsidRPr="00C015A2">
        <w:t>strengthen</w:t>
      </w:r>
      <w:proofErr w:type="gramEnd"/>
      <w:r w:rsidRPr="00C015A2">
        <w:t xml:space="preserve"> links with the community.</w:t>
      </w:r>
    </w:p>
    <w:p w:rsidR="00A6384E" w:rsidRPr="001E2CA8" w:rsidRDefault="00A6384E" w:rsidP="00A6384E">
      <w:pPr>
        <w:pStyle w:val="Notes"/>
      </w:pPr>
    </w:p>
    <w:p w:rsidR="00A53D7D" w:rsidRDefault="00A53D7D" w:rsidP="005140B4">
      <w:pPr>
        <w:pStyle w:val="Heading2"/>
      </w:pPr>
      <w:r>
        <w:t>Changes to the output structure</w:t>
      </w:r>
    </w:p>
    <w:p w:rsidR="00A53D7D" w:rsidRDefault="00A53D7D" w:rsidP="005140B4">
      <w:pPr>
        <w:pStyle w:val="Tableheading"/>
      </w:pPr>
      <w:r>
        <w:t>Table 2.29:</w:t>
      </w:r>
      <w:r>
        <w:tab/>
        <w:t>Output summary</w:t>
      </w:r>
    </w:p>
    <w:p w:rsidR="00A53D7D" w:rsidRPr="00B03C99"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640"/>
        <w:gridCol w:w="989"/>
        <w:gridCol w:w="989"/>
        <w:gridCol w:w="989"/>
        <w:gridCol w:w="1169"/>
      </w:tblGrid>
      <w:tr w:rsidR="00A53D7D" w:rsidRPr="00B03C99" w:rsidTr="005140B4">
        <w:tc>
          <w:tcPr>
            <w:tcW w:w="3640" w:type="dxa"/>
            <w:tcBorders>
              <w:top w:val="single" w:sz="4" w:space="0" w:color="auto"/>
              <w:left w:val="single" w:sz="4" w:space="0" w:color="auto"/>
              <w:bottom w:val="nil"/>
              <w:right w:val="nil"/>
            </w:tcBorders>
            <w:shd w:val="clear" w:color="auto" w:fill="000000"/>
          </w:tcPr>
          <w:p w:rsidR="00A53D7D" w:rsidRPr="00B03C99" w:rsidRDefault="00A53D7D" w:rsidP="005140B4">
            <w:pPr>
              <w:pStyle w:val="Tabletext"/>
              <w:rPr>
                <w:rFonts w:eastAsiaTheme="minorEastAsia"/>
                <w:lang w:eastAsia="en-AU"/>
              </w:rPr>
            </w:pPr>
          </w:p>
        </w:tc>
        <w:tc>
          <w:tcPr>
            <w:tcW w:w="989" w:type="dxa"/>
            <w:tcBorders>
              <w:top w:val="single" w:sz="4" w:space="0" w:color="auto"/>
              <w:left w:val="nil"/>
              <w:bottom w:val="nil"/>
              <w:right w:val="nil"/>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2013-14</w:t>
            </w:r>
          </w:p>
        </w:tc>
        <w:tc>
          <w:tcPr>
            <w:tcW w:w="989" w:type="dxa"/>
            <w:tcBorders>
              <w:top w:val="single" w:sz="4" w:space="0" w:color="auto"/>
              <w:left w:val="nil"/>
              <w:bottom w:val="nil"/>
              <w:right w:val="nil"/>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2013-14</w:t>
            </w:r>
          </w:p>
        </w:tc>
        <w:tc>
          <w:tcPr>
            <w:tcW w:w="989" w:type="dxa"/>
            <w:tcBorders>
              <w:top w:val="single" w:sz="4" w:space="0" w:color="auto"/>
              <w:left w:val="nil"/>
              <w:bottom w:val="nil"/>
              <w:right w:val="nil"/>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2014-15</w:t>
            </w:r>
          </w:p>
        </w:tc>
        <w:tc>
          <w:tcPr>
            <w:tcW w:w="1169" w:type="dxa"/>
            <w:tcBorders>
              <w:top w:val="single" w:sz="4" w:space="0" w:color="auto"/>
              <w:left w:val="nil"/>
              <w:bottom w:val="nil"/>
              <w:right w:val="single" w:sz="4" w:space="0" w:color="auto"/>
            </w:tcBorders>
            <w:shd w:val="clear" w:color="auto" w:fill="000000"/>
          </w:tcPr>
          <w:p w:rsidR="00A53D7D" w:rsidRPr="00B03C99" w:rsidRDefault="00A53D7D" w:rsidP="005140B4">
            <w:pPr>
              <w:pStyle w:val="Tabletextheading"/>
              <w:rPr>
                <w:rFonts w:eastAsiaTheme="minorEastAsia" w:cs="Calibri"/>
                <w:iCs/>
                <w:color w:val="FFFFFF" w:themeColor="background1"/>
                <w:vertAlign w:val="superscript"/>
                <w:lang w:eastAsia="en-AU"/>
              </w:rPr>
            </w:pPr>
            <w:r w:rsidRPr="00B03C99">
              <w:rPr>
                <w:rFonts w:eastAsiaTheme="minorEastAsia"/>
                <w:color w:val="FFFFFF" w:themeColor="background1"/>
                <w:lang w:eastAsia="en-AU"/>
              </w:rPr>
              <w:t>Variation</w:t>
            </w:r>
            <w:r w:rsidRPr="00B03C99">
              <w:rPr>
                <w:rFonts w:eastAsiaTheme="minorEastAsia"/>
                <w:color w:val="FFFFFF" w:themeColor="background1"/>
                <w:vertAlign w:val="superscript"/>
                <w:lang w:eastAsia="en-AU"/>
              </w:rPr>
              <w:t>(</w:t>
            </w:r>
            <w:r w:rsidRPr="00B03C99">
              <w:rPr>
                <w:rFonts w:eastAsiaTheme="minorEastAsia" w:cs="Calibri"/>
                <w:iCs/>
                <w:color w:val="FFFFFF" w:themeColor="background1"/>
                <w:vertAlign w:val="superscript"/>
                <w:lang w:eastAsia="en-AU"/>
              </w:rPr>
              <w:t>a)</w:t>
            </w:r>
          </w:p>
        </w:tc>
      </w:tr>
      <w:tr w:rsidR="00A53D7D" w:rsidRPr="00B03C99" w:rsidTr="005140B4">
        <w:tc>
          <w:tcPr>
            <w:tcW w:w="3640" w:type="dxa"/>
            <w:tcBorders>
              <w:top w:val="nil"/>
              <w:left w:val="single" w:sz="4" w:space="0" w:color="auto"/>
              <w:bottom w:val="single" w:sz="4" w:space="0" w:color="auto"/>
              <w:right w:val="nil"/>
            </w:tcBorders>
            <w:shd w:val="clear" w:color="auto" w:fill="000000"/>
          </w:tcPr>
          <w:p w:rsidR="00A53D7D" w:rsidRPr="00B03C99" w:rsidRDefault="00A53D7D" w:rsidP="005140B4">
            <w:pPr>
              <w:pStyle w:val="Tabletext"/>
              <w:rPr>
                <w:rFonts w:eastAsiaTheme="minorEastAsia"/>
                <w:lang w:eastAsia="en-AU"/>
              </w:rPr>
            </w:pPr>
          </w:p>
        </w:tc>
        <w:tc>
          <w:tcPr>
            <w:tcW w:w="989" w:type="dxa"/>
            <w:tcBorders>
              <w:top w:val="nil"/>
              <w:left w:val="nil"/>
              <w:bottom w:val="single" w:sz="4" w:space="0" w:color="auto"/>
              <w:right w:val="nil"/>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Budget</w:t>
            </w:r>
          </w:p>
        </w:tc>
        <w:tc>
          <w:tcPr>
            <w:tcW w:w="989" w:type="dxa"/>
            <w:tcBorders>
              <w:top w:val="nil"/>
              <w:left w:val="nil"/>
              <w:bottom w:val="single" w:sz="4" w:space="0" w:color="auto"/>
              <w:right w:val="nil"/>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Revised</w:t>
            </w:r>
          </w:p>
        </w:tc>
        <w:tc>
          <w:tcPr>
            <w:tcW w:w="989" w:type="dxa"/>
            <w:tcBorders>
              <w:top w:val="nil"/>
              <w:left w:val="nil"/>
              <w:bottom w:val="single" w:sz="4" w:space="0" w:color="auto"/>
              <w:right w:val="nil"/>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Budget</w:t>
            </w:r>
          </w:p>
        </w:tc>
        <w:tc>
          <w:tcPr>
            <w:tcW w:w="1169" w:type="dxa"/>
            <w:tcBorders>
              <w:top w:val="nil"/>
              <w:left w:val="nil"/>
              <w:bottom w:val="single" w:sz="4" w:space="0" w:color="auto"/>
              <w:right w:val="single" w:sz="4" w:space="0" w:color="auto"/>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w:t>
            </w:r>
          </w:p>
        </w:tc>
      </w:tr>
      <w:tr w:rsidR="00A53D7D" w:rsidRPr="00B03C99" w:rsidTr="005140B4">
        <w:tc>
          <w:tcPr>
            <w:tcW w:w="3640" w:type="dxa"/>
            <w:tcBorders>
              <w:top w:val="single" w:sz="4" w:space="0" w:color="auto"/>
              <w:left w:val="nil"/>
              <w:bottom w:val="nil"/>
              <w:right w:val="nil"/>
            </w:tcBorders>
          </w:tcPr>
          <w:p w:rsidR="00A53D7D" w:rsidRPr="00B03C99" w:rsidRDefault="00A53D7D" w:rsidP="005140B4">
            <w:pPr>
              <w:pStyle w:val="Tabletext"/>
              <w:rPr>
                <w:rFonts w:eastAsiaTheme="minorEastAsia"/>
                <w:lang w:eastAsia="en-AU"/>
              </w:rPr>
            </w:pPr>
            <w:r w:rsidRPr="00B03C99">
              <w:rPr>
                <w:rFonts w:eastAsiaTheme="minorEastAsia"/>
                <w:lang w:eastAsia="en-AU"/>
              </w:rPr>
              <w:t xml:space="preserve">Courts </w:t>
            </w:r>
          </w:p>
        </w:tc>
        <w:tc>
          <w:tcPr>
            <w:tcW w:w="989" w:type="dxa"/>
            <w:tcBorders>
              <w:top w:val="single" w:sz="4" w:space="0" w:color="auto"/>
              <w:left w:val="nil"/>
              <w:bottom w:val="nil"/>
              <w:right w:val="nil"/>
            </w:tcBorders>
          </w:tcPr>
          <w:p w:rsidR="00A53D7D" w:rsidRPr="00B03C99" w:rsidRDefault="00A53D7D" w:rsidP="005140B4">
            <w:pPr>
              <w:pStyle w:val="TableofFigures"/>
              <w:rPr>
                <w:rFonts w:eastAsiaTheme="minorEastAsia"/>
                <w:lang w:eastAsia="en-AU"/>
              </w:rPr>
            </w:pPr>
            <w:r w:rsidRPr="00B03C99">
              <w:rPr>
                <w:rFonts w:eastAsiaTheme="minorEastAsia"/>
                <w:lang w:eastAsia="en-AU"/>
              </w:rPr>
              <w:t>448.9</w:t>
            </w:r>
          </w:p>
        </w:tc>
        <w:tc>
          <w:tcPr>
            <w:tcW w:w="989" w:type="dxa"/>
            <w:tcBorders>
              <w:top w:val="single" w:sz="4" w:space="0" w:color="auto"/>
              <w:left w:val="nil"/>
              <w:bottom w:val="nil"/>
              <w:right w:val="nil"/>
            </w:tcBorders>
          </w:tcPr>
          <w:p w:rsidR="00A53D7D" w:rsidRPr="00B03C99" w:rsidRDefault="00A53D7D" w:rsidP="005140B4">
            <w:pPr>
              <w:pStyle w:val="TableofFigures"/>
              <w:rPr>
                <w:rFonts w:eastAsiaTheme="minorEastAsia" w:cs="Calibri"/>
                <w:color w:val="000000"/>
                <w:lang w:eastAsia="en-AU"/>
              </w:rPr>
            </w:pPr>
            <w:r w:rsidRPr="00B03C99">
              <w:rPr>
                <w:rFonts w:eastAsiaTheme="minorEastAsia"/>
                <w:lang w:eastAsia="en-AU"/>
              </w:rPr>
              <w:t>431.4</w:t>
            </w:r>
          </w:p>
        </w:tc>
        <w:tc>
          <w:tcPr>
            <w:tcW w:w="989" w:type="dxa"/>
            <w:tcBorders>
              <w:top w:val="single" w:sz="4" w:space="0" w:color="auto"/>
              <w:left w:val="nil"/>
              <w:bottom w:val="nil"/>
              <w:right w:val="nil"/>
            </w:tcBorders>
          </w:tcPr>
          <w:p w:rsidR="00A53D7D" w:rsidRPr="00B03C99" w:rsidRDefault="00A53D7D" w:rsidP="005140B4">
            <w:pPr>
              <w:pStyle w:val="TableofFigures"/>
              <w:rPr>
                <w:rFonts w:eastAsiaTheme="minorEastAsia" w:cs="Calibri"/>
                <w:color w:val="000000"/>
                <w:lang w:eastAsia="en-AU"/>
              </w:rPr>
            </w:pPr>
            <w:r w:rsidRPr="00B03C99">
              <w:rPr>
                <w:rFonts w:eastAsiaTheme="minorEastAsia"/>
                <w:lang w:eastAsia="en-AU"/>
              </w:rPr>
              <w:t>454.6</w:t>
            </w:r>
          </w:p>
        </w:tc>
        <w:tc>
          <w:tcPr>
            <w:tcW w:w="1169" w:type="dxa"/>
            <w:tcBorders>
              <w:top w:val="single" w:sz="4" w:space="0" w:color="auto"/>
              <w:left w:val="nil"/>
              <w:bottom w:val="nil"/>
              <w:right w:val="nil"/>
            </w:tcBorders>
          </w:tcPr>
          <w:p w:rsidR="00A53D7D" w:rsidRPr="00B03C99" w:rsidRDefault="00A53D7D" w:rsidP="005140B4">
            <w:pPr>
              <w:pStyle w:val="TableofFigures"/>
              <w:rPr>
                <w:rFonts w:eastAsiaTheme="minorEastAsia"/>
                <w:lang w:eastAsia="en-AU"/>
              </w:rPr>
            </w:pPr>
            <w:r w:rsidRPr="00B03C99">
              <w:rPr>
                <w:rFonts w:eastAsiaTheme="minorEastAsia"/>
                <w:lang w:eastAsia="en-AU"/>
              </w:rPr>
              <w:t>1.3</w:t>
            </w:r>
          </w:p>
        </w:tc>
      </w:tr>
      <w:tr w:rsidR="00A53D7D" w:rsidRPr="00B03C99" w:rsidTr="005140B4">
        <w:tc>
          <w:tcPr>
            <w:tcW w:w="3640" w:type="dxa"/>
            <w:tcBorders>
              <w:top w:val="single" w:sz="6" w:space="0" w:color="auto"/>
              <w:left w:val="nil"/>
              <w:bottom w:val="single" w:sz="12" w:space="0" w:color="auto"/>
              <w:right w:val="nil"/>
            </w:tcBorders>
          </w:tcPr>
          <w:p w:rsidR="00A53D7D" w:rsidRPr="00B03C99" w:rsidRDefault="00A53D7D" w:rsidP="005140B4">
            <w:pPr>
              <w:pStyle w:val="Tabletext"/>
              <w:rPr>
                <w:rFonts w:eastAsiaTheme="minorEastAsia"/>
                <w:b/>
                <w:bCs/>
                <w:lang w:eastAsia="en-AU"/>
              </w:rPr>
            </w:pPr>
            <w:r w:rsidRPr="00B03C99">
              <w:rPr>
                <w:rFonts w:eastAsiaTheme="minorEastAsia"/>
                <w:b/>
                <w:bCs/>
                <w:lang w:eastAsia="en-AU"/>
              </w:rPr>
              <w:t>Total</w:t>
            </w:r>
          </w:p>
        </w:tc>
        <w:tc>
          <w:tcPr>
            <w:tcW w:w="989" w:type="dxa"/>
            <w:tcBorders>
              <w:top w:val="single" w:sz="6" w:space="0" w:color="auto"/>
              <w:left w:val="nil"/>
              <w:bottom w:val="single" w:sz="12" w:space="0" w:color="auto"/>
              <w:right w:val="nil"/>
            </w:tcBorders>
          </w:tcPr>
          <w:p w:rsidR="00A53D7D" w:rsidRPr="00B03C99" w:rsidRDefault="00A53D7D" w:rsidP="005140B4">
            <w:pPr>
              <w:pStyle w:val="TableofFigures"/>
              <w:rPr>
                <w:rFonts w:eastAsiaTheme="minorEastAsia"/>
                <w:b/>
                <w:bCs/>
                <w:lang w:eastAsia="en-AU"/>
              </w:rPr>
            </w:pPr>
            <w:r w:rsidRPr="00B03C99">
              <w:rPr>
                <w:rFonts w:eastAsiaTheme="minorEastAsia"/>
                <w:b/>
                <w:bCs/>
                <w:lang w:eastAsia="en-AU"/>
              </w:rPr>
              <w:t>448.9</w:t>
            </w:r>
          </w:p>
        </w:tc>
        <w:tc>
          <w:tcPr>
            <w:tcW w:w="989" w:type="dxa"/>
            <w:tcBorders>
              <w:top w:val="single" w:sz="6" w:space="0" w:color="auto"/>
              <w:left w:val="nil"/>
              <w:bottom w:val="single" w:sz="12" w:space="0" w:color="auto"/>
              <w:right w:val="nil"/>
            </w:tcBorders>
          </w:tcPr>
          <w:p w:rsidR="00A53D7D" w:rsidRPr="00B03C99" w:rsidRDefault="00A53D7D" w:rsidP="005140B4">
            <w:pPr>
              <w:pStyle w:val="TableofFigures"/>
              <w:rPr>
                <w:rFonts w:eastAsiaTheme="minorEastAsia"/>
                <w:b/>
                <w:bCs/>
                <w:lang w:eastAsia="en-AU"/>
              </w:rPr>
            </w:pPr>
            <w:r w:rsidRPr="00B03C99">
              <w:rPr>
                <w:rFonts w:eastAsiaTheme="minorEastAsia"/>
                <w:b/>
                <w:bCs/>
                <w:lang w:eastAsia="en-AU"/>
              </w:rPr>
              <w:t>431.4</w:t>
            </w:r>
          </w:p>
        </w:tc>
        <w:tc>
          <w:tcPr>
            <w:tcW w:w="989" w:type="dxa"/>
            <w:tcBorders>
              <w:top w:val="single" w:sz="6" w:space="0" w:color="auto"/>
              <w:left w:val="nil"/>
              <w:bottom w:val="single" w:sz="12" w:space="0" w:color="auto"/>
              <w:right w:val="nil"/>
            </w:tcBorders>
          </w:tcPr>
          <w:p w:rsidR="00A53D7D" w:rsidRPr="00B03C99" w:rsidRDefault="00A53D7D" w:rsidP="005140B4">
            <w:pPr>
              <w:pStyle w:val="TableofFigures"/>
              <w:rPr>
                <w:rFonts w:eastAsiaTheme="minorEastAsia"/>
                <w:b/>
                <w:bCs/>
                <w:lang w:eastAsia="en-AU"/>
              </w:rPr>
            </w:pPr>
            <w:r w:rsidRPr="00B03C99">
              <w:rPr>
                <w:rFonts w:eastAsiaTheme="minorEastAsia"/>
                <w:b/>
                <w:bCs/>
                <w:lang w:eastAsia="en-AU"/>
              </w:rPr>
              <w:t>454.6</w:t>
            </w:r>
          </w:p>
        </w:tc>
        <w:tc>
          <w:tcPr>
            <w:tcW w:w="1169" w:type="dxa"/>
            <w:tcBorders>
              <w:top w:val="single" w:sz="6" w:space="0" w:color="auto"/>
              <w:left w:val="nil"/>
              <w:bottom w:val="single" w:sz="12" w:space="0" w:color="auto"/>
              <w:right w:val="nil"/>
            </w:tcBorders>
          </w:tcPr>
          <w:p w:rsidR="00A53D7D" w:rsidRPr="00B03C99" w:rsidRDefault="00A53D7D" w:rsidP="005140B4">
            <w:pPr>
              <w:pStyle w:val="TableofFigures"/>
              <w:rPr>
                <w:rFonts w:eastAsiaTheme="minorEastAsia"/>
                <w:b/>
                <w:bCs/>
                <w:lang w:eastAsia="en-AU"/>
              </w:rPr>
            </w:pPr>
            <w:r w:rsidRPr="00B03C99">
              <w:rPr>
                <w:rFonts w:eastAsiaTheme="minorEastAsia"/>
                <w:b/>
                <w:bCs/>
                <w:lang w:eastAsia="en-AU"/>
              </w:rPr>
              <w:t>1.3</w:t>
            </w:r>
          </w:p>
        </w:tc>
      </w:tr>
    </w:tbl>
    <w:p w:rsidR="00A53D7D" w:rsidRDefault="00A53D7D" w:rsidP="005140B4">
      <w:pPr>
        <w:pStyle w:val="Source"/>
      </w:pPr>
      <w:r>
        <w:t xml:space="preserve">Source: Courts </w:t>
      </w:r>
      <w:r>
        <w:fldChar w:fldCharType="begin"/>
      </w:r>
      <w:r>
        <w:instrText xml:space="preserve"> XE "Courts</w:instrText>
      </w:r>
      <w:r w:rsidRPr="00B15ECE">
        <w:instrText>:Output summary</w:instrText>
      </w:r>
      <w:r>
        <w:instrText xml:space="preserve">" </w:instrText>
      </w:r>
      <w:r>
        <w:fldChar w:fldCharType="end"/>
      </w:r>
    </w:p>
    <w:p w:rsidR="00A53D7D" w:rsidRDefault="00A53D7D" w:rsidP="005140B4">
      <w:pPr>
        <w:pStyle w:val="Notes"/>
      </w:pPr>
      <w:r>
        <w:t>Notes:</w:t>
      </w:r>
    </w:p>
    <w:p w:rsidR="00A53D7D" w:rsidRPr="007D0C8C" w:rsidRDefault="00A53D7D" w:rsidP="005140B4">
      <w:pPr>
        <w:pStyle w:val="Notes"/>
      </w:pPr>
      <w:r>
        <w:t>(a)</w:t>
      </w:r>
      <w:r>
        <w:tab/>
        <w:t xml:space="preserve">Variation between </w:t>
      </w:r>
      <w:r w:rsidRPr="001907B7">
        <w:rPr>
          <w:i w:val="0"/>
        </w:rPr>
        <w:t>2013</w:t>
      </w:r>
      <w:r w:rsidRPr="001907B7">
        <w:rPr>
          <w:i w:val="0"/>
        </w:rPr>
        <w:noBreakHyphen/>
        <w:t xml:space="preserve">14 </w:t>
      </w:r>
      <w:r>
        <w:rPr>
          <w:i w:val="0"/>
        </w:rPr>
        <w:t>B</w:t>
      </w:r>
      <w:r w:rsidRPr="001907B7">
        <w:rPr>
          <w:i w:val="0"/>
        </w:rPr>
        <w:t>udget</w:t>
      </w:r>
      <w:r>
        <w:t xml:space="preserve"> and </w:t>
      </w:r>
      <w:r w:rsidRPr="001907B7">
        <w:rPr>
          <w:i w:val="0"/>
        </w:rPr>
        <w:t>2014</w:t>
      </w:r>
      <w:r w:rsidRPr="001907B7">
        <w:rPr>
          <w:i w:val="0"/>
        </w:rPr>
        <w:noBreakHyphen/>
        <w:t xml:space="preserve">15 </w:t>
      </w:r>
      <w:r>
        <w:rPr>
          <w:i w:val="0"/>
        </w:rPr>
        <w:t>B</w:t>
      </w:r>
      <w:r w:rsidRPr="001907B7">
        <w:rPr>
          <w:i w:val="0"/>
        </w:rPr>
        <w:t>udget</w:t>
      </w:r>
      <w:r>
        <w:t>.</w:t>
      </w:r>
    </w:p>
    <w:p w:rsidR="00A53D7D" w:rsidRDefault="00A53D7D">
      <w:pPr>
        <w:spacing w:after="0"/>
        <w:rPr>
          <w:rFonts w:ascii="Calibri" w:hAnsi="Calibri"/>
          <w:b/>
          <w:kern w:val="28"/>
          <w:sz w:val="26"/>
          <w:szCs w:val="22"/>
        </w:rPr>
      </w:pPr>
      <w:r>
        <w:br w:type="page"/>
      </w:r>
    </w:p>
    <w:p w:rsidR="00A53D7D" w:rsidRDefault="00A53D7D" w:rsidP="005140B4">
      <w:pPr>
        <w:pStyle w:val="Heading2"/>
      </w:pPr>
      <w:r>
        <w:t>Amounts available</w:t>
      </w:r>
    </w:p>
    <w:p w:rsidR="00A53D7D" w:rsidRDefault="00A53D7D" w:rsidP="005140B4">
      <w:r>
        <w:t>The following tables detail the amounts available to the Department from Parliamentary authority and income generated through transactions.</w:t>
      </w:r>
    </w:p>
    <w:p w:rsidR="00A53D7D" w:rsidRPr="00294B39" w:rsidRDefault="00A53D7D" w:rsidP="005140B4">
      <w:r>
        <w:t>Table 2.30 outlines the Department’s income from transactions and Table 2.31 summarises the sources of Parliamentary authority available to the Department to fund the provision of outputs, additions to net asset base and payments made on behalf of the State.</w:t>
      </w:r>
    </w:p>
    <w:p w:rsidR="00A53D7D" w:rsidRDefault="00A53D7D" w:rsidP="005140B4">
      <w:pPr>
        <w:pStyle w:val="Tableheading"/>
      </w:pPr>
      <w:r>
        <w:t>Table 2.30:</w:t>
      </w:r>
      <w:r>
        <w:tab/>
        <w:t xml:space="preserve">Income from transactions </w:t>
      </w:r>
    </w:p>
    <w:p w:rsidR="00A53D7D" w:rsidRPr="00B03C99" w:rsidRDefault="00A53D7D" w:rsidP="005140B4">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A53D7D" w:rsidRPr="00B03C99" w:rsidTr="005140B4">
        <w:tc>
          <w:tcPr>
            <w:tcW w:w="3803" w:type="dxa"/>
            <w:tcBorders>
              <w:top w:val="single" w:sz="4" w:space="0" w:color="auto"/>
              <w:left w:val="single" w:sz="4" w:space="0" w:color="auto"/>
              <w:bottom w:val="nil"/>
              <w:right w:val="nil"/>
            </w:tcBorders>
            <w:shd w:val="clear" w:color="auto" w:fill="000000"/>
          </w:tcPr>
          <w:p w:rsidR="00A53D7D" w:rsidRPr="00B03C99" w:rsidRDefault="00A53D7D" w:rsidP="005140B4">
            <w:pPr>
              <w:pStyle w:val="Tabletext"/>
              <w:rPr>
                <w:rFonts w:eastAsiaTheme="minorEastAsia"/>
                <w:lang w:eastAsia="en-AU"/>
              </w:rPr>
            </w:pPr>
            <w:r w:rsidRPr="00B03C99">
              <w:rPr>
                <w:rFonts w:eastAsiaTheme="minorEastAsia"/>
                <w:lang w:eastAsia="en-AU"/>
              </w:rPr>
              <w:t xml:space="preserve"> </w:t>
            </w:r>
          </w:p>
        </w:tc>
        <w:tc>
          <w:tcPr>
            <w:tcW w:w="994" w:type="dxa"/>
            <w:tcBorders>
              <w:top w:val="single" w:sz="4" w:space="0" w:color="auto"/>
              <w:left w:val="nil"/>
              <w:bottom w:val="nil"/>
              <w:right w:val="nil"/>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2012-13</w:t>
            </w:r>
          </w:p>
        </w:tc>
        <w:tc>
          <w:tcPr>
            <w:tcW w:w="993" w:type="dxa"/>
            <w:tcBorders>
              <w:top w:val="single" w:sz="4" w:space="0" w:color="auto"/>
              <w:left w:val="nil"/>
              <w:bottom w:val="nil"/>
              <w:right w:val="nil"/>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2013-14</w:t>
            </w:r>
          </w:p>
        </w:tc>
        <w:tc>
          <w:tcPr>
            <w:tcW w:w="993" w:type="dxa"/>
            <w:tcBorders>
              <w:top w:val="single" w:sz="4" w:space="0" w:color="auto"/>
              <w:left w:val="nil"/>
              <w:bottom w:val="nil"/>
              <w:right w:val="nil"/>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2013-14</w:t>
            </w:r>
          </w:p>
        </w:tc>
        <w:tc>
          <w:tcPr>
            <w:tcW w:w="993" w:type="dxa"/>
            <w:tcBorders>
              <w:top w:val="single" w:sz="4" w:space="0" w:color="auto"/>
              <w:left w:val="nil"/>
              <w:bottom w:val="nil"/>
              <w:right w:val="single" w:sz="4" w:space="0" w:color="auto"/>
            </w:tcBorders>
            <w:shd w:val="clear" w:color="auto" w:fill="000000"/>
          </w:tcPr>
          <w:p w:rsidR="00A53D7D" w:rsidRPr="00B03C99" w:rsidRDefault="00A53D7D" w:rsidP="005140B4">
            <w:pPr>
              <w:pStyle w:val="Tabletextheading"/>
              <w:rPr>
                <w:rFonts w:eastAsiaTheme="minorEastAsia"/>
                <w:vertAlign w:val="superscript"/>
                <w:lang w:eastAsia="en-AU"/>
              </w:rPr>
            </w:pPr>
            <w:r w:rsidRPr="00B03C99">
              <w:rPr>
                <w:rFonts w:eastAsiaTheme="minorEastAsia"/>
                <w:lang w:eastAsia="en-AU"/>
              </w:rPr>
              <w:t xml:space="preserve">2014-15 </w:t>
            </w:r>
            <w:r w:rsidRPr="00B03C99">
              <w:rPr>
                <w:rFonts w:eastAsiaTheme="minorEastAsia"/>
                <w:vertAlign w:val="superscript"/>
                <w:lang w:eastAsia="en-AU"/>
              </w:rPr>
              <w:t>(a)</w:t>
            </w:r>
          </w:p>
        </w:tc>
      </w:tr>
      <w:tr w:rsidR="00A53D7D" w:rsidRPr="00B03C99" w:rsidTr="005140B4">
        <w:tc>
          <w:tcPr>
            <w:tcW w:w="3803" w:type="dxa"/>
            <w:tcBorders>
              <w:top w:val="nil"/>
              <w:left w:val="single" w:sz="4" w:space="0" w:color="auto"/>
              <w:bottom w:val="single" w:sz="4" w:space="0" w:color="auto"/>
              <w:right w:val="nil"/>
            </w:tcBorders>
            <w:shd w:val="clear" w:color="auto" w:fill="000000"/>
          </w:tcPr>
          <w:p w:rsidR="00A53D7D" w:rsidRPr="00B03C99" w:rsidRDefault="00A53D7D" w:rsidP="005140B4">
            <w:pPr>
              <w:pStyle w:val="Tabletext"/>
              <w:rPr>
                <w:rFonts w:eastAsiaTheme="minorEastAsia"/>
                <w:lang w:eastAsia="en-AU"/>
              </w:rPr>
            </w:pPr>
            <w:r w:rsidRPr="00B03C99">
              <w:rPr>
                <w:rFonts w:eastAsiaTheme="minorEastAsia"/>
                <w:lang w:eastAsia="en-AU"/>
              </w:rPr>
              <w:t xml:space="preserve"> </w:t>
            </w:r>
          </w:p>
        </w:tc>
        <w:tc>
          <w:tcPr>
            <w:tcW w:w="994" w:type="dxa"/>
            <w:tcBorders>
              <w:top w:val="nil"/>
              <w:left w:val="nil"/>
              <w:bottom w:val="single" w:sz="4" w:space="0" w:color="auto"/>
              <w:right w:val="nil"/>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Actual</w:t>
            </w:r>
          </w:p>
        </w:tc>
        <w:tc>
          <w:tcPr>
            <w:tcW w:w="993" w:type="dxa"/>
            <w:tcBorders>
              <w:top w:val="nil"/>
              <w:left w:val="nil"/>
              <w:bottom w:val="single" w:sz="4" w:space="0" w:color="auto"/>
              <w:right w:val="nil"/>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 xml:space="preserve">Budget </w:t>
            </w:r>
          </w:p>
        </w:tc>
        <w:tc>
          <w:tcPr>
            <w:tcW w:w="993" w:type="dxa"/>
            <w:tcBorders>
              <w:top w:val="nil"/>
              <w:left w:val="nil"/>
              <w:bottom w:val="single" w:sz="4" w:space="0" w:color="auto"/>
              <w:right w:val="nil"/>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Revised</w:t>
            </w:r>
          </w:p>
        </w:tc>
        <w:tc>
          <w:tcPr>
            <w:tcW w:w="993" w:type="dxa"/>
            <w:tcBorders>
              <w:top w:val="nil"/>
              <w:left w:val="nil"/>
              <w:bottom w:val="single" w:sz="4" w:space="0" w:color="auto"/>
              <w:right w:val="single" w:sz="4" w:space="0" w:color="auto"/>
            </w:tcBorders>
            <w:shd w:val="clear" w:color="auto" w:fill="000000"/>
          </w:tcPr>
          <w:p w:rsidR="00A53D7D" w:rsidRPr="00B03C99" w:rsidRDefault="00A53D7D" w:rsidP="005140B4">
            <w:pPr>
              <w:pStyle w:val="Tabletextheading"/>
              <w:rPr>
                <w:rFonts w:eastAsiaTheme="minorEastAsia"/>
                <w:lang w:eastAsia="en-AU"/>
              </w:rPr>
            </w:pPr>
            <w:r w:rsidRPr="00B03C99">
              <w:rPr>
                <w:rFonts w:eastAsiaTheme="minorEastAsia"/>
                <w:lang w:eastAsia="en-AU"/>
              </w:rPr>
              <w:t>Budget</w:t>
            </w:r>
          </w:p>
        </w:tc>
      </w:tr>
      <w:tr w:rsidR="00A53D7D" w:rsidRPr="00B03C99" w:rsidTr="005140B4">
        <w:tc>
          <w:tcPr>
            <w:tcW w:w="3803" w:type="dxa"/>
            <w:tcBorders>
              <w:top w:val="nil"/>
              <w:left w:val="nil"/>
              <w:bottom w:val="nil"/>
              <w:right w:val="nil"/>
            </w:tcBorders>
          </w:tcPr>
          <w:p w:rsidR="00A53D7D" w:rsidRPr="00B03C99" w:rsidRDefault="00A53D7D" w:rsidP="005140B4">
            <w:pPr>
              <w:pStyle w:val="Tabletext"/>
              <w:rPr>
                <w:rFonts w:eastAsiaTheme="minorEastAsia"/>
                <w:color w:val="000000"/>
                <w:lang w:eastAsia="en-AU"/>
              </w:rPr>
            </w:pPr>
            <w:r w:rsidRPr="00B03C99">
              <w:rPr>
                <w:rFonts w:eastAsiaTheme="minorEastAsia"/>
                <w:color w:val="000000"/>
                <w:lang w:eastAsia="en-AU"/>
              </w:rPr>
              <w:t>Output appropriations</w:t>
            </w:r>
          </w:p>
        </w:tc>
        <w:tc>
          <w:tcPr>
            <w:tcW w:w="994" w:type="dxa"/>
            <w:tcBorders>
              <w:top w:val="nil"/>
              <w:left w:val="nil"/>
              <w:bottom w:val="nil"/>
              <w:right w:val="nil"/>
            </w:tcBorders>
          </w:tcPr>
          <w:p w:rsidR="00A53D7D" w:rsidRPr="00B03C99" w:rsidRDefault="00A53D7D" w:rsidP="005140B4">
            <w:pPr>
              <w:pStyle w:val="TableofFigures"/>
              <w:rPr>
                <w:rFonts w:eastAsiaTheme="minorEastAsia"/>
                <w:color w:val="000000"/>
                <w:lang w:eastAsia="en-AU"/>
              </w:rPr>
            </w:pPr>
            <w:r w:rsidRPr="00B03C99">
              <w:rPr>
                <w:rFonts w:eastAsiaTheme="minorEastAsia"/>
                <w:color w:val="000000"/>
                <w:lang w:eastAsia="en-AU"/>
              </w:rPr>
              <w:t>..</w:t>
            </w:r>
          </w:p>
        </w:tc>
        <w:tc>
          <w:tcPr>
            <w:tcW w:w="993" w:type="dxa"/>
            <w:tcBorders>
              <w:top w:val="nil"/>
              <w:left w:val="nil"/>
              <w:bottom w:val="nil"/>
              <w:right w:val="nil"/>
            </w:tcBorders>
          </w:tcPr>
          <w:p w:rsidR="00A53D7D" w:rsidRPr="00B03C99" w:rsidRDefault="00A53D7D" w:rsidP="005140B4">
            <w:pPr>
              <w:pStyle w:val="TableofFigures"/>
              <w:rPr>
                <w:rFonts w:eastAsiaTheme="minorEastAsia"/>
                <w:color w:val="000000"/>
                <w:lang w:eastAsia="en-AU"/>
              </w:rPr>
            </w:pPr>
            <w:r w:rsidRPr="00B03C99">
              <w:rPr>
                <w:rFonts w:eastAsiaTheme="minorEastAsia"/>
                <w:color w:val="000000"/>
                <w:lang w:eastAsia="en-AU"/>
              </w:rPr>
              <w:t>..</w:t>
            </w:r>
          </w:p>
        </w:tc>
        <w:tc>
          <w:tcPr>
            <w:tcW w:w="993" w:type="dxa"/>
            <w:tcBorders>
              <w:top w:val="nil"/>
              <w:left w:val="nil"/>
              <w:bottom w:val="nil"/>
              <w:right w:val="nil"/>
            </w:tcBorders>
          </w:tcPr>
          <w:p w:rsidR="00A53D7D" w:rsidRPr="00B03C99" w:rsidRDefault="00A53D7D" w:rsidP="005140B4">
            <w:pPr>
              <w:pStyle w:val="TableofFigures"/>
              <w:rPr>
                <w:rFonts w:eastAsiaTheme="minorEastAsia"/>
                <w:color w:val="000000"/>
                <w:lang w:eastAsia="en-AU"/>
              </w:rPr>
            </w:pPr>
            <w:r w:rsidRPr="00B03C99">
              <w:rPr>
                <w:rFonts w:eastAsiaTheme="minorEastAsia"/>
                <w:color w:val="000000"/>
                <w:lang w:eastAsia="en-AU"/>
              </w:rPr>
              <w:t>..</w:t>
            </w:r>
          </w:p>
        </w:tc>
        <w:tc>
          <w:tcPr>
            <w:tcW w:w="993" w:type="dxa"/>
            <w:tcBorders>
              <w:top w:val="nil"/>
              <w:left w:val="nil"/>
              <w:bottom w:val="nil"/>
              <w:right w:val="nil"/>
            </w:tcBorders>
          </w:tcPr>
          <w:p w:rsidR="00A53D7D" w:rsidRPr="00B03C99" w:rsidRDefault="00A53D7D" w:rsidP="005140B4">
            <w:pPr>
              <w:pStyle w:val="TableofFigures"/>
              <w:rPr>
                <w:rFonts w:eastAsiaTheme="minorEastAsia"/>
                <w:color w:val="000000"/>
                <w:lang w:eastAsia="en-AU"/>
              </w:rPr>
            </w:pPr>
            <w:r w:rsidRPr="00B03C99">
              <w:rPr>
                <w:rFonts w:eastAsiaTheme="minorEastAsia"/>
                <w:color w:val="000000"/>
                <w:lang w:eastAsia="en-AU"/>
              </w:rPr>
              <w:t xml:space="preserve"> 306.6</w:t>
            </w:r>
          </w:p>
        </w:tc>
      </w:tr>
      <w:tr w:rsidR="00A53D7D" w:rsidRPr="00B03C99" w:rsidTr="005140B4">
        <w:tc>
          <w:tcPr>
            <w:tcW w:w="3803" w:type="dxa"/>
            <w:tcBorders>
              <w:top w:val="nil"/>
              <w:left w:val="nil"/>
              <w:bottom w:val="nil"/>
              <w:right w:val="nil"/>
            </w:tcBorders>
          </w:tcPr>
          <w:p w:rsidR="00A53D7D" w:rsidRPr="00B03C99" w:rsidRDefault="00A53D7D" w:rsidP="005140B4">
            <w:pPr>
              <w:pStyle w:val="Tabletext"/>
              <w:rPr>
                <w:rFonts w:eastAsiaTheme="minorEastAsia"/>
                <w:color w:val="000000"/>
                <w:lang w:eastAsia="en-AU"/>
              </w:rPr>
            </w:pPr>
            <w:r w:rsidRPr="00B03C99">
              <w:rPr>
                <w:rFonts w:eastAsiaTheme="minorEastAsia"/>
                <w:color w:val="000000"/>
                <w:lang w:eastAsia="en-AU"/>
              </w:rPr>
              <w:t>Special appropriations</w:t>
            </w:r>
          </w:p>
        </w:tc>
        <w:tc>
          <w:tcPr>
            <w:tcW w:w="994" w:type="dxa"/>
            <w:tcBorders>
              <w:top w:val="nil"/>
              <w:left w:val="nil"/>
              <w:bottom w:val="nil"/>
              <w:right w:val="nil"/>
            </w:tcBorders>
          </w:tcPr>
          <w:p w:rsidR="00A53D7D" w:rsidRPr="00B03C99" w:rsidRDefault="00A53D7D" w:rsidP="005140B4">
            <w:pPr>
              <w:pStyle w:val="TableofFigures"/>
              <w:rPr>
                <w:rFonts w:eastAsiaTheme="minorEastAsia"/>
                <w:color w:val="000000"/>
                <w:lang w:eastAsia="en-AU"/>
              </w:rPr>
            </w:pPr>
            <w:r w:rsidRPr="00B03C99">
              <w:rPr>
                <w:rFonts w:eastAsiaTheme="minorEastAsia"/>
                <w:color w:val="000000"/>
                <w:lang w:eastAsia="en-AU"/>
              </w:rPr>
              <w:t>..</w:t>
            </w:r>
          </w:p>
        </w:tc>
        <w:tc>
          <w:tcPr>
            <w:tcW w:w="993" w:type="dxa"/>
            <w:tcBorders>
              <w:top w:val="nil"/>
              <w:left w:val="nil"/>
              <w:bottom w:val="nil"/>
              <w:right w:val="nil"/>
            </w:tcBorders>
          </w:tcPr>
          <w:p w:rsidR="00A53D7D" w:rsidRPr="00B03C99" w:rsidRDefault="00A53D7D" w:rsidP="005140B4">
            <w:pPr>
              <w:pStyle w:val="TableofFigures"/>
              <w:rPr>
                <w:rFonts w:eastAsiaTheme="minorEastAsia"/>
                <w:color w:val="000000"/>
                <w:lang w:eastAsia="en-AU"/>
              </w:rPr>
            </w:pPr>
            <w:r w:rsidRPr="00B03C99">
              <w:rPr>
                <w:rFonts w:eastAsiaTheme="minorEastAsia"/>
                <w:color w:val="000000"/>
                <w:lang w:eastAsia="en-AU"/>
              </w:rPr>
              <w:t>..</w:t>
            </w:r>
          </w:p>
        </w:tc>
        <w:tc>
          <w:tcPr>
            <w:tcW w:w="993" w:type="dxa"/>
            <w:tcBorders>
              <w:top w:val="nil"/>
              <w:left w:val="nil"/>
              <w:bottom w:val="nil"/>
              <w:right w:val="nil"/>
            </w:tcBorders>
          </w:tcPr>
          <w:p w:rsidR="00A53D7D" w:rsidRPr="00B03C99" w:rsidRDefault="00A53D7D" w:rsidP="005140B4">
            <w:pPr>
              <w:pStyle w:val="TableofFigures"/>
              <w:rPr>
                <w:rFonts w:eastAsiaTheme="minorEastAsia"/>
                <w:color w:val="000000"/>
                <w:lang w:eastAsia="en-AU"/>
              </w:rPr>
            </w:pPr>
            <w:r w:rsidRPr="00B03C99">
              <w:rPr>
                <w:rFonts w:eastAsiaTheme="minorEastAsia"/>
                <w:color w:val="000000"/>
                <w:lang w:eastAsia="en-AU"/>
              </w:rPr>
              <w:t>..</w:t>
            </w:r>
          </w:p>
        </w:tc>
        <w:tc>
          <w:tcPr>
            <w:tcW w:w="993" w:type="dxa"/>
            <w:tcBorders>
              <w:top w:val="nil"/>
              <w:left w:val="nil"/>
              <w:bottom w:val="nil"/>
              <w:right w:val="nil"/>
            </w:tcBorders>
          </w:tcPr>
          <w:p w:rsidR="00A53D7D" w:rsidRPr="00B03C99" w:rsidRDefault="00A53D7D" w:rsidP="005140B4">
            <w:pPr>
              <w:pStyle w:val="TableofFigures"/>
              <w:rPr>
                <w:rFonts w:eastAsiaTheme="minorEastAsia"/>
                <w:color w:val="000000"/>
                <w:lang w:eastAsia="en-AU"/>
              </w:rPr>
            </w:pPr>
            <w:r w:rsidRPr="00B03C99">
              <w:rPr>
                <w:rFonts w:eastAsiaTheme="minorEastAsia"/>
                <w:color w:val="000000"/>
                <w:lang w:eastAsia="en-AU"/>
              </w:rPr>
              <w:t xml:space="preserve"> 131.4</w:t>
            </w:r>
          </w:p>
        </w:tc>
      </w:tr>
      <w:tr w:rsidR="00A53D7D" w:rsidRPr="00B03C99" w:rsidTr="005140B4">
        <w:tc>
          <w:tcPr>
            <w:tcW w:w="3803" w:type="dxa"/>
            <w:tcBorders>
              <w:top w:val="nil"/>
              <w:left w:val="nil"/>
              <w:bottom w:val="nil"/>
              <w:right w:val="nil"/>
            </w:tcBorders>
          </w:tcPr>
          <w:p w:rsidR="00A53D7D" w:rsidRPr="00B03C99" w:rsidRDefault="00A53D7D" w:rsidP="005140B4">
            <w:pPr>
              <w:pStyle w:val="Tabletext"/>
              <w:rPr>
                <w:rFonts w:eastAsiaTheme="minorEastAsia"/>
                <w:color w:val="000000"/>
                <w:lang w:eastAsia="en-AU"/>
              </w:rPr>
            </w:pPr>
            <w:r w:rsidRPr="00B03C99">
              <w:rPr>
                <w:rFonts w:eastAsiaTheme="minorEastAsia"/>
                <w:color w:val="000000"/>
                <w:lang w:eastAsia="en-AU"/>
              </w:rPr>
              <w:t>Grants</w:t>
            </w:r>
          </w:p>
        </w:tc>
        <w:tc>
          <w:tcPr>
            <w:tcW w:w="994" w:type="dxa"/>
            <w:tcBorders>
              <w:top w:val="nil"/>
              <w:left w:val="nil"/>
              <w:bottom w:val="nil"/>
              <w:right w:val="nil"/>
            </w:tcBorders>
          </w:tcPr>
          <w:p w:rsidR="00A53D7D" w:rsidRPr="00B03C99" w:rsidRDefault="00A53D7D" w:rsidP="005140B4">
            <w:pPr>
              <w:pStyle w:val="TableofFigures"/>
              <w:rPr>
                <w:rFonts w:eastAsiaTheme="minorEastAsia"/>
                <w:color w:val="000000"/>
                <w:lang w:eastAsia="en-AU"/>
              </w:rPr>
            </w:pPr>
            <w:r w:rsidRPr="00B03C99">
              <w:rPr>
                <w:rFonts w:eastAsiaTheme="minorEastAsia"/>
                <w:color w:val="000000"/>
                <w:lang w:eastAsia="en-AU"/>
              </w:rPr>
              <w:t>..</w:t>
            </w:r>
          </w:p>
        </w:tc>
        <w:tc>
          <w:tcPr>
            <w:tcW w:w="993" w:type="dxa"/>
            <w:tcBorders>
              <w:top w:val="nil"/>
              <w:left w:val="nil"/>
              <w:bottom w:val="nil"/>
              <w:right w:val="nil"/>
            </w:tcBorders>
          </w:tcPr>
          <w:p w:rsidR="00A53D7D" w:rsidRPr="00B03C99" w:rsidRDefault="00A53D7D" w:rsidP="005140B4">
            <w:pPr>
              <w:pStyle w:val="TableofFigures"/>
              <w:rPr>
                <w:rFonts w:eastAsiaTheme="minorEastAsia"/>
                <w:color w:val="000000"/>
                <w:lang w:eastAsia="en-AU"/>
              </w:rPr>
            </w:pPr>
            <w:r w:rsidRPr="00B03C99">
              <w:rPr>
                <w:rFonts w:eastAsiaTheme="minorEastAsia"/>
                <w:color w:val="000000"/>
                <w:lang w:eastAsia="en-AU"/>
              </w:rPr>
              <w:t>..</w:t>
            </w:r>
          </w:p>
        </w:tc>
        <w:tc>
          <w:tcPr>
            <w:tcW w:w="993" w:type="dxa"/>
            <w:tcBorders>
              <w:top w:val="nil"/>
              <w:left w:val="nil"/>
              <w:bottom w:val="nil"/>
              <w:right w:val="nil"/>
            </w:tcBorders>
          </w:tcPr>
          <w:p w:rsidR="00A53D7D" w:rsidRPr="00B03C99" w:rsidRDefault="00A53D7D" w:rsidP="005140B4">
            <w:pPr>
              <w:pStyle w:val="TableofFigures"/>
              <w:rPr>
                <w:rFonts w:eastAsiaTheme="minorEastAsia"/>
                <w:color w:val="000000"/>
                <w:lang w:eastAsia="en-AU"/>
              </w:rPr>
            </w:pPr>
            <w:r w:rsidRPr="00B03C99">
              <w:rPr>
                <w:rFonts w:eastAsiaTheme="minorEastAsia"/>
                <w:color w:val="000000"/>
                <w:lang w:eastAsia="en-AU"/>
              </w:rPr>
              <w:t>..</w:t>
            </w:r>
          </w:p>
        </w:tc>
        <w:tc>
          <w:tcPr>
            <w:tcW w:w="993" w:type="dxa"/>
            <w:tcBorders>
              <w:top w:val="nil"/>
              <w:left w:val="nil"/>
              <w:bottom w:val="nil"/>
              <w:right w:val="nil"/>
            </w:tcBorders>
          </w:tcPr>
          <w:p w:rsidR="00A53D7D" w:rsidRPr="00B03C99" w:rsidRDefault="00A53D7D" w:rsidP="005140B4">
            <w:pPr>
              <w:pStyle w:val="TableofFigures"/>
              <w:rPr>
                <w:rFonts w:eastAsiaTheme="minorEastAsia"/>
                <w:color w:val="000000"/>
                <w:lang w:eastAsia="en-AU"/>
              </w:rPr>
            </w:pPr>
            <w:r w:rsidRPr="00B03C99">
              <w:rPr>
                <w:rFonts w:eastAsiaTheme="minorEastAsia"/>
                <w:color w:val="000000"/>
                <w:lang w:eastAsia="en-AU"/>
              </w:rPr>
              <w:t xml:space="preserve"> 16.6</w:t>
            </w:r>
          </w:p>
        </w:tc>
      </w:tr>
      <w:tr w:rsidR="00A53D7D" w:rsidRPr="00B03C99" w:rsidTr="005140B4">
        <w:tc>
          <w:tcPr>
            <w:tcW w:w="3803" w:type="dxa"/>
            <w:tcBorders>
              <w:top w:val="single" w:sz="6" w:space="0" w:color="auto"/>
              <w:left w:val="nil"/>
              <w:bottom w:val="single" w:sz="12" w:space="0" w:color="auto"/>
              <w:right w:val="nil"/>
            </w:tcBorders>
          </w:tcPr>
          <w:p w:rsidR="00A53D7D" w:rsidRPr="00B03C99" w:rsidRDefault="00A53D7D" w:rsidP="005140B4">
            <w:pPr>
              <w:pStyle w:val="Tabletext"/>
              <w:rPr>
                <w:rFonts w:eastAsiaTheme="minorEastAsia"/>
                <w:b/>
                <w:bCs/>
                <w:color w:val="000000"/>
                <w:lang w:eastAsia="en-AU"/>
              </w:rPr>
            </w:pPr>
            <w:r w:rsidRPr="00B03C99">
              <w:rPr>
                <w:rFonts w:eastAsiaTheme="minorEastAsia"/>
                <w:b/>
                <w:bCs/>
                <w:color w:val="000000"/>
                <w:lang w:eastAsia="en-AU"/>
              </w:rPr>
              <w:t>Total income from transactions</w:t>
            </w:r>
          </w:p>
        </w:tc>
        <w:tc>
          <w:tcPr>
            <w:tcW w:w="994" w:type="dxa"/>
            <w:tcBorders>
              <w:top w:val="single" w:sz="6" w:space="0" w:color="auto"/>
              <w:left w:val="nil"/>
              <w:bottom w:val="single" w:sz="12" w:space="0" w:color="auto"/>
              <w:right w:val="nil"/>
            </w:tcBorders>
          </w:tcPr>
          <w:p w:rsidR="00A53D7D" w:rsidRPr="00B03C99" w:rsidRDefault="00A53D7D" w:rsidP="005140B4">
            <w:pPr>
              <w:pStyle w:val="TableofFigures"/>
              <w:rPr>
                <w:rFonts w:eastAsiaTheme="minorEastAsia"/>
                <w:b/>
                <w:bCs/>
                <w:color w:val="000000"/>
                <w:lang w:eastAsia="en-AU"/>
              </w:rPr>
            </w:pPr>
            <w:r w:rsidRPr="00B03C99">
              <w:rPr>
                <w:rFonts w:eastAsiaTheme="minorEastAsia"/>
                <w:b/>
                <w:bCs/>
                <w:color w:val="000000"/>
                <w:lang w:eastAsia="en-AU"/>
              </w:rPr>
              <w:t>..</w:t>
            </w:r>
          </w:p>
        </w:tc>
        <w:tc>
          <w:tcPr>
            <w:tcW w:w="993" w:type="dxa"/>
            <w:tcBorders>
              <w:top w:val="single" w:sz="6" w:space="0" w:color="auto"/>
              <w:left w:val="nil"/>
              <w:bottom w:val="single" w:sz="12" w:space="0" w:color="auto"/>
              <w:right w:val="nil"/>
            </w:tcBorders>
          </w:tcPr>
          <w:p w:rsidR="00A53D7D" w:rsidRPr="00B03C99" w:rsidRDefault="00A53D7D" w:rsidP="005140B4">
            <w:pPr>
              <w:pStyle w:val="TableofFigures"/>
              <w:rPr>
                <w:rFonts w:eastAsiaTheme="minorEastAsia"/>
                <w:b/>
                <w:bCs/>
                <w:color w:val="000000"/>
                <w:lang w:eastAsia="en-AU"/>
              </w:rPr>
            </w:pPr>
            <w:r w:rsidRPr="00B03C99">
              <w:rPr>
                <w:rFonts w:eastAsiaTheme="minorEastAsia"/>
                <w:b/>
                <w:bCs/>
                <w:color w:val="000000"/>
                <w:lang w:eastAsia="en-AU"/>
              </w:rPr>
              <w:t>..</w:t>
            </w:r>
          </w:p>
        </w:tc>
        <w:tc>
          <w:tcPr>
            <w:tcW w:w="993" w:type="dxa"/>
            <w:tcBorders>
              <w:top w:val="single" w:sz="6" w:space="0" w:color="auto"/>
              <w:left w:val="nil"/>
              <w:bottom w:val="single" w:sz="12" w:space="0" w:color="auto"/>
              <w:right w:val="nil"/>
            </w:tcBorders>
          </w:tcPr>
          <w:p w:rsidR="00A53D7D" w:rsidRPr="00B03C99" w:rsidRDefault="00A53D7D" w:rsidP="005140B4">
            <w:pPr>
              <w:pStyle w:val="TableofFigures"/>
              <w:rPr>
                <w:rFonts w:eastAsiaTheme="minorEastAsia"/>
                <w:b/>
                <w:bCs/>
                <w:color w:val="000000"/>
                <w:lang w:eastAsia="en-AU"/>
              </w:rPr>
            </w:pPr>
            <w:r w:rsidRPr="00B03C99">
              <w:rPr>
                <w:rFonts w:eastAsiaTheme="minorEastAsia"/>
                <w:b/>
                <w:bCs/>
                <w:color w:val="000000"/>
                <w:lang w:eastAsia="en-AU"/>
              </w:rPr>
              <w:t>..</w:t>
            </w:r>
          </w:p>
        </w:tc>
        <w:tc>
          <w:tcPr>
            <w:tcW w:w="993" w:type="dxa"/>
            <w:tcBorders>
              <w:top w:val="single" w:sz="6" w:space="0" w:color="auto"/>
              <w:left w:val="nil"/>
              <w:bottom w:val="single" w:sz="12" w:space="0" w:color="auto"/>
              <w:right w:val="nil"/>
            </w:tcBorders>
          </w:tcPr>
          <w:p w:rsidR="00A53D7D" w:rsidRPr="00B03C99" w:rsidRDefault="00A53D7D" w:rsidP="005140B4">
            <w:pPr>
              <w:pStyle w:val="TableofFigures"/>
              <w:rPr>
                <w:rFonts w:eastAsiaTheme="minorEastAsia"/>
                <w:b/>
                <w:bCs/>
                <w:color w:val="000000"/>
                <w:lang w:eastAsia="en-AU"/>
              </w:rPr>
            </w:pPr>
            <w:r w:rsidRPr="00B03C99">
              <w:rPr>
                <w:rFonts w:eastAsiaTheme="minorEastAsia"/>
                <w:b/>
                <w:bCs/>
                <w:color w:val="000000"/>
                <w:lang w:eastAsia="en-AU"/>
              </w:rPr>
              <w:t xml:space="preserve"> 454.6</w:t>
            </w:r>
          </w:p>
        </w:tc>
      </w:tr>
    </w:tbl>
    <w:p w:rsidR="00A53D7D" w:rsidRDefault="00A53D7D" w:rsidP="005140B4">
      <w:pPr>
        <w:pStyle w:val="Source"/>
      </w:pPr>
      <w:r>
        <w:t xml:space="preserve">Source: Courts and Department of Treasury and Finance </w:t>
      </w:r>
      <w:r>
        <w:fldChar w:fldCharType="begin"/>
      </w:r>
      <w:r>
        <w:instrText xml:space="preserve"> XE "Courts</w:instrText>
      </w:r>
      <w:r w:rsidRPr="00C642EA">
        <w:instrText>:Income from transactions</w:instrText>
      </w:r>
      <w:r>
        <w:instrText xml:space="preserve">" </w:instrText>
      </w:r>
      <w:r>
        <w:fldChar w:fldCharType="end"/>
      </w:r>
    </w:p>
    <w:p w:rsidR="00A53D7D" w:rsidRDefault="00A53D7D" w:rsidP="005140B4">
      <w:pPr>
        <w:pStyle w:val="Notes"/>
      </w:pPr>
      <w:r>
        <w:t>Note:</w:t>
      </w:r>
    </w:p>
    <w:p w:rsidR="00A53D7D" w:rsidRDefault="00A53D7D" w:rsidP="005140B4">
      <w:pPr>
        <w:pStyle w:val="Notes"/>
      </w:pPr>
      <w:r>
        <w:t>(a)</w:t>
      </w:r>
      <w:r>
        <w:tab/>
        <w:t xml:space="preserve">Courts </w:t>
      </w:r>
      <w:proofErr w:type="gramStart"/>
      <w:r>
        <w:t>begins</w:t>
      </w:r>
      <w:proofErr w:type="gramEnd"/>
      <w:r>
        <w:t xml:space="preserve"> operations from 1 July 2014, precluding prior year comparators.</w:t>
      </w:r>
    </w:p>
    <w:p w:rsidR="00A6384E" w:rsidRPr="00E215FC" w:rsidRDefault="00A6384E" w:rsidP="005140B4">
      <w:pPr>
        <w:pStyle w:val="Notes"/>
      </w:pPr>
    </w:p>
    <w:p w:rsidR="00A53D7D" w:rsidRDefault="00A53D7D" w:rsidP="005140B4">
      <w:pPr>
        <w:pStyle w:val="Tableheading"/>
      </w:pPr>
      <w:r>
        <w:t>Table 2.31:</w:t>
      </w:r>
      <w:r>
        <w:tab/>
        <w:t xml:space="preserve">Parliamentary authority for resources </w:t>
      </w:r>
    </w:p>
    <w:p w:rsidR="00A53D7D" w:rsidRPr="00BC16DE" w:rsidRDefault="00A53D7D" w:rsidP="005140B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A53D7D" w:rsidRPr="00BC16DE" w:rsidTr="005140B4">
        <w:tc>
          <w:tcPr>
            <w:tcW w:w="4668" w:type="dxa"/>
            <w:tcBorders>
              <w:top w:val="single" w:sz="4" w:space="0" w:color="auto"/>
              <w:left w:val="single" w:sz="4" w:space="0" w:color="auto"/>
              <w:bottom w:val="nil"/>
              <w:right w:val="nil"/>
            </w:tcBorders>
            <w:shd w:val="clear" w:color="auto" w:fill="000000"/>
          </w:tcPr>
          <w:p w:rsidR="00A53D7D" w:rsidRPr="00BC16DE" w:rsidRDefault="00A53D7D" w:rsidP="005140B4">
            <w:pPr>
              <w:pStyle w:val="Tabletext"/>
              <w:rPr>
                <w:rFonts w:eastAsiaTheme="minorEastAsia"/>
                <w:lang w:eastAsia="en-AU"/>
              </w:rPr>
            </w:pPr>
            <w:r w:rsidRPr="00BC16DE">
              <w:rPr>
                <w:rFonts w:eastAsiaTheme="minorEastAsia"/>
                <w:lang w:eastAsia="en-AU"/>
              </w:rPr>
              <w:t xml:space="preserve"> </w:t>
            </w:r>
          </w:p>
        </w:tc>
        <w:tc>
          <w:tcPr>
            <w:tcW w:w="1036" w:type="dxa"/>
            <w:tcBorders>
              <w:top w:val="single" w:sz="4" w:space="0" w:color="auto"/>
              <w:left w:val="nil"/>
              <w:bottom w:val="nil"/>
              <w:right w:val="nil"/>
            </w:tcBorders>
            <w:shd w:val="clear" w:color="auto" w:fill="000000"/>
          </w:tcPr>
          <w:p w:rsidR="00A53D7D" w:rsidRPr="00BC16DE" w:rsidRDefault="00A53D7D" w:rsidP="005140B4">
            <w:pPr>
              <w:pStyle w:val="Tabletextheading"/>
              <w:rPr>
                <w:rFonts w:eastAsiaTheme="minorEastAsia"/>
                <w:lang w:eastAsia="en-AU"/>
              </w:rPr>
            </w:pPr>
            <w:r w:rsidRPr="00BC16DE">
              <w:rPr>
                <w:rFonts w:eastAsiaTheme="minorEastAsia"/>
                <w:lang w:eastAsia="en-AU"/>
              </w:rPr>
              <w:t>2013-14</w:t>
            </w:r>
          </w:p>
        </w:tc>
        <w:tc>
          <w:tcPr>
            <w:tcW w:w="1036" w:type="dxa"/>
            <w:tcBorders>
              <w:top w:val="single" w:sz="4" w:space="0" w:color="auto"/>
              <w:left w:val="nil"/>
              <w:bottom w:val="nil"/>
              <w:right w:val="nil"/>
            </w:tcBorders>
            <w:shd w:val="clear" w:color="auto" w:fill="000000"/>
          </w:tcPr>
          <w:p w:rsidR="00A53D7D" w:rsidRPr="00BC16DE" w:rsidRDefault="00A53D7D" w:rsidP="005140B4">
            <w:pPr>
              <w:pStyle w:val="Tabletextheading"/>
              <w:rPr>
                <w:rFonts w:eastAsiaTheme="minorEastAsia"/>
                <w:lang w:eastAsia="en-AU"/>
              </w:rPr>
            </w:pPr>
            <w:r w:rsidRPr="00BC16DE">
              <w:rPr>
                <w:rFonts w:eastAsiaTheme="minorEastAsia"/>
                <w:lang w:eastAsia="en-AU"/>
              </w:rPr>
              <w:t>2013-14</w:t>
            </w:r>
          </w:p>
        </w:tc>
        <w:tc>
          <w:tcPr>
            <w:tcW w:w="1036" w:type="dxa"/>
            <w:tcBorders>
              <w:top w:val="single" w:sz="4" w:space="0" w:color="auto"/>
              <w:left w:val="nil"/>
              <w:bottom w:val="nil"/>
              <w:right w:val="single" w:sz="4" w:space="0" w:color="auto"/>
            </w:tcBorders>
            <w:shd w:val="clear" w:color="auto" w:fill="000000"/>
          </w:tcPr>
          <w:p w:rsidR="00A53D7D" w:rsidRPr="00BC16DE" w:rsidRDefault="00A53D7D" w:rsidP="005140B4">
            <w:pPr>
              <w:pStyle w:val="Tabletextheading"/>
              <w:rPr>
                <w:rFonts w:eastAsiaTheme="minorEastAsia"/>
                <w:lang w:eastAsia="en-AU"/>
              </w:rPr>
            </w:pPr>
            <w:r w:rsidRPr="00BC16DE">
              <w:rPr>
                <w:rFonts w:eastAsiaTheme="minorEastAsia"/>
                <w:lang w:eastAsia="en-AU"/>
              </w:rPr>
              <w:t>2014-15</w:t>
            </w:r>
          </w:p>
        </w:tc>
      </w:tr>
      <w:tr w:rsidR="00A53D7D" w:rsidRPr="00BC16DE" w:rsidTr="005140B4">
        <w:tc>
          <w:tcPr>
            <w:tcW w:w="4668" w:type="dxa"/>
            <w:tcBorders>
              <w:top w:val="nil"/>
              <w:left w:val="single" w:sz="4" w:space="0" w:color="auto"/>
              <w:bottom w:val="single" w:sz="4" w:space="0" w:color="auto"/>
              <w:right w:val="nil"/>
            </w:tcBorders>
            <w:shd w:val="clear" w:color="auto" w:fill="000000"/>
          </w:tcPr>
          <w:p w:rsidR="00A53D7D" w:rsidRPr="00BC16DE" w:rsidRDefault="00A53D7D" w:rsidP="005140B4">
            <w:pPr>
              <w:pStyle w:val="Tabletext"/>
              <w:rPr>
                <w:rFonts w:eastAsiaTheme="minorEastAsia"/>
                <w:lang w:eastAsia="en-AU"/>
              </w:rPr>
            </w:pPr>
            <w:r w:rsidRPr="00BC16DE">
              <w:rPr>
                <w:rFonts w:eastAsiaTheme="minorEastAsia"/>
                <w:lang w:eastAsia="en-AU"/>
              </w:rPr>
              <w:t xml:space="preserve"> </w:t>
            </w:r>
          </w:p>
        </w:tc>
        <w:tc>
          <w:tcPr>
            <w:tcW w:w="1036" w:type="dxa"/>
            <w:tcBorders>
              <w:top w:val="nil"/>
              <w:left w:val="nil"/>
              <w:bottom w:val="single" w:sz="4" w:space="0" w:color="auto"/>
              <w:right w:val="nil"/>
            </w:tcBorders>
            <w:shd w:val="clear" w:color="auto" w:fill="000000"/>
          </w:tcPr>
          <w:p w:rsidR="00A53D7D" w:rsidRPr="00BC16DE" w:rsidRDefault="00A53D7D" w:rsidP="005140B4">
            <w:pPr>
              <w:pStyle w:val="Tabletextheading"/>
              <w:rPr>
                <w:rFonts w:eastAsiaTheme="minorEastAsia"/>
                <w:lang w:eastAsia="en-AU"/>
              </w:rPr>
            </w:pPr>
            <w:r w:rsidRPr="00BC16DE">
              <w:rPr>
                <w:rFonts w:eastAsiaTheme="minorEastAsia"/>
                <w:lang w:eastAsia="en-AU"/>
              </w:rPr>
              <w:t>Budget</w:t>
            </w:r>
          </w:p>
        </w:tc>
        <w:tc>
          <w:tcPr>
            <w:tcW w:w="1036" w:type="dxa"/>
            <w:tcBorders>
              <w:top w:val="nil"/>
              <w:left w:val="nil"/>
              <w:bottom w:val="single" w:sz="4" w:space="0" w:color="auto"/>
              <w:right w:val="nil"/>
            </w:tcBorders>
            <w:shd w:val="clear" w:color="auto" w:fill="000000"/>
          </w:tcPr>
          <w:p w:rsidR="00A53D7D" w:rsidRPr="00BC16DE" w:rsidRDefault="00A53D7D" w:rsidP="005140B4">
            <w:pPr>
              <w:pStyle w:val="Tabletextheading"/>
              <w:rPr>
                <w:rFonts w:eastAsiaTheme="minorEastAsia"/>
                <w:lang w:eastAsia="en-AU"/>
              </w:rPr>
            </w:pPr>
            <w:r w:rsidRPr="00BC16DE">
              <w:rPr>
                <w:rFonts w:eastAsiaTheme="minorEastAsia"/>
                <w:lang w:eastAsia="en-AU"/>
              </w:rPr>
              <w:t>Revised</w:t>
            </w:r>
          </w:p>
        </w:tc>
        <w:tc>
          <w:tcPr>
            <w:tcW w:w="1036" w:type="dxa"/>
            <w:tcBorders>
              <w:top w:val="nil"/>
              <w:left w:val="nil"/>
              <w:bottom w:val="single" w:sz="4" w:space="0" w:color="auto"/>
              <w:right w:val="single" w:sz="4" w:space="0" w:color="auto"/>
            </w:tcBorders>
            <w:shd w:val="clear" w:color="auto" w:fill="000000"/>
          </w:tcPr>
          <w:p w:rsidR="00A53D7D" w:rsidRPr="00BC16DE" w:rsidRDefault="00A53D7D" w:rsidP="005140B4">
            <w:pPr>
              <w:pStyle w:val="Tabletextheading"/>
              <w:rPr>
                <w:rFonts w:eastAsiaTheme="minorEastAsia"/>
                <w:vertAlign w:val="superscript"/>
                <w:lang w:eastAsia="en-AU"/>
              </w:rPr>
            </w:pPr>
            <w:r w:rsidRPr="00BC16DE">
              <w:rPr>
                <w:rFonts w:eastAsiaTheme="minorEastAsia"/>
                <w:lang w:eastAsia="en-AU"/>
              </w:rPr>
              <w:t>Budget</w:t>
            </w:r>
            <w:r w:rsidRPr="00BC16DE">
              <w:rPr>
                <w:rFonts w:eastAsiaTheme="minorEastAsia"/>
                <w:vertAlign w:val="superscript"/>
                <w:lang w:eastAsia="en-AU"/>
              </w:rPr>
              <w:t>(a)</w:t>
            </w:r>
          </w:p>
        </w:tc>
      </w:tr>
      <w:tr w:rsidR="00A53D7D" w:rsidRPr="00BC16DE" w:rsidTr="005140B4">
        <w:tc>
          <w:tcPr>
            <w:tcW w:w="4668" w:type="dxa"/>
            <w:tcBorders>
              <w:top w:val="nil"/>
              <w:left w:val="nil"/>
              <w:bottom w:val="nil"/>
              <w:right w:val="nil"/>
            </w:tcBorders>
            <w:shd w:val="solid" w:color="FFFFFF" w:fill="auto"/>
          </w:tcPr>
          <w:p w:rsidR="00A53D7D" w:rsidRPr="00BC16DE" w:rsidRDefault="00A53D7D" w:rsidP="005140B4">
            <w:pPr>
              <w:pStyle w:val="Tabletext"/>
              <w:rPr>
                <w:rFonts w:eastAsiaTheme="minorEastAsia"/>
                <w:b/>
                <w:bCs/>
                <w:lang w:eastAsia="en-AU"/>
              </w:rPr>
            </w:pPr>
            <w:r w:rsidRPr="00BC16DE">
              <w:rPr>
                <w:rFonts w:eastAsiaTheme="minorEastAsia"/>
                <w:b/>
                <w:bCs/>
                <w:lang w:eastAsia="en-AU"/>
              </w:rPr>
              <w:t>Annual appropriations</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b/>
                <w:bCs/>
                <w:lang w:eastAsia="en-AU"/>
              </w:rPr>
            </w:pPr>
            <w:r w:rsidRPr="00BC16DE">
              <w:rPr>
                <w:rFonts w:eastAsiaTheme="minorEastAsia"/>
                <w:b/>
                <w:bCs/>
                <w:lang w:eastAsia="en-AU"/>
              </w:rPr>
              <w:t>..</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b/>
                <w:bCs/>
                <w:lang w:eastAsia="en-AU"/>
              </w:rPr>
            </w:pPr>
            <w:r w:rsidRPr="00BC16DE">
              <w:rPr>
                <w:rFonts w:eastAsiaTheme="minorEastAsia"/>
                <w:b/>
                <w:bCs/>
                <w:lang w:eastAsia="en-AU"/>
              </w:rPr>
              <w:t>..</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b/>
                <w:bCs/>
                <w:lang w:eastAsia="en-AU"/>
              </w:rPr>
            </w:pPr>
            <w:r w:rsidRPr="00BC16DE">
              <w:rPr>
                <w:rFonts w:eastAsiaTheme="minorEastAsia"/>
                <w:b/>
                <w:bCs/>
                <w:lang w:eastAsia="en-AU"/>
              </w:rPr>
              <w:t xml:space="preserve"> 236.7</w:t>
            </w:r>
          </w:p>
        </w:tc>
      </w:tr>
      <w:tr w:rsidR="00A53D7D" w:rsidRPr="00BC16DE" w:rsidTr="005140B4">
        <w:tc>
          <w:tcPr>
            <w:tcW w:w="4668" w:type="dxa"/>
            <w:tcBorders>
              <w:top w:val="nil"/>
              <w:left w:val="nil"/>
              <w:bottom w:val="nil"/>
              <w:right w:val="nil"/>
            </w:tcBorders>
            <w:shd w:val="solid" w:color="FFFFFF" w:fill="auto"/>
          </w:tcPr>
          <w:p w:rsidR="00A53D7D" w:rsidRPr="00BC16DE" w:rsidRDefault="00A53D7D" w:rsidP="005140B4">
            <w:pPr>
              <w:pStyle w:val="Tabletext"/>
              <w:rPr>
                <w:rFonts w:eastAsiaTheme="minorEastAsia"/>
                <w:lang w:eastAsia="en-AU"/>
              </w:rPr>
            </w:pPr>
            <w:r w:rsidRPr="00BC16DE">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 xml:space="preserve"> 234.1</w:t>
            </w:r>
          </w:p>
        </w:tc>
      </w:tr>
      <w:tr w:rsidR="00A53D7D" w:rsidRPr="00BC16DE" w:rsidTr="005140B4">
        <w:tc>
          <w:tcPr>
            <w:tcW w:w="4668" w:type="dxa"/>
            <w:tcBorders>
              <w:top w:val="nil"/>
              <w:left w:val="nil"/>
              <w:bottom w:val="nil"/>
              <w:right w:val="nil"/>
            </w:tcBorders>
            <w:shd w:val="solid" w:color="FFFFFF" w:fill="auto"/>
          </w:tcPr>
          <w:p w:rsidR="00A53D7D" w:rsidRPr="00BC16DE" w:rsidRDefault="00A53D7D" w:rsidP="005140B4">
            <w:pPr>
              <w:pStyle w:val="Tabletext"/>
              <w:rPr>
                <w:rFonts w:eastAsiaTheme="minorEastAsia"/>
                <w:lang w:eastAsia="en-AU"/>
              </w:rPr>
            </w:pPr>
            <w:r w:rsidRPr="00BC16DE">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 xml:space="preserve"> 2.5</w:t>
            </w:r>
          </w:p>
        </w:tc>
      </w:tr>
      <w:tr w:rsidR="00A53D7D" w:rsidRPr="00BC16DE" w:rsidTr="005140B4">
        <w:tc>
          <w:tcPr>
            <w:tcW w:w="4668" w:type="dxa"/>
            <w:tcBorders>
              <w:top w:val="nil"/>
              <w:left w:val="nil"/>
              <w:bottom w:val="nil"/>
              <w:right w:val="nil"/>
            </w:tcBorders>
            <w:shd w:val="solid" w:color="FFFFFF" w:fill="auto"/>
          </w:tcPr>
          <w:p w:rsidR="00A53D7D" w:rsidRPr="00BC16DE" w:rsidRDefault="00A53D7D" w:rsidP="005140B4">
            <w:pPr>
              <w:pStyle w:val="Tabletext"/>
              <w:rPr>
                <w:rFonts w:eastAsiaTheme="minorEastAsia"/>
                <w:lang w:eastAsia="en-AU"/>
              </w:rPr>
            </w:pPr>
            <w:r w:rsidRPr="00BC16DE">
              <w:rPr>
                <w:rFonts w:eastAsiaTheme="minorEastAsia"/>
                <w:lang w:eastAsia="en-AU"/>
              </w:rPr>
              <w:t>Receipts credited to appropriations</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 xml:space="preserve"> 64.1</w:t>
            </w:r>
          </w:p>
        </w:tc>
      </w:tr>
      <w:tr w:rsidR="00A53D7D" w:rsidRPr="00BC16DE" w:rsidTr="005140B4">
        <w:tc>
          <w:tcPr>
            <w:tcW w:w="4668" w:type="dxa"/>
            <w:tcBorders>
              <w:top w:val="nil"/>
              <w:left w:val="nil"/>
              <w:bottom w:val="nil"/>
              <w:right w:val="nil"/>
            </w:tcBorders>
            <w:shd w:val="solid" w:color="FFFFFF" w:fill="auto"/>
          </w:tcPr>
          <w:p w:rsidR="00A53D7D" w:rsidRPr="00BC16DE" w:rsidRDefault="00A53D7D" w:rsidP="005140B4">
            <w:pPr>
              <w:pStyle w:val="Tabletext"/>
              <w:rPr>
                <w:rFonts w:eastAsiaTheme="minorEastAsia"/>
                <w:b/>
                <w:bCs/>
                <w:lang w:eastAsia="en-AU"/>
              </w:rPr>
            </w:pPr>
            <w:r w:rsidRPr="00BC16DE">
              <w:rPr>
                <w:rFonts w:eastAsiaTheme="minorEastAsia"/>
                <w:b/>
                <w:bCs/>
                <w:lang w:eastAsia="en-AU"/>
              </w:rPr>
              <w:t>Unapplied previous years appropriation</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b/>
                <w:lang w:eastAsia="en-AU"/>
              </w:rPr>
            </w:pPr>
            <w:r w:rsidRPr="00BC16DE">
              <w:rPr>
                <w:rFonts w:eastAsiaTheme="minorEastAsia"/>
                <w:b/>
                <w:lang w:eastAsia="en-AU"/>
              </w:rPr>
              <w:t>..</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b/>
                <w:lang w:eastAsia="en-AU"/>
              </w:rPr>
            </w:pPr>
            <w:r w:rsidRPr="00BC16DE">
              <w:rPr>
                <w:rFonts w:eastAsiaTheme="minorEastAsia"/>
                <w:b/>
                <w:lang w:eastAsia="en-AU"/>
              </w:rPr>
              <w:t>..</w:t>
            </w:r>
          </w:p>
        </w:tc>
        <w:tc>
          <w:tcPr>
            <w:tcW w:w="1036" w:type="dxa"/>
            <w:tcBorders>
              <w:top w:val="nil"/>
              <w:left w:val="nil"/>
              <w:bottom w:val="nil"/>
              <w:right w:val="nil"/>
            </w:tcBorders>
            <w:shd w:val="solid" w:color="FFFFFF" w:fill="auto"/>
          </w:tcPr>
          <w:p w:rsidR="00A53D7D" w:rsidRPr="00BC16DE" w:rsidRDefault="00A53D7D" w:rsidP="005140B4">
            <w:pPr>
              <w:pStyle w:val="TableofFigures"/>
              <w:rPr>
                <w:rFonts w:eastAsiaTheme="minorEastAsia"/>
                <w:b/>
                <w:lang w:eastAsia="en-AU"/>
              </w:rPr>
            </w:pPr>
            <w:r w:rsidRPr="00BC16DE">
              <w:rPr>
                <w:rFonts w:eastAsiaTheme="minorEastAsia"/>
                <w:b/>
                <w:lang w:eastAsia="en-AU"/>
              </w:rPr>
              <w:t xml:space="preserve"> 8.3</w:t>
            </w:r>
          </w:p>
        </w:tc>
      </w:tr>
      <w:tr w:rsidR="00A53D7D" w:rsidRPr="00BC16DE" w:rsidTr="005140B4">
        <w:tc>
          <w:tcPr>
            <w:tcW w:w="4668" w:type="dxa"/>
            <w:tcBorders>
              <w:top w:val="nil"/>
              <w:left w:val="nil"/>
              <w:bottom w:val="single" w:sz="6" w:space="0" w:color="auto"/>
              <w:right w:val="nil"/>
            </w:tcBorders>
            <w:shd w:val="solid" w:color="FFFFFF" w:fill="auto"/>
          </w:tcPr>
          <w:p w:rsidR="00A53D7D" w:rsidRPr="00BC16DE" w:rsidRDefault="00A53D7D" w:rsidP="005140B4">
            <w:pPr>
              <w:pStyle w:val="Tabletext"/>
              <w:rPr>
                <w:rFonts w:eastAsiaTheme="minorEastAsia"/>
                <w:lang w:eastAsia="en-AU"/>
              </w:rPr>
            </w:pPr>
            <w:r w:rsidRPr="00BC16DE">
              <w:rPr>
                <w:rFonts w:eastAsiaTheme="minorEastAsia"/>
                <w:lang w:eastAsia="en-AU"/>
              </w:rPr>
              <w:t xml:space="preserve"> Provision of outputs</w:t>
            </w:r>
          </w:p>
        </w:tc>
        <w:tc>
          <w:tcPr>
            <w:tcW w:w="1036" w:type="dxa"/>
            <w:tcBorders>
              <w:top w:val="nil"/>
              <w:left w:val="nil"/>
              <w:bottom w:val="single" w:sz="6" w:space="0" w:color="auto"/>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w:t>
            </w:r>
          </w:p>
        </w:tc>
        <w:tc>
          <w:tcPr>
            <w:tcW w:w="1036" w:type="dxa"/>
            <w:tcBorders>
              <w:top w:val="nil"/>
              <w:left w:val="nil"/>
              <w:bottom w:val="single" w:sz="6" w:space="0" w:color="auto"/>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w:t>
            </w:r>
          </w:p>
        </w:tc>
        <w:tc>
          <w:tcPr>
            <w:tcW w:w="1036" w:type="dxa"/>
            <w:tcBorders>
              <w:top w:val="nil"/>
              <w:left w:val="nil"/>
              <w:bottom w:val="single" w:sz="6" w:space="0" w:color="auto"/>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 xml:space="preserve"> 8.3</w:t>
            </w:r>
          </w:p>
        </w:tc>
      </w:tr>
      <w:tr w:rsidR="00A53D7D" w:rsidRPr="00BC16DE" w:rsidTr="005140B4">
        <w:tc>
          <w:tcPr>
            <w:tcW w:w="4668" w:type="dxa"/>
            <w:tcBorders>
              <w:top w:val="single" w:sz="6" w:space="0" w:color="auto"/>
              <w:left w:val="nil"/>
              <w:bottom w:val="nil"/>
              <w:right w:val="nil"/>
            </w:tcBorders>
            <w:shd w:val="solid" w:color="FFFFFF" w:fill="auto"/>
          </w:tcPr>
          <w:p w:rsidR="00A53D7D" w:rsidRPr="00BC16DE" w:rsidRDefault="00A53D7D" w:rsidP="005140B4">
            <w:pPr>
              <w:pStyle w:val="Tabletext"/>
              <w:rPr>
                <w:rFonts w:eastAsiaTheme="minorEastAsia"/>
                <w:b/>
                <w:lang w:eastAsia="en-AU"/>
              </w:rPr>
            </w:pPr>
            <w:r w:rsidRPr="00BC16DE">
              <w:rPr>
                <w:rFonts w:eastAsiaTheme="minorEastAsia"/>
                <w:b/>
                <w:lang w:eastAsia="en-AU"/>
              </w:rPr>
              <w:t>Gross annual appropriation</w:t>
            </w:r>
          </w:p>
        </w:tc>
        <w:tc>
          <w:tcPr>
            <w:tcW w:w="1036" w:type="dxa"/>
            <w:tcBorders>
              <w:top w:val="single" w:sz="6" w:space="0" w:color="auto"/>
              <w:left w:val="nil"/>
              <w:bottom w:val="nil"/>
              <w:right w:val="nil"/>
            </w:tcBorders>
            <w:shd w:val="solid" w:color="FFFFFF" w:fill="auto"/>
          </w:tcPr>
          <w:p w:rsidR="00A53D7D" w:rsidRPr="00BC16DE" w:rsidRDefault="00A53D7D" w:rsidP="005140B4">
            <w:pPr>
              <w:pStyle w:val="TableofFigures"/>
              <w:rPr>
                <w:rFonts w:eastAsiaTheme="minorEastAsia"/>
                <w:b/>
                <w:lang w:eastAsia="en-AU"/>
              </w:rPr>
            </w:pPr>
            <w:r w:rsidRPr="00BC16DE">
              <w:rPr>
                <w:rFonts w:eastAsiaTheme="minorEastAsia"/>
                <w:b/>
                <w:lang w:eastAsia="en-AU"/>
              </w:rPr>
              <w:t>..</w:t>
            </w:r>
          </w:p>
        </w:tc>
        <w:tc>
          <w:tcPr>
            <w:tcW w:w="1036" w:type="dxa"/>
            <w:tcBorders>
              <w:top w:val="single" w:sz="6" w:space="0" w:color="auto"/>
              <w:left w:val="nil"/>
              <w:bottom w:val="nil"/>
              <w:right w:val="nil"/>
            </w:tcBorders>
            <w:shd w:val="solid" w:color="FFFFFF" w:fill="auto"/>
          </w:tcPr>
          <w:p w:rsidR="00A53D7D" w:rsidRPr="00BC16DE" w:rsidRDefault="00A53D7D" w:rsidP="005140B4">
            <w:pPr>
              <w:pStyle w:val="TableofFigures"/>
              <w:rPr>
                <w:rFonts w:eastAsiaTheme="minorEastAsia"/>
                <w:b/>
                <w:lang w:eastAsia="en-AU"/>
              </w:rPr>
            </w:pPr>
            <w:r w:rsidRPr="00BC16DE">
              <w:rPr>
                <w:rFonts w:eastAsiaTheme="minorEastAsia"/>
                <w:b/>
                <w:lang w:eastAsia="en-AU"/>
              </w:rPr>
              <w:t>..</w:t>
            </w:r>
          </w:p>
        </w:tc>
        <w:tc>
          <w:tcPr>
            <w:tcW w:w="1036" w:type="dxa"/>
            <w:tcBorders>
              <w:top w:val="single" w:sz="6" w:space="0" w:color="auto"/>
              <w:left w:val="nil"/>
              <w:bottom w:val="nil"/>
              <w:right w:val="nil"/>
            </w:tcBorders>
            <w:shd w:val="solid" w:color="FFFFFF" w:fill="auto"/>
          </w:tcPr>
          <w:p w:rsidR="00A53D7D" w:rsidRPr="00BC16DE" w:rsidRDefault="00A53D7D" w:rsidP="005140B4">
            <w:pPr>
              <w:pStyle w:val="TableofFigures"/>
              <w:rPr>
                <w:rFonts w:eastAsiaTheme="minorEastAsia"/>
                <w:b/>
                <w:lang w:eastAsia="en-AU"/>
              </w:rPr>
            </w:pPr>
            <w:r w:rsidRPr="00BC16DE">
              <w:rPr>
                <w:rFonts w:eastAsiaTheme="minorEastAsia"/>
                <w:b/>
                <w:lang w:eastAsia="en-AU"/>
              </w:rPr>
              <w:t xml:space="preserve"> 309.1</w:t>
            </w:r>
          </w:p>
        </w:tc>
      </w:tr>
      <w:tr w:rsidR="00A53D7D" w:rsidRPr="00BC16DE" w:rsidTr="005140B4">
        <w:tc>
          <w:tcPr>
            <w:tcW w:w="4668" w:type="dxa"/>
            <w:tcBorders>
              <w:top w:val="nil"/>
              <w:left w:val="nil"/>
              <w:right w:val="nil"/>
            </w:tcBorders>
            <w:shd w:val="solid" w:color="FFFFFF" w:fill="auto"/>
          </w:tcPr>
          <w:p w:rsidR="00A53D7D" w:rsidRPr="00BC16DE" w:rsidRDefault="00A53D7D" w:rsidP="005140B4">
            <w:pPr>
              <w:pStyle w:val="Tabletext"/>
              <w:rPr>
                <w:rFonts w:eastAsiaTheme="minorEastAsia"/>
                <w:lang w:eastAsia="en-AU"/>
              </w:rPr>
            </w:pPr>
            <w:r w:rsidRPr="00BC16DE">
              <w:rPr>
                <w:rFonts w:eastAsiaTheme="minorEastAsia"/>
                <w:lang w:eastAsia="en-AU"/>
              </w:rPr>
              <w:t>Special appropriations</w:t>
            </w:r>
          </w:p>
        </w:tc>
        <w:tc>
          <w:tcPr>
            <w:tcW w:w="1036" w:type="dxa"/>
            <w:tcBorders>
              <w:top w:val="nil"/>
              <w:left w:val="nil"/>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w:t>
            </w:r>
          </w:p>
        </w:tc>
        <w:tc>
          <w:tcPr>
            <w:tcW w:w="1036" w:type="dxa"/>
            <w:tcBorders>
              <w:top w:val="nil"/>
              <w:left w:val="nil"/>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w:t>
            </w:r>
          </w:p>
        </w:tc>
        <w:tc>
          <w:tcPr>
            <w:tcW w:w="1036" w:type="dxa"/>
            <w:tcBorders>
              <w:top w:val="nil"/>
              <w:left w:val="nil"/>
              <w:right w:val="nil"/>
            </w:tcBorders>
            <w:shd w:val="solid" w:color="FFFFFF" w:fill="auto"/>
          </w:tcPr>
          <w:p w:rsidR="00A53D7D" w:rsidRPr="00BC16DE" w:rsidRDefault="00A53D7D" w:rsidP="005140B4">
            <w:pPr>
              <w:pStyle w:val="TableofFigures"/>
              <w:rPr>
                <w:rFonts w:eastAsiaTheme="minorEastAsia"/>
                <w:lang w:eastAsia="en-AU"/>
              </w:rPr>
            </w:pPr>
            <w:r w:rsidRPr="00BC16DE">
              <w:rPr>
                <w:rFonts w:eastAsiaTheme="minorEastAsia"/>
                <w:lang w:eastAsia="en-AU"/>
              </w:rPr>
              <w:t xml:space="preserve"> 189.6</w:t>
            </w:r>
          </w:p>
        </w:tc>
      </w:tr>
      <w:tr w:rsidR="00A53D7D" w:rsidRPr="00BC16DE" w:rsidTr="005140B4">
        <w:tc>
          <w:tcPr>
            <w:tcW w:w="4668" w:type="dxa"/>
            <w:tcBorders>
              <w:top w:val="nil"/>
              <w:left w:val="nil"/>
              <w:bottom w:val="single" w:sz="6" w:space="0" w:color="auto"/>
              <w:right w:val="nil"/>
            </w:tcBorders>
            <w:shd w:val="solid" w:color="FFFFFF" w:fill="auto"/>
          </w:tcPr>
          <w:p w:rsidR="00A53D7D" w:rsidRPr="00BC16DE" w:rsidRDefault="00A53D7D" w:rsidP="005140B4">
            <w:pPr>
              <w:pStyle w:val="Tabletext"/>
              <w:rPr>
                <w:rFonts w:eastAsiaTheme="minorEastAsia"/>
                <w:bCs/>
                <w:lang w:eastAsia="en-AU"/>
              </w:rPr>
            </w:pPr>
            <w:r w:rsidRPr="00BC16DE">
              <w:rPr>
                <w:rFonts w:eastAsiaTheme="minorEastAsia"/>
                <w:bCs/>
                <w:lang w:eastAsia="en-AU"/>
              </w:rPr>
              <w:t>Trust funds</w:t>
            </w:r>
          </w:p>
        </w:tc>
        <w:tc>
          <w:tcPr>
            <w:tcW w:w="1036" w:type="dxa"/>
            <w:tcBorders>
              <w:top w:val="nil"/>
              <w:left w:val="nil"/>
              <w:bottom w:val="single" w:sz="6" w:space="0" w:color="auto"/>
              <w:right w:val="nil"/>
            </w:tcBorders>
            <w:shd w:val="solid" w:color="FFFFFF" w:fill="auto"/>
          </w:tcPr>
          <w:p w:rsidR="00A53D7D" w:rsidRPr="00BC16DE" w:rsidRDefault="00A53D7D" w:rsidP="005140B4">
            <w:pPr>
              <w:pStyle w:val="TableofFigures"/>
              <w:rPr>
                <w:rFonts w:eastAsiaTheme="minorEastAsia"/>
                <w:bCs/>
                <w:lang w:eastAsia="en-AU"/>
              </w:rPr>
            </w:pPr>
            <w:r w:rsidRPr="00BC16DE">
              <w:rPr>
                <w:rFonts w:eastAsiaTheme="minorEastAsia"/>
                <w:bCs/>
                <w:lang w:eastAsia="en-AU"/>
              </w:rPr>
              <w:t>..</w:t>
            </w:r>
          </w:p>
        </w:tc>
        <w:tc>
          <w:tcPr>
            <w:tcW w:w="1036" w:type="dxa"/>
            <w:tcBorders>
              <w:top w:val="nil"/>
              <w:left w:val="nil"/>
              <w:bottom w:val="single" w:sz="6" w:space="0" w:color="auto"/>
              <w:right w:val="nil"/>
            </w:tcBorders>
            <w:shd w:val="solid" w:color="FFFFFF" w:fill="auto"/>
          </w:tcPr>
          <w:p w:rsidR="00A53D7D" w:rsidRPr="00BC16DE" w:rsidRDefault="00A53D7D" w:rsidP="005140B4">
            <w:pPr>
              <w:pStyle w:val="TableofFigures"/>
              <w:rPr>
                <w:rFonts w:eastAsiaTheme="minorEastAsia"/>
                <w:bCs/>
                <w:lang w:eastAsia="en-AU"/>
              </w:rPr>
            </w:pPr>
            <w:r w:rsidRPr="00BC16DE">
              <w:rPr>
                <w:rFonts w:eastAsiaTheme="minorEastAsia"/>
                <w:bCs/>
                <w:lang w:eastAsia="en-AU"/>
              </w:rPr>
              <w:t>..</w:t>
            </w:r>
          </w:p>
        </w:tc>
        <w:tc>
          <w:tcPr>
            <w:tcW w:w="1036" w:type="dxa"/>
            <w:tcBorders>
              <w:top w:val="nil"/>
              <w:left w:val="nil"/>
              <w:bottom w:val="single" w:sz="6" w:space="0" w:color="auto"/>
              <w:right w:val="nil"/>
            </w:tcBorders>
            <w:shd w:val="solid" w:color="FFFFFF" w:fill="auto"/>
          </w:tcPr>
          <w:p w:rsidR="00A53D7D" w:rsidRPr="00BC16DE" w:rsidRDefault="00A53D7D" w:rsidP="005140B4">
            <w:pPr>
              <w:pStyle w:val="TableofFigures"/>
              <w:rPr>
                <w:rFonts w:eastAsiaTheme="minorEastAsia"/>
                <w:bCs/>
                <w:lang w:eastAsia="en-AU"/>
              </w:rPr>
            </w:pPr>
            <w:r w:rsidRPr="00BC16DE">
              <w:rPr>
                <w:rFonts w:eastAsiaTheme="minorEastAsia"/>
                <w:bCs/>
                <w:lang w:eastAsia="en-AU"/>
              </w:rPr>
              <w:t xml:space="preserve"> 16.6</w:t>
            </w:r>
          </w:p>
        </w:tc>
      </w:tr>
      <w:tr w:rsidR="00A53D7D" w:rsidRPr="00BC16DE" w:rsidTr="005140B4">
        <w:tc>
          <w:tcPr>
            <w:tcW w:w="4668" w:type="dxa"/>
            <w:tcBorders>
              <w:top w:val="single" w:sz="6" w:space="0" w:color="auto"/>
              <w:left w:val="nil"/>
              <w:bottom w:val="single" w:sz="12" w:space="0" w:color="auto"/>
              <w:right w:val="nil"/>
            </w:tcBorders>
            <w:shd w:val="solid" w:color="FFFFFF" w:fill="auto"/>
          </w:tcPr>
          <w:p w:rsidR="00A53D7D" w:rsidRPr="00BC16DE" w:rsidRDefault="00A53D7D" w:rsidP="005140B4">
            <w:pPr>
              <w:pStyle w:val="Tabletext"/>
              <w:rPr>
                <w:rFonts w:eastAsiaTheme="minorEastAsia" w:cs="Calibri"/>
                <w:b/>
                <w:bCs/>
                <w:lang w:eastAsia="en-AU"/>
              </w:rPr>
            </w:pPr>
            <w:r w:rsidRPr="00BC16DE">
              <w:rPr>
                <w:rFonts w:eastAsiaTheme="minorEastAsia"/>
                <w:b/>
                <w:lang w:eastAsia="en-AU"/>
              </w:rPr>
              <w:t xml:space="preserve">Total parliamentary </w:t>
            </w:r>
            <w:r w:rsidRPr="00BC16DE">
              <w:rPr>
                <w:rFonts w:eastAsiaTheme="minorEastAsia" w:cs="Calibri"/>
                <w:b/>
                <w:bCs/>
                <w:lang w:eastAsia="en-AU"/>
              </w:rPr>
              <w:t>authority</w:t>
            </w:r>
          </w:p>
        </w:tc>
        <w:tc>
          <w:tcPr>
            <w:tcW w:w="1036" w:type="dxa"/>
            <w:tcBorders>
              <w:top w:val="single" w:sz="6" w:space="0" w:color="auto"/>
              <w:left w:val="nil"/>
              <w:bottom w:val="single" w:sz="12" w:space="0" w:color="auto"/>
              <w:right w:val="nil"/>
            </w:tcBorders>
            <w:shd w:val="solid" w:color="FFFFFF" w:fill="auto"/>
          </w:tcPr>
          <w:p w:rsidR="00A53D7D" w:rsidRPr="00BC16DE" w:rsidRDefault="00A53D7D" w:rsidP="005140B4">
            <w:pPr>
              <w:pStyle w:val="TableofFigures"/>
              <w:rPr>
                <w:rFonts w:eastAsiaTheme="minorEastAsia"/>
                <w:b/>
                <w:lang w:eastAsia="en-AU"/>
              </w:rPr>
            </w:pPr>
            <w:r w:rsidRPr="00BC16DE">
              <w:rPr>
                <w:rFonts w:eastAsiaTheme="minorEastAsia"/>
                <w:b/>
                <w:lang w:eastAsia="en-AU"/>
              </w:rPr>
              <w:t>..</w:t>
            </w:r>
          </w:p>
        </w:tc>
        <w:tc>
          <w:tcPr>
            <w:tcW w:w="1036" w:type="dxa"/>
            <w:tcBorders>
              <w:top w:val="single" w:sz="6" w:space="0" w:color="auto"/>
              <w:left w:val="nil"/>
              <w:bottom w:val="single" w:sz="12" w:space="0" w:color="auto"/>
              <w:right w:val="nil"/>
            </w:tcBorders>
            <w:shd w:val="solid" w:color="FFFFFF" w:fill="auto"/>
          </w:tcPr>
          <w:p w:rsidR="00A53D7D" w:rsidRPr="00BC16DE" w:rsidRDefault="00A53D7D" w:rsidP="005140B4">
            <w:pPr>
              <w:pStyle w:val="TableofFigures"/>
              <w:rPr>
                <w:rFonts w:eastAsiaTheme="minorEastAsia"/>
                <w:b/>
                <w:lang w:eastAsia="en-AU"/>
              </w:rPr>
            </w:pPr>
            <w:r w:rsidRPr="00BC16DE">
              <w:rPr>
                <w:rFonts w:eastAsiaTheme="minorEastAsia"/>
                <w:b/>
                <w:lang w:eastAsia="en-AU"/>
              </w:rPr>
              <w:t>..</w:t>
            </w:r>
          </w:p>
        </w:tc>
        <w:tc>
          <w:tcPr>
            <w:tcW w:w="1036" w:type="dxa"/>
            <w:tcBorders>
              <w:top w:val="single" w:sz="6" w:space="0" w:color="auto"/>
              <w:left w:val="nil"/>
              <w:bottom w:val="single" w:sz="12" w:space="0" w:color="auto"/>
              <w:right w:val="nil"/>
            </w:tcBorders>
            <w:shd w:val="solid" w:color="FFFFFF" w:fill="auto"/>
          </w:tcPr>
          <w:p w:rsidR="00A53D7D" w:rsidRPr="00BC16DE" w:rsidRDefault="00A53D7D" w:rsidP="005140B4">
            <w:pPr>
              <w:pStyle w:val="TableofFigures"/>
              <w:rPr>
                <w:rFonts w:eastAsiaTheme="minorEastAsia"/>
                <w:b/>
                <w:lang w:eastAsia="en-AU"/>
              </w:rPr>
            </w:pPr>
            <w:r w:rsidRPr="00BC16DE">
              <w:rPr>
                <w:rFonts w:eastAsiaTheme="minorEastAsia"/>
                <w:b/>
                <w:lang w:eastAsia="en-AU"/>
              </w:rPr>
              <w:t xml:space="preserve"> 515.2</w:t>
            </w:r>
          </w:p>
        </w:tc>
      </w:tr>
    </w:tbl>
    <w:p w:rsidR="00A53D7D" w:rsidRDefault="00A53D7D" w:rsidP="005140B4">
      <w:pPr>
        <w:pStyle w:val="Source"/>
      </w:pPr>
      <w:r>
        <w:t xml:space="preserve">Source: Courts and Department of Treasury and Finance </w:t>
      </w:r>
      <w:r>
        <w:fldChar w:fldCharType="begin"/>
      </w:r>
      <w:r>
        <w:instrText xml:space="preserve"> XE "Courts</w:instrText>
      </w:r>
      <w:r w:rsidRPr="00ED1DC7">
        <w:instrText>:Parliamentary authority for resources</w:instrText>
      </w:r>
      <w:r>
        <w:instrText xml:space="preserve">" </w:instrText>
      </w:r>
      <w:r>
        <w:fldChar w:fldCharType="end"/>
      </w:r>
    </w:p>
    <w:p w:rsidR="00A53D7D" w:rsidRDefault="00A53D7D" w:rsidP="005140B4">
      <w:pPr>
        <w:pStyle w:val="Notes"/>
      </w:pPr>
      <w:r>
        <w:t>Note:</w:t>
      </w:r>
    </w:p>
    <w:p w:rsidR="00A53D7D" w:rsidRPr="007825D7" w:rsidRDefault="00A53D7D" w:rsidP="005140B4">
      <w:pPr>
        <w:pStyle w:val="Notes"/>
      </w:pPr>
      <w:r>
        <w:t>(a)</w:t>
      </w:r>
      <w:r>
        <w:tab/>
        <w:t xml:space="preserve">Courts </w:t>
      </w:r>
      <w:proofErr w:type="gramStart"/>
      <w:r>
        <w:t>begins</w:t>
      </w:r>
      <w:proofErr w:type="gramEnd"/>
      <w:r>
        <w:t xml:space="preserve"> operations from 1 July 2014, precluding prior year comparators.</w:t>
      </w:r>
    </w:p>
    <w:p w:rsidR="00A53D7D" w:rsidRDefault="00A53D7D" w:rsidP="005140B4"/>
    <w:p w:rsidR="00A53D7D" w:rsidRDefault="00A53D7D">
      <w:pPr>
        <w:spacing w:after="0"/>
      </w:pPr>
      <w:r>
        <w:br w:type="page"/>
      </w:r>
    </w:p>
    <w:p w:rsidR="00A53D7D" w:rsidRPr="00095400" w:rsidRDefault="00A53D7D" w:rsidP="005140B4">
      <w:pPr>
        <w:pStyle w:val="OGHeading1"/>
      </w:pPr>
      <w:bookmarkStart w:id="154" w:name="CourtSvces"/>
      <w:r>
        <w:t xml:space="preserve">Courts </w:t>
      </w:r>
    </w:p>
    <w:p w:rsidR="00A53D7D" w:rsidRDefault="00A53D7D" w:rsidP="005140B4">
      <w:pPr>
        <w:pStyle w:val="OGText"/>
        <w:rPr>
          <w:lang w:eastAsia="en-AU"/>
        </w:rPr>
      </w:pPr>
      <w:r w:rsidRPr="009F38C0">
        <w:rPr>
          <w:lang w:eastAsia="en-AU"/>
        </w:rPr>
        <w:t xml:space="preserve">This output group delivers dispensation of criminal and civil matters, maintaining the administrative operations of the system of courts and statutory tribunals, and providing appropriate civil dispute resolution mechanisms. This output group contributes to the objective of the fair, </w:t>
      </w:r>
      <w:proofErr w:type="gramStart"/>
      <w:r w:rsidRPr="009F38C0">
        <w:rPr>
          <w:lang w:eastAsia="en-AU"/>
        </w:rPr>
        <w:t>timely</w:t>
      </w:r>
      <w:proofErr w:type="gramEnd"/>
      <w:r w:rsidRPr="009F38C0">
        <w:rPr>
          <w:lang w:eastAsia="en-AU"/>
        </w:rPr>
        <w:t xml:space="preserve"> and efficient dispensing of justice.</w:t>
      </w:r>
    </w:p>
    <w:tbl>
      <w:tblPr>
        <w:tblW w:w="7776" w:type="dxa"/>
        <w:tblInd w:w="29" w:type="dxa"/>
        <w:tblLayout w:type="fixed"/>
        <w:tblCellMar>
          <w:left w:w="43" w:type="dxa"/>
          <w:right w:w="43" w:type="dxa"/>
        </w:tblCellMar>
        <w:tblLook w:val="00A0" w:firstRow="1" w:lastRow="0" w:firstColumn="1" w:lastColumn="0" w:noHBand="0" w:noVBand="0"/>
      </w:tblPr>
      <w:tblGrid>
        <w:gridCol w:w="3155"/>
        <w:gridCol w:w="907"/>
        <w:gridCol w:w="907"/>
        <w:gridCol w:w="993"/>
        <w:gridCol w:w="907"/>
        <w:gridCol w:w="907"/>
      </w:tblGrid>
      <w:tr w:rsidR="00A53D7D" w:rsidRPr="00A475B8" w:rsidTr="005140B4">
        <w:trPr>
          <w:cantSplit/>
          <w:tblHeader/>
        </w:trPr>
        <w:tc>
          <w:tcPr>
            <w:tcW w:w="3155" w:type="dxa"/>
            <w:tcBorders>
              <w:top w:val="single" w:sz="4" w:space="0" w:color="auto"/>
              <w:left w:val="single" w:sz="4" w:space="0" w:color="auto"/>
              <w:right w:val="nil"/>
            </w:tcBorders>
            <w:shd w:val="clear" w:color="auto" w:fill="000000"/>
            <w:vAlign w:val="bottom"/>
          </w:tcPr>
          <w:p w:rsidR="00A53D7D" w:rsidRPr="00EC2CB7" w:rsidRDefault="00A53D7D" w:rsidP="005140B4">
            <w:pPr>
              <w:pStyle w:val="OGTabColLeft"/>
              <w:rPr>
                <w:i/>
                <w:color w:val="FFFFFF"/>
              </w:rPr>
            </w:pPr>
            <w:r w:rsidRPr="00EC2CB7">
              <w:rPr>
                <w:color w:val="FFFFFF"/>
              </w:rPr>
              <w:t>Major Outputs/Deliverables</w:t>
            </w:r>
            <w:r w:rsidRPr="00EC2CB7">
              <w:rPr>
                <w:color w:val="FFFFFF"/>
              </w:rPr>
              <w:br/>
            </w:r>
            <w:r w:rsidRPr="00EC2CB7">
              <w:rPr>
                <w:b w:val="0"/>
                <w:i/>
                <w:color w:val="FFFFFF"/>
              </w:rPr>
              <w:t>Performance measures</w:t>
            </w:r>
          </w:p>
        </w:tc>
        <w:tc>
          <w:tcPr>
            <w:tcW w:w="907" w:type="dxa"/>
            <w:tcBorders>
              <w:top w:val="single" w:sz="4" w:space="0" w:color="auto"/>
              <w:left w:val="nil"/>
              <w:right w:val="nil"/>
            </w:tcBorders>
            <w:shd w:val="clear" w:color="auto" w:fill="000000"/>
            <w:noWrap/>
            <w:vAlign w:val="bottom"/>
          </w:tcPr>
          <w:p w:rsidR="00A53D7D" w:rsidRPr="003E0A6C" w:rsidRDefault="00A53D7D" w:rsidP="005140B4">
            <w:pPr>
              <w:pStyle w:val="Tabletextheadingcentred"/>
            </w:pPr>
            <w:r w:rsidRPr="003E0A6C">
              <w:t xml:space="preserve">Unit of </w:t>
            </w:r>
            <w:r w:rsidRPr="003E0A6C">
              <w:br/>
            </w:r>
            <w:r>
              <w:t>m</w:t>
            </w:r>
            <w:r w:rsidRPr="003E0A6C">
              <w:t>easure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2014</w:t>
            </w:r>
            <w:r>
              <w:noBreakHyphen/>
              <w:t>15</w:t>
            </w:r>
            <w:r w:rsidRPr="00EC2CB7">
              <w:t xml:space="preserve"> </w:t>
            </w:r>
            <w:r>
              <w:t>Estimate</w:t>
            </w:r>
          </w:p>
        </w:tc>
        <w:tc>
          <w:tcPr>
            <w:tcW w:w="993"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Expected Outcome</w:t>
            </w:r>
          </w:p>
        </w:tc>
        <w:tc>
          <w:tcPr>
            <w:tcW w:w="907" w:type="dxa"/>
            <w:tcBorders>
              <w:top w:val="single" w:sz="4" w:space="0" w:color="auto"/>
              <w:left w:val="nil"/>
              <w:right w:val="nil"/>
            </w:tcBorders>
            <w:shd w:val="clear" w:color="auto" w:fill="000000"/>
            <w:noWrap/>
            <w:vAlign w:val="bottom"/>
          </w:tcPr>
          <w:p w:rsidR="00A53D7D" w:rsidRPr="00EC2CB7" w:rsidRDefault="00A53D7D" w:rsidP="005140B4">
            <w:pPr>
              <w:pStyle w:val="Tabletextheading"/>
            </w:pPr>
            <w:r>
              <w:t>2013</w:t>
            </w:r>
            <w:r>
              <w:noBreakHyphen/>
              <w:t>14</w:t>
            </w:r>
            <w:r w:rsidRPr="00EC2CB7">
              <w:t xml:space="preserve"> </w:t>
            </w:r>
            <w:r>
              <w:t>Estimate</w:t>
            </w:r>
          </w:p>
        </w:tc>
        <w:tc>
          <w:tcPr>
            <w:tcW w:w="907" w:type="dxa"/>
            <w:tcBorders>
              <w:top w:val="single" w:sz="4" w:space="0" w:color="auto"/>
              <w:left w:val="nil"/>
              <w:right w:val="single" w:sz="4" w:space="0" w:color="auto"/>
            </w:tcBorders>
            <w:shd w:val="clear" w:color="auto" w:fill="000000"/>
            <w:noWrap/>
            <w:vAlign w:val="bottom"/>
          </w:tcPr>
          <w:p w:rsidR="00A53D7D" w:rsidRPr="00EC2CB7" w:rsidRDefault="00A53D7D" w:rsidP="005140B4">
            <w:pPr>
              <w:pStyle w:val="Tabletextheading"/>
            </w:pPr>
            <w:r w:rsidRPr="00EC2CB7">
              <w:t>2012</w:t>
            </w:r>
            <w:r>
              <w:noBreakHyphen/>
            </w:r>
            <w:r w:rsidRPr="00EC2CB7">
              <w:t>13 Actual</w:t>
            </w:r>
          </w:p>
        </w:tc>
      </w:tr>
      <w:tr w:rsidR="00A53D7D" w:rsidRPr="006E2906" w:rsidTr="005140B4">
        <w:trPr>
          <w:cantSplit/>
        </w:trPr>
        <w:tc>
          <w:tcPr>
            <w:tcW w:w="7776" w:type="dxa"/>
            <w:gridSpan w:val="6"/>
            <w:tcBorders>
              <w:top w:val="nil"/>
              <w:left w:val="nil"/>
              <w:right w:val="nil"/>
            </w:tcBorders>
            <w:vAlign w:val="center"/>
          </w:tcPr>
          <w:p w:rsidR="00A53D7D" w:rsidRPr="00B2174E" w:rsidRDefault="00A53D7D" w:rsidP="005140B4">
            <w:pPr>
              <w:pStyle w:val="OGHeading2"/>
              <w:rPr>
                <w:bCs/>
                <w:color w:val="000000"/>
                <w:lang w:eastAsia="en-AU"/>
              </w:rPr>
            </w:pPr>
            <w:r w:rsidRPr="00B2174E">
              <w:rPr>
                <w:color w:val="000000"/>
                <w:lang w:eastAsia="en-AU"/>
              </w:rPr>
              <w:t xml:space="preserve">Courts </w:t>
            </w:r>
          </w:p>
        </w:tc>
      </w:tr>
      <w:tr w:rsidR="00A53D7D" w:rsidRPr="003D2579" w:rsidTr="005140B4">
        <w:trPr>
          <w:cantSplit/>
        </w:trPr>
        <w:tc>
          <w:tcPr>
            <w:tcW w:w="7776" w:type="dxa"/>
            <w:gridSpan w:val="6"/>
            <w:tcBorders>
              <w:top w:val="nil"/>
              <w:left w:val="nil"/>
              <w:bottom w:val="single" w:sz="8" w:space="0" w:color="auto"/>
              <w:right w:val="nil"/>
            </w:tcBorders>
            <w:vAlign w:val="center"/>
          </w:tcPr>
          <w:p w:rsidR="00A53D7D" w:rsidRPr="00B2174E" w:rsidRDefault="00A53D7D" w:rsidP="005140B4">
            <w:pPr>
              <w:pStyle w:val="OGTabText"/>
              <w:rPr>
                <w:color w:val="000000"/>
                <w:lang w:eastAsia="en-AU"/>
              </w:rPr>
            </w:pPr>
            <w:r w:rsidRPr="00B2174E">
              <w:rPr>
                <w:color w:val="000000"/>
                <w:lang w:eastAsia="en-AU"/>
              </w:rPr>
              <w:t>This output includes services provided by the Supreme Court of Victoria, County Court of Victoria, Magistrates’ Court of Victoria, Children’s Court of Victoria, Coroner’s Court, and Victorian Civil and Administrative Tribunal. Estimates have been provided by the relevant jurisdiction.</w:t>
            </w:r>
          </w:p>
        </w:tc>
      </w:tr>
      <w:tr w:rsidR="00A53D7D" w:rsidRPr="003D2579" w:rsidTr="005140B4">
        <w:trPr>
          <w:cantSplit/>
        </w:trPr>
        <w:tc>
          <w:tcPr>
            <w:tcW w:w="3155" w:type="dxa"/>
            <w:tcBorders>
              <w:top w:val="single" w:sz="8" w:space="0" w:color="auto"/>
              <w:left w:val="nil"/>
              <w:right w:val="nil"/>
            </w:tcBorders>
            <w:vAlign w:val="center"/>
          </w:tcPr>
          <w:p w:rsidR="00A53D7D" w:rsidRPr="00B2174E" w:rsidRDefault="00A53D7D" w:rsidP="005140B4">
            <w:pPr>
              <w:pStyle w:val="OGTabHead"/>
              <w:rPr>
                <w:color w:val="000000"/>
                <w:lang w:eastAsia="en-AU"/>
              </w:rPr>
            </w:pPr>
            <w:r w:rsidRPr="00B2174E">
              <w:rPr>
                <w:iCs/>
                <w:color w:val="000000"/>
                <w:lang w:eastAsia="en-AU"/>
              </w:rPr>
              <w:t>Quantity</w:t>
            </w:r>
          </w:p>
        </w:tc>
        <w:tc>
          <w:tcPr>
            <w:tcW w:w="907" w:type="dxa"/>
            <w:tcBorders>
              <w:top w:val="single" w:sz="8" w:space="0" w:color="auto"/>
              <w:left w:val="nil"/>
              <w:right w:val="nil"/>
            </w:tcBorders>
            <w:vAlign w:val="center"/>
          </w:tcPr>
          <w:p w:rsidR="00A53D7D" w:rsidRPr="00B2174E" w:rsidRDefault="00A53D7D" w:rsidP="005140B4">
            <w:pPr>
              <w:pStyle w:val="OGUoM"/>
              <w:rPr>
                <w:color w:val="000000"/>
                <w:lang w:eastAsia="en-AU"/>
              </w:rPr>
            </w:pPr>
          </w:p>
        </w:tc>
        <w:tc>
          <w:tcPr>
            <w:tcW w:w="907" w:type="dxa"/>
            <w:tcBorders>
              <w:top w:val="single" w:sz="8" w:space="0" w:color="auto"/>
              <w:left w:val="nil"/>
              <w:right w:val="nil"/>
            </w:tcBorders>
            <w:shd w:val="clear" w:color="auto" w:fill="D9D9D9"/>
          </w:tcPr>
          <w:p w:rsidR="00A53D7D" w:rsidRPr="00B2174E" w:rsidRDefault="00A53D7D" w:rsidP="005140B4">
            <w:pPr>
              <w:pStyle w:val="OGTableofFigures"/>
              <w:rPr>
                <w:color w:val="000000"/>
                <w:lang w:eastAsia="en-AU"/>
              </w:rPr>
            </w:pPr>
          </w:p>
        </w:tc>
        <w:tc>
          <w:tcPr>
            <w:tcW w:w="993" w:type="dxa"/>
            <w:tcBorders>
              <w:top w:val="single" w:sz="8" w:space="0" w:color="auto"/>
              <w:left w:val="nil"/>
              <w:right w:val="nil"/>
            </w:tcBorders>
          </w:tcPr>
          <w:p w:rsidR="00A53D7D" w:rsidRPr="00B2174E" w:rsidRDefault="00A53D7D" w:rsidP="005140B4">
            <w:pPr>
              <w:pStyle w:val="OGTableofFigures"/>
              <w:rPr>
                <w:color w:val="000000"/>
                <w:lang w:eastAsia="en-AU"/>
              </w:rPr>
            </w:pPr>
          </w:p>
        </w:tc>
        <w:tc>
          <w:tcPr>
            <w:tcW w:w="907" w:type="dxa"/>
            <w:tcBorders>
              <w:top w:val="single" w:sz="8" w:space="0" w:color="auto"/>
              <w:left w:val="nil"/>
              <w:right w:val="nil"/>
            </w:tcBorders>
          </w:tcPr>
          <w:p w:rsidR="00A53D7D" w:rsidRPr="00B2174E" w:rsidRDefault="00A53D7D" w:rsidP="005140B4">
            <w:pPr>
              <w:pStyle w:val="OGTableofFigures"/>
              <w:rPr>
                <w:color w:val="000000"/>
                <w:lang w:eastAsia="en-AU"/>
              </w:rPr>
            </w:pPr>
          </w:p>
        </w:tc>
        <w:tc>
          <w:tcPr>
            <w:tcW w:w="907" w:type="dxa"/>
            <w:tcBorders>
              <w:top w:val="single" w:sz="8" w:space="0" w:color="auto"/>
              <w:left w:val="nil"/>
              <w:right w:val="nil"/>
            </w:tcBorders>
          </w:tcPr>
          <w:p w:rsidR="00A53D7D" w:rsidRPr="00B2174E" w:rsidRDefault="00A53D7D" w:rsidP="005140B4">
            <w:pPr>
              <w:pStyle w:val="OGTableofFigures"/>
              <w:rPr>
                <w:color w:val="000000"/>
                <w:lang w:eastAsia="en-AU"/>
              </w:rPr>
            </w:pPr>
          </w:p>
        </w:tc>
      </w:tr>
      <w:tr w:rsidR="00A53D7D" w:rsidRPr="003D2579" w:rsidTr="005140B4">
        <w:trPr>
          <w:cantSplit/>
        </w:trPr>
        <w:tc>
          <w:tcPr>
            <w:tcW w:w="3155" w:type="dxa"/>
            <w:tcBorders>
              <w:top w:val="nil"/>
              <w:left w:val="nil"/>
              <w:bottom w:val="single" w:sz="8" w:space="0" w:color="auto"/>
              <w:right w:val="nil"/>
            </w:tcBorders>
            <w:vAlign w:val="center"/>
          </w:tcPr>
          <w:p w:rsidR="00A53D7D" w:rsidRPr="00B2174E" w:rsidRDefault="00A53D7D" w:rsidP="005140B4">
            <w:pPr>
              <w:pStyle w:val="OGTabText"/>
              <w:rPr>
                <w:color w:val="000000"/>
                <w:lang w:eastAsia="en-AU"/>
              </w:rPr>
            </w:pPr>
            <w:r w:rsidRPr="00B2174E">
              <w:rPr>
                <w:color w:val="000000"/>
                <w:lang w:eastAsia="en-AU"/>
              </w:rPr>
              <w:t>Criminal matters disposed in the Supreme Court</w:t>
            </w:r>
          </w:p>
        </w:tc>
        <w:tc>
          <w:tcPr>
            <w:tcW w:w="907" w:type="dxa"/>
            <w:tcBorders>
              <w:top w:val="nil"/>
              <w:left w:val="nil"/>
              <w:bottom w:val="single" w:sz="8" w:space="0" w:color="auto"/>
              <w:right w:val="nil"/>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nil"/>
              <w:left w:val="nil"/>
              <w:bottom w:val="single" w:sz="8" w:space="0" w:color="auto"/>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440</w:t>
            </w:r>
          </w:p>
        </w:tc>
        <w:tc>
          <w:tcPr>
            <w:tcW w:w="993" w:type="dxa"/>
            <w:tcBorders>
              <w:top w:val="nil"/>
              <w:left w:val="nil"/>
              <w:bottom w:val="single" w:sz="8"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440</w:t>
            </w:r>
          </w:p>
        </w:tc>
        <w:tc>
          <w:tcPr>
            <w:tcW w:w="907" w:type="dxa"/>
            <w:tcBorders>
              <w:top w:val="nil"/>
              <w:left w:val="nil"/>
              <w:bottom w:val="single" w:sz="8" w:space="0" w:color="auto"/>
              <w:right w:val="nil"/>
            </w:tcBorders>
          </w:tcPr>
          <w:p w:rsidR="00A53D7D" w:rsidRPr="00B2174E" w:rsidRDefault="00A53D7D" w:rsidP="005140B4">
            <w:pPr>
              <w:pStyle w:val="OGTableofFigures"/>
              <w:rPr>
                <w:strike/>
                <w:color w:val="000000"/>
                <w:lang w:eastAsia="en-AU"/>
              </w:rPr>
            </w:pPr>
            <w:r w:rsidRPr="00B2174E">
              <w:rPr>
                <w:color w:val="000000"/>
                <w:lang w:eastAsia="en-AU"/>
              </w:rPr>
              <w:t>440</w:t>
            </w:r>
          </w:p>
        </w:tc>
        <w:tc>
          <w:tcPr>
            <w:tcW w:w="907" w:type="dxa"/>
            <w:tcBorders>
              <w:top w:val="nil"/>
              <w:left w:val="nil"/>
              <w:bottom w:val="single" w:sz="8"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490</w:t>
            </w:r>
          </w:p>
        </w:tc>
      </w:tr>
      <w:tr w:rsidR="00A53D7D" w:rsidRPr="003D2579" w:rsidTr="005140B4">
        <w:trPr>
          <w:cantSplit/>
        </w:trPr>
        <w:tc>
          <w:tcPr>
            <w:tcW w:w="3155" w:type="dxa"/>
            <w:tcBorders>
              <w:top w:val="single" w:sz="8" w:space="0" w:color="auto"/>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Criminal matters disposed in the County Court</w:t>
            </w:r>
          </w:p>
        </w:tc>
        <w:tc>
          <w:tcPr>
            <w:tcW w:w="907" w:type="dxa"/>
            <w:tcBorders>
              <w:top w:val="single" w:sz="8" w:space="0" w:color="auto"/>
              <w:left w:val="nil"/>
              <w:right w:val="nil"/>
            </w:tcBorders>
          </w:tcPr>
          <w:p w:rsidR="00A53D7D" w:rsidRPr="00B2174E" w:rsidRDefault="00A53D7D" w:rsidP="005140B4">
            <w:pPr>
              <w:pStyle w:val="OGUoM"/>
              <w:rPr>
                <w:color w:val="000000"/>
                <w:lang w:eastAsia="en-AU"/>
              </w:rPr>
            </w:pPr>
            <w:r>
              <w:rPr>
                <w:color w:val="000000"/>
                <w:lang w:eastAsia="en-AU"/>
              </w:rPr>
              <w:t>n</w:t>
            </w:r>
            <w:r w:rsidRPr="00B2174E">
              <w:rPr>
                <w:color w:val="000000"/>
                <w:lang w:eastAsia="en-AU"/>
              </w:rPr>
              <w:t>umber</w:t>
            </w:r>
          </w:p>
        </w:tc>
        <w:tc>
          <w:tcPr>
            <w:tcW w:w="907" w:type="dxa"/>
            <w:tcBorders>
              <w:top w:val="single" w:sz="8" w:space="0" w:color="auto"/>
              <w:left w:val="nil"/>
              <w:right w:val="nil"/>
            </w:tcBorders>
            <w:shd w:val="clear" w:color="auto" w:fill="D9D9D9"/>
          </w:tcPr>
          <w:p w:rsidR="00A53D7D" w:rsidRPr="00B2174E" w:rsidRDefault="00A53D7D" w:rsidP="005140B4">
            <w:pPr>
              <w:pStyle w:val="OGTableofFigures"/>
              <w:rPr>
                <w:strike/>
                <w:color w:val="000000"/>
                <w:lang w:eastAsia="en-AU"/>
              </w:rPr>
            </w:pPr>
            <w:r w:rsidRPr="00B2174E">
              <w:rPr>
                <w:color w:val="000000"/>
                <w:lang w:eastAsia="en-AU"/>
              </w:rPr>
              <w:t>4</w:t>
            </w:r>
            <w:r>
              <w:rPr>
                <w:color w:val="000000"/>
                <w:lang w:eastAsia="en-AU"/>
              </w:rPr>
              <w:t> </w:t>
            </w:r>
            <w:r w:rsidRPr="00B2174E">
              <w:rPr>
                <w:color w:val="000000"/>
                <w:lang w:eastAsia="en-AU"/>
              </w:rPr>
              <w:t>900</w:t>
            </w:r>
          </w:p>
        </w:tc>
        <w:tc>
          <w:tcPr>
            <w:tcW w:w="993" w:type="dxa"/>
            <w:tcBorders>
              <w:top w:val="single" w:sz="8" w:space="0" w:color="auto"/>
              <w:left w:val="nil"/>
              <w:right w:val="nil"/>
            </w:tcBorders>
          </w:tcPr>
          <w:p w:rsidR="00A53D7D" w:rsidRPr="00B2174E" w:rsidRDefault="00A53D7D" w:rsidP="005140B4">
            <w:pPr>
              <w:pStyle w:val="OGTableofFigures"/>
              <w:rPr>
                <w:color w:val="000000"/>
                <w:lang w:eastAsia="en-AU"/>
              </w:rPr>
            </w:pPr>
            <w:r>
              <w:rPr>
                <w:color w:val="000000"/>
                <w:lang w:eastAsia="en-AU"/>
              </w:rPr>
              <w:t>5 003</w:t>
            </w:r>
          </w:p>
        </w:tc>
        <w:tc>
          <w:tcPr>
            <w:tcW w:w="907" w:type="dxa"/>
            <w:tcBorders>
              <w:top w:val="single" w:sz="8" w:space="0" w:color="auto"/>
              <w:left w:val="nil"/>
              <w:right w:val="nil"/>
            </w:tcBorders>
          </w:tcPr>
          <w:p w:rsidR="00A53D7D" w:rsidRPr="00B2174E" w:rsidRDefault="00A53D7D" w:rsidP="005140B4">
            <w:pPr>
              <w:pStyle w:val="OGTableofFigures"/>
              <w:rPr>
                <w:color w:val="000000"/>
                <w:lang w:eastAsia="en-AU"/>
              </w:rPr>
            </w:pPr>
            <w:r>
              <w:rPr>
                <w:color w:val="000000"/>
                <w:lang w:eastAsia="en-AU"/>
              </w:rPr>
              <w:t>4 500</w:t>
            </w:r>
          </w:p>
        </w:tc>
        <w:tc>
          <w:tcPr>
            <w:tcW w:w="907" w:type="dxa"/>
            <w:tcBorders>
              <w:top w:val="single" w:sz="8"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5</w:t>
            </w:r>
            <w:r>
              <w:rPr>
                <w:color w:val="000000"/>
                <w:lang w:eastAsia="en-AU"/>
              </w:rPr>
              <w:t> </w:t>
            </w:r>
            <w:r w:rsidRPr="00B2174E">
              <w:rPr>
                <w:color w:val="000000"/>
                <w:lang w:eastAsia="en-AU"/>
              </w:rPr>
              <w:t>178</w:t>
            </w:r>
          </w:p>
        </w:tc>
      </w:tr>
      <w:tr w:rsidR="00A53D7D" w:rsidRPr="003D2579" w:rsidTr="005140B4">
        <w:trPr>
          <w:cantSplit/>
        </w:trPr>
        <w:tc>
          <w:tcPr>
            <w:tcW w:w="7776" w:type="dxa"/>
            <w:gridSpan w:val="6"/>
            <w:tcBorders>
              <w:top w:val="nil"/>
              <w:left w:val="nil"/>
              <w:bottom w:val="single" w:sz="8" w:space="0" w:color="auto"/>
              <w:right w:val="nil"/>
            </w:tcBorders>
            <w:vAlign w:val="center"/>
          </w:tcPr>
          <w:p w:rsidR="00A53D7D" w:rsidRPr="00B2174E" w:rsidRDefault="00A53D7D" w:rsidP="005140B4">
            <w:pPr>
              <w:pStyle w:val="OGNotes"/>
            </w:pPr>
            <w:r w:rsidRPr="00B2174E">
              <w:t>The 2013</w:t>
            </w:r>
            <w:r>
              <w:noBreakHyphen/>
            </w:r>
            <w:r w:rsidRPr="00B2174E">
              <w:t>14 expected outcome is higher than the 2013</w:t>
            </w:r>
            <w:r>
              <w:noBreakHyphen/>
            </w:r>
            <w:r w:rsidRPr="00B2174E">
              <w:t>14 estimate due to unexpected case flow movements in 2013</w:t>
            </w:r>
            <w:r>
              <w:noBreakHyphen/>
            </w:r>
            <w:r w:rsidRPr="00B2174E">
              <w:t>14. The 2014</w:t>
            </w:r>
            <w:r>
              <w:noBreakHyphen/>
            </w:r>
            <w:r w:rsidRPr="00B2174E">
              <w:t xml:space="preserve">15 estimate reflects the anticipated workload for this period. </w:t>
            </w:r>
          </w:p>
        </w:tc>
      </w:tr>
      <w:tr w:rsidR="00A53D7D" w:rsidRPr="003D2579" w:rsidTr="005140B4">
        <w:trPr>
          <w:cantSplit/>
        </w:trPr>
        <w:tc>
          <w:tcPr>
            <w:tcW w:w="3155" w:type="dxa"/>
            <w:tcBorders>
              <w:top w:val="single" w:sz="8" w:space="0" w:color="auto"/>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Criminal matters disposed in the Magistrates’ Court</w:t>
            </w:r>
          </w:p>
        </w:tc>
        <w:tc>
          <w:tcPr>
            <w:tcW w:w="907" w:type="dxa"/>
            <w:tcBorders>
              <w:top w:val="single" w:sz="8" w:space="0" w:color="auto"/>
              <w:left w:val="nil"/>
              <w:right w:val="nil"/>
            </w:tcBorders>
          </w:tcPr>
          <w:p w:rsidR="00A53D7D" w:rsidRPr="00B2174E" w:rsidRDefault="00A53D7D" w:rsidP="005140B4">
            <w:pPr>
              <w:pStyle w:val="OGUoM"/>
              <w:rPr>
                <w:color w:val="000000"/>
                <w:lang w:eastAsia="en-AU"/>
              </w:rPr>
            </w:pPr>
            <w:r>
              <w:rPr>
                <w:color w:val="000000"/>
                <w:lang w:eastAsia="en-AU"/>
              </w:rPr>
              <w:t>n</w:t>
            </w:r>
            <w:r w:rsidRPr="00B2174E">
              <w:rPr>
                <w:color w:val="000000"/>
                <w:lang w:eastAsia="en-AU"/>
              </w:rPr>
              <w:t>umber</w:t>
            </w:r>
          </w:p>
        </w:tc>
        <w:tc>
          <w:tcPr>
            <w:tcW w:w="907" w:type="dxa"/>
            <w:tcBorders>
              <w:top w:val="single" w:sz="8" w:space="0" w:color="auto"/>
              <w:left w:val="nil"/>
              <w:right w:val="nil"/>
            </w:tcBorders>
            <w:shd w:val="clear" w:color="auto" w:fill="D9D9D9"/>
          </w:tcPr>
          <w:p w:rsidR="00A53D7D" w:rsidRPr="00B2174E" w:rsidRDefault="00A53D7D" w:rsidP="005140B4">
            <w:pPr>
              <w:pStyle w:val="OGTableofFigures"/>
              <w:rPr>
                <w:color w:val="000000"/>
                <w:lang w:eastAsia="en-AU"/>
              </w:rPr>
            </w:pPr>
            <w:r>
              <w:rPr>
                <w:color w:val="000000"/>
                <w:lang w:eastAsia="en-AU"/>
              </w:rPr>
              <w:t>200 000</w:t>
            </w:r>
          </w:p>
        </w:tc>
        <w:tc>
          <w:tcPr>
            <w:tcW w:w="993" w:type="dxa"/>
            <w:tcBorders>
              <w:top w:val="single" w:sz="8" w:space="0" w:color="auto"/>
              <w:left w:val="nil"/>
              <w:right w:val="nil"/>
            </w:tcBorders>
          </w:tcPr>
          <w:p w:rsidR="00A53D7D" w:rsidRPr="00B2174E" w:rsidRDefault="00A53D7D" w:rsidP="005140B4">
            <w:pPr>
              <w:pStyle w:val="OGTableofFigures"/>
              <w:rPr>
                <w:color w:val="000000"/>
                <w:lang w:eastAsia="en-AU"/>
              </w:rPr>
            </w:pPr>
            <w:r>
              <w:rPr>
                <w:color w:val="000000"/>
                <w:lang w:eastAsia="en-AU"/>
              </w:rPr>
              <w:t>220 421</w:t>
            </w:r>
          </w:p>
        </w:tc>
        <w:tc>
          <w:tcPr>
            <w:tcW w:w="907" w:type="dxa"/>
            <w:tcBorders>
              <w:top w:val="single" w:sz="8" w:space="0" w:color="auto"/>
              <w:left w:val="nil"/>
              <w:right w:val="nil"/>
            </w:tcBorders>
          </w:tcPr>
          <w:p w:rsidR="00A53D7D" w:rsidRPr="00B2174E" w:rsidRDefault="00A53D7D" w:rsidP="005140B4">
            <w:pPr>
              <w:pStyle w:val="OGTableofFigures"/>
              <w:rPr>
                <w:color w:val="000000"/>
                <w:lang w:eastAsia="en-AU"/>
              </w:rPr>
            </w:pPr>
            <w:r>
              <w:rPr>
                <w:color w:val="000000"/>
                <w:lang w:eastAsia="en-AU"/>
              </w:rPr>
              <w:t>178 000</w:t>
            </w:r>
          </w:p>
        </w:tc>
        <w:tc>
          <w:tcPr>
            <w:tcW w:w="907" w:type="dxa"/>
            <w:tcBorders>
              <w:top w:val="single" w:sz="8"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188</w:t>
            </w:r>
            <w:r>
              <w:rPr>
                <w:color w:val="000000"/>
                <w:lang w:eastAsia="en-AU"/>
              </w:rPr>
              <w:t> </w:t>
            </w:r>
            <w:r w:rsidRPr="00B2174E">
              <w:rPr>
                <w:color w:val="000000"/>
                <w:lang w:eastAsia="en-AU"/>
              </w:rPr>
              <w:t>537</w:t>
            </w:r>
          </w:p>
        </w:tc>
      </w:tr>
      <w:tr w:rsidR="00A53D7D" w:rsidRPr="003D2579" w:rsidTr="005140B4">
        <w:trPr>
          <w:cantSplit/>
        </w:trPr>
        <w:tc>
          <w:tcPr>
            <w:tcW w:w="7776" w:type="dxa"/>
            <w:gridSpan w:val="6"/>
            <w:tcBorders>
              <w:top w:val="nil"/>
              <w:left w:val="nil"/>
              <w:bottom w:val="single" w:sz="4" w:space="0" w:color="auto"/>
              <w:right w:val="nil"/>
            </w:tcBorders>
            <w:vAlign w:val="center"/>
          </w:tcPr>
          <w:p w:rsidR="00A53D7D" w:rsidRPr="00B2174E" w:rsidRDefault="00A53D7D" w:rsidP="005140B4">
            <w:pPr>
              <w:pStyle w:val="OGNotes"/>
            </w:pPr>
            <w:r w:rsidRPr="00B2174E">
              <w:t>The 2013</w:t>
            </w:r>
            <w:r>
              <w:noBreakHyphen/>
            </w:r>
            <w:r w:rsidRPr="00B2174E">
              <w:t>14 expected outcome is higher than the</w:t>
            </w:r>
            <w:r w:rsidRPr="00B2174E">
              <w:rPr>
                <w:color w:val="000000"/>
              </w:rPr>
              <w:t xml:space="preserve"> 2013</w:t>
            </w:r>
            <w:r>
              <w:rPr>
                <w:color w:val="000000"/>
              </w:rPr>
              <w:noBreakHyphen/>
            </w:r>
            <w:r w:rsidRPr="00B2174E">
              <w:rPr>
                <w:color w:val="000000"/>
              </w:rPr>
              <w:t>14 estimate for the criminal jurisdiction predominantly due to increased efficiencies in finalising infringement matters.</w:t>
            </w:r>
            <w:r>
              <w:t xml:space="preserve"> </w:t>
            </w:r>
            <w:r w:rsidRPr="00B2174E">
              <w:t>The 2014</w:t>
            </w:r>
            <w:r>
              <w:noBreakHyphen/>
            </w:r>
            <w:r w:rsidRPr="00B2174E">
              <w:t xml:space="preserve">15 estimate has been adjusted to reflect these improvements. </w:t>
            </w:r>
          </w:p>
        </w:tc>
      </w:tr>
      <w:tr w:rsidR="00A53D7D" w:rsidRPr="003D2579" w:rsidTr="005140B4">
        <w:trPr>
          <w:cantSplit/>
        </w:trPr>
        <w:tc>
          <w:tcPr>
            <w:tcW w:w="3155" w:type="dxa"/>
            <w:tcBorders>
              <w:top w:val="single" w:sz="4" w:space="0" w:color="auto"/>
              <w:left w:val="nil"/>
              <w:bottom w:val="single" w:sz="4" w:space="0" w:color="auto"/>
              <w:right w:val="nil"/>
            </w:tcBorders>
            <w:vAlign w:val="center"/>
          </w:tcPr>
          <w:p w:rsidR="00A53D7D" w:rsidRPr="00B2174E" w:rsidRDefault="00A53D7D" w:rsidP="005140B4">
            <w:pPr>
              <w:pStyle w:val="OGTabText"/>
              <w:rPr>
                <w:color w:val="000000"/>
                <w:lang w:eastAsia="en-AU"/>
              </w:rPr>
            </w:pPr>
            <w:r w:rsidRPr="00B2174E">
              <w:rPr>
                <w:color w:val="000000"/>
                <w:lang w:eastAsia="en-AU"/>
              </w:rPr>
              <w:t>Criminal matters disposed in the Children’s Court</w:t>
            </w:r>
          </w:p>
        </w:tc>
        <w:tc>
          <w:tcPr>
            <w:tcW w:w="907" w:type="dxa"/>
            <w:tcBorders>
              <w:top w:val="single" w:sz="4" w:space="0" w:color="auto"/>
              <w:left w:val="nil"/>
              <w:bottom w:val="single" w:sz="4" w:space="0" w:color="auto"/>
              <w:right w:val="nil"/>
            </w:tcBorders>
          </w:tcPr>
          <w:p w:rsidR="00A53D7D" w:rsidRPr="00B2174E" w:rsidRDefault="00A53D7D" w:rsidP="005140B4">
            <w:pPr>
              <w:pStyle w:val="OGUoM"/>
              <w:rPr>
                <w:color w:val="000000"/>
                <w:lang w:eastAsia="en-AU"/>
              </w:rPr>
            </w:pPr>
            <w:r>
              <w:rPr>
                <w:color w:val="000000"/>
                <w:lang w:eastAsia="en-AU"/>
              </w:rPr>
              <w:t>n</w:t>
            </w:r>
            <w:r w:rsidRPr="00B2174E">
              <w:rPr>
                <w:color w:val="000000"/>
                <w:lang w:eastAsia="en-AU"/>
              </w:rPr>
              <w:t>umber</w:t>
            </w:r>
          </w:p>
        </w:tc>
        <w:tc>
          <w:tcPr>
            <w:tcW w:w="907" w:type="dxa"/>
            <w:tcBorders>
              <w:top w:val="single" w:sz="4" w:space="0" w:color="auto"/>
              <w:left w:val="nil"/>
              <w:bottom w:val="single" w:sz="4" w:space="0" w:color="auto"/>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20 000</w:t>
            </w:r>
          </w:p>
        </w:tc>
        <w:tc>
          <w:tcPr>
            <w:tcW w:w="993" w:type="dxa"/>
            <w:tcBorders>
              <w:top w:val="single" w:sz="4" w:space="0" w:color="auto"/>
              <w:left w:val="nil"/>
              <w:bottom w:val="single" w:sz="4"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20</w:t>
            </w:r>
            <w:r>
              <w:rPr>
                <w:color w:val="000000"/>
                <w:lang w:eastAsia="en-AU"/>
              </w:rPr>
              <w:t> </w:t>
            </w:r>
            <w:r w:rsidRPr="00B2174E">
              <w:rPr>
                <w:color w:val="000000"/>
                <w:lang w:eastAsia="en-AU"/>
              </w:rPr>
              <w:t>000</w:t>
            </w:r>
          </w:p>
        </w:tc>
        <w:tc>
          <w:tcPr>
            <w:tcW w:w="907" w:type="dxa"/>
            <w:tcBorders>
              <w:top w:val="single" w:sz="4" w:space="0" w:color="auto"/>
              <w:left w:val="nil"/>
              <w:bottom w:val="single" w:sz="4"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20</w:t>
            </w:r>
            <w:r>
              <w:rPr>
                <w:color w:val="000000"/>
                <w:lang w:eastAsia="en-AU"/>
              </w:rPr>
              <w:t> </w:t>
            </w:r>
            <w:r w:rsidRPr="00B2174E">
              <w:rPr>
                <w:color w:val="000000"/>
                <w:lang w:eastAsia="en-AU"/>
              </w:rPr>
              <w:t>000</w:t>
            </w:r>
          </w:p>
        </w:tc>
        <w:tc>
          <w:tcPr>
            <w:tcW w:w="907" w:type="dxa"/>
            <w:tcBorders>
              <w:top w:val="single" w:sz="4" w:space="0" w:color="auto"/>
              <w:left w:val="nil"/>
              <w:bottom w:val="single" w:sz="4"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21</w:t>
            </w:r>
            <w:r>
              <w:rPr>
                <w:color w:val="000000"/>
                <w:lang w:eastAsia="en-AU"/>
              </w:rPr>
              <w:t> </w:t>
            </w:r>
            <w:r w:rsidRPr="00B2174E">
              <w:rPr>
                <w:color w:val="000000"/>
                <w:lang w:eastAsia="en-AU"/>
              </w:rPr>
              <w:t>965</w:t>
            </w:r>
          </w:p>
        </w:tc>
      </w:tr>
      <w:tr w:rsidR="00A53D7D" w:rsidRPr="003D2579" w:rsidTr="005140B4">
        <w:trPr>
          <w:cantSplit/>
        </w:trPr>
        <w:tc>
          <w:tcPr>
            <w:tcW w:w="3155" w:type="dxa"/>
            <w:tcBorders>
              <w:top w:val="single" w:sz="4" w:space="0" w:color="auto"/>
              <w:left w:val="nil"/>
              <w:bottom w:val="single" w:sz="4" w:space="0" w:color="auto"/>
              <w:right w:val="nil"/>
            </w:tcBorders>
            <w:vAlign w:val="center"/>
          </w:tcPr>
          <w:p w:rsidR="00A53D7D" w:rsidRPr="00B2174E" w:rsidRDefault="00A53D7D" w:rsidP="005140B4">
            <w:pPr>
              <w:pStyle w:val="OGTabText"/>
              <w:rPr>
                <w:color w:val="000000"/>
                <w:lang w:eastAsia="en-AU"/>
              </w:rPr>
            </w:pPr>
            <w:r w:rsidRPr="00B2174E">
              <w:rPr>
                <w:color w:val="000000"/>
                <w:lang w:eastAsia="en-AU"/>
              </w:rPr>
              <w:t>Civil matters disposed in the Supreme Court</w:t>
            </w:r>
          </w:p>
        </w:tc>
        <w:tc>
          <w:tcPr>
            <w:tcW w:w="907" w:type="dxa"/>
            <w:tcBorders>
              <w:top w:val="single" w:sz="4" w:space="0" w:color="auto"/>
              <w:left w:val="nil"/>
              <w:bottom w:val="single" w:sz="4" w:space="0" w:color="auto"/>
              <w:right w:val="nil"/>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4" w:space="0" w:color="auto"/>
              <w:left w:val="nil"/>
              <w:bottom w:val="single" w:sz="4" w:space="0" w:color="auto"/>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26 200</w:t>
            </w:r>
          </w:p>
        </w:tc>
        <w:tc>
          <w:tcPr>
            <w:tcW w:w="993" w:type="dxa"/>
            <w:tcBorders>
              <w:top w:val="single" w:sz="4" w:space="0" w:color="auto"/>
              <w:left w:val="nil"/>
              <w:bottom w:val="single" w:sz="4"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26 200</w:t>
            </w:r>
          </w:p>
        </w:tc>
        <w:tc>
          <w:tcPr>
            <w:tcW w:w="907" w:type="dxa"/>
            <w:tcBorders>
              <w:top w:val="single" w:sz="4" w:space="0" w:color="auto"/>
              <w:left w:val="nil"/>
              <w:bottom w:val="single" w:sz="4" w:space="0" w:color="auto"/>
              <w:right w:val="nil"/>
            </w:tcBorders>
          </w:tcPr>
          <w:p w:rsidR="00A53D7D" w:rsidRPr="00B2174E" w:rsidRDefault="00A53D7D" w:rsidP="005140B4">
            <w:pPr>
              <w:pStyle w:val="OGTableofFigures"/>
              <w:rPr>
                <w:color w:val="000000"/>
                <w:lang w:eastAsia="en-AU"/>
              </w:rPr>
            </w:pPr>
            <w:r>
              <w:rPr>
                <w:color w:val="000000"/>
                <w:lang w:eastAsia="en-AU"/>
              </w:rPr>
              <w:t>26 200</w:t>
            </w:r>
          </w:p>
        </w:tc>
        <w:tc>
          <w:tcPr>
            <w:tcW w:w="907" w:type="dxa"/>
            <w:tcBorders>
              <w:top w:val="single" w:sz="4" w:space="0" w:color="auto"/>
              <w:left w:val="nil"/>
              <w:bottom w:val="single" w:sz="4"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26</w:t>
            </w:r>
            <w:r>
              <w:rPr>
                <w:color w:val="000000"/>
                <w:lang w:eastAsia="en-AU"/>
              </w:rPr>
              <w:t> </w:t>
            </w:r>
            <w:r w:rsidRPr="00B2174E">
              <w:rPr>
                <w:color w:val="000000"/>
                <w:lang w:eastAsia="en-AU"/>
              </w:rPr>
              <w:t>583</w:t>
            </w:r>
          </w:p>
        </w:tc>
      </w:tr>
      <w:tr w:rsidR="00A53D7D" w:rsidRPr="003D2579" w:rsidTr="005140B4">
        <w:trPr>
          <w:cantSplit/>
        </w:trPr>
        <w:tc>
          <w:tcPr>
            <w:tcW w:w="3155" w:type="dxa"/>
            <w:tcBorders>
              <w:top w:val="single" w:sz="4" w:space="0" w:color="auto"/>
              <w:left w:val="nil"/>
              <w:bottom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Civil matters disposed in the County Court</w:t>
            </w:r>
          </w:p>
        </w:tc>
        <w:tc>
          <w:tcPr>
            <w:tcW w:w="907" w:type="dxa"/>
            <w:tcBorders>
              <w:top w:val="single" w:sz="4" w:space="0" w:color="auto"/>
              <w:left w:val="nil"/>
              <w:bottom w:val="nil"/>
              <w:right w:val="nil"/>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4" w:space="0" w:color="auto"/>
              <w:left w:val="nil"/>
              <w:bottom w:val="nil"/>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6</w:t>
            </w:r>
            <w:r>
              <w:rPr>
                <w:color w:val="000000"/>
                <w:lang w:eastAsia="en-AU"/>
              </w:rPr>
              <w:t> </w:t>
            </w:r>
            <w:r w:rsidRPr="00B2174E">
              <w:rPr>
                <w:color w:val="000000"/>
                <w:lang w:eastAsia="en-AU"/>
              </w:rPr>
              <w:t>000</w:t>
            </w:r>
          </w:p>
        </w:tc>
        <w:tc>
          <w:tcPr>
            <w:tcW w:w="993" w:type="dxa"/>
            <w:tcBorders>
              <w:top w:val="single" w:sz="4" w:space="0" w:color="auto"/>
              <w:left w:val="nil"/>
              <w:bottom w:val="nil"/>
              <w:right w:val="nil"/>
            </w:tcBorders>
          </w:tcPr>
          <w:p w:rsidR="00A53D7D" w:rsidRPr="00B2174E" w:rsidRDefault="00A53D7D" w:rsidP="005140B4">
            <w:pPr>
              <w:pStyle w:val="OGTableofFigures"/>
              <w:rPr>
                <w:color w:val="000000"/>
                <w:lang w:eastAsia="en-AU"/>
              </w:rPr>
            </w:pPr>
            <w:r>
              <w:rPr>
                <w:color w:val="000000"/>
                <w:lang w:eastAsia="en-AU"/>
              </w:rPr>
              <w:t>6 374</w:t>
            </w:r>
          </w:p>
        </w:tc>
        <w:tc>
          <w:tcPr>
            <w:tcW w:w="907" w:type="dxa"/>
            <w:tcBorders>
              <w:top w:val="single" w:sz="4" w:space="0" w:color="auto"/>
              <w:left w:val="nil"/>
              <w:bottom w:val="nil"/>
              <w:right w:val="nil"/>
            </w:tcBorders>
          </w:tcPr>
          <w:p w:rsidR="00A53D7D" w:rsidRPr="00B2174E" w:rsidRDefault="00A53D7D" w:rsidP="005140B4">
            <w:pPr>
              <w:pStyle w:val="OGTableofFigures"/>
              <w:rPr>
                <w:color w:val="000000"/>
                <w:lang w:eastAsia="en-AU"/>
              </w:rPr>
            </w:pPr>
            <w:r w:rsidRPr="00B2174E">
              <w:rPr>
                <w:color w:val="000000"/>
                <w:lang w:eastAsia="en-AU"/>
              </w:rPr>
              <w:t>5 700</w:t>
            </w:r>
          </w:p>
        </w:tc>
        <w:tc>
          <w:tcPr>
            <w:tcW w:w="907" w:type="dxa"/>
            <w:tcBorders>
              <w:top w:val="single" w:sz="4" w:space="0" w:color="auto"/>
              <w:left w:val="nil"/>
              <w:bottom w:val="nil"/>
              <w:right w:val="nil"/>
            </w:tcBorders>
          </w:tcPr>
          <w:p w:rsidR="00A53D7D" w:rsidRPr="00B2174E" w:rsidRDefault="00A53D7D" w:rsidP="005140B4">
            <w:pPr>
              <w:pStyle w:val="OGTableofFigures"/>
              <w:rPr>
                <w:color w:val="000000"/>
                <w:lang w:eastAsia="en-AU"/>
              </w:rPr>
            </w:pPr>
            <w:r w:rsidRPr="00B2174E">
              <w:rPr>
                <w:color w:val="000000"/>
                <w:lang w:eastAsia="en-AU"/>
              </w:rPr>
              <w:t>6</w:t>
            </w:r>
            <w:r>
              <w:rPr>
                <w:color w:val="000000"/>
                <w:lang w:eastAsia="en-AU"/>
              </w:rPr>
              <w:t> </w:t>
            </w:r>
            <w:r w:rsidRPr="00B2174E">
              <w:rPr>
                <w:color w:val="000000"/>
                <w:lang w:eastAsia="en-AU"/>
              </w:rPr>
              <w:t>683</w:t>
            </w:r>
          </w:p>
        </w:tc>
      </w:tr>
      <w:tr w:rsidR="00A53D7D" w:rsidRPr="003D2579" w:rsidTr="005140B4">
        <w:trPr>
          <w:cantSplit/>
        </w:trPr>
        <w:tc>
          <w:tcPr>
            <w:tcW w:w="7776" w:type="dxa"/>
            <w:gridSpan w:val="6"/>
            <w:tcBorders>
              <w:top w:val="nil"/>
              <w:left w:val="nil"/>
              <w:bottom w:val="single" w:sz="4" w:space="0" w:color="auto"/>
              <w:right w:val="nil"/>
            </w:tcBorders>
            <w:vAlign w:val="center"/>
          </w:tcPr>
          <w:p w:rsidR="00A53D7D" w:rsidRPr="00B2174E" w:rsidRDefault="00A53D7D" w:rsidP="005140B4">
            <w:pPr>
              <w:pStyle w:val="OGNotes"/>
            </w:pPr>
            <w:r w:rsidRPr="00B2174E">
              <w:t>The 2013</w:t>
            </w:r>
            <w:r>
              <w:noBreakHyphen/>
            </w:r>
            <w:r w:rsidRPr="00B2174E">
              <w:t>14 expected outcome is higher than the 2013</w:t>
            </w:r>
            <w:r>
              <w:noBreakHyphen/>
            </w:r>
            <w:r w:rsidRPr="00B2174E">
              <w:t xml:space="preserve">14 estimate as the Court </w:t>
            </w:r>
            <w:r>
              <w:t>has been able to achieve finalisations</w:t>
            </w:r>
            <w:r w:rsidRPr="00B2174E">
              <w:t xml:space="preserve"> above target. The 2014</w:t>
            </w:r>
            <w:r>
              <w:noBreakHyphen/>
            </w:r>
            <w:r w:rsidRPr="00B2174E">
              <w:t xml:space="preserve">15 estimate has been adjusted accordingly. </w:t>
            </w:r>
          </w:p>
        </w:tc>
      </w:tr>
      <w:tr w:rsidR="00A53D7D" w:rsidRPr="003D2579" w:rsidTr="005140B4">
        <w:trPr>
          <w:cantSplit/>
        </w:trPr>
        <w:tc>
          <w:tcPr>
            <w:tcW w:w="3155" w:type="dxa"/>
            <w:tcBorders>
              <w:top w:val="single" w:sz="4" w:space="0" w:color="auto"/>
              <w:left w:val="nil"/>
              <w:bottom w:val="single" w:sz="4" w:space="0" w:color="auto"/>
              <w:right w:val="nil"/>
            </w:tcBorders>
            <w:vAlign w:val="center"/>
          </w:tcPr>
          <w:p w:rsidR="00A53D7D" w:rsidRPr="00B2174E" w:rsidRDefault="00A53D7D" w:rsidP="005140B4">
            <w:pPr>
              <w:pStyle w:val="OGTabText"/>
              <w:keepNext/>
              <w:rPr>
                <w:color w:val="000000"/>
                <w:lang w:eastAsia="en-AU"/>
              </w:rPr>
            </w:pPr>
            <w:r w:rsidRPr="00B2174E">
              <w:rPr>
                <w:color w:val="000000"/>
                <w:lang w:eastAsia="en-AU"/>
              </w:rPr>
              <w:t>Civil matters disposed in the Magistrates’ Court</w:t>
            </w:r>
          </w:p>
        </w:tc>
        <w:tc>
          <w:tcPr>
            <w:tcW w:w="907" w:type="dxa"/>
            <w:tcBorders>
              <w:top w:val="single" w:sz="4" w:space="0" w:color="auto"/>
              <w:left w:val="nil"/>
              <w:bottom w:val="single" w:sz="4" w:space="0" w:color="auto"/>
              <w:right w:val="nil"/>
            </w:tcBorders>
          </w:tcPr>
          <w:p w:rsidR="00A53D7D" w:rsidRPr="00B2174E" w:rsidRDefault="00A53D7D" w:rsidP="005140B4">
            <w:pPr>
              <w:pStyle w:val="OGUoM"/>
              <w:rPr>
                <w:color w:val="000000"/>
                <w:lang w:eastAsia="en-AU"/>
              </w:rPr>
            </w:pPr>
            <w:r>
              <w:rPr>
                <w:color w:val="000000"/>
                <w:lang w:eastAsia="en-AU"/>
              </w:rPr>
              <w:t>n</w:t>
            </w:r>
            <w:r w:rsidRPr="00B2174E">
              <w:rPr>
                <w:color w:val="000000"/>
                <w:lang w:eastAsia="en-AU"/>
              </w:rPr>
              <w:t>umber</w:t>
            </w:r>
          </w:p>
        </w:tc>
        <w:tc>
          <w:tcPr>
            <w:tcW w:w="907" w:type="dxa"/>
            <w:tcBorders>
              <w:top w:val="single" w:sz="4" w:space="0" w:color="auto"/>
              <w:left w:val="nil"/>
              <w:bottom w:val="single" w:sz="4" w:space="0" w:color="auto"/>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54 000</w:t>
            </w:r>
          </w:p>
        </w:tc>
        <w:tc>
          <w:tcPr>
            <w:tcW w:w="993" w:type="dxa"/>
            <w:tcBorders>
              <w:top w:val="single" w:sz="4" w:space="0" w:color="auto"/>
              <w:left w:val="nil"/>
              <w:bottom w:val="single" w:sz="4" w:space="0" w:color="auto"/>
              <w:right w:val="nil"/>
            </w:tcBorders>
          </w:tcPr>
          <w:p w:rsidR="00A53D7D" w:rsidRPr="004B5247" w:rsidRDefault="00A53D7D" w:rsidP="005140B4">
            <w:pPr>
              <w:pStyle w:val="OGTableofFigures"/>
              <w:rPr>
                <w:color w:val="000000"/>
                <w:lang w:eastAsia="en-AU"/>
              </w:rPr>
            </w:pPr>
            <w:r w:rsidRPr="00B2174E">
              <w:rPr>
                <w:color w:val="000000"/>
                <w:lang w:eastAsia="en-AU"/>
              </w:rPr>
              <w:t>54</w:t>
            </w:r>
            <w:r>
              <w:rPr>
                <w:color w:val="000000"/>
                <w:lang w:eastAsia="en-AU"/>
              </w:rPr>
              <w:t> </w:t>
            </w:r>
            <w:r w:rsidRPr="00B2174E">
              <w:rPr>
                <w:color w:val="000000"/>
                <w:lang w:eastAsia="en-AU"/>
              </w:rPr>
              <w:t>000</w:t>
            </w:r>
          </w:p>
        </w:tc>
        <w:tc>
          <w:tcPr>
            <w:tcW w:w="907" w:type="dxa"/>
            <w:tcBorders>
              <w:top w:val="single" w:sz="4" w:space="0" w:color="auto"/>
              <w:left w:val="nil"/>
              <w:bottom w:val="single" w:sz="4" w:space="0" w:color="auto"/>
              <w:right w:val="nil"/>
            </w:tcBorders>
          </w:tcPr>
          <w:p w:rsidR="00A53D7D" w:rsidRPr="004B5247" w:rsidRDefault="00A53D7D" w:rsidP="005140B4">
            <w:pPr>
              <w:pStyle w:val="OGTableofFigures"/>
              <w:rPr>
                <w:color w:val="000000"/>
                <w:lang w:eastAsia="en-AU"/>
              </w:rPr>
            </w:pPr>
            <w:r w:rsidRPr="00B2174E">
              <w:rPr>
                <w:color w:val="000000"/>
                <w:lang w:eastAsia="en-AU"/>
              </w:rPr>
              <w:t>54</w:t>
            </w:r>
            <w:r>
              <w:rPr>
                <w:color w:val="000000"/>
                <w:lang w:eastAsia="en-AU"/>
              </w:rPr>
              <w:t> </w:t>
            </w:r>
            <w:r w:rsidRPr="00B2174E">
              <w:rPr>
                <w:color w:val="000000"/>
                <w:lang w:eastAsia="en-AU"/>
              </w:rPr>
              <w:t>000</w:t>
            </w:r>
          </w:p>
        </w:tc>
        <w:tc>
          <w:tcPr>
            <w:tcW w:w="907" w:type="dxa"/>
            <w:tcBorders>
              <w:top w:val="single" w:sz="4" w:space="0" w:color="auto"/>
              <w:left w:val="nil"/>
              <w:bottom w:val="single" w:sz="4"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54</w:t>
            </w:r>
            <w:r>
              <w:rPr>
                <w:color w:val="000000"/>
                <w:lang w:eastAsia="en-AU"/>
              </w:rPr>
              <w:t> </w:t>
            </w:r>
            <w:r w:rsidRPr="00B2174E">
              <w:rPr>
                <w:color w:val="000000"/>
                <w:lang w:eastAsia="en-AU"/>
              </w:rPr>
              <w:t>580</w:t>
            </w:r>
          </w:p>
        </w:tc>
      </w:tr>
      <w:tr w:rsidR="00A53D7D" w:rsidRPr="003D2579" w:rsidTr="005140B4">
        <w:trPr>
          <w:cantSplit/>
        </w:trPr>
        <w:tc>
          <w:tcPr>
            <w:tcW w:w="3155" w:type="dxa"/>
            <w:tcBorders>
              <w:top w:val="single" w:sz="4" w:space="0" w:color="auto"/>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Civil matters disposed in the</w:t>
            </w:r>
            <w:r>
              <w:rPr>
                <w:color w:val="000000"/>
                <w:lang w:eastAsia="en-AU"/>
              </w:rPr>
              <w:t xml:space="preserve"> </w:t>
            </w:r>
            <w:r w:rsidRPr="00B2174E">
              <w:rPr>
                <w:color w:val="000000"/>
                <w:lang w:eastAsia="en-AU"/>
              </w:rPr>
              <w:t>Victorian Civil and Administrative Tribunal</w:t>
            </w:r>
          </w:p>
        </w:tc>
        <w:tc>
          <w:tcPr>
            <w:tcW w:w="907" w:type="dxa"/>
            <w:tcBorders>
              <w:top w:val="single" w:sz="4" w:space="0" w:color="auto"/>
              <w:left w:val="nil"/>
              <w:right w:val="nil"/>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4" w:space="0" w:color="auto"/>
              <w:left w:val="nil"/>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89</w:t>
            </w:r>
            <w:r>
              <w:rPr>
                <w:color w:val="000000"/>
                <w:lang w:eastAsia="en-AU"/>
              </w:rPr>
              <w:t> 500</w:t>
            </w:r>
          </w:p>
        </w:tc>
        <w:tc>
          <w:tcPr>
            <w:tcW w:w="993" w:type="dxa"/>
            <w:tcBorders>
              <w:top w:val="single" w:sz="4"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90</w:t>
            </w:r>
            <w:r>
              <w:rPr>
                <w:color w:val="000000"/>
                <w:lang w:eastAsia="en-AU"/>
              </w:rPr>
              <w:t> 000</w:t>
            </w:r>
          </w:p>
        </w:tc>
        <w:tc>
          <w:tcPr>
            <w:tcW w:w="907" w:type="dxa"/>
            <w:tcBorders>
              <w:top w:val="single" w:sz="4" w:space="0" w:color="auto"/>
              <w:left w:val="nil"/>
              <w:right w:val="nil"/>
            </w:tcBorders>
          </w:tcPr>
          <w:p w:rsidR="00A53D7D" w:rsidRPr="00B2174E" w:rsidRDefault="00A53D7D" w:rsidP="005140B4">
            <w:pPr>
              <w:pStyle w:val="OGTableofFigures"/>
              <w:rPr>
                <w:color w:val="000000"/>
                <w:lang w:eastAsia="en-AU"/>
              </w:rPr>
            </w:pPr>
            <w:r>
              <w:rPr>
                <w:color w:val="000000"/>
                <w:lang w:eastAsia="en-AU"/>
              </w:rPr>
              <w:t>87 000</w:t>
            </w:r>
          </w:p>
        </w:tc>
        <w:tc>
          <w:tcPr>
            <w:tcW w:w="907" w:type="dxa"/>
            <w:tcBorders>
              <w:top w:val="single" w:sz="4"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88</w:t>
            </w:r>
            <w:r>
              <w:rPr>
                <w:color w:val="000000"/>
                <w:lang w:eastAsia="en-AU"/>
              </w:rPr>
              <w:t> </w:t>
            </w:r>
            <w:r w:rsidRPr="00B2174E">
              <w:rPr>
                <w:color w:val="000000"/>
                <w:lang w:eastAsia="en-AU"/>
              </w:rPr>
              <w:t>421</w:t>
            </w:r>
          </w:p>
        </w:tc>
      </w:tr>
      <w:tr w:rsidR="00A53D7D" w:rsidRPr="003D2579" w:rsidTr="005140B4">
        <w:trPr>
          <w:cantSplit/>
        </w:trPr>
        <w:tc>
          <w:tcPr>
            <w:tcW w:w="7776" w:type="dxa"/>
            <w:gridSpan w:val="6"/>
            <w:tcBorders>
              <w:left w:val="nil"/>
              <w:bottom w:val="single" w:sz="4" w:space="0" w:color="auto"/>
              <w:right w:val="nil"/>
            </w:tcBorders>
            <w:vAlign w:val="center"/>
          </w:tcPr>
          <w:p w:rsidR="00A53D7D" w:rsidRPr="00B2174E" w:rsidRDefault="00A53D7D" w:rsidP="005140B4">
            <w:pPr>
              <w:pStyle w:val="OGNotes"/>
              <w:rPr>
                <w:szCs w:val="18"/>
              </w:rPr>
            </w:pPr>
            <w:r w:rsidRPr="00B2174E">
              <w:t>The 2013</w:t>
            </w:r>
            <w:r>
              <w:noBreakHyphen/>
            </w:r>
            <w:r w:rsidRPr="00B2174E">
              <w:t>14 expected outcome is higher than the 2013</w:t>
            </w:r>
            <w:r>
              <w:noBreakHyphen/>
            </w:r>
            <w:r w:rsidRPr="00B2174E">
              <w:t xml:space="preserve">14 estimate </w:t>
            </w:r>
            <w:r>
              <w:t>as VCAT has been able to achieve finalisations above the target</w:t>
            </w:r>
            <w:r w:rsidRPr="00B2174E">
              <w:t>. The 2014</w:t>
            </w:r>
            <w:r>
              <w:noBreakHyphen/>
            </w:r>
            <w:r w:rsidRPr="00B2174E">
              <w:t>15 estimate has been adjusted to reflect an expected continuation of this trend.</w:t>
            </w:r>
          </w:p>
        </w:tc>
      </w:tr>
      <w:tr w:rsidR="00A53D7D" w:rsidRPr="003D2579" w:rsidTr="005140B4">
        <w:trPr>
          <w:cantSplit/>
          <w:trHeight w:val="545"/>
        </w:trPr>
        <w:tc>
          <w:tcPr>
            <w:tcW w:w="3155" w:type="dxa"/>
            <w:tcBorders>
              <w:top w:val="single" w:sz="4" w:space="0" w:color="auto"/>
              <w:left w:val="nil"/>
              <w:bottom w:val="single" w:sz="8" w:space="0" w:color="auto"/>
              <w:right w:val="nil"/>
            </w:tcBorders>
          </w:tcPr>
          <w:p w:rsidR="00A53D7D" w:rsidRPr="00B2174E" w:rsidRDefault="00A53D7D" w:rsidP="005140B4">
            <w:pPr>
              <w:pStyle w:val="OGTabText"/>
              <w:rPr>
                <w:color w:val="000000"/>
                <w:lang w:eastAsia="en-AU"/>
              </w:rPr>
            </w:pPr>
            <w:r w:rsidRPr="00B2174E">
              <w:rPr>
                <w:color w:val="000000"/>
                <w:lang w:eastAsia="en-AU"/>
              </w:rPr>
              <w:t>Child protection matters disposed in the Children’s Court</w:t>
            </w:r>
          </w:p>
        </w:tc>
        <w:tc>
          <w:tcPr>
            <w:tcW w:w="907" w:type="dxa"/>
            <w:tcBorders>
              <w:top w:val="single" w:sz="4" w:space="0" w:color="auto"/>
              <w:left w:val="nil"/>
              <w:bottom w:val="single" w:sz="8" w:space="0" w:color="auto"/>
              <w:right w:val="nil"/>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4" w:space="0" w:color="auto"/>
              <w:left w:val="nil"/>
              <w:bottom w:val="single" w:sz="8" w:space="0" w:color="auto"/>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8 000</w:t>
            </w:r>
          </w:p>
        </w:tc>
        <w:tc>
          <w:tcPr>
            <w:tcW w:w="993" w:type="dxa"/>
            <w:tcBorders>
              <w:top w:val="single" w:sz="4" w:space="0" w:color="auto"/>
              <w:left w:val="nil"/>
              <w:bottom w:val="single" w:sz="8"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8</w:t>
            </w:r>
            <w:r>
              <w:rPr>
                <w:color w:val="000000"/>
                <w:lang w:eastAsia="en-AU"/>
              </w:rPr>
              <w:t> </w:t>
            </w:r>
            <w:r w:rsidRPr="00B2174E">
              <w:rPr>
                <w:color w:val="000000"/>
                <w:lang w:eastAsia="en-AU"/>
              </w:rPr>
              <w:t>000</w:t>
            </w:r>
          </w:p>
        </w:tc>
        <w:tc>
          <w:tcPr>
            <w:tcW w:w="907" w:type="dxa"/>
            <w:tcBorders>
              <w:top w:val="single" w:sz="4" w:space="0" w:color="auto"/>
              <w:left w:val="nil"/>
              <w:bottom w:val="single" w:sz="8" w:space="0" w:color="auto"/>
              <w:right w:val="nil"/>
            </w:tcBorders>
          </w:tcPr>
          <w:p w:rsidR="00A53D7D" w:rsidRPr="00B2174E" w:rsidRDefault="00A53D7D" w:rsidP="005140B4">
            <w:pPr>
              <w:pStyle w:val="OGTableofFigures"/>
              <w:rPr>
                <w:color w:val="000000"/>
                <w:lang w:eastAsia="en-AU"/>
              </w:rPr>
            </w:pPr>
            <w:r>
              <w:rPr>
                <w:color w:val="000000"/>
                <w:lang w:eastAsia="en-AU"/>
              </w:rPr>
              <w:t>8 000</w:t>
            </w:r>
          </w:p>
        </w:tc>
        <w:tc>
          <w:tcPr>
            <w:tcW w:w="907" w:type="dxa"/>
            <w:tcBorders>
              <w:top w:val="single" w:sz="4" w:space="0" w:color="auto"/>
              <w:left w:val="nil"/>
              <w:bottom w:val="single" w:sz="8"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8</w:t>
            </w:r>
            <w:r>
              <w:rPr>
                <w:color w:val="000000"/>
                <w:lang w:eastAsia="en-AU"/>
              </w:rPr>
              <w:t> </w:t>
            </w:r>
            <w:r w:rsidRPr="00B2174E">
              <w:rPr>
                <w:color w:val="000000"/>
                <w:lang w:eastAsia="en-AU"/>
              </w:rPr>
              <w:t>717</w:t>
            </w:r>
          </w:p>
        </w:tc>
      </w:tr>
      <w:tr w:rsidR="00A53D7D" w:rsidRPr="003D2579" w:rsidTr="005140B4">
        <w:trPr>
          <w:cantSplit/>
        </w:trPr>
        <w:tc>
          <w:tcPr>
            <w:tcW w:w="3155" w:type="dxa"/>
            <w:tcBorders>
              <w:top w:val="single" w:sz="8" w:space="0" w:color="auto"/>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Coronial matters disposed in the Coroner’s Court</w:t>
            </w:r>
          </w:p>
        </w:tc>
        <w:tc>
          <w:tcPr>
            <w:tcW w:w="907" w:type="dxa"/>
            <w:tcBorders>
              <w:top w:val="single" w:sz="8" w:space="0" w:color="auto"/>
              <w:left w:val="nil"/>
              <w:right w:val="nil"/>
            </w:tcBorders>
          </w:tcPr>
          <w:p w:rsidR="00A53D7D" w:rsidRPr="00B2174E" w:rsidRDefault="00A53D7D" w:rsidP="005140B4">
            <w:pPr>
              <w:pStyle w:val="OGUoM"/>
              <w:rPr>
                <w:color w:val="000000"/>
                <w:lang w:eastAsia="en-AU"/>
              </w:rPr>
            </w:pPr>
            <w:r w:rsidRPr="00B2174E">
              <w:rPr>
                <w:color w:val="000000"/>
                <w:lang w:eastAsia="en-AU"/>
              </w:rPr>
              <w:t>number</w:t>
            </w:r>
          </w:p>
        </w:tc>
        <w:tc>
          <w:tcPr>
            <w:tcW w:w="907" w:type="dxa"/>
            <w:tcBorders>
              <w:top w:val="single" w:sz="8" w:space="0" w:color="auto"/>
              <w:left w:val="nil"/>
              <w:right w:val="nil"/>
            </w:tcBorders>
            <w:shd w:val="clear" w:color="auto" w:fill="D9D9D9"/>
          </w:tcPr>
          <w:p w:rsidR="00A53D7D" w:rsidRPr="00B2174E" w:rsidRDefault="00A53D7D" w:rsidP="005140B4">
            <w:pPr>
              <w:pStyle w:val="OGTableofFigures"/>
              <w:rPr>
                <w:lang w:eastAsia="en-AU"/>
              </w:rPr>
            </w:pPr>
            <w:r w:rsidRPr="00B2174E">
              <w:rPr>
                <w:lang w:eastAsia="en-AU"/>
              </w:rPr>
              <w:t>5</w:t>
            </w:r>
            <w:r>
              <w:rPr>
                <w:lang w:eastAsia="en-AU"/>
              </w:rPr>
              <w:t> 700</w:t>
            </w:r>
          </w:p>
        </w:tc>
        <w:tc>
          <w:tcPr>
            <w:tcW w:w="993" w:type="dxa"/>
            <w:tcBorders>
              <w:top w:val="single" w:sz="8"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5</w:t>
            </w:r>
            <w:r>
              <w:rPr>
                <w:color w:val="000000"/>
                <w:lang w:eastAsia="en-AU"/>
              </w:rPr>
              <w:t> 700</w:t>
            </w:r>
          </w:p>
        </w:tc>
        <w:tc>
          <w:tcPr>
            <w:tcW w:w="907" w:type="dxa"/>
            <w:tcBorders>
              <w:top w:val="single" w:sz="8" w:space="0" w:color="auto"/>
              <w:left w:val="nil"/>
              <w:right w:val="nil"/>
            </w:tcBorders>
          </w:tcPr>
          <w:p w:rsidR="00A53D7D" w:rsidRPr="003D2579" w:rsidRDefault="00A53D7D" w:rsidP="005140B4">
            <w:pPr>
              <w:pStyle w:val="OGTableofFigures"/>
              <w:rPr>
                <w:color w:val="000000"/>
                <w:lang w:eastAsia="en-AU"/>
              </w:rPr>
            </w:pPr>
            <w:r>
              <w:rPr>
                <w:color w:val="000000"/>
                <w:lang w:eastAsia="en-AU"/>
              </w:rPr>
              <w:t>5 000</w:t>
            </w:r>
          </w:p>
        </w:tc>
        <w:tc>
          <w:tcPr>
            <w:tcW w:w="907" w:type="dxa"/>
            <w:tcBorders>
              <w:top w:val="single" w:sz="8" w:space="0" w:color="auto"/>
              <w:left w:val="nil"/>
              <w:right w:val="nil"/>
            </w:tcBorders>
          </w:tcPr>
          <w:p w:rsidR="00A53D7D" w:rsidRPr="003D2579" w:rsidRDefault="00A53D7D" w:rsidP="005140B4">
            <w:pPr>
              <w:pStyle w:val="OGTableofFigures"/>
              <w:rPr>
                <w:color w:val="000000"/>
                <w:lang w:eastAsia="en-AU"/>
              </w:rPr>
            </w:pPr>
            <w:r w:rsidRPr="003D2579">
              <w:rPr>
                <w:color w:val="000000"/>
                <w:lang w:eastAsia="en-AU"/>
              </w:rPr>
              <w:t>5</w:t>
            </w:r>
            <w:r>
              <w:rPr>
                <w:color w:val="000000"/>
                <w:lang w:eastAsia="en-AU"/>
              </w:rPr>
              <w:t> </w:t>
            </w:r>
            <w:r w:rsidRPr="003D2579">
              <w:rPr>
                <w:color w:val="000000"/>
                <w:lang w:eastAsia="en-AU"/>
              </w:rPr>
              <w:t>534</w:t>
            </w:r>
          </w:p>
        </w:tc>
      </w:tr>
      <w:tr w:rsidR="00A53D7D" w:rsidRPr="003D2579" w:rsidTr="005140B4">
        <w:trPr>
          <w:cantSplit/>
        </w:trPr>
        <w:tc>
          <w:tcPr>
            <w:tcW w:w="7776" w:type="dxa"/>
            <w:gridSpan w:val="6"/>
            <w:tcBorders>
              <w:left w:val="nil"/>
              <w:bottom w:val="single" w:sz="8" w:space="0" w:color="auto"/>
              <w:right w:val="nil"/>
            </w:tcBorders>
            <w:vAlign w:val="center"/>
          </w:tcPr>
          <w:p w:rsidR="00A53D7D" w:rsidRPr="00B2174E" w:rsidRDefault="00A53D7D" w:rsidP="005140B4">
            <w:pPr>
              <w:pStyle w:val="OGNotes"/>
              <w:rPr>
                <w:szCs w:val="18"/>
              </w:rPr>
            </w:pPr>
            <w:r w:rsidRPr="00B2174E">
              <w:t>The 2013</w:t>
            </w:r>
            <w:r>
              <w:noBreakHyphen/>
            </w:r>
            <w:r w:rsidRPr="00B2174E">
              <w:t>14 expected outcome is higher than the 2013</w:t>
            </w:r>
            <w:r>
              <w:noBreakHyphen/>
            </w:r>
            <w:r w:rsidRPr="00B2174E">
              <w:t xml:space="preserve">14 estimate </w:t>
            </w:r>
            <w:r>
              <w:t>as the Court has been able to achieve finalisations above the target</w:t>
            </w:r>
            <w:r w:rsidRPr="00B2174E">
              <w:t>. The 2014</w:t>
            </w:r>
            <w:r>
              <w:noBreakHyphen/>
            </w:r>
            <w:r w:rsidRPr="00B2174E">
              <w:t>15 estimate has been adjusted to reflect an expected continuation of this trend.</w:t>
            </w:r>
          </w:p>
        </w:tc>
      </w:tr>
      <w:tr w:rsidR="00A53D7D" w:rsidRPr="003D2579" w:rsidTr="005140B4">
        <w:trPr>
          <w:cantSplit/>
        </w:trPr>
        <w:tc>
          <w:tcPr>
            <w:tcW w:w="3155" w:type="dxa"/>
            <w:tcBorders>
              <w:top w:val="single" w:sz="8" w:space="0" w:color="auto"/>
              <w:left w:val="nil"/>
              <w:right w:val="nil"/>
            </w:tcBorders>
            <w:vAlign w:val="center"/>
          </w:tcPr>
          <w:p w:rsidR="00A53D7D" w:rsidRPr="00B2174E" w:rsidRDefault="00A53D7D" w:rsidP="005140B4">
            <w:pPr>
              <w:pStyle w:val="OGTabHead"/>
              <w:rPr>
                <w:color w:val="000000"/>
                <w:lang w:eastAsia="en-AU"/>
              </w:rPr>
            </w:pPr>
            <w:r w:rsidRPr="00B2174E">
              <w:rPr>
                <w:iCs/>
                <w:color w:val="000000"/>
                <w:lang w:eastAsia="en-AU"/>
              </w:rPr>
              <w:t>Quality</w:t>
            </w:r>
          </w:p>
        </w:tc>
        <w:tc>
          <w:tcPr>
            <w:tcW w:w="907" w:type="dxa"/>
            <w:tcBorders>
              <w:top w:val="single" w:sz="8" w:space="0" w:color="auto"/>
              <w:left w:val="nil"/>
              <w:right w:val="nil"/>
            </w:tcBorders>
            <w:vAlign w:val="center"/>
          </w:tcPr>
          <w:p w:rsidR="00A53D7D" w:rsidRPr="00B2174E" w:rsidRDefault="00A53D7D" w:rsidP="005140B4">
            <w:pPr>
              <w:pStyle w:val="OGUoM"/>
              <w:rPr>
                <w:color w:val="000000"/>
                <w:lang w:eastAsia="en-AU"/>
              </w:rPr>
            </w:pPr>
          </w:p>
        </w:tc>
        <w:tc>
          <w:tcPr>
            <w:tcW w:w="907" w:type="dxa"/>
            <w:tcBorders>
              <w:top w:val="single" w:sz="8" w:space="0" w:color="auto"/>
              <w:left w:val="nil"/>
              <w:right w:val="nil"/>
            </w:tcBorders>
            <w:shd w:val="clear" w:color="auto" w:fill="D9D9D9"/>
          </w:tcPr>
          <w:p w:rsidR="00A53D7D" w:rsidRPr="00B2174E" w:rsidRDefault="00A53D7D" w:rsidP="005140B4">
            <w:pPr>
              <w:pStyle w:val="OGTableofFigures"/>
              <w:rPr>
                <w:color w:val="000000"/>
                <w:lang w:eastAsia="en-AU"/>
              </w:rPr>
            </w:pPr>
          </w:p>
        </w:tc>
        <w:tc>
          <w:tcPr>
            <w:tcW w:w="993" w:type="dxa"/>
            <w:tcBorders>
              <w:top w:val="single" w:sz="8" w:space="0" w:color="auto"/>
              <w:left w:val="nil"/>
              <w:right w:val="nil"/>
            </w:tcBorders>
          </w:tcPr>
          <w:p w:rsidR="00A53D7D" w:rsidRPr="00B2174E" w:rsidRDefault="00A53D7D" w:rsidP="005140B4">
            <w:pPr>
              <w:pStyle w:val="OGTableofFigures"/>
              <w:rPr>
                <w:color w:val="000000"/>
                <w:lang w:eastAsia="en-AU"/>
              </w:rPr>
            </w:pPr>
          </w:p>
        </w:tc>
        <w:tc>
          <w:tcPr>
            <w:tcW w:w="907" w:type="dxa"/>
            <w:tcBorders>
              <w:top w:val="single" w:sz="8" w:space="0" w:color="auto"/>
              <w:left w:val="nil"/>
              <w:right w:val="nil"/>
            </w:tcBorders>
          </w:tcPr>
          <w:p w:rsidR="00A53D7D" w:rsidRPr="003D2579" w:rsidRDefault="00A53D7D" w:rsidP="005140B4">
            <w:pPr>
              <w:pStyle w:val="OGTableofFigures"/>
              <w:rPr>
                <w:color w:val="000000"/>
                <w:lang w:eastAsia="en-AU"/>
              </w:rPr>
            </w:pPr>
          </w:p>
        </w:tc>
        <w:tc>
          <w:tcPr>
            <w:tcW w:w="907" w:type="dxa"/>
            <w:tcBorders>
              <w:top w:val="single" w:sz="8" w:space="0" w:color="auto"/>
              <w:left w:val="nil"/>
              <w:right w:val="nil"/>
            </w:tcBorders>
          </w:tcPr>
          <w:p w:rsidR="00A53D7D" w:rsidRPr="003D2579" w:rsidRDefault="00A53D7D" w:rsidP="005140B4">
            <w:pPr>
              <w:pStyle w:val="OGTableofFigures"/>
              <w:rPr>
                <w:color w:val="000000"/>
                <w:lang w:eastAsia="en-AU"/>
              </w:rPr>
            </w:pPr>
          </w:p>
        </w:tc>
      </w:tr>
      <w:tr w:rsidR="00A53D7D" w:rsidRPr="003D2579" w:rsidTr="005140B4">
        <w:trPr>
          <w:cantSplit/>
        </w:trPr>
        <w:tc>
          <w:tcPr>
            <w:tcW w:w="3155" w:type="dxa"/>
            <w:tcBorders>
              <w:top w:val="nil"/>
              <w:left w:val="nil"/>
              <w:bottom w:val="single" w:sz="8" w:space="0" w:color="auto"/>
              <w:right w:val="nil"/>
            </w:tcBorders>
            <w:vAlign w:val="center"/>
          </w:tcPr>
          <w:p w:rsidR="00A53D7D" w:rsidRPr="00B2174E" w:rsidRDefault="00A53D7D" w:rsidP="005140B4">
            <w:pPr>
              <w:pStyle w:val="OGTabText"/>
              <w:rPr>
                <w:color w:val="000000"/>
                <w:lang w:eastAsia="en-AU"/>
              </w:rPr>
            </w:pPr>
            <w:r w:rsidRPr="00B2174E">
              <w:rPr>
                <w:color w:val="000000"/>
                <w:lang w:eastAsia="en-AU"/>
              </w:rPr>
              <w:t>Quality of court registry services in Supreme Court</w:t>
            </w:r>
          </w:p>
        </w:tc>
        <w:tc>
          <w:tcPr>
            <w:tcW w:w="907" w:type="dxa"/>
            <w:tcBorders>
              <w:top w:val="nil"/>
              <w:left w:val="nil"/>
              <w:bottom w:val="single" w:sz="8" w:space="0" w:color="auto"/>
              <w:right w:val="nil"/>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nil"/>
              <w:left w:val="nil"/>
              <w:bottom w:val="single" w:sz="8" w:space="0" w:color="auto"/>
              <w:right w:val="nil"/>
            </w:tcBorders>
            <w:shd w:val="clear" w:color="auto" w:fill="D9D9D9"/>
          </w:tcPr>
          <w:p w:rsidR="00A53D7D" w:rsidRPr="00B2174E" w:rsidRDefault="00A53D7D" w:rsidP="005140B4">
            <w:pPr>
              <w:pStyle w:val="OGTableofFigures"/>
              <w:rPr>
                <w:lang w:eastAsia="en-AU"/>
              </w:rPr>
            </w:pPr>
            <w:r>
              <w:rPr>
                <w:lang w:eastAsia="en-AU"/>
              </w:rPr>
              <w:t>85</w:t>
            </w:r>
          </w:p>
        </w:tc>
        <w:tc>
          <w:tcPr>
            <w:tcW w:w="993" w:type="dxa"/>
            <w:tcBorders>
              <w:top w:val="nil"/>
              <w:left w:val="nil"/>
              <w:bottom w:val="single" w:sz="8" w:space="0" w:color="auto"/>
              <w:right w:val="nil"/>
            </w:tcBorders>
          </w:tcPr>
          <w:p w:rsidR="00A53D7D" w:rsidRPr="00B2174E" w:rsidRDefault="00A53D7D" w:rsidP="005140B4">
            <w:pPr>
              <w:pStyle w:val="OGTableofFigures"/>
              <w:rPr>
                <w:lang w:eastAsia="en-AU"/>
              </w:rPr>
            </w:pPr>
            <w:r>
              <w:rPr>
                <w:lang w:eastAsia="en-AU"/>
              </w:rPr>
              <w:t>85</w:t>
            </w:r>
          </w:p>
        </w:tc>
        <w:tc>
          <w:tcPr>
            <w:tcW w:w="907" w:type="dxa"/>
            <w:tcBorders>
              <w:top w:val="nil"/>
              <w:left w:val="nil"/>
              <w:bottom w:val="single" w:sz="8" w:space="0" w:color="auto"/>
              <w:right w:val="nil"/>
            </w:tcBorders>
          </w:tcPr>
          <w:p w:rsidR="00A53D7D" w:rsidRPr="003D2579" w:rsidRDefault="00A53D7D" w:rsidP="005140B4">
            <w:pPr>
              <w:pStyle w:val="OGTableofFigures"/>
            </w:pPr>
            <w:r w:rsidRPr="003D2579">
              <w:t>85</w:t>
            </w:r>
          </w:p>
        </w:tc>
        <w:tc>
          <w:tcPr>
            <w:tcW w:w="907" w:type="dxa"/>
            <w:tcBorders>
              <w:top w:val="nil"/>
              <w:left w:val="nil"/>
              <w:bottom w:val="single" w:sz="8" w:space="0" w:color="auto"/>
              <w:right w:val="nil"/>
            </w:tcBorders>
          </w:tcPr>
          <w:p w:rsidR="00A53D7D" w:rsidRPr="003D2579" w:rsidRDefault="00A53D7D" w:rsidP="005140B4">
            <w:pPr>
              <w:pStyle w:val="OGTableofFigures"/>
            </w:pPr>
            <w:r>
              <w:t>85</w:t>
            </w:r>
          </w:p>
        </w:tc>
      </w:tr>
      <w:tr w:rsidR="00A53D7D" w:rsidRPr="003D2579" w:rsidTr="005140B4">
        <w:trPr>
          <w:cantSplit/>
        </w:trPr>
        <w:tc>
          <w:tcPr>
            <w:tcW w:w="3155" w:type="dxa"/>
            <w:tcBorders>
              <w:top w:val="single" w:sz="8" w:space="0" w:color="auto"/>
              <w:left w:val="nil"/>
              <w:bottom w:val="nil"/>
              <w:right w:val="nil"/>
            </w:tcBorders>
            <w:vAlign w:val="center"/>
          </w:tcPr>
          <w:p w:rsidR="00A53D7D" w:rsidRPr="003D2579" w:rsidRDefault="00A53D7D" w:rsidP="005140B4">
            <w:pPr>
              <w:pStyle w:val="OGTabText"/>
              <w:rPr>
                <w:color w:val="000000"/>
                <w:lang w:eastAsia="en-AU"/>
              </w:rPr>
            </w:pPr>
            <w:r w:rsidRPr="003D2579">
              <w:rPr>
                <w:color w:val="000000"/>
                <w:lang w:eastAsia="en-AU"/>
              </w:rPr>
              <w:t>Quality of court registry services in County Court</w:t>
            </w:r>
          </w:p>
        </w:tc>
        <w:tc>
          <w:tcPr>
            <w:tcW w:w="907" w:type="dxa"/>
            <w:tcBorders>
              <w:top w:val="single" w:sz="8" w:space="0" w:color="auto"/>
              <w:left w:val="nil"/>
              <w:bottom w:val="nil"/>
              <w:right w:val="nil"/>
            </w:tcBorders>
          </w:tcPr>
          <w:p w:rsidR="00A53D7D" w:rsidRPr="003D2579" w:rsidRDefault="00A53D7D" w:rsidP="005140B4">
            <w:pPr>
              <w:pStyle w:val="OGUoM"/>
              <w:rPr>
                <w:color w:val="000000"/>
                <w:lang w:eastAsia="en-AU"/>
              </w:rPr>
            </w:pPr>
            <w:r w:rsidRPr="003D2579">
              <w:rPr>
                <w:color w:val="000000"/>
                <w:lang w:eastAsia="en-AU"/>
              </w:rPr>
              <w:t>per cent</w:t>
            </w:r>
          </w:p>
        </w:tc>
        <w:tc>
          <w:tcPr>
            <w:tcW w:w="907" w:type="dxa"/>
            <w:tcBorders>
              <w:top w:val="single" w:sz="8" w:space="0" w:color="auto"/>
              <w:left w:val="nil"/>
              <w:bottom w:val="nil"/>
              <w:right w:val="nil"/>
            </w:tcBorders>
            <w:shd w:val="clear" w:color="auto" w:fill="D9D9D9"/>
          </w:tcPr>
          <w:p w:rsidR="00A53D7D" w:rsidRPr="003D2579" w:rsidRDefault="00A53D7D" w:rsidP="005140B4">
            <w:pPr>
              <w:pStyle w:val="OGTableofFigures"/>
              <w:rPr>
                <w:color w:val="000000"/>
                <w:lang w:eastAsia="en-AU"/>
              </w:rPr>
            </w:pPr>
            <w:r w:rsidRPr="003D2579">
              <w:rPr>
                <w:color w:val="000000"/>
                <w:lang w:eastAsia="en-AU"/>
              </w:rPr>
              <w:t>85</w:t>
            </w:r>
          </w:p>
        </w:tc>
        <w:tc>
          <w:tcPr>
            <w:tcW w:w="993" w:type="dxa"/>
            <w:tcBorders>
              <w:top w:val="single" w:sz="8" w:space="0" w:color="auto"/>
              <w:left w:val="nil"/>
              <w:bottom w:val="nil"/>
              <w:right w:val="nil"/>
            </w:tcBorders>
          </w:tcPr>
          <w:p w:rsidR="00A53D7D" w:rsidRPr="003D2579" w:rsidRDefault="00A53D7D" w:rsidP="005140B4">
            <w:pPr>
              <w:pStyle w:val="OGTableofFigures"/>
              <w:rPr>
                <w:color w:val="000000"/>
                <w:lang w:eastAsia="en-AU"/>
              </w:rPr>
            </w:pPr>
            <w:r w:rsidRPr="003D2579">
              <w:rPr>
                <w:color w:val="000000"/>
                <w:lang w:eastAsia="en-AU"/>
              </w:rPr>
              <w:t>85</w:t>
            </w:r>
          </w:p>
        </w:tc>
        <w:tc>
          <w:tcPr>
            <w:tcW w:w="907" w:type="dxa"/>
            <w:tcBorders>
              <w:top w:val="single" w:sz="8" w:space="0" w:color="auto"/>
              <w:left w:val="nil"/>
              <w:bottom w:val="nil"/>
              <w:right w:val="nil"/>
            </w:tcBorders>
          </w:tcPr>
          <w:p w:rsidR="00A53D7D" w:rsidRPr="003D2579" w:rsidRDefault="00A53D7D" w:rsidP="005140B4">
            <w:pPr>
              <w:pStyle w:val="OGTableofFigures"/>
              <w:rPr>
                <w:color w:val="000000"/>
                <w:lang w:eastAsia="en-AU"/>
              </w:rPr>
            </w:pPr>
            <w:r w:rsidRPr="003D2579">
              <w:rPr>
                <w:color w:val="000000"/>
                <w:lang w:eastAsia="en-AU"/>
              </w:rPr>
              <w:t>85</w:t>
            </w:r>
          </w:p>
        </w:tc>
        <w:tc>
          <w:tcPr>
            <w:tcW w:w="907" w:type="dxa"/>
            <w:tcBorders>
              <w:top w:val="single" w:sz="8" w:space="0" w:color="auto"/>
              <w:left w:val="nil"/>
              <w:bottom w:val="nil"/>
              <w:right w:val="nil"/>
            </w:tcBorders>
          </w:tcPr>
          <w:p w:rsidR="00A53D7D" w:rsidRPr="003D2579" w:rsidRDefault="00A53D7D" w:rsidP="005140B4">
            <w:pPr>
              <w:pStyle w:val="OGTableofFigures"/>
              <w:rPr>
                <w:color w:val="000000"/>
                <w:lang w:eastAsia="en-AU"/>
              </w:rPr>
            </w:pPr>
            <w:r w:rsidRPr="003D2579">
              <w:rPr>
                <w:color w:val="000000"/>
                <w:lang w:eastAsia="en-AU"/>
              </w:rPr>
              <w:t>85</w:t>
            </w:r>
          </w:p>
        </w:tc>
      </w:tr>
      <w:tr w:rsidR="00A53D7D" w:rsidRPr="003D2579" w:rsidTr="005140B4">
        <w:trPr>
          <w:cantSplit/>
        </w:trPr>
        <w:tc>
          <w:tcPr>
            <w:tcW w:w="3155" w:type="dxa"/>
            <w:tcBorders>
              <w:top w:val="single" w:sz="8" w:space="0" w:color="auto"/>
              <w:left w:val="nil"/>
              <w:bottom w:val="nil"/>
              <w:right w:val="nil"/>
            </w:tcBorders>
            <w:vAlign w:val="center"/>
          </w:tcPr>
          <w:p w:rsidR="00A53D7D" w:rsidRPr="003D2579" w:rsidRDefault="00A53D7D" w:rsidP="005140B4">
            <w:pPr>
              <w:pStyle w:val="OGTabText"/>
              <w:rPr>
                <w:color w:val="000000"/>
                <w:lang w:eastAsia="en-AU"/>
              </w:rPr>
            </w:pPr>
            <w:r w:rsidRPr="003D2579">
              <w:rPr>
                <w:color w:val="000000"/>
                <w:lang w:eastAsia="en-AU"/>
              </w:rPr>
              <w:t>Quality of court registry services in Magistrates’ Court</w:t>
            </w:r>
          </w:p>
        </w:tc>
        <w:tc>
          <w:tcPr>
            <w:tcW w:w="907" w:type="dxa"/>
            <w:tcBorders>
              <w:top w:val="single" w:sz="8" w:space="0" w:color="auto"/>
              <w:left w:val="nil"/>
              <w:bottom w:val="nil"/>
              <w:right w:val="nil"/>
            </w:tcBorders>
          </w:tcPr>
          <w:p w:rsidR="00A53D7D" w:rsidRPr="003D2579" w:rsidRDefault="00A53D7D" w:rsidP="005140B4">
            <w:pPr>
              <w:pStyle w:val="OGUoM"/>
              <w:rPr>
                <w:color w:val="000000"/>
                <w:lang w:eastAsia="en-AU"/>
              </w:rPr>
            </w:pPr>
            <w:r w:rsidRPr="003D2579">
              <w:rPr>
                <w:color w:val="000000"/>
                <w:lang w:eastAsia="en-AU"/>
              </w:rPr>
              <w:t>per cent</w:t>
            </w:r>
          </w:p>
        </w:tc>
        <w:tc>
          <w:tcPr>
            <w:tcW w:w="907" w:type="dxa"/>
            <w:tcBorders>
              <w:top w:val="single" w:sz="8" w:space="0" w:color="auto"/>
              <w:left w:val="nil"/>
              <w:bottom w:val="nil"/>
              <w:right w:val="nil"/>
            </w:tcBorders>
            <w:shd w:val="clear" w:color="auto" w:fill="D9D9D9"/>
          </w:tcPr>
          <w:p w:rsidR="00A53D7D" w:rsidRPr="003D2579" w:rsidRDefault="00A53D7D" w:rsidP="005140B4">
            <w:pPr>
              <w:pStyle w:val="OGTableofFigures"/>
              <w:rPr>
                <w:color w:val="000000"/>
                <w:lang w:eastAsia="en-AU"/>
              </w:rPr>
            </w:pPr>
            <w:r w:rsidRPr="003D2579">
              <w:rPr>
                <w:color w:val="000000"/>
                <w:lang w:eastAsia="en-AU"/>
              </w:rPr>
              <w:t>91</w:t>
            </w:r>
          </w:p>
        </w:tc>
        <w:tc>
          <w:tcPr>
            <w:tcW w:w="993" w:type="dxa"/>
            <w:tcBorders>
              <w:top w:val="single" w:sz="8" w:space="0" w:color="auto"/>
              <w:left w:val="nil"/>
              <w:bottom w:val="nil"/>
              <w:right w:val="nil"/>
            </w:tcBorders>
          </w:tcPr>
          <w:p w:rsidR="00A53D7D" w:rsidRPr="003D2579" w:rsidRDefault="00A53D7D" w:rsidP="005140B4">
            <w:pPr>
              <w:pStyle w:val="OGTableofFigures"/>
              <w:rPr>
                <w:color w:val="000000"/>
                <w:lang w:eastAsia="en-AU"/>
              </w:rPr>
            </w:pPr>
            <w:r>
              <w:rPr>
                <w:color w:val="000000"/>
                <w:lang w:eastAsia="en-AU"/>
              </w:rPr>
              <w:t>91</w:t>
            </w:r>
          </w:p>
        </w:tc>
        <w:tc>
          <w:tcPr>
            <w:tcW w:w="907" w:type="dxa"/>
            <w:tcBorders>
              <w:top w:val="single" w:sz="8" w:space="0" w:color="auto"/>
              <w:left w:val="nil"/>
              <w:bottom w:val="nil"/>
              <w:right w:val="nil"/>
            </w:tcBorders>
          </w:tcPr>
          <w:p w:rsidR="00A53D7D" w:rsidRPr="003D2579" w:rsidRDefault="00A53D7D" w:rsidP="005140B4">
            <w:pPr>
              <w:pStyle w:val="OGTableofFigures"/>
              <w:rPr>
                <w:color w:val="000000"/>
                <w:lang w:eastAsia="en-AU"/>
              </w:rPr>
            </w:pPr>
            <w:r w:rsidRPr="003D2579">
              <w:rPr>
                <w:color w:val="000000"/>
                <w:lang w:eastAsia="en-AU"/>
              </w:rPr>
              <w:t>91</w:t>
            </w:r>
          </w:p>
        </w:tc>
        <w:tc>
          <w:tcPr>
            <w:tcW w:w="907" w:type="dxa"/>
            <w:tcBorders>
              <w:top w:val="single" w:sz="8" w:space="0" w:color="auto"/>
              <w:left w:val="nil"/>
              <w:bottom w:val="nil"/>
              <w:right w:val="nil"/>
            </w:tcBorders>
          </w:tcPr>
          <w:p w:rsidR="00A53D7D" w:rsidRPr="003D2579" w:rsidRDefault="00A53D7D" w:rsidP="005140B4">
            <w:pPr>
              <w:pStyle w:val="OGTableofFigures"/>
              <w:rPr>
                <w:color w:val="000000"/>
                <w:lang w:eastAsia="en-AU"/>
              </w:rPr>
            </w:pPr>
            <w:r w:rsidRPr="003D2579">
              <w:rPr>
                <w:color w:val="000000"/>
                <w:lang w:eastAsia="en-AU"/>
              </w:rPr>
              <w:t>90</w:t>
            </w:r>
          </w:p>
        </w:tc>
      </w:tr>
      <w:tr w:rsidR="00A53D7D" w:rsidRPr="003D2579" w:rsidTr="005140B4">
        <w:trPr>
          <w:cantSplit/>
        </w:trPr>
        <w:tc>
          <w:tcPr>
            <w:tcW w:w="3155" w:type="dxa"/>
            <w:tcBorders>
              <w:top w:val="single" w:sz="8" w:space="0" w:color="auto"/>
              <w:left w:val="nil"/>
              <w:right w:val="nil"/>
            </w:tcBorders>
            <w:vAlign w:val="center"/>
          </w:tcPr>
          <w:p w:rsidR="00A53D7D" w:rsidRPr="003D2579" w:rsidRDefault="00A53D7D" w:rsidP="005140B4">
            <w:pPr>
              <w:pStyle w:val="OGTabHead"/>
              <w:rPr>
                <w:lang w:eastAsia="en-AU"/>
              </w:rPr>
            </w:pPr>
            <w:r w:rsidRPr="003D2579">
              <w:rPr>
                <w:iCs/>
                <w:color w:val="000000"/>
                <w:lang w:eastAsia="en-AU"/>
              </w:rPr>
              <w:t>Timeliness</w:t>
            </w:r>
          </w:p>
        </w:tc>
        <w:tc>
          <w:tcPr>
            <w:tcW w:w="907" w:type="dxa"/>
            <w:tcBorders>
              <w:top w:val="single" w:sz="8" w:space="0" w:color="auto"/>
              <w:left w:val="nil"/>
              <w:right w:val="nil"/>
            </w:tcBorders>
            <w:vAlign w:val="center"/>
          </w:tcPr>
          <w:p w:rsidR="00A53D7D" w:rsidRPr="003D2579" w:rsidRDefault="00A53D7D" w:rsidP="005140B4">
            <w:pPr>
              <w:pStyle w:val="OGUoM"/>
              <w:rPr>
                <w:color w:val="000000"/>
                <w:lang w:eastAsia="en-AU"/>
              </w:rPr>
            </w:pPr>
          </w:p>
        </w:tc>
        <w:tc>
          <w:tcPr>
            <w:tcW w:w="907" w:type="dxa"/>
            <w:tcBorders>
              <w:top w:val="single" w:sz="8" w:space="0" w:color="auto"/>
              <w:left w:val="nil"/>
              <w:right w:val="nil"/>
            </w:tcBorders>
            <w:shd w:val="clear" w:color="auto" w:fill="D9D9D9"/>
          </w:tcPr>
          <w:p w:rsidR="00A53D7D" w:rsidRPr="003D2579" w:rsidRDefault="00A53D7D" w:rsidP="005140B4">
            <w:pPr>
              <w:pStyle w:val="OGTableofFigures"/>
              <w:rPr>
                <w:color w:val="000000"/>
                <w:lang w:eastAsia="en-AU"/>
              </w:rPr>
            </w:pPr>
          </w:p>
        </w:tc>
        <w:tc>
          <w:tcPr>
            <w:tcW w:w="993" w:type="dxa"/>
            <w:tcBorders>
              <w:top w:val="single" w:sz="8" w:space="0" w:color="auto"/>
              <w:left w:val="nil"/>
              <w:right w:val="nil"/>
            </w:tcBorders>
          </w:tcPr>
          <w:p w:rsidR="00A53D7D" w:rsidRPr="003D2579" w:rsidRDefault="00A53D7D" w:rsidP="005140B4">
            <w:pPr>
              <w:pStyle w:val="OGTableofFigures"/>
              <w:rPr>
                <w:color w:val="000000"/>
                <w:lang w:eastAsia="en-AU"/>
              </w:rPr>
            </w:pPr>
          </w:p>
        </w:tc>
        <w:tc>
          <w:tcPr>
            <w:tcW w:w="907" w:type="dxa"/>
            <w:tcBorders>
              <w:top w:val="single" w:sz="8" w:space="0" w:color="auto"/>
              <w:left w:val="nil"/>
              <w:right w:val="nil"/>
            </w:tcBorders>
          </w:tcPr>
          <w:p w:rsidR="00A53D7D" w:rsidRPr="003D2579" w:rsidRDefault="00A53D7D" w:rsidP="005140B4">
            <w:pPr>
              <w:pStyle w:val="OGTableofFigures"/>
              <w:rPr>
                <w:color w:val="000000"/>
                <w:lang w:eastAsia="en-AU"/>
              </w:rPr>
            </w:pPr>
          </w:p>
        </w:tc>
        <w:tc>
          <w:tcPr>
            <w:tcW w:w="907" w:type="dxa"/>
            <w:tcBorders>
              <w:top w:val="single" w:sz="8" w:space="0" w:color="auto"/>
              <w:left w:val="nil"/>
              <w:right w:val="nil"/>
            </w:tcBorders>
          </w:tcPr>
          <w:p w:rsidR="00A53D7D" w:rsidRPr="003D2579" w:rsidRDefault="00A53D7D" w:rsidP="005140B4">
            <w:pPr>
              <w:pStyle w:val="OGTableofFigures"/>
              <w:rPr>
                <w:color w:val="000000"/>
                <w:lang w:eastAsia="en-AU"/>
              </w:rPr>
            </w:pPr>
          </w:p>
        </w:tc>
      </w:tr>
      <w:tr w:rsidR="00A53D7D" w:rsidRPr="003D2579" w:rsidTr="005140B4">
        <w:trPr>
          <w:cantSplit/>
        </w:trPr>
        <w:tc>
          <w:tcPr>
            <w:tcW w:w="3155" w:type="dxa"/>
            <w:tcBorders>
              <w:top w:val="nil"/>
              <w:left w:val="nil"/>
              <w:right w:val="nil"/>
            </w:tcBorders>
            <w:vAlign w:val="center"/>
          </w:tcPr>
          <w:p w:rsidR="00A53D7D" w:rsidRPr="003D2579" w:rsidRDefault="00A53D7D" w:rsidP="005140B4">
            <w:pPr>
              <w:pStyle w:val="OGTabText"/>
              <w:rPr>
                <w:color w:val="000000"/>
                <w:lang w:eastAsia="en-AU"/>
              </w:rPr>
            </w:pPr>
            <w:r w:rsidRPr="003D2579">
              <w:rPr>
                <w:color w:val="000000"/>
                <w:lang w:eastAsia="en-AU"/>
              </w:rPr>
              <w:t>Criminal matters disposed within agreed timeframes in the Supreme Court</w:t>
            </w:r>
          </w:p>
        </w:tc>
        <w:tc>
          <w:tcPr>
            <w:tcW w:w="907" w:type="dxa"/>
            <w:tcBorders>
              <w:top w:val="nil"/>
              <w:left w:val="nil"/>
              <w:right w:val="nil"/>
            </w:tcBorders>
          </w:tcPr>
          <w:p w:rsidR="00A53D7D" w:rsidRPr="003D2579" w:rsidRDefault="00A53D7D" w:rsidP="005140B4">
            <w:pPr>
              <w:pStyle w:val="OGUoM"/>
              <w:rPr>
                <w:color w:val="000000"/>
                <w:lang w:eastAsia="en-AU"/>
              </w:rPr>
            </w:pPr>
            <w:r w:rsidRPr="003D2579">
              <w:rPr>
                <w:color w:val="000000"/>
                <w:lang w:eastAsia="en-AU"/>
              </w:rPr>
              <w:t>per cent</w:t>
            </w:r>
          </w:p>
        </w:tc>
        <w:tc>
          <w:tcPr>
            <w:tcW w:w="907" w:type="dxa"/>
            <w:tcBorders>
              <w:top w:val="nil"/>
              <w:left w:val="nil"/>
              <w:right w:val="nil"/>
            </w:tcBorders>
            <w:shd w:val="clear" w:color="auto" w:fill="D9D9D9"/>
          </w:tcPr>
          <w:p w:rsidR="00A53D7D" w:rsidRPr="003D2579" w:rsidRDefault="00A53D7D" w:rsidP="005140B4">
            <w:pPr>
              <w:pStyle w:val="OGTableofFigures"/>
              <w:rPr>
                <w:color w:val="000000"/>
                <w:lang w:eastAsia="en-AU"/>
              </w:rPr>
            </w:pPr>
            <w:r>
              <w:rPr>
                <w:color w:val="000000"/>
                <w:lang w:eastAsia="en-AU"/>
              </w:rPr>
              <w:t>75</w:t>
            </w:r>
          </w:p>
        </w:tc>
        <w:tc>
          <w:tcPr>
            <w:tcW w:w="993" w:type="dxa"/>
            <w:tcBorders>
              <w:top w:val="nil"/>
              <w:left w:val="nil"/>
              <w:right w:val="nil"/>
            </w:tcBorders>
          </w:tcPr>
          <w:p w:rsidR="00A53D7D" w:rsidRPr="003D2579" w:rsidRDefault="00A53D7D" w:rsidP="005140B4">
            <w:pPr>
              <w:pStyle w:val="OGTableofFigures"/>
              <w:rPr>
                <w:color w:val="000000"/>
                <w:lang w:eastAsia="en-AU"/>
              </w:rPr>
            </w:pPr>
            <w:r>
              <w:rPr>
                <w:color w:val="000000"/>
                <w:lang w:eastAsia="en-AU"/>
              </w:rPr>
              <w:t>75</w:t>
            </w:r>
          </w:p>
        </w:tc>
        <w:tc>
          <w:tcPr>
            <w:tcW w:w="907" w:type="dxa"/>
            <w:tcBorders>
              <w:top w:val="nil"/>
              <w:left w:val="nil"/>
              <w:right w:val="nil"/>
            </w:tcBorders>
          </w:tcPr>
          <w:p w:rsidR="00A53D7D" w:rsidRPr="003D2579" w:rsidRDefault="00A53D7D" w:rsidP="005140B4">
            <w:pPr>
              <w:pStyle w:val="OGTableofFigures"/>
              <w:rPr>
                <w:color w:val="000000"/>
                <w:lang w:eastAsia="en-AU"/>
              </w:rPr>
            </w:pPr>
            <w:r>
              <w:rPr>
                <w:color w:val="000000"/>
                <w:lang w:eastAsia="en-AU"/>
              </w:rPr>
              <w:t>70</w:t>
            </w:r>
          </w:p>
        </w:tc>
        <w:tc>
          <w:tcPr>
            <w:tcW w:w="907" w:type="dxa"/>
            <w:tcBorders>
              <w:top w:val="nil"/>
              <w:left w:val="nil"/>
              <w:right w:val="nil"/>
            </w:tcBorders>
          </w:tcPr>
          <w:p w:rsidR="00A53D7D" w:rsidRPr="003D2579" w:rsidRDefault="00A53D7D" w:rsidP="005140B4">
            <w:pPr>
              <w:pStyle w:val="OGTableofFigures"/>
              <w:rPr>
                <w:color w:val="000000"/>
                <w:lang w:eastAsia="en-AU"/>
              </w:rPr>
            </w:pPr>
            <w:r>
              <w:t>92</w:t>
            </w:r>
          </w:p>
        </w:tc>
      </w:tr>
      <w:tr w:rsidR="00A53D7D" w:rsidRPr="003D2579" w:rsidTr="005140B4">
        <w:trPr>
          <w:cantSplit/>
        </w:trPr>
        <w:tc>
          <w:tcPr>
            <w:tcW w:w="7776" w:type="dxa"/>
            <w:gridSpan w:val="6"/>
            <w:tcBorders>
              <w:left w:val="nil"/>
              <w:bottom w:val="single" w:sz="8" w:space="0" w:color="auto"/>
              <w:right w:val="nil"/>
            </w:tcBorders>
            <w:vAlign w:val="center"/>
          </w:tcPr>
          <w:p w:rsidR="00A53D7D" w:rsidRDefault="00A53D7D" w:rsidP="005140B4">
            <w:pPr>
              <w:pStyle w:val="OGNotes"/>
            </w:pPr>
            <w:r>
              <w:t>The 2013</w:t>
            </w:r>
            <w:r>
              <w:noBreakHyphen/>
              <w:t>14 expected outcome and 2014</w:t>
            </w:r>
            <w:r>
              <w:noBreakHyphen/>
              <w:t>15 estimate are higher than the 2013</w:t>
            </w:r>
            <w:r>
              <w:noBreakHyphen/>
              <w:t>14 estimate due to improvements in the case management of criminal trials in the Supreme Court.</w:t>
            </w:r>
          </w:p>
        </w:tc>
      </w:tr>
      <w:tr w:rsidR="00A53D7D" w:rsidRPr="003D2579" w:rsidTr="005140B4">
        <w:trPr>
          <w:cantSplit/>
        </w:trPr>
        <w:tc>
          <w:tcPr>
            <w:tcW w:w="3155" w:type="dxa"/>
            <w:tcBorders>
              <w:top w:val="single" w:sz="8" w:space="0" w:color="auto"/>
              <w:left w:val="nil"/>
              <w:bottom w:val="single" w:sz="8" w:space="0" w:color="auto"/>
              <w:right w:val="nil"/>
            </w:tcBorders>
            <w:vAlign w:val="center"/>
          </w:tcPr>
          <w:p w:rsidR="00A53D7D" w:rsidRPr="003D2579" w:rsidRDefault="00A53D7D" w:rsidP="005140B4">
            <w:pPr>
              <w:pStyle w:val="OGTabText"/>
              <w:rPr>
                <w:color w:val="000000"/>
                <w:lang w:eastAsia="en-AU"/>
              </w:rPr>
            </w:pPr>
            <w:r w:rsidRPr="003D2579">
              <w:rPr>
                <w:color w:val="000000"/>
                <w:lang w:eastAsia="en-AU"/>
              </w:rPr>
              <w:t>Criminal matters disposed within agreed timeframes in the County Court</w:t>
            </w:r>
          </w:p>
        </w:tc>
        <w:tc>
          <w:tcPr>
            <w:tcW w:w="907" w:type="dxa"/>
            <w:tcBorders>
              <w:top w:val="single" w:sz="8" w:space="0" w:color="auto"/>
              <w:left w:val="nil"/>
              <w:bottom w:val="single" w:sz="8" w:space="0" w:color="auto"/>
              <w:right w:val="nil"/>
            </w:tcBorders>
          </w:tcPr>
          <w:p w:rsidR="00A53D7D" w:rsidRPr="003D2579" w:rsidRDefault="00A53D7D" w:rsidP="005140B4">
            <w:pPr>
              <w:pStyle w:val="OGUoM"/>
              <w:rPr>
                <w:color w:val="000000"/>
                <w:lang w:eastAsia="en-AU"/>
              </w:rPr>
            </w:pPr>
            <w:r w:rsidRPr="003D2579">
              <w:rPr>
                <w:color w:val="000000"/>
                <w:lang w:eastAsia="en-AU"/>
              </w:rPr>
              <w:t>per cent</w:t>
            </w:r>
          </w:p>
        </w:tc>
        <w:tc>
          <w:tcPr>
            <w:tcW w:w="907" w:type="dxa"/>
            <w:tcBorders>
              <w:top w:val="single" w:sz="8" w:space="0" w:color="auto"/>
              <w:left w:val="nil"/>
              <w:bottom w:val="single" w:sz="8" w:space="0" w:color="auto"/>
              <w:right w:val="nil"/>
            </w:tcBorders>
            <w:shd w:val="clear" w:color="auto" w:fill="D9D9D9"/>
          </w:tcPr>
          <w:p w:rsidR="00A53D7D" w:rsidRPr="003D2579" w:rsidRDefault="00A53D7D" w:rsidP="005140B4">
            <w:pPr>
              <w:pStyle w:val="OGTableofFigures"/>
              <w:rPr>
                <w:color w:val="000000"/>
                <w:lang w:eastAsia="en-AU"/>
              </w:rPr>
            </w:pPr>
            <w:r w:rsidRPr="003D2579">
              <w:rPr>
                <w:color w:val="000000"/>
                <w:lang w:eastAsia="en-AU"/>
              </w:rPr>
              <w:t>85</w:t>
            </w:r>
          </w:p>
        </w:tc>
        <w:tc>
          <w:tcPr>
            <w:tcW w:w="993" w:type="dxa"/>
            <w:tcBorders>
              <w:top w:val="single" w:sz="8" w:space="0" w:color="auto"/>
              <w:left w:val="nil"/>
              <w:bottom w:val="single" w:sz="8" w:space="0" w:color="auto"/>
              <w:right w:val="nil"/>
            </w:tcBorders>
          </w:tcPr>
          <w:p w:rsidR="00A53D7D" w:rsidRPr="003D2579" w:rsidRDefault="00A53D7D" w:rsidP="005140B4">
            <w:pPr>
              <w:pStyle w:val="OGTableofFigures"/>
              <w:rPr>
                <w:color w:val="000000"/>
                <w:lang w:eastAsia="en-AU"/>
              </w:rPr>
            </w:pPr>
            <w:r>
              <w:rPr>
                <w:color w:val="000000"/>
                <w:lang w:eastAsia="en-AU"/>
              </w:rPr>
              <w:t>88</w:t>
            </w:r>
          </w:p>
        </w:tc>
        <w:tc>
          <w:tcPr>
            <w:tcW w:w="907" w:type="dxa"/>
            <w:tcBorders>
              <w:top w:val="single" w:sz="8" w:space="0" w:color="auto"/>
              <w:left w:val="nil"/>
              <w:bottom w:val="single" w:sz="8" w:space="0" w:color="auto"/>
              <w:right w:val="nil"/>
            </w:tcBorders>
          </w:tcPr>
          <w:p w:rsidR="00A53D7D" w:rsidRPr="003D2579" w:rsidRDefault="00A53D7D" w:rsidP="005140B4">
            <w:pPr>
              <w:pStyle w:val="OGTableofFigures"/>
              <w:rPr>
                <w:color w:val="000000"/>
                <w:lang w:eastAsia="en-AU"/>
              </w:rPr>
            </w:pPr>
            <w:r w:rsidRPr="003D2579">
              <w:rPr>
                <w:color w:val="000000"/>
                <w:lang w:eastAsia="en-AU"/>
              </w:rPr>
              <w:t>85</w:t>
            </w:r>
          </w:p>
        </w:tc>
        <w:tc>
          <w:tcPr>
            <w:tcW w:w="907" w:type="dxa"/>
            <w:tcBorders>
              <w:top w:val="single" w:sz="8" w:space="0" w:color="auto"/>
              <w:left w:val="nil"/>
              <w:bottom w:val="single" w:sz="8" w:space="0" w:color="auto"/>
              <w:right w:val="nil"/>
            </w:tcBorders>
          </w:tcPr>
          <w:p w:rsidR="00A53D7D" w:rsidRPr="003D2579" w:rsidRDefault="00A53D7D" w:rsidP="005140B4">
            <w:pPr>
              <w:pStyle w:val="OGTableofFigures"/>
              <w:rPr>
                <w:color w:val="000000"/>
                <w:lang w:eastAsia="en-AU"/>
              </w:rPr>
            </w:pPr>
            <w:r w:rsidRPr="003D2579">
              <w:rPr>
                <w:color w:val="000000"/>
                <w:lang w:eastAsia="en-AU"/>
              </w:rPr>
              <w:t>86</w:t>
            </w:r>
          </w:p>
        </w:tc>
      </w:tr>
      <w:tr w:rsidR="00A53D7D" w:rsidRPr="003D2579" w:rsidTr="005140B4">
        <w:trPr>
          <w:cantSplit/>
        </w:trPr>
        <w:tc>
          <w:tcPr>
            <w:tcW w:w="3155" w:type="dxa"/>
            <w:tcBorders>
              <w:top w:val="single" w:sz="8" w:space="0" w:color="auto"/>
              <w:left w:val="nil"/>
              <w:bottom w:val="single" w:sz="8" w:space="0" w:color="auto"/>
              <w:right w:val="nil"/>
            </w:tcBorders>
            <w:vAlign w:val="center"/>
          </w:tcPr>
          <w:p w:rsidR="00A53D7D" w:rsidRPr="003D2579" w:rsidRDefault="00A53D7D" w:rsidP="005140B4">
            <w:pPr>
              <w:pStyle w:val="OGTabText"/>
              <w:rPr>
                <w:color w:val="000000"/>
                <w:lang w:eastAsia="en-AU"/>
              </w:rPr>
            </w:pPr>
            <w:r w:rsidRPr="003D2579">
              <w:rPr>
                <w:color w:val="000000"/>
                <w:lang w:eastAsia="en-AU"/>
              </w:rPr>
              <w:t>Criminal matters disposed within agreed timeframes in the Magistrates’ Court</w:t>
            </w:r>
          </w:p>
        </w:tc>
        <w:tc>
          <w:tcPr>
            <w:tcW w:w="907" w:type="dxa"/>
            <w:tcBorders>
              <w:top w:val="single" w:sz="8" w:space="0" w:color="auto"/>
              <w:left w:val="nil"/>
              <w:bottom w:val="single" w:sz="8" w:space="0" w:color="auto"/>
              <w:right w:val="nil"/>
            </w:tcBorders>
          </w:tcPr>
          <w:p w:rsidR="00A53D7D" w:rsidRPr="003D2579" w:rsidRDefault="00A53D7D" w:rsidP="005140B4">
            <w:pPr>
              <w:pStyle w:val="OGUoM"/>
              <w:rPr>
                <w:color w:val="000000"/>
                <w:lang w:eastAsia="en-AU"/>
              </w:rPr>
            </w:pPr>
            <w:r w:rsidRPr="003D2579">
              <w:rPr>
                <w:color w:val="000000"/>
                <w:lang w:eastAsia="en-AU"/>
              </w:rPr>
              <w:t>per cent</w:t>
            </w:r>
          </w:p>
        </w:tc>
        <w:tc>
          <w:tcPr>
            <w:tcW w:w="907" w:type="dxa"/>
            <w:tcBorders>
              <w:top w:val="single" w:sz="8" w:space="0" w:color="auto"/>
              <w:left w:val="nil"/>
              <w:bottom w:val="single" w:sz="8" w:space="0" w:color="auto"/>
              <w:right w:val="nil"/>
            </w:tcBorders>
            <w:shd w:val="clear" w:color="auto" w:fill="D9D9D9"/>
          </w:tcPr>
          <w:p w:rsidR="00A53D7D" w:rsidRPr="003D2579" w:rsidRDefault="00A53D7D" w:rsidP="005140B4">
            <w:pPr>
              <w:pStyle w:val="OGTableofFigures"/>
              <w:rPr>
                <w:color w:val="000000"/>
                <w:lang w:eastAsia="en-AU"/>
              </w:rPr>
            </w:pPr>
            <w:r w:rsidRPr="003D2579">
              <w:rPr>
                <w:color w:val="000000"/>
                <w:lang w:eastAsia="en-AU"/>
              </w:rPr>
              <w:t>85</w:t>
            </w:r>
          </w:p>
        </w:tc>
        <w:tc>
          <w:tcPr>
            <w:tcW w:w="993" w:type="dxa"/>
            <w:tcBorders>
              <w:top w:val="single" w:sz="8" w:space="0" w:color="auto"/>
              <w:left w:val="nil"/>
              <w:bottom w:val="single" w:sz="8" w:space="0" w:color="auto"/>
              <w:right w:val="nil"/>
            </w:tcBorders>
          </w:tcPr>
          <w:p w:rsidR="00A53D7D" w:rsidRPr="003D2579" w:rsidRDefault="00A53D7D" w:rsidP="005140B4">
            <w:pPr>
              <w:pStyle w:val="OGTableofFigures"/>
              <w:rPr>
                <w:color w:val="000000"/>
                <w:lang w:eastAsia="en-AU"/>
              </w:rPr>
            </w:pPr>
            <w:r>
              <w:rPr>
                <w:color w:val="000000"/>
                <w:lang w:eastAsia="en-AU"/>
              </w:rPr>
              <w:t>85</w:t>
            </w:r>
          </w:p>
        </w:tc>
        <w:tc>
          <w:tcPr>
            <w:tcW w:w="907" w:type="dxa"/>
            <w:tcBorders>
              <w:top w:val="single" w:sz="8" w:space="0" w:color="auto"/>
              <w:left w:val="nil"/>
              <w:bottom w:val="single" w:sz="8" w:space="0" w:color="auto"/>
              <w:right w:val="nil"/>
            </w:tcBorders>
          </w:tcPr>
          <w:p w:rsidR="00A53D7D" w:rsidRPr="003D2579" w:rsidRDefault="00A53D7D" w:rsidP="005140B4">
            <w:pPr>
              <w:pStyle w:val="OGTableofFigures"/>
              <w:rPr>
                <w:color w:val="000000"/>
                <w:lang w:eastAsia="en-AU"/>
              </w:rPr>
            </w:pPr>
            <w:r w:rsidRPr="003D2579">
              <w:rPr>
                <w:color w:val="000000"/>
                <w:lang w:eastAsia="en-AU"/>
              </w:rPr>
              <w:t>85</w:t>
            </w:r>
          </w:p>
        </w:tc>
        <w:tc>
          <w:tcPr>
            <w:tcW w:w="907" w:type="dxa"/>
            <w:tcBorders>
              <w:top w:val="single" w:sz="8" w:space="0" w:color="auto"/>
              <w:left w:val="nil"/>
              <w:bottom w:val="single" w:sz="8" w:space="0" w:color="auto"/>
              <w:right w:val="nil"/>
            </w:tcBorders>
          </w:tcPr>
          <w:p w:rsidR="00A53D7D" w:rsidRPr="003D2579" w:rsidRDefault="00A53D7D" w:rsidP="005140B4">
            <w:pPr>
              <w:pStyle w:val="OGTableofFigures"/>
              <w:rPr>
                <w:color w:val="000000"/>
                <w:lang w:eastAsia="en-AU"/>
              </w:rPr>
            </w:pPr>
            <w:r w:rsidRPr="003D2579">
              <w:rPr>
                <w:color w:val="000000"/>
                <w:lang w:eastAsia="en-AU"/>
              </w:rPr>
              <w:t>88.1</w:t>
            </w:r>
          </w:p>
        </w:tc>
      </w:tr>
      <w:tr w:rsidR="00A53D7D" w:rsidRPr="003D2579" w:rsidTr="005140B4">
        <w:trPr>
          <w:cantSplit/>
        </w:trPr>
        <w:tc>
          <w:tcPr>
            <w:tcW w:w="3155" w:type="dxa"/>
            <w:tcBorders>
              <w:top w:val="single" w:sz="8" w:space="0" w:color="auto"/>
              <w:left w:val="nil"/>
              <w:bottom w:val="single" w:sz="6" w:space="0" w:color="auto"/>
              <w:right w:val="nil"/>
            </w:tcBorders>
            <w:vAlign w:val="center"/>
          </w:tcPr>
          <w:p w:rsidR="00A53D7D" w:rsidRPr="003D2579" w:rsidRDefault="00A53D7D" w:rsidP="005140B4">
            <w:pPr>
              <w:pStyle w:val="OGTabText"/>
              <w:rPr>
                <w:color w:val="000000"/>
                <w:lang w:eastAsia="en-AU"/>
              </w:rPr>
            </w:pPr>
            <w:r w:rsidRPr="003D2579">
              <w:rPr>
                <w:color w:val="000000"/>
                <w:lang w:eastAsia="en-AU"/>
              </w:rPr>
              <w:t>Criminal matters disposed within agreed timeframes in the Children’s Court</w:t>
            </w:r>
          </w:p>
        </w:tc>
        <w:tc>
          <w:tcPr>
            <w:tcW w:w="907" w:type="dxa"/>
            <w:tcBorders>
              <w:top w:val="single" w:sz="8" w:space="0" w:color="auto"/>
              <w:left w:val="nil"/>
              <w:bottom w:val="single" w:sz="6" w:space="0" w:color="auto"/>
              <w:right w:val="nil"/>
            </w:tcBorders>
          </w:tcPr>
          <w:p w:rsidR="00A53D7D" w:rsidRPr="003D2579" w:rsidRDefault="00A53D7D" w:rsidP="005140B4">
            <w:pPr>
              <w:pStyle w:val="OGUoM"/>
              <w:rPr>
                <w:color w:val="000000"/>
                <w:lang w:eastAsia="en-AU"/>
              </w:rPr>
            </w:pPr>
            <w:r w:rsidRPr="003D2579">
              <w:rPr>
                <w:color w:val="000000"/>
                <w:lang w:eastAsia="en-AU"/>
              </w:rPr>
              <w:t>per cent</w:t>
            </w:r>
          </w:p>
        </w:tc>
        <w:tc>
          <w:tcPr>
            <w:tcW w:w="907" w:type="dxa"/>
            <w:tcBorders>
              <w:top w:val="single" w:sz="8" w:space="0" w:color="auto"/>
              <w:left w:val="nil"/>
              <w:bottom w:val="single" w:sz="6" w:space="0" w:color="auto"/>
              <w:right w:val="nil"/>
            </w:tcBorders>
            <w:shd w:val="clear" w:color="auto" w:fill="D9D9D9"/>
          </w:tcPr>
          <w:p w:rsidR="00A53D7D" w:rsidRPr="003D2579" w:rsidRDefault="00A53D7D" w:rsidP="005140B4">
            <w:pPr>
              <w:pStyle w:val="OGTableofFigures"/>
              <w:rPr>
                <w:color w:val="000000"/>
                <w:lang w:eastAsia="en-AU"/>
              </w:rPr>
            </w:pPr>
            <w:r w:rsidRPr="003D2579">
              <w:rPr>
                <w:color w:val="000000"/>
                <w:lang w:eastAsia="en-AU"/>
              </w:rPr>
              <w:t>90</w:t>
            </w:r>
          </w:p>
        </w:tc>
        <w:tc>
          <w:tcPr>
            <w:tcW w:w="993" w:type="dxa"/>
            <w:tcBorders>
              <w:top w:val="single" w:sz="8" w:space="0" w:color="auto"/>
              <w:left w:val="nil"/>
              <w:bottom w:val="single" w:sz="6" w:space="0" w:color="auto"/>
              <w:right w:val="nil"/>
            </w:tcBorders>
          </w:tcPr>
          <w:p w:rsidR="00A53D7D" w:rsidRPr="003D2579" w:rsidRDefault="00A53D7D" w:rsidP="005140B4">
            <w:pPr>
              <w:pStyle w:val="OGTableofFigures"/>
              <w:rPr>
                <w:color w:val="000000"/>
                <w:lang w:eastAsia="en-AU"/>
              </w:rPr>
            </w:pPr>
            <w:r>
              <w:rPr>
                <w:color w:val="000000"/>
                <w:lang w:eastAsia="en-AU"/>
              </w:rPr>
              <w:t>90</w:t>
            </w:r>
          </w:p>
        </w:tc>
        <w:tc>
          <w:tcPr>
            <w:tcW w:w="907" w:type="dxa"/>
            <w:tcBorders>
              <w:top w:val="single" w:sz="8" w:space="0" w:color="auto"/>
              <w:left w:val="nil"/>
              <w:bottom w:val="single" w:sz="6" w:space="0" w:color="auto"/>
              <w:right w:val="nil"/>
            </w:tcBorders>
          </w:tcPr>
          <w:p w:rsidR="00A53D7D" w:rsidRPr="003D2579" w:rsidRDefault="00A53D7D" w:rsidP="005140B4">
            <w:pPr>
              <w:pStyle w:val="OGTableofFigures"/>
              <w:rPr>
                <w:color w:val="000000"/>
                <w:lang w:eastAsia="en-AU"/>
              </w:rPr>
            </w:pPr>
            <w:r w:rsidRPr="003D2579">
              <w:rPr>
                <w:color w:val="000000"/>
                <w:lang w:eastAsia="en-AU"/>
              </w:rPr>
              <w:t>90</w:t>
            </w:r>
          </w:p>
        </w:tc>
        <w:tc>
          <w:tcPr>
            <w:tcW w:w="907" w:type="dxa"/>
            <w:tcBorders>
              <w:top w:val="single" w:sz="8" w:space="0" w:color="auto"/>
              <w:left w:val="nil"/>
              <w:bottom w:val="single" w:sz="6" w:space="0" w:color="auto"/>
              <w:right w:val="nil"/>
            </w:tcBorders>
          </w:tcPr>
          <w:p w:rsidR="00A53D7D" w:rsidRPr="003D2579" w:rsidRDefault="00A53D7D" w:rsidP="005140B4">
            <w:pPr>
              <w:pStyle w:val="OGTableofFigures"/>
              <w:rPr>
                <w:color w:val="000000"/>
                <w:lang w:eastAsia="en-AU"/>
              </w:rPr>
            </w:pPr>
            <w:r w:rsidRPr="003D2579">
              <w:rPr>
                <w:color w:val="000000"/>
                <w:lang w:eastAsia="en-AU"/>
              </w:rPr>
              <w:t>93</w:t>
            </w:r>
          </w:p>
        </w:tc>
      </w:tr>
      <w:tr w:rsidR="00A53D7D" w:rsidRPr="003D2579" w:rsidTr="005140B4">
        <w:trPr>
          <w:cantSplit/>
        </w:trPr>
        <w:tc>
          <w:tcPr>
            <w:tcW w:w="3155" w:type="dxa"/>
            <w:tcBorders>
              <w:top w:val="single" w:sz="6" w:space="0" w:color="auto"/>
              <w:left w:val="nil"/>
              <w:bottom w:val="single" w:sz="6" w:space="0" w:color="auto"/>
              <w:right w:val="nil"/>
            </w:tcBorders>
            <w:vAlign w:val="center"/>
          </w:tcPr>
          <w:p w:rsidR="00A53D7D" w:rsidRPr="003D2579" w:rsidRDefault="00A53D7D" w:rsidP="005140B4">
            <w:pPr>
              <w:pStyle w:val="OGTabText"/>
              <w:rPr>
                <w:color w:val="000000"/>
                <w:lang w:eastAsia="en-AU"/>
              </w:rPr>
            </w:pPr>
            <w:r w:rsidRPr="003D2579">
              <w:rPr>
                <w:color w:val="000000"/>
                <w:lang w:eastAsia="en-AU"/>
              </w:rPr>
              <w:t>Civil matters disposed within agreed timeframes in the Supreme Court</w:t>
            </w:r>
          </w:p>
        </w:tc>
        <w:tc>
          <w:tcPr>
            <w:tcW w:w="907" w:type="dxa"/>
            <w:tcBorders>
              <w:top w:val="single" w:sz="6" w:space="0" w:color="auto"/>
              <w:left w:val="nil"/>
              <w:bottom w:val="single" w:sz="6" w:space="0" w:color="auto"/>
              <w:right w:val="nil"/>
            </w:tcBorders>
          </w:tcPr>
          <w:p w:rsidR="00A53D7D" w:rsidRPr="003D2579" w:rsidRDefault="00A53D7D" w:rsidP="005140B4">
            <w:pPr>
              <w:pStyle w:val="OGUoM"/>
              <w:rPr>
                <w:color w:val="000000"/>
                <w:lang w:eastAsia="en-AU"/>
              </w:rPr>
            </w:pPr>
            <w:r w:rsidRPr="003D2579">
              <w:rPr>
                <w:color w:val="000000"/>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3D2579" w:rsidRDefault="00A53D7D" w:rsidP="005140B4">
            <w:pPr>
              <w:pStyle w:val="OGTableofFigures"/>
              <w:rPr>
                <w:color w:val="000000"/>
                <w:lang w:eastAsia="en-AU"/>
              </w:rPr>
            </w:pPr>
            <w:r>
              <w:rPr>
                <w:color w:val="000000"/>
                <w:lang w:eastAsia="en-AU"/>
              </w:rPr>
              <w:t>80</w:t>
            </w:r>
          </w:p>
        </w:tc>
        <w:tc>
          <w:tcPr>
            <w:tcW w:w="993" w:type="dxa"/>
            <w:tcBorders>
              <w:top w:val="single" w:sz="6" w:space="0" w:color="auto"/>
              <w:left w:val="nil"/>
              <w:bottom w:val="single" w:sz="6" w:space="0" w:color="auto"/>
              <w:right w:val="nil"/>
            </w:tcBorders>
          </w:tcPr>
          <w:p w:rsidR="00A53D7D" w:rsidRPr="003D2579" w:rsidRDefault="00A53D7D" w:rsidP="005140B4">
            <w:pPr>
              <w:pStyle w:val="OGTableofFigures"/>
              <w:rPr>
                <w:color w:val="000000"/>
                <w:lang w:eastAsia="en-AU"/>
              </w:rPr>
            </w:pPr>
            <w:r>
              <w:rPr>
                <w:color w:val="000000"/>
                <w:lang w:eastAsia="en-AU"/>
              </w:rPr>
              <w:t>80</w:t>
            </w:r>
          </w:p>
        </w:tc>
        <w:tc>
          <w:tcPr>
            <w:tcW w:w="907" w:type="dxa"/>
            <w:tcBorders>
              <w:top w:val="single" w:sz="6" w:space="0" w:color="auto"/>
              <w:left w:val="nil"/>
              <w:bottom w:val="single" w:sz="6" w:space="0" w:color="auto"/>
              <w:right w:val="nil"/>
            </w:tcBorders>
          </w:tcPr>
          <w:p w:rsidR="00A53D7D" w:rsidRPr="003D2579" w:rsidRDefault="00A53D7D" w:rsidP="005140B4">
            <w:pPr>
              <w:pStyle w:val="OGTableofFigures"/>
              <w:rPr>
                <w:color w:val="000000"/>
                <w:lang w:eastAsia="en-AU"/>
              </w:rPr>
            </w:pPr>
            <w:r w:rsidRPr="003D2579">
              <w:rPr>
                <w:color w:val="000000"/>
                <w:lang w:eastAsia="en-AU"/>
              </w:rPr>
              <w:t>80</w:t>
            </w:r>
          </w:p>
        </w:tc>
        <w:tc>
          <w:tcPr>
            <w:tcW w:w="907" w:type="dxa"/>
            <w:tcBorders>
              <w:top w:val="single" w:sz="6" w:space="0" w:color="auto"/>
              <w:left w:val="nil"/>
              <w:bottom w:val="single" w:sz="6" w:space="0" w:color="auto"/>
              <w:right w:val="nil"/>
            </w:tcBorders>
          </w:tcPr>
          <w:p w:rsidR="00A53D7D" w:rsidRPr="003D2579" w:rsidRDefault="00A53D7D" w:rsidP="005140B4">
            <w:pPr>
              <w:pStyle w:val="OGTableofFigures"/>
              <w:rPr>
                <w:color w:val="000000"/>
                <w:lang w:eastAsia="en-AU"/>
              </w:rPr>
            </w:pPr>
            <w:r>
              <w:rPr>
                <w:color w:val="000000"/>
                <w:lang w:eastAsia="en-AU"/>
              </w:rPr>
              <w:t>80</w:t>
            </w:r>
          </w:p>
        </w:tc>
      </w:tr>
      <w:tr w:rsidR="00A53D7D" w:rsidRPr="003D2579" w:rsidTr="005140B4">
        <w:trPr>
          <w:cantSplit/>
        </w:trPr>
        <w:tc>
          <w:tcPr>
            <w:tcW w:w="3155" w:type="dxa"/>
            <w:tcBorders>
              <w:top w:val="single" w:sz="6" w:space="0" w:color="auto"/>
              <w:left w:val="nil"/>
              <w:bottom w:val="nil"/>
              <w:right w:val="nil"/>
            </w:tcBorders>
            <w:vAlign w:val="center"/>
          </w:tcPr>
          <w:p w:rsidR="00A53D7D" w:rsidRPr="003D2579" w:rsidRDefault="00A53D7D" w:rsidP="005140B4">
            <w:pPr>
              <w:pStyle w:val="OGTabText"/>
              <w:rPr>
                <w:color w:val="000000"/>
                <w:lang w:eastAsia="en-AU"/>
              </w:rPr>
            </w:pPr>
            <w:r w:rsidRPr="003D2579">
              <w:rPr>
                <w:color w:val="000000"/>
                <w:lang w:eastAsia="en-AU"/>
              </w:rPr>
              <w:t>Civil matters disposed within agreed timeframes in the County Court</w:t>
            </w:r>
          </w:p>
        </w:tc>
        <w:tc>
          <w:tcPr>
            <w:tcW w:w="907" w:type="dxa"/>
            <w:tcBorders>
              <w:top w:val="single" w:sz="6" w:space="0" w:color="auto"/>
              <w:left w:val="nil"/>
              <w:bottom w:val="nil"/>
              <w:right w:val="nil"/>
            </w:tcBorders>
          </w:tcPr>
          <w:p w:rsidR="00A53D7D" w:rsidRPr="003D2579" w:rsidRDefault="00A53D7D" w:rsidP="005140B4">
            <w:pPr>
              <w:pStyle w:val="OGUoM"/>
              <w:rPr>
                <w:color w:val="000000"/>
                <w:lang w:eastAsia="en-AU"/>
              </w:rPr>
            </w:pPr>
            <w:r w:rsidRPr="003D2579">
              <w:rPr>
                <w:color w:val="000000"/>
                <w:lang w:eastAsia="en-AU"/>
              </w:rPr>
              <w:t>per cent</w:t>
            </w:r>
          </w:p>
        </w:tc>
        <w:tc>
          <w:tcPr>
            <w:tcW w:w="907" w:type="dxa"/>
            <w:tcBorders>
              <w:top w:val="single" w:sz="6" w:space="0" w:color="auto"/>
              <w:left w:val="nil"/>
              <w:bottom w:val="nil"/>
              <w:right w:val="nil"/>
            </w:tcBorders>
            <w:shd w:val="clear" w:color="auto" w:fill="D9D9D9"/>
          </w:tcPr>
          <w:p w:rsidR="00A53D7D" w:rsidRPr="003D2579" w:rsidRDefault="00A53D7D" w:rsidP="005140B4">
            <w:pPr>
              <w:pStyle w:val="OGTableofFigures"/>
              <w:rPr>
                <w:color w:val="000000"/>
                <w:lang w:eastAsia="en-AU"/>
              </w:rPr>
            </w:pPr>
            <w:r>
              <w:rPr>
                <w:color w:val="000000"/>
                <w:lang w:eastAsia="en-AU"/>
              </w:rPr>
              <w:t>50</w:t>
            </w:r>
          </w:p>
        </w:tc>
        <w:tc>
          <w:tcPr>
            <w:tcW w:w="993" w:type="dxa"/>
            <w:tcBorders>
              <w:top w:val="single" w:sz="6" w:space="0" w:color="auto"/>
              <w:left w:val="nil"/>
              <w:bottom w:val="nil"/>
              <w:right w:val="nil"/>
            </w:tcBorders>
          </w:tcPr>
          <w:p w:rsidR="00A53D7D" w:rsidRPr="003D2579" w:rsidRDefault="00A53D7D" w:rsidP="005140B4">
            <w:pPr>
              <w:pStyle w:val="OGTableofFigures"/>
              <w:rPr>
                <w:color w:val="000000"/>
                <w:lang w:eastAsia="en-AU"/>
              </w:rPr>
            </w:pPr>
            <w:r>
              <w:rPr>
                <w:color w:val="000000"/>
                <w:lang w:eastAsia="en-AU"/>
              </w:rPr>
              <w:t>49</w:t>
            </w:r>
          </w:p>
        </w:tc>
        <w:tc>
          <w:tcPr>
            <w:tcW w:w="907" w:type="dxa"/>
            <w:tcBorders>
              <w:top w:val="single" w:sz="6" w:space="0" w:color="auto"/>
              <w:left w:val="nil"/>
              <w:bottom w:val="nil"/>
              <w:right w:val="nil"/>
            </w:tcBorders>
          </w:tcPr>
          <w:p w:rsidR="00A53D7D" w:rsidRPr="003D2579" w:rsidRDefault="00A53D7D" w:rsidP="005140B4">
            <w:pPr>
              <w:pStyle w:val="OGTableofFigures"/>
              <w:rPr>
                <w:color w:val="000000"/>
                <w:lang w:eastAsia="en-AU"/>
              </w:rPr>
            </w:pPr>
            <w:r w:rsidRPr="003D2579">
              <w:rPr>
                <w:color w:val="000000"/>
                <w:lang w:eastAsia="en-AU"/>
              </w:rPr>
              <w:t>60</w:t>
            </w:r>
          </w:p>
        </w:tc>
        <w:tc>
          <w:tcPr>
            <w:tcW w:w="907" w:type="dxa"/>
            <w:tcBorders>
              <w:top w:val="single" w:sz="6" w:space="0" w:color="auto"/>
              <w:left w:val="nil"/>
              <w:bottom w:val="nil"/>
              <w:right w:val="nil"/>
            </w:tcBorders>
          </w:tcPr>
          <w:p w:rsidR="00A53D7D" w:rsidRPr="003D2579" w:rsidRDefault="00A53D7D" w:rsidP="005140B4">
            <w:pPr>
              <w:pStyle w:val="OGTableofFigures"/>
              <w:rPr>
                <w:color w:val="000000"/>
                <w:lang w:eastAsia="en-AU"/>
              </w:rPr>
            </w:pPr>
            <w:r w:rsidRPr="003D2579">
              <w:rPr>
                <w:color w:val="000000"/>
                <w:lang w:eastAsia="en-AU"/>
              </w:rPr>
              <w:t>47</w:t>
            </w:r>
          </w:p>
        </w:tc>
      </w:tr>
      <w:tr w:rsidR="00A53D7D" w:rsidRPr="003D2579" w:rsidTr="005140B4">
        <w:trPr>
          <w:cantSplit/>
        </w:trPr>
        <w:tc>
          <w:tcPr>
            <w:tcW w:w="7776" w:type="dxa"/>
            <w:gridSpan w:val="6"/>
            <w:tcBorders>
              <w:top w:val="nil"/>
              <w:left w:val="nil"/>
              <w:bottom w:val="single" w:sz="8" w:space="0" w:color="auto"/>
              <w:right w:val="nil"/>
            </w:tcBorders>
            <w:vAlign w:val="center"/>
          </w:tcPr>
          <w:p w:rsidR="00A53D7D" w:rsidRPr="00CB3EF1" w:rsidRDefault="00A53D7D" w:rsidP="005140B4">
            <w:pPr>
              <w:pStyle w:val="OGNotes"/>
            </w:pPr>
            <w:r w:rsidRPr="00CB3EF1">
              <w:t>The lower 2014</w:t>
            </w:r>
            <w:r>
              <w:noBreakHyphen/>
            </w:r>
            <w:r w:rsidRPr="00CB3EF1">
              <w:t xml:space="preserve">15 estimate </w:t>
            </w:r>
            <w:r>
              <w:t>and the lower 2013</w:t>
            </w:r>
            <w:r>
              <w:noBreakHyphen/>
              <w:t>14 expected outcome are</w:t>
            </w:r>
            <w:r w:rsidRPr="00CB3EF1">
              <w:t xml:space="preserve"> due to </w:t>
            </w:r>
            <w:r>
              <w:t>external factors outside of the Court’s influence</w:t>
            </w:r>
            <w:r w:rsidRPr="00CB3EF1">
              <w:t xml:space="preserve">. </w:t>
            </w:r>
            <w:r>
              <w:t>For example, o</w:t>
            </w:r>
            <w:r w:rsidRPr="00CB3EF1">
              <w:t>nce a case is initiated by filing a writ, a party has up to 12</w:t>
            </w:r>
            <w:r>
              <w:t xml:space="preserve"> </w:t>
            </w:r>
            <w:r w:rsidRPr="00CB3EF1">
              <w:t>months i</w:t>
            </w:r>
            <w:r>
              <w:t xml:space="preserve">n which to serve the document. </w:t>
            </w:r>
            <w:r w:rsidRPr="00CB3EF1">
              <w:t xml:space="preserve">No further action </w:t>
            </w:r>
            <w:r>
              <w:t>can</w:t>
            </w:r>
            <w:r w:rsidRPr="00CB3EF1">
              <w:t xml:space="preserve"> occur with the case until such service is </w:t>
            </w:r>
            <w:proofErr w:type="spellStart"/>
            <w:proofErr w:type="gramStart"/>
            <w:r>
              <w:t>e</w:t>
            </w:r>
            <w:r w:rsidRPr="00CB3EF1">
              <w:t>ffected</w:t>
            </w:r>
            <w:proofErr w:type="spellEnd"/>
            <w:proofErr w:type="gramEnd"/>
            <w:r w:rsidRPr="00CB3EF1">
              <w:t>.</w:t>
            </w:r>
            <w:r w:rsidRPr="00CB3EF1">
              <w:rPr>
                <w:strike/>
              </w:rPr>
              <w:t xml:space="preserve"> </w:t>
            </w:r>
          </w:p>
        </w:tc>
      </w:tr>
      <w:tr w:rsidR="00A53D7D" w:rsidRPr="003D2579" w:rsidTr="005140B4">
        <w:trPr>
          <w:cantSplit/>
        </w:trPr>
        <w:tc>
          <w:tcPr>
            <w:tcW w:w="3155" w:type="dxa"/>
            <w:tcBorders>
              <w:top w:val="nil"/>
              <w:left w:val="nil"/>
              <w:bottom w:val="single" w:sz="6" w:space="0" w:color="auto"/>
              <w:right w:val="nil"/>
            </w:tcBorders>
            <w:vAlign w:val="center"/>
          </w:tcPr>
          <w:p w:rsidR="00A53D7D" w:rsidRPr="003D2579" w:rsidRDefault="00A53D7D" w:rsidP="005140B4">
            <w:pPr>
              <w:pStyle w:val="OGTabText"/>
              <w:rPr>
                <w:color w:val="000000"/>
                <w:lang w:eastAsia="en-AU"/>
              </w:rPr>
            </w:pPr>
            <w:r w:rsidRPr="003D2579">
              <w:rPr>
                <w:color w:val="000000"/>
                <w:lang w:eastAsia="en-AU"/>
              </w:rPr>
              <w:t>Civil matters disposed within agreed timeframes in the Magistrates’ Court</w:t>
            </w:r>
          </w:p>
        </w:tc>
        <w:tc>
          <w:tcPr>
            <w:tcW w:w="907" w:type="dxa"/>
            <w:tcBorders>
              <w:top w:val="nil"/>
              <w:left w:val="nil"/>
              <w:bottom w:val="single" w:sz="6" w:space="0" w:color="auto"/>
              <w:right w:val="nil"/>
            </w:tcBorders>
          </w:tcPr>
          <w:p w:rsidR="00A53D7D" w:rsidRPr="003D2579" w:rsidRDefault="00A53D7D" w:rsidP="005140B4">
            <w:pPr>
              <w:pStyle w:val="OGUoM"/>
              <w:rPr>
                <w:color w:val="000000"/>
                <w:lang w:eastAsia="en-AU"/>
              </w:rPr>
            </w:pPr>
            <w:r w:rsidRPr="003D2579">
              <w:rPr>
                <w:color w:val="000000"/>
                <w:lang w:eastAsia="en-AU"/>
              </w:rPr>
              <w:t>per cent</w:t>
            </w:r>
          </w:p>
        </w:tc>
        <w:tc>
          <w:tcPr>
            <w:tcW w:w="907" w:type="dxa"/>
            <w:tcBorders>
              <w:top w:val="nil"/>
              <w:left w:val="nil"/>
              <w:bottom w:val="single" w:sz="6" w:space="0" w:color="auto"/>
              <w:right w:val="nil"/>
            </w:tcBorders>
            <w:shd w:val="clear" w:color="auto" w:fill="D9D9D9"/>
          </w:tcPr>
          <w:p w:rsidR="00A53D7D" w:rsidRPr="003D2579" w:rsidRDefault="00A53D7D" w:rsidP="005140B4">
            <w:pPr>
              <w:pStyle w:val="OGTableofFigures"/>
              <w:rPr>
                <w:color w:val="000000"/>
                <w:lang w:eastAsia="en-AU"/>
              </w:rPr>
            </w:pPr>
            <w:r w:rsidRPr="003D2579">
              <w:rPr>
                <w:color w:val="000000"/>
                <w:lang w:eastAsia="en-AU"/>
              </w:rPr>
              <w:t>80</w:t>
            </w:r>
          </w:p>
        </w:tc>
        <w:tc>
          <w:tcPr>
            <w:tcW w:w="993" w:type="dxa"/>
            <w:tcBorders>
              <w:top w:val="nil"/>
              <w:left w:val="nil"/>
              <w:bottom w:val="single" w:sz="6" w:space="0" w:color="auto"/>
              <w:right w:val="nil"/>
            </w:tcBorders>
          </w:tcPr>
          <w:p w:rsidR="00A53D7D" w:rsidRPr="003D2579" w:rsidRDefault="00A53D7D" w:rsidP="005140B4">
            <w:pPr>
              <w:pStyle w:val="OGTableofFigures"/>
              <w:rPr>
                <w:color w:val="000000"/>
                <w:lang w:eastAsia="en-AU"/>
              </w:rPr>
            </w:pPr>
            <w:r>
              <w:rPr>
                <w:color w:val="000000"/>
                <w:lang w:eastAsia="en-AU"/>
              </w:rPr>
              <w:t>80</w:t>
            </w:r>
          </w:p>
        </w:tc>
        <w:tc>
          <w:tcPr>
            <w:tcW w:w="907" w:type="dxa"/>
            <w:tcBorders>
              <w:top w:val="nil"/>
              <w:left w:val="nil"/>
              <w:bottom w:val="single" w:sz="6" w:space="0" w:color="auto"/>
              <w:right w:val="nil"/>
            </w:tcBorders>
          </w:tcPr>
          <w:p w:rsidR="00A53D7D" w:rsidRPr="003D2579" w:rsidRDefault="00A53D7D" w:rsidP="005140B4">
            <w:pPr>
              <w:pStyle w:val="OGTableofFigures"/>
              <w:rPr>
                <w:color w:val="000000"/>
                <w:lang w:eastAsia="en-AU"/>
              </w:rPr>
            </w:pPr>
            <w:r w:rsidRPr="003D2579">
              <w:rPr>
                <w:color w:val="000000"/>
                <w:lang w:eastAsia="en-AU"/>
              </w:rPr>
              <w:t>80</w:t>
            </w:r>
          </w:p>
        </w:tc>
        <w:tc>
          <w:tcPr>
            <w:tcW w:w="907" w:type="dxa"/>
            <w:tcBorders>
              <w:top w:val="nil"/>
              <w:left w:val="nil"/>
              <w:bottom w:val="single" w:sz="6" w:space="0" w:color="auto"/>
              <w:right w:val="nil"/>
            </w:tcBorders>
          </w:tcPr>
          <w:p w:rsidR="00A53D7D" w:rsidRPr="003D2579" w:rsidRDefault="00A53D7D" w:rsidP="005140B4">
            <w:pPr>
              <w:pStyle w:val="OGTableofFigures"/>
              <w:rPr>
                <w:color w:val="000000"/>
                <w:lang w:eastAsia="en-AU"/>
              </w:rPr>
            </w:pPr>
            <w:r w:rsidRPr="003D2579">
              <w:rPr>
                <w:color w:val="000000"/>
                <w:lang w:eastAsia="en-AU"/>
              </w:rPr>
              <w:t>80.7</w:t>
            </w:r>
          </w:p>
        </w:tc>
      </w:tr>
      <w:tr w:rsidR="00A53D7D" w:rsidRPr="003D2579" w:rsidTr="005140B4">
        <w:trPr>
          <w:cantSplit/>
        </w:trPr>
        <w:tc>
          <w:tcPr>
            <w:tcW w:w="3155" w:type="dxa"/>
            <w:tcBorders>
              <w:top w:val="single" w:sz="6" w:space="0" w:color="auto"/>
              <w:left w:val="nil"/>
              <w:bottom w:val="single" w:sz="6" w:space="0" w:color="auto"/>
              <w:right w:val="nil"/>
            </w:tcBorders>
            <w:vAlign w:val="center"/>
          </w:tcPr>
          <w:p w:rsidR="00A53D7D" w:rsidRPr="003D2579" w:rsidRDefault="00A53D7D" w:rsidP="005140B4">
            <w:pPr>
              <w:pStyle w:val="OGTabText"/>
              <w:rPr>
                <w:color w:val="000000"/>
                <w:lang w:eastAsia="en-AU"/>
              </w:rPr>
            </w:pPr>
            <w:r w:rsidRPr="003D2579">
              <w:rPr>
                <w:color w:val="000000"/>
                <w:lang w:eastAsia="en-AU"/>
              </w:rPr>
              <w:t>Civil matters disposed within agreed timeframes in the</w:t>
            </w:r>
            <w:r>
              <w:rPr>
                <w:color w:val="000000"/>
                <w:lang w:eastAsia="en-AU"/>
              </w:rPr>
              <w:t xml:space="preserve"> </w:t>
            </w:r>
            <w:r w:rsidRPr="003D2579">
              <w:rPr>
                <w:color w:val="000000"/>
                <w:lang w:eastAsia="en-AU"/>
              </w:rPr>
              <w:t>Victorian Civil and Administrative Tribunal</w:t>
            </w:r>
          </w:p>
        </w:tc>
        <w:tc>
          <w:tcPr>
            <w:tcW w:w="907" w:type="dxa"/>
            <w:tcBorders>
              <w:top w:val="single" w:sz="6" w:space="0" w:color="auto"/>
              <w:left w:val="nil"/>
              <w:bottom w:val="single" w:sz="6" w:space="0" w:color="auto"/>
              <w:right w:val="nil"/>
            </w:tcBorders>
          </w:tcPr>
          <w:p w:rsidR="00A53D7D" w:rsidRPr="003D2579" w:rsidRDefault="00A53D7D" w:rsidP="005140B4">
            <w:pPr>
              <w:pStyle w:val="OGUoM"/>
              <w:rPr>
                <w:color w:val="000000"/>
                <w:lang w:eastAsia="en-AU"/>
              </w:rPr>
            </w:pPr>
            <w:r w:rsidRPr="003D2579">
              <w:rPr>
                <w:color w:val="000000"/>
                <w:lang w:eastAsia="en-AU"/>
              </w:rPr>
              <w:t>per cent</w:t>
            </w:r>
          </w:p>
        </w:tc>
        <w:tc>
          <w:tcPr>
            <w:tcW w:w="907" w:type="dxa"/>
            <w:tcBorders>
              <w:top w:val="single" w:sz="6" w:space="0" w:color="auto"/>
              <w:left w:val="nil"/>
              <w:bottom w:val="single" w:sz="6" w:space="0" w:color="auto"/>
              <w:right w:val="nil"/>
            </w:tcBorders>
            <w:shd w:val="clear" w:color="auto" w:fill="D9D9D9"/>
          </w:tcPr>
          <w:p w:rsidR="00A53D7D" w:rsidRPr="003D2579" w:rsidRDefault="00A53D7D" w:rsidP="005140B4">
            <w:pPr>
              <w:pStyle w:val="OGTableofFigures"/>
              <w:rPr>
                <w:color w:val="000000"/>
                <w:lang w:eastAsia="en-AU"/>
              </w:rPr>
            </w:pPr>
            <w:r w:rsidRPr="003D2579">
              <w:rPr>
                <w:color w:val="000000"/>
                <w:lang w:eastAsia="en-AU"/>
              </w:rPr>
              <w:t>85</w:t>
            </w:r>
          </w:p>
        </w:tc>
        <w:tc>
          <w:tcPr>
            <w:tcW w:w="993" w:type="dxa"/>
            <w:tcBorders>
              <w:top w:val="single" w:sz="6" w:space="0" w:color="auto"/>
              <w:left w:val="nil"/>
              <w:bottom w:val="single" w:sz="6" w:space="0" w:color="auto"/>
              <w:right w:val="nil"/>
            </w:tcBorders>
          </w:tcPr>
          <w:p w:rsidR="00A53D7D" w:rsidRPr="003D2579" w:rsidRDefault="00A53D7D" w:rsidP="005140B4">
            <w:pPr>
              <w:pStyle w:val="OGTableofFigures"/>
              <w:rPr>
                <w:color w:val="000000"/>
                <w:lang w:eastAsia="en-AU"/>
              </w:rPr>
            </w:pPr>
            <w:r w:rsidRPr="003D2579">
              <w:rPr>
                <w:color w:val="000000"/>
                <w:lang w:eastAsia="en-AU"/>
              </w:rPr>
              <w:t>85</w:t>
            </w:r>
          </w:p>
        </w:tc>
        <w:tc>
          <w:tcPr>
            <w:tcW w:w="907" w:type="dxa"/>
            <w:tcBorders>
              <w:top w:val="single" w:sz="6" w:space="0" w:color="auto"/>
              <w:left w:val="nil"/>
              <w:bottom w:val="single" w:sz="6" w:space="0" w:color="auto"/>
              <w:right w:val="nil"/>
            </w:tcBorders>
          </w:tcPr>
          <w:p w:rsidR="00A53D7D" w:rsidRPr="003D2579" w:rsidRDefault="00A53D7D" w:rsidP="005140B4">
            <w:pPr>
              <w:pStyle w:val="OGTableofFigures"/>
              <w:rPr>
                <w:color w:val="000000"/>
                <w:lang w:eastAsia="en-AU"/>
              </w:rPr>
            </w:pPr>
            <w:r w:rsidRPr="003D2579">
              <w:rPr>
                <w:color w:val="000000"/>
                <w:lang w:eastAsia="en-AU"/>
              </w:rPr>
              <w:t>85</w:t>
            </w:r>
          </w:p>
        </w:tc>
        <w:tc>
          <w:tcPr>
            <w:tcW w:w="907" w:type="dxa"/>
            <w:tcBorders>
              <w:top w:val="single" w:sz="6" w:space="0" w:color="auto"/>
              <w:left w:val="nil"/>
              <w:bottom w:val="single" w:sz="6" w:space="0" w:color="auto"/>
              <w:right w:val="nil"/>
            </w:tcBorders>
          </w:tcPr>
          <w:p w:rsidR="00A53D7D" w:rsidRPr="003D2579" w:rsidRDefault="00A53D7D" w:rsidP="005140B4">
            <w:pPr>
              <w:pStyle w:val="OGTableofFigures"/>
              <w:rPr>
                <w:color w:val="000000"/>
                <w:lang w:eastAsia="en-AU"/>
              </w:rPr>
            </w:pPr>
            <w:r w:rsidRPr="003D2579">
              <w:rPr>
                <w:color w:val="000000"/>
                <w:lang w:eastAsia="en-AU"/>
              </w:rPr>
              <w:t>85</w:t>
            </w:r>
          </w:p>
        </w:tc>
      </w:tr>
      <w:tr w:rsidR="00A53D7D" w:rsidRPr="003D2579" w:rsidTr="005140B4">
        <w:trPr>
          <w:cantSplit/>
        </w:trPr>
        <w:tc>
          <w:tcPr>
            <w:tcW w:w="3155" w:type="dxa"/>
            <w:tcBorders>
              <w:top w:val="single" w:sz="6" w:space="0" w:color="auto"/>
              <w:left w:val="nil"/>
              <w:bottom w:val="single" w:sz="8" w:space="0" w:color="auto"/>
              <w:right w:val="nil"/>
            </w:tcBorders>
            <w:vAlign w:val="center"/>
          </w:tcPr>
          <w:p w:rsidR="00A53D7D" w:rsidRPr="00B2174E" w:rsidRDefault="00A53D7D" w:rsidP="005140B4">
            <w:pPr>
              <w:pStyle w:val="OGTabText"/>
              <w:rPr>
                <w:color w:val="000000"/>
                <w:lang w:eastAsia="en-AU"/>
              </w:rPr>
            </w:pPr>
            <w:r w:rsidRPr="00B2174E">
              <w:rPr>
                <w:color w:val="000000"/>
                <w:lang w:eastAsia="en-AU"/>
              </w:rPr>
              <w:t>Child protection matters disposed within agreed timeframes in the Children’s Court</w:t>
            </w:r>
          </w:p>
        </w:tc>
        <w:tc>
          <w:tcPr>
            <w:tcW w:w="907" w:type="dxa"/>
            <w:tcBorders>
              <w:top w:val="single" w:sz="6" w:space="0" w:color="auto"/>
              <w:left w:val="nil"/>
              <w:bottom w:val="single" w:sz="8" w:space="0" w:color="auto"/>
              <w:right w:val="nil"/>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single" w:sz="6" w:space="0" w:color="auto"/>
              <w:left w:val="nil"/>
              <w:bottom w:val="single" w:sz="8" w:space="0" w:color="auto"/>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80</w:t>
            </w:r>
          </w:p>
        </w:tc>
        <w:tc>
          <w:tcPr>
            <w:tcW w:w="993" w:type="dxa"/>
            <w:tcBorders>
              <w:top w:val="single" w:sz="6" w:space="0" w:color="auto"/>
              <w:left w:val="nil"/>
              <w:bottom w:val="single" w:sz="8"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80</w:t>
            </w:r>
          </w:p>
        </w:tc>
        <w:tc>
          <w:tcPr>
            <w:tcW w:w="907" w:type="dxa"/>
            <w:tcBorders>
              <w:top w:val="single" w:sz="6" w:space="0" w:color="auto"/>
              <w:left w:val="nil"/>
              <w:bottom w:val="single" w:sz="8" w:space="0" w:color="auto"/>
              <w:right w:val="nil"/>
            </w:tcBorders>
          </w:tcPr>
          <w:p w:rsidR="00A53D7D" w:rsidRPr="00B2174E" w:rsidRDefault="00A53D7D" w:rsidP="005140B4">
            <w:pPr>
              <w:pStyle w:val="OGTableofFigures"/>
              <w:rPr>
                <w:color w:val="000000"/>
                <w:lang w:eastAsia="en-AU"/>
              </w:rPr>
            </w:pPr>
            <w:r w:rsidRPr="00B2174E">
              <w:rPr>
                <w:color w:val="000000"/>
                <w:lang w:eastAsia="en-AU"/>
              </w:rPr>
              <w:t>80</w:t>
            </w:r>
          </w:p>
        </w:tc>
        <w:tc>
          <w:tcPr>
            <w:tcW w:w="907" w:type="dxa"/>
            <w:tcBorders>
              <w:top w:val="single" w:sz="6" w:space="0" w:color="auto"/>
              <w:left w:val="nil"/>
              <w:bottom w:val="single" w:sz="8" w:space="0" w:color="auto"/>
              <w:right w:val="nil"/>
            </w:tcBorders>
          </w:tcPr>
          <w:p w:rsidR="00A53D7D" w:rsidRPr="003D2579" w:rsidRDefault="00A53D7D" w:rsidP="005140B4">
            <w:pPr>
              <w:pStyle w:val="OGTableofFigures"/>
              <w:rPr>
                <w:color w:val="000000"/>
                <w:lang w:eastAsia="en-AU"/>
              </w:rPr>
            </w:pPr>
            <w:r w:rsidRPr="003D2579">
              <w:rPr>
                <w:color w:val="000000"/>
                <w:lang w:eastAsia="en-AU"/>
              </w:rPr>
              <w:t>72.3</w:t>
            </w:r>
          </w:p>
        </w:tc>
      </w:tr>
      <w:tr w:rsidR="00A53D7D" w:rsidRPr="003D2579" w:rsidTr="005140B4">
        <w:trPr>
          <w:cantSplit/>
        </w:trPr>
        <w:tc>
          <w:tcPr>
            <w:tcW w:w="3155" w:type="dxa"/>
            <w:tcBorders>
              <w:top w:val="single" w:sz="8" w:space="0" w:color="auto"/>
              <w:left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Coronial matters disposed within agreed timeframes in the Coroner’s Court</w:t>
            </w:r>
          </w:p>
        </w:tc>
        <w:tc>
          <w:tcPr>
            <w:tcW w:w="907" w:type="dxa"/>
            <w:tcBorders>
              <w:top w:val="single" w:sz="8" w:space="0" w:color="auto"/>
              <w:left w:val="nil"/>
              <w:right w:val="nil"/>
            </w:tcBorders>
          </w:tcPr>
          <w:p w:rsidR="00A53D7D" w:rsidRPr="00B2174E" w:rsidRDefault="00A53D7D" w:rsidP="005140B4">
            <w:pPr>
              <w:pStyle w:val="OGUoM"/>
              <w:rPr>
                <w:color w:val="000000"/>
                <w:lang w:eastAsia="en-AU"/>
              </w:rPr>
            </w:pPr>
            <w:r w:rsidRPr="00B2174E">
              <w:rPr>
                <w:color w:val="000000"/>
                <w:lang w:eastAsia="en-AU"/>
              </w:rPr>
              <w:t>per cent</w:t>
            </w:r>
          </w:p>
        </w:tc>
        <w:tc>
          <w:tcPr>
            <w:tcW w:w="907" w:type="dxa"/>
            <w:tcBorders>
              <w:top w:val="single" w:sz="8" w:space="0" w:color="auto"/>
              <w:left w:val="nil"/>
              <w:right w:val="nil"/>
            </w:tcBorders>
            <w:shd w:val="clear" w:color="auto" w:fill="D9D9D9"/>
          </w:tcPr>
          <w:p w:rsidR="00A53D7D" w:rsidRPr="00B2174E" w:rsidRDefault="00A53D7D" w:rsidP="005140B4">
            <w:pPr>
              <w:pStyle w:val="OGTableofFigures"/>
              <w:rPr>
                <w:color w:val="000000"/>
                <w:lang w:eastAsia="en-AU"/>
              </w:rPr>
            </w:pPr>
            <w:r w:rsidRPr="00B2174E">
              <w:rPr>
                <w:color w:val="000000"/>
                <w:lang w:eastAsia="en-AU"/>
              </w:rPr>
              <w:t>75</w:t>
            </w:r>
            <w:r w:rsidRPr="00B2174E">
              <w:rPr>
                <w:color w:val="000000"/>
                <w:lang w:eastAsia="en-AU"/>
              </w:rPr>
              <w:br/>
            </w:r>
          </w:p>
        </w:tc>
        <w:tc>
          <w:tcPr>
            <w:tcW w:w="993" w:type="dxa"/>
            <w:tcBorders>
              <w:top w:val="single" w:sz="8"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75</w:t>
            </w:r>
            <w:r w:rsidRPr="00B2174E">
              <w:rPr>
                <w:color w:val="000000"/>
                <w:lang w:eastAsia="en-AU"/>
              </w:rPr>
              <w:br/>
            </w:r>
          </w:p>
        </w:tc>
        <w:tc>
          <w:tcPr>
            <w:tcW w:w="907" w:type="dxa"/>
            <w:tcBorders>
              <w:top w:val="single" w:sz="8" w:space="0" w:color="auto"/>
              <w:left w:val="nil"/>
              <w:right w:val="nil"/>
            </w:tcBorders>
          </w:tcPr>
          <w:p w:rsidR="00A53D7D" w:rsidRPr="00B2174E" w:rsidRDefault="00A53D7D" w:rsidP="005140B4">
            <w:pPr>
              <w:pStyle w:val="OGTableofFigures"/>
              <w:rPr>
                <w:color w:val="000000"/>
                <w:lang w:eastAsia="en-AU"/>
              </w:rPr>
            </w:pPr>
            <w:r w:rsidRPr="00B2174E">
              <w:rPr>
                <w:color w:val="000000"/>
                <w:lang w:eastAsia="en-AU"/>
              </w:rPr>
              <w:t>70</w:t>
            </w:r>
          </w:p>
        </w:tc>
        <w:tc>
          <w:tcPr>
            <w:tcW w:w="907" w:type="dxa"/>
            <w:tcBorders>
              <w:top w:val="single" w:sz="8" w:space="0" w:color="auto"/>
              <w:left w:val="nil"/>
              <w:right w:val="nil"/>
            </w:tcBorders>
          </w:tcPr>
          <w:p w:rsidR="00A53D7D" w:rsidRPr="003D2579" w:rsidRDefault="00A53D7D" w:rsidP="005140B4">
            <w:pPr>
              <w:pStyle w:val="OGTableofFigures"/>
              <w:rPr>
                <w:color w:val="000000"/>
                <w:lang w:eastAsia="en-AU"/>
              </w:rPr>
            </w:pPr>
            <w:r w:rsidRPr="003D2579">
              <w:rPr>
                <w:color w:val="000000"/>
                <w:lang w:eastAsia="en-AU"/>
              </w:rPr>
              <w:t>78.5</w:t>
            </w:r>
          </w:p>
        </w:tc>
      </w:tr>
      <w:tr w:rsidR="00A53D7D" w:rsidRPr="003D2579" w:rsidTr="005140B4">
        <w:trPr>
          <w:cantSplit/>
        </w:trPr>
        <w:tc>
          <w:tcPr>
            <w:tcW w:w="7776" w:type="dxa"/>
            <w:gridSpan w:val="6"/>
            <w:tcBorders>
              <w:left w:val="nil"/>
              <w:bottom w:val="single" w:sz="8" w:space="0" w:color="auto"/>
              <w:right w:val="nil"/>
            </w:tcBorders>
            <w:vAlign w:val="center"/>
          </w:tcPr>
          <w:p w:rsidR="00A53D7D" w:rsidRPr="00B2174E" w:rsidRDefault="00A53D7D" w:rsidP="005140B4">
            <w:pPr>
              <w:pStyle w:val="OGNotes"/>
              <w:rPr>
                <w:szCs w:val="18"/>
              </w:rPr>
            </w:pPr>
            <w:r w:rsidRPr="00B2174E">
              <w:t>The 2013</w:t>
            </w:r>
            <w:r>
              <w:noBreakHyphen/>
            </w:r>
            <w:r w:rsidRPr="00B2174E">
              <w:t>14 expected outcome is higher than the 2013</w:t>
            </w:r>
            <w:r>
              <w:noBreakHyphen/>
            </w:r>
            <w:r w:rsidRPr="00B2174E">
              <w:t>14 estimate due to an unexpected increase in cases. The 2014</w:t>
            </w:r>
            <w:r>
              <w:noBreakHyphen/>
            </w:r>
            <w:r w:rsidRPr="00B2174E">
              <w:t>15 estimate has been adjusted to reflect an expected continuation of this trend.</w:t>
            </w:r>
          </w:p>
        </w:tc>
      </w:tr>
      <w:tr w:rsidR="00A53D7D" w:rsidRPr="003D2579" w:rsidTr="005140B4">
        <w:trPr>
          <w:cantSplit/>
        </w:trPr>
        <w:tc>
          <w:tcPr>
            <w:tcW w:w="3155" w:type="dxa"/>
            <w:tcBorders>
              <w:top w:val="single" w:sz="8" w:space="0" w:color="auto"/>
              <w:left w:val="nil"/>
              <w:right w:val="nil"/>
            </w:tcBorders>
            <w:vAlign w:val="center"/>
          </w:tcPr>
          <w:p w:rsidR="00A53D7D" w:rsidRPr="00B2174E" w:rsidRDefault="00A53D7D" w:rsidP="005140B4">
            <w:pPr>
              <w:pStyle w:val="OGTabHead"/>
              <w:rPr>
                <w:color w:val="000000"/>
                <w:lang w:eastAsia="en-AU"/>
              </w:rPr>
            </w:pPr>
            <w:r w:rsidRPr="00B2174E">
              <w:rPr>
                <w:iCs/>
                <w:color w:val="000000"/>
                <w:lang w:eastAsia="en-AU"/>
              </w:rPr>
              <w:t>Cost</w:t>
            </w:r>
          </w:p>
        </w:tc>
        <w:tc>
          <w:tcPr>
            <w:tcW w:w="907" w:type="dxa"/>
            <w:tcBorders>
              <w:top w:val="single" w:sz="8" w:space="0" w:color="auto"/>
              <w:left w:val="nil"/>
              <w:right w:val="nil"/>
            </w:tcBorders>
          </w:tcPr>
          <w:p w:rsidR="00A53D7D" w:rsidRPr="00B2174E" w:rsidRDefault="00A53D7D" w:rsidP="005140B4">
            <w:pPr>
              <w:pStyle w:val="OGUoM"/>
              <w:rPr>
                <w:color w:val="000000"/>
                <w:lang w:eastAsia="en-AU"/>
              </w:rPr>
            </w:pPr>
          </w:p>
        </w:tc>
        <w:tc>
          <w:tcPr>
            <w:tcW w:w="907" w:type="dxa"/>
            <w:tcBorders>
              <w:top w:val="single" w:sz="8" w:space="0" w:color="auto"/>
              <w:left w:val="nil"/>
              <w:right w:val="nil"/>
            </w:tcBorders>
            <w:shd w:val="clear" w:color="auto" w:fill="D9D9D9"/>
            <w:vAlign w:val="center"/>
          </w:tcPr>
          <w:p w:rsidR="00A53D7D" w:rsidRPr="00B2174E" w:rsidRDefault="00A53D7D" w:rsidP="005140B4">
            <w:pPr>
              <w:pStyle w:val="OGTableofFigures"/>
              <w:rPr>
                <w:color w:val="000000"/>
                <w:lang w:eastAsia="en-AU"/>
              </w:rPr>
            </w:pPr>
          </w:p>
        </w:tc>
        <w:tc>
          <w:tcPr>
            <w:tcW w:w="993" w:type="dxa"/>
            <w:tcBorders>
              <w:top w:val="single" w:sz="8" w:space="0" w:color="auto"/>
              <w:left w:val="nil"/>
              <w:right w:val="nil"/>
            </w:tcBorders>
            <w:vAlign w:val="center"/>
          </w:tcPr>
          <w:p w:rsidR="00A53D7D" w:rsidRPr="00B2174E" w:rsidRDefault="00A53D7D" w:rsidP="005140B4">
            <w:pPr>
              <w:pStyle w:val="OGTableofFigures"/>
              <w:rPr>
                <w:color w:val="000000"/>
                <w:lang w:eastAsia="en-AU"/>
              </w:rPr>
            </w:pPr>
          </w:p>
        </w:tc>
        <w:tc>
          <w:tcPr>
            <w:tcW w:w="907" w:type="dxa"/>
            <w:tcBorders>
              <w:top w:val="single" w:sz="8" w:space="0" w:color="auto"/>
              <w:left w:val="nil"/>
              <w:right w:val="nil"/>
            </w:tcBorders>
            <w:vAlign w:val="center"/>
          </w:tcPr>
          <w:p w:rsidR="00A53D7D" w:rsidRPr="00B2174E" w:rsidRDefault="00A53D7D" w:rsidP="005140B4">
            <w:pPr>
              <w:pStyle w:val="OGTableofFigures"/>
              <w:rPr>
                <w:color w:val="000000"/>
                <w:lang w:eastAsia="en-AU"/>
              </w:rPr>
            </w:pPr>
          </w:p>
        </w:tc>
        <w:tc>
          <w:tcPr>
            <w:tcW w:w="907" w:type="dxa"/>
            <w:tcBorders>
              <w:top w:val="single" w:sz="8" w:space="0" w:color="auto"/>
              <w:left w:val="nil"/>
              <w:right w:val="nil"/>
            </w:tcBorders>
            <w:vAlign w:val="center"/>
          </w:tcPr>
          <w:p w:rsidR="00A53D7D" w:rsidRPr="003D2579" w:rsidRDefault="00A53D7D" w:rsidP="005140B4">
            <w:pPr>
              <w:pStyle w:val="OGTableofFigures"/>
              <w:rPr>
                <w:color w:val="000000"/>
                <w:lang w:eastAsia="en-AU"/>
              </w:rPr>
            </w:pPr>
          </w:p>
        </w:tc>
      </w:tr>
      <w:tr w:rsidR="00A53D7D" w:rsidRPr="003D2579" w:rsidTr="005140B4">
        <w:trPr>
          <w:cantSplit/>
        </w:trPr>
        <w:tc>
          <w:tcPr>
            <w:tcW w:w="3155" w:type="dxa"/>
            <w:tcBorders>
              <w:top w:val="nil"/>
              <w:left w:val="nil"/>
              <w:bottom w:val="nil"/>
              <w:right w:val="nil"/>
            </w:tcBorders>
            <w:vAlign w:val="center"/>
          </w:tcPr>
          <w:p w:rsidR="00A53D7D" w:rsidRPr="00B2174E" w:rsidRDefault="00A53D7D" w:rsidP="005140B4">
            <w:pPr>
              <w:pStyle w:val="OGTabText"/>
              <w:rPr>
                <w:color w:val="000000"/>
                <w:lang w:eastAsia="en-AU"/>
              </w:rPr>
            </w:pPr>
            <w:r w:rsidRPr="00B2174E">
              <w:rPr>
                <w:color w:val="000000"/>
                <w:lang w:eastAsia="en-AU"/>
              </w:rPr>
              <w:t>Total output cost</w:t>
            </w:r>
          </w:p>
        </w:tc>
        <w:tc>
          <w:tcPr>
            <w:tcW w:w="907" w:type="dxa"/>
            <w:tcBorders>
              <w:top w:val="nil"/>
              <w:left w:val="nil"/>
              <w:bottom w:val="nil"/>
              <w:right w:val="nil"/>
            </w:tcBorders>
          </w:tcPr>
          <w:p w:rsidR="00A53D7D" w:rsidRPr="00B2174E" w:rsidRDefault="00A53D7D" w:rsidP="005140B4">
            <w:pPr>
              <w:pStyle w:val="OGUoM"/>
              <w:rPr>
                <w:color w:val="000000"/>
                <w:lang w:eastAsia="en-AU"/>
              </w:rPr>
            </w:pPr>
            <w:r w:rsidRPr="00B2174E">
              <w:rPr>
                <w:color w:val="000000"/>
                <w:lang w:eastAsia="en-AU"/>
              </w:rPr>
              <w:t>$ million</w:t>
            </w:r>
          </w:p>
        </w:tc>
        <w:tc>
          <w:tcPr>
            <w:tcW w:w="907" w:type="dxa"/>
            <w:tcBorders>
              <w:top w:val="nil"/>
              <w:left w:val="nil"/>
              <w:bottom w:val="nil"/>
              <w:right w:val="nil"/>
            </w:tcBorders>
            <w:shd w:val="clear" w:color="auto" w:fill="D9D9D9"/>
          </w:tcPr>
          <w:p w:rsidR="00A53D7D" w:rsidRPr="00B2174E" w:rsidRDefault="00A53D7D" w:rsidP="005140B4">
            <w:pPr>
              <w:pStyle w:val="OGTableofFigures"/>
              <w:rPr>
                <w:color w:val="000000"/>
                <w:lang w:eastAsia="en-AU"/>
              </w:rPr>
            </w:pPr>
            <w:r w:rsidRPr="002A2799">
              <w:rPr>
                <w:color w:val="000000"/>
                <w:lang w:eastAsia="en-AU"/>
              </w:rPr>
              <w:t>454.6</w:t>
            </w:r>
          </w:p>
        </w:tc>
        <w:tc>
          <w:tcPr>
            <w:tcW w:w="993" w:type="dxa"/>
            <w:tcBorders>
              <w:top w:val="nil"/>
              <w:left w:val="nil"/>
              <w:bottom w:val="nil"/>
              <w:right w:val="nil"/>
            </w:tcBorders>
          </w:tcPr>
          <w:p w:rsidR="00A53D7D" w:rsidRPr="00B2174E" w:rsidRDefault="00A53D7D" w:rsidP="005140B4">
            <w:pPr>
              <w:pStyle w:val="OGTableofFigures"/>
              <w:rPr>
                <w:color w:val="000000"/>
                <w:lang w:eastAsia="en-AU"/>
              </w:rPr>
            </w:pPr>
            <w:r>
              <w:rPr>
                <w:color w:val="000000"/>
                <w:lang w:eastAsia="en-AU"/>
              </w:rPr>
              <w:t>431.4</w:t>
            </w:r>
          </w:p>
        </w:tc>
        <w:tc>
          <w:tcPr>
            <w:tcW w:w="907" w:type="dxa"/>
            <w:tcBorders>
              <w:top w:val="nil"/>
              <w:left w:val="nil"/>
              <w:bottom w:val="nil"/>
              <w:right w:val="nil"/>
            </w:tcBorders>
          </w:tcPr>
          <w:p w:rsidR="00A53D7D" w:rsidRPr="00B2174E" w:rsidRDefault="00A53D7D" w:rsidP="005140B4">
            <w:pPr>
              <w:pStyle w:val="OGTableofFigures"/>
              <w:rPr>
                <w:color w:val="000000"/>
                <w:lang w:eastAsia="en-AU"/>
              </w:rPr>
            </w:pPr>
            <w:r w:rsidRPr="00B2174E">
              <w:rPr>
                <w:color w:val="000000"/>
                <w:lang w:eastAsia="en-AU"/>
              </w:rPr>
              <w:t>448.9</w:t>
            </w:r>
          </w:p>
        </w:tc>
        <w:tc>
          <w:tcPr>
            <w:tcW w:w="907" w:type="dxa"/>
            <w:tcBorders>
              <w:top w:val="nil"/>
              <w:left w:val="nil"/>
              <w:bottom w:val="nil"/>
              <w:right w:val="nil"/>
            </w:tcBorders>
          </w:tcPr>
          <w:p w:rsidR="00A53D7D" w:rsidRPr="003D2579" w:rsidRDefault="00A53D7D" w:rsidP="005140B4">
            <w:pPr>
              <w:pStyle w:val="OGTableofFigures"/>
              <w:rPr>
                <w:color w:val="000000"/>
                <w:lang w:eastAsia="en-AU"/>
              </w:rPr>
            </w:pPr>
            <w:r w:rsidRPr="003D2579">
              <w:rPr>
                <w:color w:val="000000"/>
                <w:lang w:eastAsia="en-AU"/>
              </w:rPr>
              <w:t>427.7</w:t>
            </w:r>
          </w:p>
        </w:tc>
      </w:tr>
      <w:tr w:rsidR="00A53D7D" w:rsidRPr="003D2579" w:rsidTr="005140B4">
        <w:trPr>
          <w:cantSplit/>
        </w:trPr>
        <w:tc>
          <w:tcPr>
            <w:tcW w:w="7776" w:type="dxa"/>
            <w:gridSpan w:val="6"/>
            <w:tcBorders>
              <w:top w:val="nil"/>
              <w:left w:val="nil"/>
              <w:bottom w:val="single" w:sz="12" w:space="0" w:color="auto"/>
              <w:right w:val="nil"/>
            </w:tcBorders>
            <w:vAlign w:val="center"/>
          </w:tcPr>
          <w:p w:rsidR="00A53D7D" w:rsidRPr="00CA7D9F" w:rsidRDefault="00A53D7D" w:rsidP="005140B4">
            <w:pPr>
              <w:pStyle w:val="OGNotes"/>
              <w:rPr>
                <w:color w:val="000000"/>
                <w:sz w:val="20"/>
                <w:szCs w:val="18"/>
              </w:rPr>
            </w:pPr>
            <w:r w:rsidRPr="002A2799">
              <w:t xml:space="preserve">The Court Services Victoria </w:t>
            </w:r>
            <w:r>
              <w:t>Act</w:t>
            </w:r>
            <w:r w:rsidRPr="002A2799">
              <w:t xml:space="preserve"> establishes Court Services </w:t>
            </w:r>
            <w:smartTag w:uri="urn:schemas-microsoft-com:office:smarttags" w:element="State">
              <w:r w:rsidRPr="002A2799">
                <w:t>Victoria</w:t>
              </w:r>
            </w:smartTag>
            <w:r w:rsidRPr="002A2799">
              <w:t xml:space="preserve"> as a statutory public sector body to provide the administrative services and facilities for</w:t>
            </w:r>
            <w:r>
              <w:t xml:space="preserve"> the</w:t>
            </w:r>
            <w:r w:rsidRPr="002A2799">
              <w:t xml:space="preserve"> </w:t>
            </w:r>
            <w:smartTag w:uri="urn:schemas-microsoft-com:office:smarttags" w:element="place">
              <w:smartTag w:uri="urn:schemas-microsoft-com:office:smarttags" w:element="State">
                <w:r w:rsidRPr="002A2799">
                  <w:t>Victoria</w:t>
                </w:r>
              </w:smartTag>
            </w:smartTag>
            <w:r w:rsidRPr="002A2799">
              <w:t xml:space="preserve">'s courts and </w:t>
            </w:r>
            <w:r>
              <w:t xml:space="preserve">the </w:t>
            </w:r>
            <w:r w:rsidRPr="002A2799">
              <w:t>Victorian</w:t>
            </w:r>
            <w:r>
              <w:t xml:space="preserve"> Civil Administrative Tribunal </w:t>
            </w:r>
            <w:r w:rsidRPr="002A2799">
              <w:t>which are currently delivered thro</w:t>
            </w:r>
            <w:r>
              <w:t xml:space="preserve">ugh the Department of Justice. </w:t>
            </w:r>
            <w:r w:rsidRPr="002A2799">
              <w:t>This change is to take effect from 1 July 2014 and accordingly estimates for 2014</w:t>
            </w:r>
            <w:r>
              <w:noBreakHyphen/>
            </w:r>
            <w:r w:rsidRPr="002A2799">
              <w:t>15 reflect this separation.</w:t>
            </w:r>
          </w:p>
        </w:tc>
      </w:tr>
    </w:tbl>
    <w:p w:rsidR="00A53D7D" w:rsidRPr="00C04A54" w:rsidRDefault="00A53D7D" w:rsidP="005140B4">
      <w:pPr>
        <w:pStyle w:val="Source"/>
        <w:rPr>
          <w:lang w:eastAsia="en-AU"/>
        </w:rPr>
      </w:pPr>
      <w:r>
        <w:rPr>
          <w:lang w:eastAsia="en-AU"/>
        </w:rPr>
        <w:t>Source: Courts</w:t>
      </w:r>
      <w:r>
        <w:rPr>
          <w:lang w:eastAsia="en-AU"/>
        </w:rPr>
        <w:fldChar w:fldCharType="begin"/>
      </w:r>
      <w:r>
        <w:instrText xml:space="preserve"> XE "</w:instrText>
      </w:r>
      <w:r w:rsidRPr="008F3624">
        <w:instrText>Courts:Court Services</w:instrText>
      </w:r>
      <w:r>
        <w:instrText xml:space="preserve">" \r "CourtSvces" </w:instrText>
      </w:r>
      <w:r>
        <w:rPr>
          <w:lang w:eastAsia="en-AU"/>
        </w:rPr>
        <w:fldChar w:fldCharType="end"/>
      </w:r>
      <w:r>
        <w:rPr>
          <w:lang w:eastAsia="en-AU"/>
        </w:rPr>
        <w:t xml:space="preserve"> </w:t>
      </w:r>
    </w:p>
    <w:bookmarkEnd w:id="154"/>
    <w:p w:rsidR="00A53D7D" w:rsidRDefault="00A53D7D" w:rsidP="005140B4"/>
    <w:p w:rsidR="00A53D7D" w:rsidRDefault="00A53D7D" w:rsidP="00497606"/>
    <w:p w:rsidR="00A53D7D" w:rsidRDefault="00A53D7D" w:rsidP="004463C6">
      <w:pPr>
        <w:sectPr w:rsidR="00A53D7D" w:rsidSect="00CD2017">
          <w:footerReference w:type="even" r:id="rId44"/>
          <w:footerReference w:type="default" r:id="rId45"/>
          <w:pgSz w:w="9979" w:h="14181" w:code="138"/>
          <w:pgMar w:top="1140" w:right="1140" w:bottom="1140" w:left="1140" w:header="720" w:footer="431" w:gutter="0"/>
          <w:cols w:space="708"/>
          <w:docGrid w:linePitch="360"/>
        </w:sectPr>
      </w:pPr>
    </w:p>
    <w:p w:rsidR="00A53D7D" w:rsidRDefault="00A53D7D" w:rsidP="005140B4">
      <w:pPr>
        <w:pStyle w:val="ChapterHeading"/>
      </w:pPr>
      <w:bookmarkStart w:id="155" w:name="_Toc386364082"/>
      <w:bookmarkStart w:id="156" w:name="_Toc386541227"/>
      <w:bookmarkStart w:id="157" w:name="_Toc407116919"/>
      <w:r>
        <w:t>Appendix A – Output performance measures for review by the Public Accounts and Estimates Committee</w:t>
      </w:r>
      <w:bookmarkEnd w:id="155"/>
      <w:bookmarkEnd w:id="156"/>
      <w:bookmarkEnd w:id="157"/>
    </w:p>
    <w:p w:rsidR="00A53D7D" w:rsidRDefault="00A53D7D" w:rsidP="005140B4">
      <w:r>
        <w:t>This appendix provides details of performance measures that departments have either proposed to discontinue for 2014</w:t>
      </w:r>
      <w:r>
        <w:noBreakHyphen/>
        <w:t>15, or have substantially changed from the previous year.</w:t>
      </w:r>
    </w:p>
    <w:p w:rsidR="00A53D7D" w:rsidRDefault="00A53D7D" w:rsidP="005140B4">
      <w:r>
        <w:t>Measures can be discontinued because a program has ceased, milestones have been met, or improved measures have been identified. Measures may change substantially due to a shift in focus of the service, development of improved measures or new data sets which can collect different information.</w:t>
      </w:r>
    </w:p>
    <w:p w:rsidR="00A53D7D" w:rsidRDefault="00A53D7D" w:rsidP="005140B4">
      <w:r>
        <w:t>Each performance measure included here is accompanied by an explanatory footnote providing reasons for its discontinuation or change.</w:t>
      </w:r>
    </w:p>
    <w:p w:rsidR="00A53D7D" w:rsidRDefault="00A53D7D" w:rsidP="005140B4">
      <w:r>
        <w:t xml:space="preserve">To strengthen accountability and transparency associated with output performance management, the Public Accounts and Estimates Committee (PAEC) has again been invited to review these performance measures to ensure that those measures that are substantially changed, or proposed to be discontinued, receive a high level of scrutiny. Any amendments to performance measures listed in this appendix will be presented on the Government’s budget website </w:t>
      </w:r>
      <w:hyperlink r:id="rId46" w:history="1">
        <w:r w:rsidRPr="009B2E41">
          <w:rPr>
            <w:rStyle w:val="Hyperlink"/>
          </w:rPr>
          <w:t>www.budget.vic.gov.au</w:t>
        </w:r>
      </w:hyperlink>
      <w:r>
        <w:t xml:space="preserve"> and changes will take effect from 2014</w:t>
      </w:r>
      <w:r>
        <w:noBreakHyphen/>
        <w:t>15.</w:t>
      </w:r>
    </w:p>
    <w:p w:rsidR="00A53D7D" w:rsidRDefault="00A53D7D" w:rsidP="005140B4">
      <w:r>
        <w:t>If a measure listed in this Appendix is continued, where possible a 2014</w:t>
      </w:r>
      <w:r>
        <w:noBreakHyphen/>
        <w:t>15 target has been identified to ensure continuity of reporting and transparency in the publication of performance information.</w:t>
      </w:r>
    </w:p>
    <w:p w:rsidR="00A53D7D" w:rsidRDefault="00A53D7D">
      <w:pPr>
        <w:spacing w:after="0"/>
      </w:pPr>
      <w:r>
        <w:br w:type="page"/>
      </w:r>
    </w:p>
    <w:p w:rsidR="00A53D7D" w:rsidRPr="00204234" w:rsidRDefault="00A53D7D" w:rsidP="005140B4">
      <w:pPr>
        <w:pStyle w:val="Heading1"/>
      </w:pPr>
      <w:bookmarkStart w:id="158" w:name="_Toc386364083"/>
      <w:bookmarkStart w:id="159" w:name="_Toc386541228"/>
      <w:bookmarkStart w:id="160" w:name="_Toc407116920"/>
      <w:r>
        <w:t>Department of Education and Early Childhood Development</w:t>
      </w:r>
      <w:bookmarkEnd w:id="158"/>
      <w:bookmarkEnd w:id="159"/>
      <w:bookmarkEnd w:id="160"/>
    </w:p>
    <w:tbl>
      <w:tblPr>
        <w:tblW w:w="7776" w:type="dxa"/>
        <w:tblInd w:w="29" w:type="dxa"/>
        <w:tblLayout w:type="fixed"/>
        <w:tblCellMar>
          <w:left w:w="43" w:type="dxa"/>
          <w:right w:w="43" w:type="dxa"/>
        </w:tblCellMar>
        <w:tblLook w:val="04A0" w:firstRow="1" w:lastRow="0" w:firstColumn="1" w:lastColumn="0" w:noHBand="0" w:noVBand="1"/>
      </w:tblPr>
      <w:tblGrid>
        <w:gridCol w:w="3152"/>
        <w:gridCol w:w="906"/>
        <w:gridCol w:w="908"/>
        <w:gridCol w:w="995"/>
        <w:gridCol w:w="908"/>
        <w:gridCol w:w="907"/>
      </w:tblGrid>
      <w:tr w:rsidR="00A53D7D" w:rsidRPr="00204234" w:rsidTr="005140B4">
        <w:trPr>
          <w:cantSplit/>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rPr>
        <w:tc>
          <w:tcPr>
            <w:tcW w:w="3155" w:type="dxa"/>
            <w:tcBorders>
              <w:top w:val="single" w:sz="4" w:space="0" w:color="auto"/>
              <w:left w:val="single" w:sz="4" w:space="0" w:color="000000"/>
              <w:bottom w:val="nil"/>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bottom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bottom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AD2A87" w:rsidTr="005140B4">
        <w:trPr>
          <w:cantSplit/>
        </w:trPr>
        <w:tc>
          <w:tcPr>
            <w:tcW w:w="7776" w:type="dxa"/>
            <w:gridSpan w:val="6"/>
            <w:tcBorders>
              <w:top w:val="nil"/>
              <w:left w:val="nil"/>
              <w:bottom w:val="single" w:sz="6" w:space="0" w:color="auto"/>
              <w:right w:val="nil"/>
            </w:tcBorders>
            <w:shd w:val="clear" w:color="auto" w:fill="auto"/>
            <w:vAlign w:val="bottom"/>
            <w:hideMark/>
          </w:tcPr>
          <w:p w:rsidR="00A53D7D" w:rsidRPr="004E67C3" w:rsidRDefault="00A53D7D" w:rsidP="005140B4">
            <w:pPr>
              <w:pStyle w:val="OGHeading2"/>
              <w:rPr>
                <w:szCs w:val="28"/>
                <w:lang w:eastAsia="en-AU"/>
              </w:rPr>
            </w:pPr>
            <w:r w:rsidRPr="004E67C3">
              <w:rPr>
                <w:szCs w:val="28"/>
                <w:lang w:eastAsia="en-AU"/>
              </w:rPr>
              <w:t>School Education – Secondary</w:t>
            </w:r>
          </w:p>
        </w:tc>
      </w:tr>
      <w:tr w:rsidR="00A53D7D" w:rsidRPr="00AD2A87" w:rsidTr="005140B4">
        <w:trPr>
          <w:cantSplit/>
        </w:trPr>
        <w:tc>
          <w:tcPr>
            <w:tcW w:w="3151" w:type="dxa"/>
            <w:tcBorders>
              <w:top w:val="single" w:sz="6" w:space="0" w:color="auto"/>
              <w:left w:val="nil"/>
              <w:bottom w:val="nil"/>
              <w:right w:val="nil"/>
            </w:tcBorders>
            <w:shd w:val="clear" w:color="auto" w:fill="auto"/>
            <w:vAlign w:val="bottom"/>
            <w:hideMark/>
          </w:tcPr>
          <w:p w:rsidR="00A53D7D" w:rsidRPr="00AD2A87" w:rsidRDefault="00A53D7D" w:rsidP="005140B4">
            <w:pPr>
              <w:pStyle w:val="OGTabHead"/>
              <w:rPr>
                <w:lang w:eastAsia="en-AU"/>
              </w:rPr>
            </w:pPr>
            <w:r w:rsidRPr="004B14D8">
              <w:rPr>
                <w:lang w:eastAsia="en-AU"/>
              </w:rPr>
              <w:t>Quality</w:t>
            </w:r>
          </w:p>
        </w:tc>
        <w:tc>
          <w:tcPr>
            <w:tcW w:w="907" w:type="dxa"/>
            <w:tcBorders>
              <w:top w:val="single" w:sz="6" w:space="0" w:color="auto"/>
              <w:left w:val="nil"/>
              <w:bottom w:val="nil"/>
              <w:right w:val="nil"/>
            </w:tcBorders>
            <w:shd w:val="clear" w:color="auto" w:fill="auto"/>
            <w:noWrap/>
            <w:hideMark/>
          </w:tcPr>
          <w:p w:rsidR="00A53D7D" w:rsidRPr="00AD2A87" w:rsidRDefault="00A53D7D" w:rsidP="005140B4">
            <w:pPr>
              <w:pStyle w:val="OGUoM"/>
              <w:rPr>
                <w:lang w:eastAsia="en-AU"/>
              </w:rPr>
            </w:pPr>
          </w:p>
        </w:tc>
        <w:tc>
          <w:tcPr>
            <w:tcW w:w="908" w:type="dxa"/>
            <w:tcBorders>
              <w:top w:val="single" w:sz="6" w:space="0" w:color="auto"/>
              <w:left w:val="nil"/>
              <w:bottom w:val="nil"/>
              <w:right w:val="nil"/>
            </w:tcBorders>
            <w:shd w:val="clear" w:color="auto" w:fill="D9D9D9"/>
            <w:noWrap/>
            <w:hideMark/>
          </w:tcPr>
          <w:p w:rsidR="00A53D7D" w:rsidRPr="00AD2A87" w:rsidRDefault="00A53D7D" w:rsidP="005140B4">
            <w:pPr>
              <w:pStyle w:val="OGTableofFigures"/>
              <w:rPr>
                <w:lang w:eastAsia="en-AU"/>
              </w:rPr>
            </w:pPr>
          </w:p>
        </w:tc>
        <w:tc>
          <w:tcPr>
            <w:tcW w:w="995" w:type="dxa"/>
            <w:tcBorders>
              <w:top w:val="single" w:sz="6" w:space="0" w:color="auto"/>
              <w:left w:val="nil"/>
              <w:bottom w:val="nil"/>
              <w:right w:val="nil"/>
            </w:tcBorders>
            <w:shd w:val="clear" w:color="auto" w:fill="auto"/>
            <w:noWrap/>
            <w:hideMark/>
          </w:tcPr>
          <w:p w:rsidR="00A53D7D" w:rsidRPr="00AD2A87" w:rsidRDefault="00A53D7D" w:rsidP="005140B4">
            <w:pPr>
              <w:pStyle w:val="OGTableofFigures"/>
              <w:rPr>
                <w:lang w:eastAsia="en-AU"/>
              </w:rPr>
            </w:pPr>
          </w:p>
        </w:tc>
        <w:tc>
          <w:tcPr>
            <w:tcW w:w="908" w:type="dxa"/>
            <w:tcBorders>
              <w:top w:val="single" w:sz="6" w:space="0" w:color="auto"/>
              <w:left w:val="nil"/>
              <w:bottom w:val="nil"/>
              <w:right w:val="nil"/>
            </w:tcBorders>
            <w:shd w:val="clear" w:color="auto" w:fill="auto"/>
            <w:noWrap/>
            <w:hideMark/>
          </w:tcPr>
          <w:p w:rsidR="00A53D7D" w:rsidRPr="00AD2A87" w:rsidRDefault="00A53D7D" w:rsidP="005140B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A53D7D" w:rsidRPr="00AD2A87" w:rsidRDefault="00A53D7D" w:rsidP="005140B4">
            <w:pPr>
              <w:pStyle w:val="OGTableofFigures"/>
              <w:rPr>
                <w:lang w:eastAsia="en-AU"/>
              </w:rPr>
            </w:pPr>
          </w:p>
        </w:tc>
      </w:tr>
      <w:tr w:rsidR="00A53D7D" w:rsidRPr="00AD2A87" w:rsidTr="005140B4">
        <w:trPr>
          <w:cantSplit/>
        </w:trPr>
        <w:tc>
          <w:tcPr>
            <w:tcW w:w="3151" w:type="dxa"/>
            <w:tcBorders>
              <w:top w:val="nil"/>
              <w:left w:val="nil"/>
              <w:right w:val="nil"/>
            </w:tcBorders>
            <w:shd w:val="clear" w:color="000000" w:fill="FFFFFF"/>
            <w:hideMark/>
          </w:tcPr>
          <w:p w:rsidR="00A53D7D" w:rsidRPr="00AD2A87" w:rsidRDefault="00A53D7D" w:rsidP="005140B4">
            <w:pPr>
              <w:pStyle w:val="OGTabText"/>
              <w:rPr>
                <w:lang w:eastAsia="en-AU"/>
              </w:rPr>
            </w:pPr>
            <w:proofErr w:type="spellStart"/>
            <w:r w:rsidRPr="004B14D8">
              <w:rPr>
                <w:lang w:eastAsia="en-AU"/>
              </w:rPr>
              <w:t>Statewide</w:t>
            </w:r>
            <w:proofErr w:type="spellEnd"/>
            <w:r w:rsidRPr="004B14D8">
              <w:rPr>
                <w:lang w:eastAsia="en-AU"/>
              </w:rPr>
              <w:t xml:space="preserve"> rate of transition from Year 10 to Year 11</w:t>
            </w:r>
          </w:p>
        </w:tc>
        <w:tc>
          <w:tcPr>
            <w:tcW w:w="907" w:type="dxa"/>
            <w:tcBorders>
              <w:top w:val="nil"/>
              <w:left w:val="nil"/>
              <w:right w:val="nil"/>
            </w:tcBorders>
            <w:shd w:val="clear" w:color="000000" w:fill="FFFFFF"/>
            <w:hideMark/>
          </w:tcPr>
          <w:p w:rsidR="00A53D7D" w:rsidRPr="00AD2A87" w:rsidRDefault="00A53D7D" w:rsidP="005140B4">
            <w:pPr>
              <w:pStyle w:val="OGUoM"/>
              <w:rPr>
                <w:lang w:eastAsia="en-AU"/>
              </w:rPr>
            </w:pPr>
            <w:r w:rsidRPr="004B14D8">
              <w:rPr>
                <w:lang w:eastAsia="en-AU"/>
              </w:rPr>
              <w:t>per cent</w:t>
            </w:r>
          </w:p>
        </w:tc>
        <w:tc>
          <w:tcPr>
            <w:tcW w:w="908" w:type="dxa"/>
            <w:tcBorders>
              <w:top w:val="nil"/>
              <w:left w:val="nil"/>
              <w:right w:val="nil"/>
            </w:tcBorders>
            <w:shd w:val="clear" w:color="auto" w:fill="D9D9D9"/>
            <w:hideMark/>
          </w:tcPr>
          <w:p w:rsidR="00A53D7D" w:rsidRPr="00AD2A87" w:rsidRDefault="00A53D7D" w:rsidP="005140B4">
            <w:pPr>
              <w:pStyle w:val="OGTableofFigures"/>
              <w:rPr>
                <w:lang w:eastAsia="en-AU"/>
              </w:rPr>
            </w:pPr>
            <w:r>
              <w:rPr>
                <w:lang w:eastAsia="en-AU"/>
              </w:rPr>
              <w:t>97.0</w:t>
            </w:r>
          </w:p>
        </w:tc>
        <w:tc>
          <w:tcPr>
            <w:tcW w:w="995" w:type="dxa"/>
            <w:tcBorders>
              <w:top w:val="nil"/>
              <w:left w:val="nil"/>
              <w:right w:val="nil"/>
            </w:tcBorders>
            <w:shd w:val="clear" w:color="000000" w:fill="FFFFFF"/>
            <w:hideMark/>
          </w:tcPr>
          <w:p w:rsidR="00A53D7D" w:rsidRPr="00AD2A87" w:rsidRDefault="00A53D7D" w:rsidP="005140B4">
            <w:pPr>
              <w:pStyle w:val="OGTableofFigures"/>
              <w:rPr>
                <w:lang w:eastAsia="en-AU"/>
              </w:rPr>
            </w:pPr>
            <w:r>
              <w:rPr>
                <w:lang w:eastAsia="en-AU"/>
              </w:rPr>
              <w:t>98.2</w:t>
            </w:r>
          </w:p>
        </w:tc>
        <w:tc>
          <w:tcPr>
            <w:tcW w:w="908" w:type="dxa"/>
            <w:tcBorders>
              <w:top w:val="nil"/>
              <w:left w:val="nil"/>
              <w:right w:val="nil"/>
            </w:tcBorders>
            <w:shd w:val="clear" w:color="000000" w:fill="FFFFFF"/>
            <w:hideMark/>
          </w:tcPr>
          <w:p w:rsidR="00A53D7D" w:rsidRPr="00AD2A87" w:rsidRDefault="00A53D7D" w:rsidP="005140B4">
            <w:pPr>
              <w:pStyle w:val="OGTableofFigures"/>
              <w:rPr>
                <w:lang w:eastAsia="en-AU"/>
              </w:rPr>
            </w:pPr>
            <w:r>
              <w:rPr>
                <w:lang w:eastAsia="en-AU"/>
              </w:rPr>
              <w:t>97.0</w:t>
            </w:r>
          </w:p>
        </w:tc>
        <w:tc>
          <w:tcPr>
            <w:tcW w:w="907" w:type="dxa"/>
            <w:tcBorders>
              <w:top w:val="nil"/>
              <w:left w:val="nil"/>
              <w:right w:val="nil"/>
            </w:tcBorders>
            <w:shd w:val="clear" w:color="000000" w:fill="FFFFFF"/>
            <w:hideMark/>
          </w:tcPr>
          <w:p w:rsidR="00A53D7D" w:rsidRPr="00AD2A87" w:rsidRDefault="00A53D7D" w:rsidP="005140B4">
            <w:pPr>
              <w:pStyle w:val="OGTableofFigures"/>
              <w:rPr>
                <w:lang w:eastAsia="en-AU"/>
              </w:rPr>
            </w:pPr>
            <w:r>
              <w:rPr>
                <w:lang w:eastAsia="en-AU"/>
              </w:rPr>
              <w:t>97.9</w:t>
            </w:r>
          </w:p>
        </w:tc>
      </w:tr>
      <w:tr w:rsidR="00A53D7D" w:rsidRPr="00AD2A87" w:rsidTr="005140B4">
        <w:trPr>
          <w:cantSplit/>
        </w:trPr>
        <w:tc>
          <w:tcPr>
            <w:tcW w:w="7776" w:type="dxa"/>
            <w:gridSpan w:val="6"/>
            <w:tcBorders>
              <w:top w:val="nil"/>
              <w:left w:val="nil"/>
              <w:bottom w:val="single" w:sz="12" w:space="0" w:color="auto"/>
              <w:right w:val="nil"/>
            </w:tcBorders>
            <w:shd w:val="clear" w:color="auto" w:fill="auto"/>
            <w:vAlign w:val="bottom"/>
            <w:hideMark/>
          </w:tcPr>
          <w:p w:rsidR="00A53D7D" w:rsidRDefault="00A53D7D" w:rsidP="005140B4">
            <w:pPr>
              <w:pStyle w:val="OGNotes"/>
              <w:spacing w:after="0"/>
            </w:pPr>
            <w:r>
              <w:t>This performance measure is proposed to be discontinued as it has been replaced by the 2014</w:t>
            </w:r>
            <w:r>
              <w:noBreakHyphen/>
              <w:t xml:space="preserve">15 performance measure 'Percentage of students who remain at school from Year 7 to Year 12', </w:t>
            </w:r>
            <w:r w:rsidRPr="00D656B8">
              <w:t xml:space="preserve">which reflects the </w:t>
            </w:r>
            <w:r>
              <w:t xml:space="preserve">engagement </w:t>
            </w:r>
            <w:r w:rsidRPr="00D656B8">
              <w:t>and retention rate of all students</w:t>
            </w:r>
            <w:r>
              <w:t>.</w:t>
            </w:r>
          </w:p>
          <w:p w:rsidR="00A53D7D" w:rsidRDefault="00A53D7D" w:rsidP="005140B4">
            <w:pPr>
              <w:pStyle w:val="OGNotes"/>
              <w:spacing w:after="0"/>
            </w:pPr>
            <w:r>
              <w:t>This performance measure relates to the calendar year.</w:t>
            </w:r>
          </w:p>
          <w:p w:rsidR="00A53D7D" w:rsidRDefault="00A53D7D" w:rsidP="005140B4">
            <w:pPr>
              <w:pStyle w:val="OGNotes"/>
              <w:spacing w:after="0"/>
            </w:pPr>
            <w:r>
              <w:t>Data based on the February school census.</w:t>
            </w:r>
          </w:p>
          <w:p w:rsidR="00A53D7D" w:rsidRPr="00AD2A87" w:rsidRDefault="00A53D7D" w:rsidP="005140B4">
            <w:pPr>
              <w:pStyle w:val="OGNotes"/>
              <w:spacing w:after="0"/>
            </w:pPr>
            <w:r>
              <w:t>This performance measure captures government schools only.</w:t>
            </w:r>
          </w:p>
        </w:tc>
      </w:tr>
    </w:tbl>
    <w:p w:rsidR="00A53D7D" w:rsidRDefault="00A53D7D" w:rsidP="005140B4">
      <w:pPr>
        <w:pStyle w:val="Source"/>
      </w:pPr>
      <w:r>
        <w:t>Source: Department of Education and Early Childhood Development</w:t>
      </w:r>
      <w:r>
        <w:fldChar w:fldCharType="begin"/>
      </w:r>
      <w:r>
        <w:instrText xml:space="preserve"> XE "</w:instrText>
      </w:r>
      <w:r w:rsidRPr="007D1E51">
        <w:instrText>Department of Education and Early Childhood Development:Output performance measures for review</w:instrText>
      </w:r>
      <w:r>
        <w:instrText xml:space="preserve">" </w:instrText>
      </w:r>
      <w:r>
        <w:fldChar w:fldCharType="end"/>
      </w:r>
    </w:p>
    <w:p w:rsidR="00A53D7D" w:rsidRPr="00863726" w:rsidRDefault="00A53D7D" w:rsidP="005140B4"/>
    <w:p w:rsidR="00A53D7D" w:rsidRDefault="00A53D7D">
      <w:pPr>
        <w:spacing w:after="0"/>
        <w:rPr>
          <w:rFonts w:ascii="Calibri" w:hAnsi="Calibri"/>
          <w:b/>
          <w:caps/>
          <w:sz w:val="26"/>
          <w:szCs w:val="22"/>
        </w:rPr>
      </w:pPr>
      <w:r>
        <w:br w:type="page"/>
      </w:r>
    </w:p>
    <w:p w:rsidR="00A53D7D" w:rsidRPr="00EE702E" w:rsidRDefault="00A53D7D" w:rsidP="005140B4">
      <w:pPr>
        <w:pStyle w:val="Heading1"/>
      </w:pPr>
      <w:bookmarkStart w:id="161" w:name="_Toc386364084"/>
      <w:bookmarkStart w:id="162" w:name="_Toc386541229"/>
      <w:bookmarkStart w:id="163" w:name="AppADEPI"/>
      <w:bookmarkStart w:id="164" w:name="_Toc407116921"/>
      <w:r>
        <w:t>Department of Environment and Primary Industries</w:t>
      </w:r>
      <w:bookmarkEnd w:id="161"/>
      <w:bookmarkEnd w:id="162"/>
      <w:bookmarkEnd w:id="164"/>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A6384E">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Tr="005140B4">
        <w:tblPrEx>
          <w:tblLook w:val="0000" w:firstRow="0" w:lastRow="0" w:firstColumn="0" w:lastColumn="0" w:noHBand="0" w:noVBand="0"/>
        </w:tblPrEx>
        <w:trPr>
          <w:cantSplit/>
        </w:trPr>
        <w:tc>
          <w:tcPr>
            <w:tcW w:w="7776" w:type="dxa"/>
            <w:gridSpan w:val="6"/>
            <w:shd w:val="clear" w:color="auto" w:fill="auto"/>
          </w:tcPr>
          <w:p w:rsidR="00A53D7D" w:rsidRDefault="00A53D7D" w:rsidP="005140B4">
            <w:pPr>
              <w:pStyle w:val="OGHeading2"/>
            </w:pPr>
            <w:r>
              <w:t>Agriculture</w:t>
            </w:r>
          </w:p>
        </w:tc>
      </w:tr>
      <w:tr w:rsidR="00A53D7D" w:rsidTr="005140B4">
        <w:tblPrEx>
          <w:tblLook w:val="0000" w:firstRow="0" w:lastRow="0" w:firstColumn="0" w:lastColumn="0" w:noHBand="0" w:noVBand="0"/>
        </w:tblPrEx>
        <w:trPr>
          <w:cantSplit/>
        </w:trPr>
        <w:tc>
          <w:tcPr>
            <w:tcW w:w="3155" w:type="dxa"/>
            <w:tcBorders>
              <w:top w:val="single" w:sz="6" w:space="0" w:color="auto"/>
              <w:left w:val="nil"/>
              <w:bottom w:val="nil"/>
              <w:right w:val="nil"/>
            </w:tcBorders>
            <w:shd w:val="clear" w:color="auto" w:fill="FFFFFF"/>
          </w:tcPr>
          <w:p w:rsidR="00A53D7D" w:rsidRDefault="00A53D7D" w:rsidP="005140B4">
            <w:pPr>
              <w:pStyle w:val="OGTabHead"/>
            </w:pPr>
            <w:r>
              <w:t>Quantity</w:t>
            </w:r>
          </w:p>
        </w:tc>
        <w:tc>
          <w:tcPr>
            <w:tcW w:w="907" w:type="dxa"/>
            <w:tcBorders>
              <w:top w:val="single" w:sz="6" w:space="0" w:color="auto"/>
              <w:left w:val="nil"/>
              <w:bottom w:val="nil"/>
              <w:right w:val="nil"/>
            </w:tcBorders>
            <w:shd w:val="clear" w:color="auto" w:fill="FFFFFF"/>
          </w:tcPr>
          <w:p w:rsidR="00A53D7D" w:rsidRDefault="00A53D7D" w:rsidP="005140B4">
            <w:pPr>
              <w:pStyle w:val="OGUoM"/>
            </w:pPr>
          </w:p>
        </w:tc>
        <w:tc>
          <w:tcPr>
            <w:tcW w:w="907" w:type="dxa"/>
            <w:tcBorders>
              <w:top w:val="single" w:sz="6" w:space="0" w:color="auto"/>
              <w:left w:val="nil"/>
              <w:bottom w:val="nil"/>
              <w:right w:val="nil"/>
            </w:tcBorders>
            <w:shd w:val="clear" w:color="auto" w:fill="D9D9D9"/>
          </w:tcPr>
          <w:p w:rsidR="00A53D7D" w:rsidRDefault="00A53D7D" w:rsidP="005140B4">
            <w:pPr>
              <w:pStyle w:val="OGTableofFigures"/>
            </w:pPr>
          </w:p>
        </w:tc>
        <w:tc>
          <w:tcPr>
            <w:tcW w:w="993" w:type="dxa"/>
            <w:tcBorders>
              <w:top w:val="single" w:sz="6" w:space="0" w:color="auto"/>
              <w:left w:val="nil"/>
              <w:bottom w:val="nil"/>
              <w:right w:val="nil"/>
            </w:tcBorders>
            <w:shd w:val="clear" w:color="auto" w:fill="FFFFFF"/>
          </w:tcPr>
          <w:p w:rsidR="00A53D7D" w:rsidRDefault="00A53D7D" w:rsidP="005140B4">
            <w:pPr>
              <w:pStyle w:val="OGTableofFigures"/>
            </w:pP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pP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pPr>
          </w:p>
        </w:tc>
      </w:tr>
      <w:tr w:rsidR="00A53D7D" w:rsidTr="005140B4">
        <w:tblPrEx>
          <w:tblLook w:val="0000" w:firstRow="0" w:lastRow="0" w:firstColumn="0" w:lastColumn="0" w:noHBand="0" w:noVBand="0"/>
        </w:tblPrEx>
        <w:trPr>
          <w:cantSplit/>
        </w:trPr>
        <w:tc>
          <w:tcPr>
            <w:tcW w:w="3155" w:type="dxa"/>
            <w:tcBorders>
              <w:top w:val="nil"/>
              <w:left w:val="nil"/>
              <w:bottom w:val="nil"/>
              <w:right w:val="nil"/>
            </w:tcBorders>
            <w:shd w:val="clear" w:color="auto" w:fill="FFFFFF"/>
          </w:tcPr>
          <w:p w:rsidR="00A53D7D" w:rsidRDefault="00A53D7D" w:rsidP="005140B4">
            <w:pPr>
              <w:pStyle w:val="OGTabText"/>
              <w:rPr>
                <w:sz w:val="18"/>
              </w:rPr>
            </w:pPr>
            <w:r>
              <w:rPr>
                <w:szCs w:val="20"/>
              </w:rPr>
              <w:t>Farmers supported to make better informed decisions to increase productivity through network services</w:t>
            </w:r>
          </w:p>
        </w:tc>
        <w:tc>
          <w:tcPr>
            <w:tcW w:w="907" w:type="dxa"/>
            <w:tcBorders>
              <w:top w:val="nil"/>
              <w:left w:val="nil"/>
              <w:bottom w:val="nil"/>
              <w:right w:val="nil"/>
            </w:tcBorders>
            <w:shd w:val="clear" w:color="auto" w:fill="FFFFFF"/>
          </w:tcPr>
          <w:p w:rsidR="00A53D7D" w:rsidRDefault="00A53D7D" w:rsidP="005140B4">
            <w:pPr>
              <w:pStyle w:val="OGUoM"/>
              <w:rPr>
                <w:sz w:val="18"/>
              </w:rPr>
            </w:pPr>
            <w:r>
              <w:t>number</w:t>
            </w:r>
          </w:p>
        </w:tc>
        <w:tc>
          <w:tcPr>
            <w:tcW w:w="907" w:type="dxa"/>
            <w:tcBorders>
              <w:top w:val="nil"/>
              <w:left w:val="nil"/>
              <w:bottom w:val="nil"/>
              <w:right w:val="nil"/>
            </w:tcBorders>
            <w:shd w:val="clear" w:color="auto" w:fill="D9D9D9"/>
          </w:tcPr>
          <w:p w:rsidR="00A53D7D" w:rsidRDefault="00A53D7D" w:rsidP="005140B4">
            <w:pPr>
              <w:pStyle w:val="OGTableofFigures"/>
              <w:rPr>
                <w:sz w:val="18"/>
              </w:rPr>
            </w:pPr>
            <w:r>
              <w:t>2 800</w:t>
            </w:r>
          </w:p>
        </w:tc>
        <w:tc>
          <w:tcPr>
            <w:tcW w:w="993" w:type="dxa"/>
            <w:tcBorders>
              <w:top w:val="nil"/>
              <w:left w:val="nil"/>
              <w:bottom w:val="nil"/>
              <w:right w:val="nil"/>
            </w:tcBorders>
            <w:shd w:val="clear" w:color="auto" w:fill="FFFFFF"/>
          </w:tcPr>
          <w:p w:rsidR="00A53D7D" w:rsidRDefault="00A53D7D" w:rsidP="005140B4">
            <w:pPr>
              <w:pStyle w:val="OGTableofFigures"/>
              <w:rPr>
                <w:sz w:val="18"/>
              </w:rPr>
            </w:pPr>
            <w:r>
              <w:t>2 950</w:t>
            </w:r>
          </w:p>
        </w:tc>
        <w:tc>
          <w:tcPr>
            <w:tcW w:w="907" w:type="dxa"/>
            <w:tcBorders>
              <w:top w:val="nil"/>
              <w:left w:val="nil"/>
              <w:bottom w:val="nil"/>
              <w:right w:val="nil"/>
            </w:tcBorders>
            <w:shd w:val="clear" w:color="auto" w:fill="FFFFFF"/>
          </w:tcPr>
          <w:p w:rsidR="00A53D7D" w:rsidRDefault="00A53D7D" w:rsidP="005140B4">
            <w:pPr>
              <w:pStyle w:val="OGTableofFigures"/>
              <w:rPr>
                <w:sz w:val="18"/>
              </w:rPr>
            </w:pPr>
            <w:r>
              <w:t>2 800</w:t>
            </w:r>
          </w:p>
        </w:tc>
        <w:tc>
          <w:tcPr>
            <w:tcW w:w="907" w:type="dxa"/>
            <w:tcBorders>
              <w:top w:val="nil"/>
              <w:left w:val="nil"/>
              <w:bottom w:val="nil"/>
              <w:right w:val="nil"/>
            </w:tcBorders>
            <w:shd w:val="clear" w:color="auto" w:fill="FFFFFF"/>
          </w:tcPr>
          <w:p w:rsidR="00A53D7D" w:rsidRDefault="00A53D7D" w:rsidP="005140B4">
            <w:pPr>
              <w:pStyle w:val="OGTableofFigures"/>
              <w:rPr>
                <w:sz w:val="18"/>
              </w:rPr>
            </w:pPr>
            <w:r>
              <w:t>3 016</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6" w:space="0" w:color="auto"/>
              <w:right w:val="nil"/>
            </w:tcBorders>
            <w:shd w:val="clear" w:color="auto" w:fill="FFFFFF"/>
          </w:tcPr>
          <w:p w:rsidR="00A53D7D" w:rsidRDefault="00A53D7D" w:rsidP="005140B4">
            <w:pPr>
              <w:pStyle w:val="OGNotes"/>
            </w:pPr>
            <w:r>
              <w:t>This performance measure is proposed to be discontinued as the new 2014</w:t>
            </w:r>
            <w:r>
              <w:noBreakHyphen/>
              <w:t xml:space="preserve">15 performance measure ‘Clients engaged with agriculture productivity services’ more accurately describes the activities undertaken. </w:t>
            </w:r>
          </w:p>
          <w:p w:rsidR="00A53D7D" w:rsidRPr="00243DFF" w:rsidRDefault="00A53D7D" w:rsidP="005140B4">
            <w:pPr>
              <w:pStyle w:val="OGNotes"/>
              <w:rPr>
                <w:sz w:val="18"/>
                <w:szCs w:val="18"/>
              </w:rPr>
            </w:pPr>
            <w:r>
              <w:t>The 2013</w:t>
            </w:r>
            <w:r>
              <w:noBreakHyphen/>
              <w:t>14 expected outcome is higher than the 2013</w:t>
            </w:r>
            <w:r>
              <w:noBreakHyphen/>
              <w:t>14 target due to the planned establishment of two new dairy network groups in the second half of 2013</w:t>
            </w:r>
            <w:r>
              <w:noBreakHyphen/>
              <w:t>14.</w:t>
            </w:r>
          </w:p>
        </w:tc>
      </w:tr>
      <w:tr w:rsidR="00A53D7D" w:rsidTr="005140B4">
        <w:tblPrEx>
          <w:tblLook w:val="0000" w:firstRow="0" w:lastRow="0" w:firstColumn="0" w:lastColumn="0" w:noHBand="0" w:noVBand="0"/>
        </w:tblPrEx>
        <w:trPr>
          <w:cantSplit/>
        </w:trPr>
        <w:tc>
          <w:tcPr>
            <w:tcW w:w="3155" w:type="dxa"/>
            <w:tcBorders>
              <w:top w:val="single" w:sz="6" w:space="0" w:color="auto"/>
              <w:left w:val="nil"/>
              <w:bottom w:val="nil"/>
              <w:right w:val="nil"/>
            </w:tcBorders>
            <w:shd w:val="clear" w:color="auto" w:fill="FFFFFF"/>
          </w:tcPr>
          <w:p w:rsidR="00A53D7D" w:rsidRDefault="00A53D7D" w:rsidP="005140B4">
            <w:pPr>
              <w:pStyle w:val="OGTabText"/>
              <w:rPr>
                <w:sz w:val="16"/>
                <w:szCs w:val="16"/>
              </w:rPr>
            </w:pPr>
            <w:r>
              <w:rPr>
                <w:szCs w:val="20"/>
              </w:rPr>
              <w:t>Formal evaluations that measure improvement to industry productivity</w:t>
            </w:r>
          </w:p>
        </w:tc>
        <w:tc>
          <w:tcPr>
            <w:tcW w:w="907" w:type="dxa"/>
            <w:tcBorders>
              <w:top w:val="single" w:sz="6" w:space="0" w:color="auto"/>
              <w:left w:val="nil"/>
              <w:bottom w:val="nil"/>
              <w:right w:val="nil"/>
            </w:tcBorders>
            <w:shd w:val="clear" w:color="auto" w:fill="FFFFFF"/>
          </w:tcPr>
          <w:p w:rsidR="00A53D7D" w:rsidRDefault="00A53D7D" w:rsidP="005140B4">
            <w:pPr>
              <w:pStyle w:val="OGUoM"/>
              <w:rPr>
                <w:sz w:val="16"/>
                <w:szCs w:val="16"/>
              </w:rPr>
            </w:pPr>
            <w:r>
              <w:t>number</w:t>
            </w:r>
          </w:p>
        </w:tc>
        <w:tc>
          <w:tcPr>
            <w:tcW w:w="907" w:type="dxa"/>
            <w:tcBorders>
              <w:top w:val="single" w:sz="6" w:space="0" w:color="auto"/>
              <w:left w:val="nil"/>
              <w:bottom w:val="nil"/>
              <w:right w:val="nil"/>
            </w:tcBorders>
            <w:shd w:val="clear" w:color="auto" w:fill="D9D9D9"/>
          </w:tcPr>
          <w:p w:rsidR="00A53D7D" w:rsidRDefault="00A53D7D" w:rsidP="005140B4">
            <w:pPr>
              <w:pStyle w:val="OGTableofFigures"/>
              <w:rPr>
                <w:sz w:val="16"/>
                <w:szCs w:val="16"/>
              </w:rPr>
            </w:pPr>
            <w:r>
              <w:t>4</w:t>
            </w:r>
          </w:p>
        </w:tc>
        <w:tc>
          <w:tcPr>
            <w:tcW w:w="993" w:type="dxa"/>
            <w:tcBorders>
              <w:top w:val="single" w:sz="6" w:space="0" w:color="auto"/>
              <w:left w:val="nil"/>
              <w:bottom w:val="nil"/>
              <w:right w:val="nil"/>
            </w:tcBorders>
            <w:shd w:val="clear" w:color="auto" w:fill="FFFFFF"/>
          </w:tcPr>
          <w:p w:rsidR="00A53D7D" w:rsidRDefault="00A53D7D" w:rsidP="005140B4">
            <w:pPr>
              <w:pStyle w:val="OGTableofFigures"/>
              <w:rPr>
                <w:sz w:val="16"/>
                <w:szCs w:val="16"/>
              </w:rPr>
            </w:pPr>
            <w:r>
              <w:t>4</w:t>
            </w: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rPr>
                <w:sz w:val="16"/>
                <w:szCs w:val="16"/>
              </w:rPr>
            </w:pPr>
            <w:r>
              <w:t>4</w:t>
            </w: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rPr>
                <w:sz w:val="16"/>
                <w:szCs w:val="16"/>
              </w:rPr>
            </w:pPr>
            <w:r>
              <w:t>4</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6" w:space="0" w:color="auto"/>
              <w:right w:val="nil"/>
            </w:tcBorders>
            <w:shd w:val="clear" w:color="auto" w:fill="FFFFFF"/>
          </w:tcPr>
          <w:p w:rsidR="00A53D7D" w:rsidRDefault="00A53D7D" w:rsidP="005140B4">
            <w:pPr>
              <w:pStyle w:val="OGNotes"/>
            </w:pPr>
            <w:r>
              <w:t>This performance measure is proposed to be discontinued as the improvement to industry productivity is more appropriately assessed through the relevant departmental objective indicators.</w:t>
            </w:r>
          </w:p>
        </w:tc>
      </w:tr>
      <w:tr w:rsidR="00A53D7D" w:rsidTr="005140B4">
        <w:tblPrEx>
          <w:tblLook w:val="0000" w:firstRow="0" w:lastRow="0" w:firstColumn="0" w:lastColumn="0" w:noHBand="0" w:noVBand="0"/>
        </w:tblPrEx>
        <w:trPr>
          <w:cantSplit/>
        </w:trPr>
        <w:tc>
          <w:tcPr>
            <w:tcW w:w="3155" w:type="dxa"/>
            <w:tcBorders>
              <w:top w:val="single" w:sz="6" w:space="0" w:color="auto"/>
              <w:left w:val="nil"/>
              <w:bottom w:val="nil"/>
              <w:right w:val="nil"/>
            </w:tcBorders>
            <w:shd w:val="clear" w:color="auto" w:fill="FFFFFF"/>
          </w:tcPr>
          <w:p w:rsidR="00A53D7D" w:rsidRDefault="00A53D7D" w:rsidP="005140B4">
            <w:pPr>
              <w:pStyle w:val="OGTabText"/>
              <w:rPr>
                <w:sz w:val="16"/>
                <w:szCs w:val="16"/>
              </w:rPr>
            </w:pPr>
            <w:r>
              <w:rPr>
                <w:szCs w:val="20"/>
              </w:rPr>
              <w:t>International scientific workshops/conferences led/organised by DEPI to promote science leadership among peers</w:t>
            </w:r>
          </w:p>
        </w:tc>
        <w:tc>
          <w:tcPr>
            <w:tcW w:w="907" w:type="dxa"/>
            <w:tcBorders>
              <w:top w:val="single" w:sz="6" w:space="0" w:color="auto"/>
              <w:left w:val="nil"/>
              <w:bottom w:val="nil"/>
              <w:right w:val="nil"/>
            </w:tcBorders>
            <w:shd w:val="clear" w:color="auto" w:fill="FFFFFF"/>
          </w:tcPr>
          <w:p w:rsidR="00A53D7D" w:rsidRDefault="00A53D7D" w:rsidP="005140B4">
            <w:pPr>
              <w:pStyle w:val="OGUoM"/>
              <w:rPr>
                <w:sz w:val="16"/>
                <w:szCs w:val="16"/>
              </w:rPr>
            </w:pPr>
            <w:r>
              <w:t>number</w:t>
            </w:r>
          </w:p>
        </w:tc>
        <w:tc>
          <w:tcPr>
            <w:tcW w:w="907" w:type="dxa"/>
            <w:tcBorders>
              <w:top w:val="single" w:sz="6" w:space="0" w:color="auto"/>
              <w:left w:val="nil"/>
              <w:bottom w:val="nil"/>
              <w:right w:val="nil"/>
            </w:tcBorders>
            <w:shd w:val="clear" w:color="auto" w:fill="D9D9D9"/>
          </w:tcPr>
          <w:p w:rsidR="00A53D7D" w:rsidRDefault="00A53D7D" w:rsidP="005140B4">
            <w:pPr>
              <w:pStyle w:val="OGTableofFigures"/>
              <w:rPr>
                <w:sz w:val="16"/>
                <w:szCs w:val="16"/>
              </w:rPr>
            </w:pPr>
            <w:r>
              <w:t>4</w:t>
            </w:r>
          </w:p>
        </w:tc>
        <w:tc>
          <w:tcPr>
            <w:tcW w:w="993" w:type="dxa"/>
            <w:tcBorders>
              <w:top w:val="single" w:sz="6" w:space="0" w:color="auto"/>
              <w:left w:val="nil"/>
              <w:bottom w:val="nil"/>
              <w:right w:val="nil"/>
            </w:tcBorders>
            <w:shd w:val="clear" w:color="auto" w:fill="FFFFFF"/>
          </w:tcPr>
          <w:p w:rsidR="00A53D7D" w:rsidRDefault="00A53D7D" w:rsidP="005140B4">
            <w:pPr>
              <w:pStyle w:val="OGTableofFigures"/>
              <w:rPr>
                <w:sz w:val="16"/>
                <w:szCs w:val="16"/>
              </w:rPr>
            </w:pPr>
            <w:r>
              <w:t>4</w:t>
            </w: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rPr>
                <w:sz w:val="16"/>
                <w:szCs w:val="16"/>
              </w:rPr>
            </w:pPr>
            <w:r>
              <w:t>4</w:t>
            </w: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rPr>
                <w:sz w:val="16"/>
                <w:szCs w:val="16"/>
              </w:rPr>
            </w:pPr>
            <w:r>
              <w:t>4</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6" w:space="0" w:color="auto"/>
              <w:right w:val="nil"/>
            </w:tcBorders>
            <w:shd w:val="clear" w:color="auto" w:fill="FFFFFF"/>
          </w:tcPr>
          <w:p w:rsidR="00A53D7D" w:rsidRDefault="00A53D7D" w:rsidP="005140B4">
            <w:pPr>
              <w:pStyle w:val="OGNotes"/>
            </w:pPr>
            <w:r>
              <w:t>This performance measure is proposed to be discontinued as it is no longer significant enough to adequately reflect outputs and outcomes.</w:t>
            </w:r>
          </w:p>
        </w:tc>
      </w:tr>
      <w:tr w:rsidR="00A53D7D" w:rsidTr="005140B4">
        <w:tblPrEx>
          <w:tblLook w:val="0000" w:firstRow="0" w:lastRow="0" w:firstColumn="0" w:lastColumn="0" w:noHBand="0" w:noVBand="0"/>
        </w:tblPrEx>
        <w:trPr>
          <w:cantSplit/>
        </w:trPr>
        <w:tc>
          <w:tcPr>
            <w:tcW w:w="3155" w:type="dxa"/>
            <w:tcBorders>
              <w:top w:val="single" w:sz="6" w:space="0" w:color="auto"/>
              <w:left w:val="nil"/>
              <w:bottom w:val="nil"/>
              <w:right w:val="nil"/>
            </w:tcBorders>
            <w:shd w:val="clear" w:color="auto" w:fill="FFFFFF"/>
          </w:tcPr>
          <w:p w:rsidR="00A53D7D" w:rsidRDefault="00A53D7D" w:rsidP="005140B4">
            <w:pPr>
              <w:pStyle w:val="OGTabText"/>
              <w:rPr>
                <w:sz w:val="16"/>
                <w:szCs w:val="16"/>
              </w:rPr>
            </w:pPr>
            <w:r>
              <w:rPr>
                <w:szCs w:val="20"/>
              </w:rPr>
              <w:t>Significant stakeholder interactions on climate variability, adaptation and risk management</w:t>
            </w:r>
          </w:p>
        </w:tc>
        <w:tc>
          <w:tcPr>
            <w:tcW w:w="907" w:type="dxa"/>
            <w:tcBorders>
              <w:top w:val="single" w:sz="6" w:space="0" w:color="auto"/>
              <w:left w:val="nil"/>
              <w:bottom w:val="nil"/>
              <w:right w:val="nil"/>
            </w:tcBorders>
            <w:shd w:val="clear" w:color="auto" w:fill="FFFFFF"/>
          </w:tcPr>
          <w:p w:rsidR="00A53D7D" w:rsidRDefault="00A53D7D" w:rsidP="005140B4">
            <w:pPr>
              <w:pStyle w:val="OGUoM"/>
              <w:rPr>
                <w:sz w:val="16"/>
                <w:szCs w:val="16"/>
              </w:rPr>
            </w:pPr>
            <w:r>
              <w:t>number</w:t>
            </w:r>
          </w:p>
        </w:tc>
        <w:tc>
          <w:tcPr>
            <w:tcW w:w="907" w:type="dxa"/>
            <w:tcBorders>
              <w:top w:val="single" w:sz="6" w:space="0" w:color="auto"/>
              <w:left w:val="nil"/>
              <w:bottom w:val="nil"/>
              <w:right w:val="nil"/>
            </w:tcBorders>
            <w:shd w:val="clear" w:color="auto" w:fill="D9D9D9"/>
          </w:tcPr>
          <w:p w:rsidR="00A53D7D" w:rsidRDefault="00A53D7D" w:rsidP="005140B4">
            <w:pPr>
              <w:pStyle w:val="OGTableofFigures"/>
              <w:rPr>
                <w:sz w:val="16"/>
                <w:szCs w:val="16"/>
              </w:rPr>
            </w:pPr>
            <w:r>
              <w:t>420</w:t>
            </w:r>
          </w:p>
        </w:tc>
        <w:tc>
          <w:tcPr>
            <w:tcW w:w="993" w:type="dxa"/>
            <w:tcBorders>
              <w:top w:val="single" w:sz="6" w:space="0" w:color="auto"/>
              <w:left w:val="nil"/>
              <w:bottom w:val="nil"/>
              <w:right w:val="nil"/>
            </w:tcBorders>
            <w:shd w:val="clear" w:color="auto" w:fill="FFFFFF"/>
          </w:tcPr>
          <w:p w:rsidR="00A53D7D" w:rsidRDefault="00A53D7D" w:rsidP="005140B4">
            <w:pPr>
              <w:pStyle w:val="OGTableofFigures"/>
              <w:rPr>
                <w:sz w:val="16"/>
                <w:szCs w:val="16"/>
              </w:rPr>
            </w:pPr>
            <w:r>
              <w:t>503</w:t>
            </w: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rPr>
                <w:sz w:val="16"/>
                <w:szCs w:val="16"/>
              </w:rPr>
            </w:pPr>
            <w:r>
              <w:t>420</w:t>
            </w: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rPr>
                <w:sz w:val="16"/>
                <w:szCs w:val="16"/>
              </w:rPr>
            </w:pPr>
            <w:r>
              <w:t>1 527</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6" w:space="0" w:color="auto"/>
              <w:right w:val="nil"/>
            </w:tcBorders>
            <w:shd w:val="clear" w:color="auto" w:fill="FFFFFF"/>
          </w:tcPr>
          <w:p w:rsidR="00A53D7D" w:rsidRDefault="00A53D7D" w:rsidP="005140B4">
            <w:pPr>
              <w:pStyle w:val="OGNotes"/>
            </w:pPr>
            <w:r>
              <w:t>This performance measure is proposed to be discontinued as the new 2014</w:t>
            </w:r>
            <w:r>
              <w:noBreakHyphen/>
              <w:t>15 performance measure ‘Clients engaged with agriculture productivity services’ more accurately describes the activities undertaken.</w:t>
            </w:r>
          </w:p>
          <w:p w:rsidR="00A53D7D" w:rsidRDefault="00A53D7D" w:rsidP="005140B4">
            <w:pPr>
              <w:pStyle w:val="OGNotes"/>
            </w:pPr>
            <w:r>
              <w:t>The 2013</w:t>
            </w:r>
            <w:r>
              <w:noBreakHyphen/>
              <w:t>14 expected outcome is higher than the 2013</w:t>
            </w:r>
            <w:r>
              <w:noBreakHyphen/>
              <w:t>14 target due to the increased emphasis placed on stakeholder interactions on climate variability, adaptation and risk management.</w:t>
            </w:r>
          </w:p>
        </w:tc>
      </w:tr>
      <w:tr w:rsidR="00A53D7D" w:rsidTr="005140B4">
        <w:tblPrEx>
          <w:tblLook w:val="0000" w:firstRow="0" w:lastRow="0" w:firstColumn="0" w:lastColumn="0" w:noHBand="0" w:noVBand="0"/>
        </w:tblPrEx>
        <w:trPr>
          <w:cantSplit/>
        </w:trPr>
        <w:tc>
          <w:tcPr>
            <w:tcW w:w="3155" w:type="dxa"/>
            <w:tcBorders>
              <w:top w:val="single" w:sz="6" w:space="0" w:color="auto"/>
              <w:left w:val="nil"/>
              <w:bottom w:val="nil"/>
              <w:right w:val="nil"/>
            </w:tcBorders>
            <w:shd w:val="clear" w:color="auto" w:fill="FFFFFF"/>
          </w:tcPr>
          <w:p w:rsidR="00A53D7D" w:rsidRDefault="00A53D7D" w:rsidP="005140B4">
            <w:pPr>
              <w:pStyle w:val="OGTabHead"/>
              <w:rPr>
                <w:sz w:val="16"/>
                <w:szCs w:val="16"/>
              </w:rPr>
            </w:pPr>
            <w:r>
              <w:t>Quality</w:t>
            </w:r>
          </w:p>
        </w:tc>
        <w:tc>
          <w:tcPr>
            <w:tcW w:w="907" w:type="dxa"/>
            <w:tcBorders>
              <w:top w:val="single" w:sz="6" w:space="0" w:color="auto"/>
              <w:left w:val="nil"/>
              <w:bottom w:val="nil"/>
              <w:right w:val="nil"/>
            </w:tcBorders>
            <w:shd w:val="clear" w:color="auto" w:fill="FFFFFF"/>
          </w:tcPr>
          <w:p w:rsidR="00A53D7D" w:rsidRDefault="00A53D7D" w:rsidP="005140B4">
            <w:pPr>
              <w:pStyle w:val="OGUoM"/>
            </w:pPr>
          </w:p>
        </w:tc>
        <w:tc>
          <w:tcPr>
            <w:tcW w:w="907" w:type="dxa"/>
            <w:tcBorders>
              <w:top w:val="single" w:sz="6" w:space="0" w:color="auto"/>
              <w:left w:val="nil"/>
              <w:bottom w:val="nil"/>
              <w:right w:val="nil"/>
            </w:tcBorders>
            <w:shd w:val="clear" w:color="auto" w:fill="D9D9D9"/>
          </w:tcPr>
          <w:p w:rsidR="00A53D7D" w:rsidRDefault="00A53D7D" w:rsidP="005140B4">
            <w:pPr>
              <w:pStyle w:val="OGTableofFigures"/>
            </w:pPr>
          </w:p>
        </w:tc>
        <w:tc>
          <w:tcPr>
            <w:tcW w:w="993" w:type="dxa"/>
            <w:tcBorders>
              <w:top w:val="single" w:sz="6" w:space="0" w:color="auto"/>
              <w:left w:val="nil"/>
              <w:bottom w:val="nil"/>
              <w:right w:val="nil"/>
            </w:tcBorders>
            <w:shd w:val="clear" w:color="auto" w:fill="FFFFFF"/>
          </w:tcPr>
          <w:p w:rsidR="00A53D7D" w:rsidRDefault="00A53D7D" w:rsidP="005140B4">
            <w:pPr>
              <w:pStyle w:val="OGTableofFigures"/>
            </w:pP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pP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pPr>
          </w:p>
        </w:tc>
      </w:tr>
      <w:tr w:rsidR="00A53D7D" w:rsidTr="005140B4">
        <w:tblPrEx>
          <w:tblLook w:val="0000" w:firstRow="0" w:lastRow="0" w:firstColumn="0" w:lastColumn="0" w:noHBand="0" w:noVBand="0"/>
        </w:tblPrEx>
        <w:trPr>
          <w:cantSplit/>
        </w:trPr>
        <w:tc>
          <w:tcPr>
            <w:tcW w:w="3155" w:type="dxa"/>
            <w:tcBorders>
              <w:top w:val="nil"/>
              <w:left w:val="nil"/>
              <w:bottom w:val="nil"/>
              <w:right w:val="nil"/>
            </w:tcBorders>
            <w:shd w:val="clear" w:color="auto" w:fill="FFFFFF"/>
          </w:tcPr>
          <w:p w:rsidR="00A53D7D" w:rsidRDefault="00A53D7D" w:rsidP="005140B4">
            <w:pPr>
              <w:pStyle w:val="OGTabText"/>
              <w:rPr>
                <w:sz w:val="18"/>
              </w:rPr>
            </w:pPr>
            <w:r>
              <w:rPr>
                <w:szCs w:val="20"/>
              </w:rPr>
              <w:t>Clients are satisfied that services are accessible, timely and relevant</w:t>
            </w:r>
          </w:p>
        </w:tc>
        <w:tc>
          <w:tcPr>
            <w:tcW w:w="907" w:type="dxa"/>
            <w:tcBorders>
              <w:top w:val="nil"/>
              <w:left w:val="nil"/>
              <w:bottom w:val="nil"/>
              <w:right w:val="nil"/>
            </w:tcBorders>
            <w:shd w:val="clear" w:color="auto" w:fill="FFFFFF"/>
          </w:tcPr>
          <w:p w:rsidR="00A53D7D" w:rsidRDefault="00A53D7D" w:rsidP="005140B4">
            <w:pPr>
              <w:pStyle w:val="OGUoM"/>
              <w:rPr>
                <w:sz w:val="18"/>
              </w:rPr>
            </w:pPr>
            <w:r>
              <w:t>per cent</w:t>
            </w:r>
          </w:p>
        </w:tc>
        <w:tc>
          <w:tcPr>
            <w:tcW w:w="907" w:type="dxa"/>
            <w:tcBorders>
              <w:top w:val="nil"/>
              <w:left w:val="nil"/>
              <w:bottom w:val="nil"/>
              <w:right w:val="nil"/>
            </w:tcBorders>
            <w:shd w:val="clear" w:color="auto" w:fill="D9D9D9"/>
          </w:tcPr>
          <w:p w:rsidR="00A53D7D" w:rsidRDefault="00A53D7D" w:rsidP="005140B4">
            <w:pPr>
              <w:pStyle w:val="OGTableofFigures"/>
              <w:rPr>
                <w:sz w:val="18"/>
              </w:rPr>
            </w:pPr>
            <w:r>
              <w:t>&gt; 80</w:t>
            </w:r>
          </w:p>
        </w:tc>
        <w:tc>
          <w:tcPr>
            <w:tcW w:w="993" w:type="dxa"/>
            <w:tcBorders>
              <w:top w:val="nil"/>
              <w:left w:val="nil"/>
              <w:bottom w:val="nil"/>
              <w:right w:val="nil"/>
            </w:tcBorders>
            <w:shd w:val="clear" w:color="auto" w:fill="FFFFFF"/>
          </w:tcPr>
          <w:p w:rsidR="00A53D7D" w:rsidRDefault="00A53D7D" w:rsidP="005140B4">
            <w:pPr>
              <w:pStyle w:val="OGTableofFigures"/>
              <w:rPr>
                <w:sz w:val="18"/>
              </w:rPr>
            </w:pPr>
            <w:r>
              <w:t>&gt; 80</w:t>
            </w:r>
          </w:p>
        </w:tc>
        <w:tc>
          <w:tcPr>
            <w:tcW w:w="907" w:type="dxa"/>
            <w:tcBorders>
              <w:top w:val="nil"/>
              <w:left w:val="nil"/>
              <w:bottom w:val="nil"/>
              <w:right w:val="nil"/>
            </w:tcBorders>
            <w:shd w:val="clear" w:color="auto" w:fill="FFFFFF"/>
          </w:tcPr>
          <w:p w:rsidR="00A53D7D" w:rsidRDefault="00A53D7D" w:rsidP="005140B4">
            <w:pPr>
              <w:pStyle w:val="OGTableofFigures"/>
              <w:rPr>
                <w:sz w:val="18"/>
              </w:rPr>
            </w:pPr>
            <w:r>
              <w:t>&gt; 80</w:t>
            </w:r>
          </w:p>
        </w:tc>
        <w:tc>
          <w:tcPr>
            <w:tcW w:w="907" w:type="dxa"/>
            <w:tcBorders>
              <w:top w:val="nil"/>
              <w:left w:val="nil"/>
              <w:bottom w:val="nil"/>
              <w:right w:val="nil"/>
            </w:tcBorders>
            <w:shd w:val="clear" w:color="auto" w:fill="FFFFFF"/>
          </w:tcPr>
          <w:p w:rsidR="00A53D7D" w:rsidRDefault="00A53D7D" w:rsidP="005140B4">
            <w:pPr>
              <w:pStyle w:val="OGTableofFigures"/>
              <w:rPr>
                <w:sz w:val="18"/>
              </w:rPr>
            </w:pPr>
            <w:proofErr w:type="spellStart"/>
            <w:r>
              <w:t>na</w:t>
            </w:r>
            <w:proofErr w:type="spellEnd"/>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6" w:space="0" w:color="auto"/>
              <w:right w:val="nil"/>
            </w:tcBorders>
            <w:shd w:val="clear" w:color="auto" w:fill="FFFFFF"/>
          </w:tcPr>
          <w:p w:rsidR="00A53D7D" w:rsidRPr="005E5C4D" w:rsidRDefault="00A53D7D" w:rsidP="005140B4">
            <w:pPr>
              <w:pStyle w:val="OGNotes"/>
            </w:pPr>
            <w:r>
              <w:t>This performance measure is proposed to be discontinued as it has been replaced by the 2014</w:t>
            </w:r>
            <w:r>
              <w:noBreakHyphen/>
              <w:t>15 performance measure ‘Clients satisfaction rating of agricultural productivity services’. It has been</w:t>
            </w:r>
            <w:r w:rsidRPr="005E5444">
              <w:t xml:space="preserve"> amended to reflect a new </w:t>
            </w:r>
            <w:r>
              <w:t>unit of measure which will enable</w:t>
            </w:r>
            <w:r w:rsidRPr="005E5444">
              <w:t xml:space="preserve"> more frequent reporting of results.</w:t>
            </w:r>
            <w:r>
              <w:t xml:space="preserve"> This is a bi</w:t>
            </w:r>
            <w:r>
              <w:noBreakHyphen/>
              <w:t>annual measure with a 2013</w:t>
            </w:r>
            <w:r>
              <w:noBreakHyphen/>
              <w:t>14 target.</w:t>
            </w:r>
          </w:p>
        </w:tc>
      </w:tr>
      <w:tr w:rsidR="00A53D7D" w:rsidTr="005140B4">
        <w:tblPrEx>
          <w:tblLook w:val="0000" w:firstRow="0" w:lastRow="0" w:firstColumn="0" w:lastColumn="0" w:noHBand="0" w:noVBand="0"/>
        </w:tblPrEx>
        <w:trPr>
          <w:cantSplit/>
        </w:trPr>
        <w:tc>
          <w:tcPr>
            <w:tcW w:w="3155" w:type="dxa"/>
            <w:tcBorders>
              <w:top w:val="single" w:sz="6" w:space="0" w:color="auto"/>
              <w:left w:val="nil"/>
              <w:bottom w:val="nil"/>
              <w:right w:val="nil"/>
            </w:tcBorders>
            <w:shd w:val="clear" w:color="auto" w:fill="FFFFFF"/>
          </w:tcPr>
          <w:p w:rsidR="00A53D7D" w:rsidRDefault="00A53D7D" w:rsidP="005140B4">
            <w:pPr>
              <w:pStyle w:val="OGTabText"/>
              <w:keepNext/>
              <w:rPr>
                <w:sz w:val="16"/>
                <w:szCs w:val="16"/>
              </w:rPr>
            </w:pPr>
            <w:r>
              <w:rPr>
                <w:szCs w:val="20"/>
              </w:rPr>
              <w:t>Proportion of practice change and technical publications submitted to conference proceedings and peer review journals that are accepted for publication</w:t>
            </w:r>
          </w:p>
        </w:tc>
        <w:tc>
          <w:tcPr>
            <w:tcW w:w="907" w:type="dxa"/>
            <w:tcBorders>
              <w:top w:val="single" w:sz="6" w:space="0" w:color="auto"/>
              <w:left w:val="nil"/>
              <w:bottom w:val="nil"/>
              <w:right w:val="nil"/>
            </w:tcBorders>
            <w:shd w:val="clear" w:color="auto" w:fill="FFFFFF"/>
          </w:tcPr>
          <w:p w:rsidR="00A53D7D" w:rsidRDefault="00A53D7D" w:rsidP="005140B4">
            <w:pPr>
              <w:pStyle w:val="OGUoM"/>
              <w:keepNext/>
              <w:rPr>
                <w:sz w:val="16"/>
                <w:szCs w:val="16"/>
              </w:rPr>
            </w:pPr>
            <w:r>
              <w:t>per cent</w:t>
            </w:r>
          </w:p>
        </w:tc>
        <w:tc>
          <w:tcPr>
            <w:tcW w:w="907" w:type="dxa"/>
            <w:tcBorders>
              <w:top w:val="single" w:sz="6" w:space="0" w:color="auto"/>
              <w:left w:val="nil"/>
              <w:bottom w:val="nil"/>
              <w:right w:val="nil"/>
            </w:tcBorders>
            <w:shd w:val="clear" w:color="auto" w:fill="D9D9D9"/>
          </w:tcPr>
          <w:p w:rsidR="00A53D7D" w:rsidRDefault="00A53D7D" w:rsidP="005140B4">
            <w:pPr>
              <w:pStyle w:val="OGTableofFigures"/>
              <w:keepNext/>
              <w:rPr>
                <w:sz w:val="16"/>
                <w:szCs w:val="16"/>
              </w:rPr>
            </w:pPr>
            <w:r>
              <w:t>90</w:t>
            </w:r>
          </w:p>
        </w:tc>
        <w:tc>
          <w:tcPr>
            <w:tcW w:w="993" w:type="dxa"/>
            <w:tcBorders>
              <w:top w:val="single" w:sz="6" w:space="0" w:color="auto"/>
              <w:left w:val="nil"/>
              <w:bottom w:val="nil"/>
              <w:right w:val="nil"/>
            </w:tcBorders>
            <w:shd w:val="clear" w:color="auto" w:fill="FFFFFF"/>
          </w:tcPr>
          <w:p w:rsidR="00A53D7D" w:rsidRDefault="00A53D7D" w:rsidP="005140B4">
            <w:pPr>
              <w:pStyle w:val="OGTableofFigures"/>
              <w:keepNext/>
              <w:rPr>
                <w:sz w:val="16"/>
                <w:szCs w:val="16"/>
              </w:rPr>
            </w:pPr>
            <w:r>
              <w:t>95</w:t>
            </w: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keepNext/>
              <w:rPr>
                <w:sz w:val="16"/>
                <w:szCs w:val="16"/>
              </w:rPr>
            </w:pPr>
            <w:r>
              <w:t>90</w:t>
            </w: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keepNext/>
              <w:rPr>
                <w:sz w:val="16"/>
                <w:szCs w:val="16"/>
              </w:rPr>
            </w:pPr>
            <w:r>
              <w:t>94</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6" w:space="0" w:color="auto"/>
              <w:right w:val="nil"/>
            </w:tcBorders>
            <w:shd w:val="clear" w:color="auto" w:fill="FFFFFF"/>
          </w:tcPr>
          <w:p w:rsidR="00A53D7D" w:rsidRDefault="00A53D7D" w:rsidP="005140B4">
            <w:pPr>
              <w:pStyle w:val="OGNotes"/>
            </w:pPr>
            <w:r>
              <w:t>This performance measure is proposed to be discontinued as it duplicates a similar performance measure which is being retained, 'Scientific and technical publications in international and/or peer review journals that promote productive agriculture'.</w:t>
            </w:r>
          </w:p>
          <w:p w:rsidR="00A53D7D" w:rsidRDefault="00A53D7D" w:rsidP="005140B4">
            <w:pPr>
              <w:pStyle w:val="OGNotes"/>
            </w:pPr>
            <w:r>
              <w:t>The 2013</w:t>
            </w:r>
            <w:r>
              <w:noBreakHyphen/>
              <w:t>14 expected outcome is higher than the 2013</w:t>
            </w:r>
            <w:r>
              <w:noBreakHyphen/>
              <w:t>14 target due to higher than anticipated acceptance of publications in 2013</w:t>
            </w:r>
            <w:r>
              <w:noBreakHyphen/>
              <w:t>14.</w:t>
            </w:r>
          </w:p>
        </w:tc>
      </w:tr>
      <w:tr w:rsidR="00A53D7D" w:rsidTr="005140B4">
        <w:tblPrEx>
          <w:tblLook w:val="0000" w:firstRow="0" w:lastRow="0" w:firstColumn="0" w:lastColumn="0" w:noHBand="0" w:noVBand="0"/>
        </w:tblPrEx>
        <w:trPr>
          <w:cantSplit/>
        </w:trPr>
        <w:tc>
          <w:tcPr>
            <w:tcW w:w="3155" w:type="dxa"/>
            <w:tcBorders>
              <w:top w:val="single" w:sz="6" w:space="0" w:color="auto"/>
              <w:left w:val="nil"/>
              <w:right w:val="nil"/>
            </w:tcBorders>
            <w:shd w:val="clear" w:color="auto" w:fill="FFFFFF"/>
          </w:tcPr>
          <w:p w:rsidR="00A53D7D" w:rsidRDefault="00A53D7D" w:rsidP="005140B4">
            <w:pPr>
              <w:pStyle w:val="OGTabHead"/>
              <w:rPr>
                <w:sz w:val="16"/>
                <w:szCs w:val="16"/>
              </w:rPr>
            </w:pPr>
            <w:r>
              <w:t>Timeliness</w:t>
            </w:r>
          </w:p>
        </w:tc>
        <w:tc>
          <w:tcPr>
            <w:tcW w:w="907" w:type="dxa"/>
            <w:tcBorders>
              <w:top w:val="single" w:sz="6" w:space="0" w:color="auto"/>
              <w:left w:val="nil"/>
              <w:right w:val="nil"/>
            </w:tcBorders>
            <w:shd w:val="clear" w:color="auto" w:fill="FFFFFF"/>
          </w:tcPr>
          <w:p w:rsidR="00A53D7D" w:rsidRDefault="00A53D7D" w:rsidP="005140B4">
            <w:pPr>
              <w:pStyle w:val="OGUoM"/>
            </w:pPr>
          </w:p>
        </w:tc>
        <w:tc>
          <w:tcPr>
            <w:tcW w:w="907" w:type="dxa"/>
            <w:tcBorders>
              <w:top w:val="single" w:sz="6" w:space="0" w:color="auto"/>
              <w:left w:val="nil"/>
              <w:right w:val="nil"/>
            </w:tcBorders>
            <w:shd w:val="clear" w:color="auto" w:fill="D9D9D9"/>
          </w:tcPr>
          <w:p w:rsidR="00A53D7D" w:rsidRDefault="00A53D7D" w:rsidP="005140B4">
            <w:pPr>
              <w:pStyle w:val="OGTableofFigures"/>
            </w:pPr>
          </w:p>
        </w:tc>
        <w:tc>
          <w:tcPr>
            <w:tcW w:w="993" w:type="dxa"/>
            <w:tcBorders>
              <w:top w:val="single" w:sz="6" w:space="0" w:color="auto"/>
              <w:left w:val="nil"/>
              <w:right w:val="nil"/>
            </w:tcBorders>
            <w:shd w:val="clear" w:color="auto" w:fill="FFFFFF"/>
          </w:tcPr>
          <w:p w:rsidR="00A53D7D" w:rsidRDefault="00A53D7D" w:rsidP="005140B4">
            <w:pPr>
              <w:pStyle w:val="OGTableofFigures"/>
            </w:pPr>
          </w:p>
        </w:tc>
        <w:tc>
          <w:tcPr>
            <w:tcW w:w="907" w:type="dxa"/>
            <w:tcBorders>
              <w:top w:val="single" w:sz="6" w:space="0" w:color="auto"/>
              <w:left w:val="nil"/>
              <w:right w:val="nil"/>
            </w:tcBorders>
            <w:shd w:val="clear" w:color="auto" w:fill="FFFFFF"/>
          </w:tcPr>
          <w:p w:rsidR="00A53D7D" w:rsidRDefault="00A53D7D" w:rsidP="005140B4">
            <w:pPr>
              <w:pStyle w:val="OGTableofFigures"/>
            </w:pPr>
          </w:p>
        </w:tc>
        <w:tc>
          <w:tcPr>
            <w:tcW w:w="907" w:type="dxa"/>
            <w:tcBorders>
              <w:top w:val="single" w:sz="6" w:space="0" w:color="auto"/>
              <w:left w:val="nil"/>
              <w:right w:val="nil"/>
            </w:tcBorders>
            <w:shd w:val="clear" w:color="auto" w:fill="FFFFFF"/>
          </w:tcPr>
          <w:p w:rsidR="00A53D7D" w:rsidRDefault="00A53D7D" w:rsidP="005140B4">
            <w:pPr>
              <w:pStyle w:val="OGTableofFigures"/>
            </w:pPr>
          </w:p>
        </w:tc>
      </w:tr>
      <w:tr w:rsidR="00A53D7D" w:rsidTr="005140B4">
        <w:tblPrEx>
          <w:tblLook w:val="0000" w:firstRow="0" w:lastRow="0" w:firstColumn="0" w:lastColumn="0" w:noHBand="0" w:noVBand="0"/>
        </w:tblPrEx>
        <w:trPr>
          <w:cantSplit/>
        </w:trPr>
        <w:tc>
          <w:tcPr>
            <w:tcW w:w="3155" w:type="dxa"/>
            <w:tcBorders>
              <w:left w:val="nil"/>
              <w:right w:val="nil"/>
            </w:tcBorders>
            <w:shd w:val="clear" w:color="auto" w:fill="FFFFFF"/>
          </w:tcPr>
          <w:p w:rsidR="00A53D7D" w:rsidRDefault="00A53D7D" w:rsidP="005140B4">
            <w:pPr>
              <w:pStyle w:val="OGTabText"/>
              <w:rPr>
                <w:sz w:val="16"/>
                <w:szCs w:val="16"/>
              </w:rPr>
            </w:pPr>
            <w:r>
              <w:rPr>
                <w:szCs w:val="20"/>
              </w:rPr>
              <w:t>Project milestone reports completed on time</w:t>
            </w:r>
          </w:p>
        </w:tc>
        <w:tc>
          <w:tcPr>
            <w:tcW w:w="907" w:type="dxa"/>
            <w:tcBorders>
              <w:left w:val="nil"/>
              <w:right w:val="nil"/>
            </w:tcBorders>
            <w:shd w:val="clear" w:color="auto" w:fill="FFFFFF"/>
          </w:tcPr>
          <w:p w:rsidR="00A53D7D" w:rsidRDefault="00A53D7D" w:rsidP="005140B4">
            <w:pPr>
              <w:pStyle w:val="OGUoM"/>
              <w:rPr>
                <w:sz w:val="16"/>
                <w:szCs w:val="16"/>
              </w:rPr>
            </w:pPr>
            <w:r>
              <w:t>per cent</w:t>
            </w:r>
          </w:p>
        </w:tc>
        <w:tc>
          <w:tcPr>
            <w:tcW w:w="907" w:type="dxa"/>
            <w:tcBorders>
              <w:left w:val="nil"/>
              <w:right w:val="nil"/>
            </w:tcBorders>
            <w:shd w:val="clear" w:color="auto" w:fill="D9D9D9"/>
          </w:tcPr>
          <w:p w:rsidR="00A53D7D" w:rsidRDefault="00A53D7D" w:rsidP="005140B4">
            <w:pPr>
              <w:pStyle w:val="OGTableofFigures"/>
              <w:rPr>
                <w:sz w:val="16"/>
                <w:szCs w:val="16"/>
              </w:rPr>
            </w:pPr>
            <w:r>
              <w:t>85</w:t>
            </w:r>
          </w:p>
        </w:tc>
        <w:tc>
          <w:tcPr>
            <w:tcW w:w="993" w:type="dxa"/>
            <w:tcBorders>
              <w:left w:val="nil"/>
              <w:right w:val="nil"/>
            </w:tcBorders>
            <w:shd w:val="clear" w:color="auto" w:fill="FFFFFF"/>
          </w:tcPr>
          <w:p w:rsidR="00A53D7D" w:rsidRDefault="00A53D7D" w:rsidP="005140B4">
            <w:pPr>
              <w:pStyle w:val="OGTableofFigures"/>
              <w:rPr>
                <w:sz w:val="16"/>
                <w:szCs w:val="16"/>
              </w:rPr>
            </w:pPr>
            <w:r>
              <w:t>85</w:t>
            </w:r>
          </w:p>
        </w:tc>
        <w:tc>
          <w:tcPr>
            <w:tcW w:w="907" w:type="dxa"/>
            <w:tcBorders>
              <w:left w:val="nil"/>
              <w:right w:val="nil"/>
            </w:tcBorders>
            <w:shd w:val="clear" w:color="auto" w:fill="FFFFFF"/>
          </w:tcPr>
          <w:p w:rsidR="00A53D7D" w:rsidRDefault="00A53D7D" w:rsidP="005140B4">
            <w:pPr>
              <w:pStyle w:val="OGTableofFigures"/>
              <w:rPr>
                <w:sz w:val="16"/>
                <w:szCs w:val="16"/>
              </w:rPr>
            </w:pPr>
            <w:r>
              <w:t>85</w:t>
            </w:r>
          </w:p>
        </w:tc>
        <w:tc>
          <w:tcPr>
            <w:tcW w:w="907" w:type="dxa"/>
            <w:tcBorders>
              <w:left w:val="nil"/>
              <w:right w:val="nil"/>
            </w:tcBorders>
            <w:shd w:val="clear" w:color="auto" w:fill="FFFFFF"/>
          </w:tcPr>
          <w:p w:rsidR="00A53D7D" w:rsidRDefault="00A53D7D" w:rsidP="005140B4">
            <w:pPr>
              <w:pStyle w:val="OGTableofFigures"/>
              <w:rPr>
                <w:sz w:val="16"/>
                <w:szCs w:val="16"/>
              </w:rPr>
            </w:pPr>
            <w:r>
              <w:t>72</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4" w:space="0" w:color="auto"/>
              <w:right w:val="nil"/>
            </w:tcBorders>
            <w:shd w:val="clear" w:color="auto" w:fill="FFFFFF"/>
          </w:tcPr>
          <w:p w:rsidR="00A53D7D" w:rsidRDefault="00A53D7D" w:rsidP="005140B4">
            <w:pPr>
              <w:pStyle w:val="OGNotes"/>
            </w:pPr>
            <w:r>
              <w:t>This performance measure is proposed to be discontinued as it duplicates a similar performance measure which is being retained, 'Research project milestones and reports completed on time’.</w:t>
            </w:r>
          </w:p>
        </w:tc>
      </w:tr>
      <w:tr w:rsidR="00A53D7D" w:rsidTr="005140B4">
        <w:tblPrEx>
          <w:tblLook w:val="0000" w:firstRow="0" w:lastRow="0" w:firstColumn="0" w:lastColumn="0" w:noHBand="0" w:noVBand="0"/>
        </w:tblPrEx>
        <w:trPr>
          <w:cantSplit/>
        </w:trPr>
        <w:tc>
          <w:tcPr>
            <w:tcW w:w="7776" w:type="dxa"/>
            <w:gridSpan w:val="6"/>
            <w:tcBorders>
              <w:top w:val="nil"/>
              <w:left w:val="nil"/>
              <w:bottom w:val="nil"/>
              <w:right w:val="nil"/>
            </w:tcBorders>
            <w:shd w:val="clear" w:color="auto" w:fill="FFFFFF"/>
          </w:tcPr>
          <w:p w:rsidR="00A53D7D" w:rsidRDefault="00A53D7D" w:rsidP="005140B4">
            <w:pPr>
              <w:pStyle w:val="OGHeading2"/>
            </w:pPr>
            <w:r>
              <w:t>Environmental Programs</w:t>
            </w:r>
          </w:p>
        </w:tc>
      </w:tr>
      <w:tr w:rsidR="00A53D7D" w:rsidTr="005140B4">
        <w:tblPrEx>
          <w:tblLook w:val="0000" w:firstRow="0" w:lastRow="0" w:firstColumn="0" w:lastColumn="0" w:noHBand="0" w:noVBand="0"/>
        </w:tblPrEx>
        <w:trPr>
          <w:cantSplit/>
        </w:trPr>
        <w:tc>
          <w:tcPr>
            <w:tcW w:w="3155" w:type="dxa"/>
            <w:tcBorders>
              <w:top w:val="single" w:sz="6" w:space="0" w:color="auto"/>
              <w:left w:val="nil"/>
              <w:bottom w:val="nil"/>
              <w:right w:val="nil"/>
            </w:tcBorders>
            <w:shd w:val="clear" w:color="auto" w:fill="FFFFFF"/>
          </w:tcPr>
          <w:p w:rsidR="00A53D7D" w:rsidRDefault="00A53D7D" w:rsidP="005140B4">
            <w:pPr>
              <w:pStyle w:val="OGTabHead"/>
            </w:pPr>
            <w:r>
              <w:t>Quantity</w:t>
            </w:r>
          </w:p>
        </w:tc>
        <w:tc>
          <w:tcPr>
            <w:tcW w:w="907" w:type="dxa"/>
            <w:tcBorders>
              <w:top w:val="single" w:sz="6" w:space="0" w:color="auto"/>
              <w:left w:val="nil"/>
              <w:bottom w:val="nil"/>
              <w:right w:val="nil"/>
            </w:tcBorders>
            <w:shd w:val="clear" w:color="auto" w:fill="FFFFFF"/>
          </w:tcPr>
          <w:p w:rsidR="00A53D7D" w:rsidRDefault="00A53D7D" w:rsidP="005140B4">
            <w:pPr>
              <w:pStyle w:val="OGUoM"/>
            </w:pPr>
          </w:p>
        </w:tc>
        <w:tc>
          <w:tcPr>
            <w:tcW w:w="907" w:type="dxa"/>
            <w:tcBorders>
              <w:top w:val="single" w:sz="6" w:space="0" w:color="auto"/>
              <w:left w:val="nil"/>
              <w:bottom w:val="nil"/>
              <w:right w:val="nil"/>
            </w:tcBorders>
            <w:shd w:val="clear" w:color="auto" w:fill="D9D9D9"/>
          </w:tcPr>
          <w:p w:rsidR="00A53D7D" w:rsidRDefault="00A53D7D" w:rsidP="005140B4">
            <w:pPr>
              <w:pStyle w:val="OGTableofFigures"/>
            </w:pPr>
          </w:p>
        </w:tc>
        <w:tc>
          <w:tcPr>
            <w:tcW w:w="993" w:type="dxa"/>
            <w:tcBorders>
              <w:top w:val="single" w:sz="6" w:space="0" w:color="auto"/>
              <w:left w:val="nil"/>
              <w:bottom w:val="nil"/>
              <w:right w:val="nil"/>
            </w:tcBorders>
            <w:shd w:val="clear" w:color="auto" w:fill="FFFFFF"/>
          </w:tcPr>
          <w:p w:rsidR="00A53D7D" w:rsidRDefault="00A53D7D" w:rsidP="005140B4">
            <w:pPr>
              <w:pStyle w:val="OGTableofFigures"/>
            </w:pP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pP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pPr>
          </w:p>
        </w:tc>
      </w:tr>
      <w:tr w:rsidR="00A53D7D" w:rsidTr="005140B4">
        <w:tblPrEx>
          <w:tblLook w:val="0000" w:firstRow="0" w:lastRow="0" w:firstColumn="0" w:lastColumn="0" w:noHBand="0" w:noVBand="0"/>
        </w:tblPrEx>
        <w:trPr>
          <w:cantSplit/>
        </w:trPr>
        <w:tc>
          <w:tcPr>
            <w:tcW w:w="3155" w:type="dxa"/>
            <w:tcBorders>
              <w:top w:val="nil"/>
              <w:left w:val="nil"/>
              <w:bottom w:val="nil"/>
              <w:right w:val="nil"/>
            </w:tcBorders>
            <w:shd w:val="clear" w:color="auto" w:fill="FFFFFF"/>
          </w:tcPr>
          <w:p w:rsidR="00A53D7D" w:rsidRDefault="00A53D7D" w:rsidP="005140B4">
            <w:pPr>
              <w:pStyle w:val="OGTabText"/>
              <w:rPr>
                <w:sz w:val="18"/>
              </w:rPr>
            </w:pPr>
            <w:r>
              <w:t>Area covered by the regional land health projects</w:t>
            </w:r>
          </w:p>
        </w:tc>
        <w:tc>
          <w:tcPr>
            <w:tcW w:w="907" w:type="dxa"/>
            <w:tcBorders>
              <w:top w:val="nil"/>
              <w:left w:val="nil"/>
              <w:bottom w:val="nil"/>
              <w:right w:val="nil"/>
            </w:tcBorders>
            <w:shd w:val="clear" w:color="auto" w:fill="FFFFFF"/>
          </w:tcPr>
          <w:p w:rsidR="00A53D7D" w:rsidRDefault="00A53D7D" w:rsidP="005140B4">
            <w:pPr>
              <w:pStyle w:val="OGUoM"/>
              <w:rPr>
                <w:sz w:val="18"/>
              </w:rPr>
            </w:pPr>
            <w:r>
              <w:t>hectares (million)</w:t>
            </w:r>
          </w:p>
        </w:tc>
        <w:tc>
          <w:tcPr>
            <w:tcW w:w="907" w:type="dxa"/>
            <w:tcBorders>
              <w:top w:val="nil"/>
              <w:left w:val="nil"/>
              <w:bottom w:val="nil"/>
              <w:right w:val="nil"/>
            </w:tcBorders>
            <w:shd w:val="clear" w:color="auto" w:fill="D9D9D9"/>
          </w:tcPr>
          <w:p w:rsidR="00A53D7D" w:rsidRDefault="00A53D7D" w:rsidP="005140B4">
            <w:pPr>
              <w:pStyle w:val="OGTableofFigures"/>
              <w:rPr>
                <w:sz w:val="18"/>
              </w:rPr>
            </w:pPr>
            <w:r>
              <w:t>0.15</w:t>
            </w:r>
          </w:p>
        </w:tc>
        <w:tc>
          <w:tcPr>
            <w:tcW w:w="993" w:type="dxa"/>
            <w:tcBorders>
              <w:top w:val="nil"/>
              <w:left w:val="nil"/>
              <w:bottom w:val="nil"/>
              <w:right w:val="nil"/>
            </w:tcBorders>
            <w:shd w:val="clear" w:color="auto" w:fill="FFFFFF"/>
          </w:tcPr>
          <w:p w:rsidR="00A53D7D" w:rsidRDefault="00A53D7D" w:rsidP="005140B4">
            <w:pPr>
              <w:pStyle w:val="OGTableofFigures"/>
              <w:rPr>
                <w:sz w:val="18"/>
              </w:rPr>
            </w:pPr>
            <w:r>
              <w:t>0.15</w:t>
            </w:r>
          </w:p>
        </w:tc>
        <w:tc>
          <w:tcPr>
            <w:tcW w:w="907" w:type="dxa"/>
            <w:tcBorders>
              <w:top w:val="nil"/>
              <w:left w:val="nil"/>
              <w:bottom w:val="nil"/>
              <w:right w:val="nil"/>
            </w:tcBorders>
            <w:shd w:val="clear" w:color="auto" w:fill="FFFFFF"/>
          </w:tcPr>
          <w:p w:rsidR="00A53D7D" w:rsidRDefault="00A53D7D" w:rsidP="005140B4">
            <w:pPr>
              <w:pStyle w:val="OGTableofFigures"/>
              <w:rPr>
                <w:sz w:val="18"/>
              </w:rPr>
            </w:pPr>
            <w:r>
              <w:t>0.47</w:t>
            </w:r>
          </w:p>
        </w:tc>
        <w:tc>
          <w:tcPr>
            <w:tcW w:w="907" w:type="dxa"/>
            <w:tcBorders>
              <w:top w:val="nil"/>
              <w:left w:val="nil"/>
              <w:bottom w:val="nil"/>
              <w:right w:val="nil"/>
            </w:tcBorders>
            <w:shd w:val="clear" w:color="auto" w:fill="FFFFFF"/>
          </w:tcPr>
          <w:p w:rsidR="00A53D7D" w:rsidRDefault="00A53D7D" w:rsidP="005140B4">
            <w:pPr>
              <w:pStyle w:val="OGTableofFigures"/>
              <w:rPr>
                <w:sz w:val="18"/>
              </w:rPr>
            </w:pPr>
            <w:r>
              <w:t>1.33</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6" w:space="0" w:color="auto"/>
              <w:right w:val="nil"/>
            </w:tcBorders>
            <w:shd w:val="clear" w:color="auto" w:fill="FFFFFF"/>
          </w:tcPr>
          <w:p w:rsidR="00A53D7D" w:rsidRDefault="00A53D7D" w:rsidP="005140B4">
            <w:pPr>
              <w:pStyle w:val="OGNotes"/>
              <w:rPr>
                <w:sz w:val="18"/>
                <w:szCs w:val="18"/>
              </w:rPr>
            </w:pPr>
            <w:r>
              <w:t>This performance measure is proposed to be discontinued as it has been replaced by the 2014</w:t>
            </w:r>
            <w:r>
              <w:noBreakHyphen/>
              <w:t>15 performance measure ‘Regional land health services being delivered’ under the Agriculture output. It has been amended to reflect the redesign of the Land Health program to focus on managing the resource base to support agricultural productivity.</w:t>
            </w:r>
          </w:p>
          <w:p w:rsidR="00A53D7D" w:rsidRPr="00243DFF" w:rsidRDefault="00A53D7D" w:rsidP="005140B4">
            <w:pPr>
              <w:pStyle w:val="OGNotes"/>
              <w:rPr>
                <w:sz w:val="18"/>
                <w:szCs w:val="18"/>
              </w:rPr>
            </w:pPr>
            <w:r>
              <w:t>The 2013</w:t>
            </w:r>
            <w:r>
              <w:noBreakHyphen/>
              <w:t>14 expected outcome is lower than the 2013</w:t>
            </w:r>
            <w:r>
              <w:noBreakHyphen/>
              <w:t>14 target due to the redesign of the Land Health program which now focuses on farmers in target segments aspiring to increase productivity.</w:t>
            </w:r>
          </w:p>
        </w:tc>
      </w:tr>
      <w:tr w:rsidR="00A53D7D" w:rsidTr="005140B4">
        <w:tblPrEx>
          <w:tblLook w:val="0000" w:firstRow="0" w:lastRow="0" w:firstColumn="0" w:lastColumn="0" w:noHBand="0" w:noVBand="0"/>
        </w:tblPrEx>
        <w:trPr>
          <w:cantSplit/>
        </w:trPr>
        <w:tc>
          <w:tcPr>
            <w:tcW w:w="3155" w:type="dxa"/>
            <w:tcBorders>
              <w:top w:val="single" w:sz="6" w:space="0" w:color="auto"/>
              <w:left w:val="nil"/>
              <w:bottom w:val="nil"/>
              <w:right w:val="nil"/>
            </w:tcBorders>
            <w:shd w:val="clear" w:color="auto" w:fill="FFFFFF"/>
          </w:tcPr>
          <w:p w:rsidR="00A53D7D" w:rsidRDefault="00A53D7D" w:rsidP="005140B4">
            <w:pPr>
              <w:pStyle w:val="OGTabText"/>
              <w:rPr>
                <w:sz w:val="16"/>
                <w:szCs w:val="16"/>
              </w:rPr>
            </w:pPr>
            <w:r>
              <w:t>Regional land health projects being implemented</w:t>
            </w:r>
          </w:p>
        </w:tc>
        <w:tc>
          <w:tcPr>
            <w:tcW w:w="907" w:type="dxa"/>
            <w:tcBorders>
              <w:top w:val="single" w:sz="6" w:space="0" w:color="auto"/>
              <w:left w:val="nil"/>
              <w:bottom w:val="nil"/>
              <w:right w:val="nil"/>
            </w:tcBorders>
            <w:shd w:val="clear" w:color="auto" w:fill="FFFFFF"/>
          </w:tcPr>
          <w:p w:rsidR="00A53D7D" w:rsidRDefault="00A53D7D" w:rsidP="005140B4">
            <w:pPr>
              <w:pStyle w:val="OGUoM"/>
              <w:rPr>
                <w:sz w:val="16"/>
                <w:szCs w:val="16"/>
              </w:rPr>
            </w:pPr>
            <w:r>
              <w:t>number</w:t>
            </w:r>
          </w:p>
        </w:tc>
        <w:tc>
          <w:tcPr>
            <w:tcW w:w="907" w:type="dxa"/>
            <w:tcBorders>
              <w:top w:val="single" w:sz="6" w:space="0" w:color="auto"/>
              <w:left w:val="nil"/>
              <w:bottom w:val="nil"/>
              <w:right w:val="nil"/>
            </w:tcBorders>
            <w:shd w:val="clear" w:color="auto" w:fill="D9D9D9"/>
          </w:tcPr>
          <w:p w:rsidR="00A53D7D" w:rsidRDefault="00A53D7D" w:rsidP="005140B4">
            <w:pPr>
              <w:pStyle w:val="OGTableofFigures"/>
              <w:rPr>
                <w:sz w:val="16"/>
                <w:szCs w:val="16"/>
              </w:rPr>
            </w:pPr>
            <w:r>
              <w:t>5</w:t>
            </w:r>
          </w:p>
        </w:tc>
        <w:tc>
          <w:tcPr>
            <w:tcW w:w="993" w:type="dxa"/>
            <w:tcBorders>
              <w:top w:val="single" w:sz="6" w:space="0" w:color="auto"/>
              <w:left w:val="nil"/>
              <w:bottom w:val="nil"/>
              <w:right w:val="nil"/>
            </w:tcBorders>
            <w:shd w:val="clear" w:color="auto" w:fill="FFFFFF"/>
          </w:tcPr>
          <w:p w:rsidR="00A53D7D" w:rsidRDefault="00A53D7D" w:rsidP="005140B4">
            <w:pPr>
              <w:pStyle w:val="OGTableofFigures"/>
              <w:rPr>
                <w:sz w:val="16"/>
                <w:szCs w:val="16"/>
              </w:rPr>
            </w:pPr>
            <w:r>
              <w:t>16</w:t>
            </w: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rPr>
                <w:sz w:val="16"/>
                <w:szCs w:val="16"/>
              </w:rPr>
            </w:pPr>
            <w:r>
              <w:t>15–18</w:t>
            </w: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rPr>
                <w:sz w:val="16"/>
                <w:szCs w:val="16"/>
              </w:rPr>
            </w:pPr>
            <w:r>
              <w:t>18</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6" w:space="0" w:color="auto"/>
              <w:right w:val="nil"/>
            </w:tcBorders>
            <w:shd w:val="clear" w:color="auto" w:fill="FFFFFF"/>
          </w:tcPr>
          <w:p w:rsidR="00A53D7D" w:rsidRDefault="00A53D7D" w:rsidP="005140B4">
            <w:pPr>
              <w:pStyle w:val="OGNotes"/>
            </w:pPr>
            <w:r>
              <w:t>This performance measure is proposed to be discontinued as it has been replaced by the 2014</w:t>
            </w:r>
            <w:r>
              <w:noBreakHyphen/>
              <w:t>15 performance measure ‘Regional land health services being delivered’ under the Agriculture output. It has been amended to reflect the redesign of the Land Health program to focus on managing the resource base to support agricultural productivity.</w:t>
            </w:r>
          </w:p>
        </w:tc>
      </w:tr>
      <w:tr w:rsidR="00A53D7D" w:rsidTr="005140B4">
        <w:tblPrEx>
          <w:tblLook w:val="0000" w:firstRow="0" w:lastRow="0" w:firstColumn="0" w:lastColumn="0" w:noHBand="0" w:noVBand="0"/>
        </w:tblPrEx>
        <w:trPr>
          <w:cantSplit/>
        </w:trPr>
        <w:tc>
          <w:tcPr>
            <w:tcW w:w="7776" w:type="dxa"/>
            <w:gridSpan w:val="6"/>
            <w:tcBorders>
              <w:top w:val="single" w:sz="4" w:space="0" w:color="auto"/>
              <w:left w:val="nil"/>
              <w:bottom w:val="nil"/>
              <w:right w:val="nil"/>
            </w:tcBorders>
            <w:shd w:val="clear" w:color="auto" w:fill="FFFFFF"/>
          </w:tcPr>
          <w:p w:rsidR="00A53D7D" w:rsidRDefault="00A53D7D" w:rsidP="005140B4">
            <w:pPr>
              <w:pStyle w:val="OGHeading2"/>
            </w:pPr>
            <w:r>
              <w:t>Effective Water Management and Supply</w:t>
            </w:r>
          </w:p>
        </w:tc>
      </w:tr>
      <w:tr w:rsidR="00A53D7D" w:rsidTr="005140B4">
        <w:tblPrEx>
          <w:tblLook w:val="0000" w:firstRow="0" w:lastRow="0" w:firstColumn="0" w:lastColumn="0" w:noHBand="0" w:noVBand="0"/>
        </w:tblPrEx>
        <w:trPr>
          <w:cantSplit/>
        </w:trPr>
        <w:tc>
          <w:tcPr>
            <w:tcW w:w="3155" w:type="dxa"/>
            <w:tcBorders>
              <w:top w:val="single" w:sz="6" w:space="0" w:color="auto"/>
              <w:left w:val="nil"/>
              <w:bottom w:val="nil"/>
              <w:right w:val="nil"/>
            </w:tcBorders>
            <w:shd w:val="clear" w:color="auto" w:fill="FFFFFF"/>
          </w:tcPr>
          <w:p w:rsidR="00A53D7D" w:rsidRDefault="00A53D7D" w:rsidP="005140B4">
            <w:pPr>
              <w:pStyle w:val="OGTabHead"/>
            </w:pPr>
            <w:r>
              <w:t>Quantity</w:t>
            </w:r>
          </w:p>
        </w:tc>
        <w:tc>
          <w:tcPr>
            <w:tcW w:w="907" w:type="dxa"/>
            <w:tcBorders>
              <w:top w:val="single" w:sz="6" w:space="0" w:color="auto"/>
              <w:left w:val="nil"/>
              <w:bottom w:val="nil"/>
              <w:right w:val="nil"/>
            </w:tcBorders>
            <w:shd w:val="clear" w:color="auto" w:fill="FFFFFF"/>
          </w:tcPr>
          <w:p w:rsidR="00A53D7D" w:rsidRDefault="00A53D7D" w:rsidP="005140B4">
            <w:pPr>
              <w:pStyle w:val="OGUoM"/>
            </w:pPr>
          </w:p>
        </w:tc>
        <w:tc>
          <w:tcPr>
            <w:tcW w:w="907" w:type="dxa"/>
            <w:tcBorders>
              <w:top w:val="single" w:sz="6" w:space="0" w:color="auto"/>
              <w:left w:val="nil"/>
              <w:bottom w:val="nil"/>
              <w:right w:val="nil"/>
            </w:tcBorders>
            <w:shd w:val="clear" w:color="auto" w:fill="D9D9D9"/>
          </w:tcPr>
          <w:p w:rsidR="00A53D7D" w:rsidRDefault="00A53D7D" w:rsidP="005140B4">
            <w:pPr>
              <w:pStyle w:val="OGTableofFigures"/>
            </w:pPr>
          </w:p>
        </w:tc>
        <w:tc>
          <w:tcPr>
            <w:tcW w:w="993" w:type="dxa"/>
            <w:tcBorders>
              <w:top w:val="single" w:sz="6" w:space="0" w:color="auto"/>
              <w:left w:val="nil"/>
              <w:bottom w:val="nil"/>
              <w:right w:val="nil"/>
            </w:tcBorders>
            <w:shd w:val="clear" w:color="auto" w:fill="FFFFFF"/>
          </w:tcPr>
          <w:p w:rsidR="00A53D7D" w:rsidRDefault="00A53D7D" w:rsidP="005140B4">
            <w:pPr>
              <w:pStyle w:val="OGTableofFigures"/>
            </w:pP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pP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pPr>
          </w:p>
        </w:tc>
      </w:tr>
      <w:tr w:rsidR="00A53D7D" w:rsidTr="005140B4">
        <w:tblPrEx>
          <w:tblLook w:val="0000" w:firstRow="0" w:lastRow="0" w:firstColumn="0" w:lastColumn="0" w:noHBand="0" w:noVBand="0"/>
        </w:tblPrEx>
        <w:trPr>
          <w:cantSplit/>
        </w:trPr>
        <w:tc>
          <w:tcPr>
            <w:tcW w:w="3155" w:type="dxa"/>
            <w:tcBorders>
              <w:top w:val="nil"/>
              <w:left w:val="nil"/>
              <w:bottom w:val="nil"/>
              <w:right w:val="nil"/>
            </w:tcBorders>
            <w:shd w:val="clear" w:color="auto" w:fill="FFFFFF"/>
          </w:tcPr>
          <w:p w:rsidR="00A53D7D" w:rsidRDefault="00A53D7D" w:rsidP="005140B4">
            <w:pPr>
              <w:pStyle w:val="OGTabText"/>
              <w:rPr>
                <w:sz w:val="18"/>
              </w:rPr>
            </w:pPr>
            <w:r>
              <w:t xml:space="preserve">Length of rivers where works have been undertaken to improve </w:t>
            </w:r>
            <w:proofErr w:type="spellStart"/>
            <w:r>
              <w:t>instream</w:t>
            </w:r>
            <w:proofErr w:type="spellEnd"/>
            <w:r>
              <w:t xml:space="preserve"> health</w:t>
            </w:r>
          </w:p>
        </w:tc>
        <w:tc>
          <w:tcPr>
            <w:tcW w:w="907" w:type="dxa"/>
            <w:tcBorders>
              <w:top w:val="nil"/>
              <w:left w:val="nil"/>
              <w:bottom w:val="nil"/>
              <w:right w:val="nil"/>
            </w:tcBorders>
            <w:shd w:val="clear" w:color="auto" w:fill="FFFFFF"/>
          </w:tcPr>
          <w:p w:rsidR="00A53D7D" w:rsidRDefault="00A53D7D" w:rsidP="005140B4">
            <w:pPr>
              <w:pStyle w:val="OGUoM"/>
              <w:rPr>
                <w:sz w:val="18"/>
              </w:rPr>
            </w:pPr>
            <w:r>
              <w:t>km</w:t>
            </w:r>
          </w:p>
        </w:tc>
        <w:tc>
          <w:tcPr>
            <w:tcW w:w="907" w:type="dxa"/>
            <w:tcBorders>
              <w:top w:val="nil"/>
              <w:left w:val="nil"/>
              <w:bottom w:val="nil"/>
              <w:right w:val="nil"/>
            </w:tcBorders>
            <w:shd w:val="clear" w:color="auto" w:fill="D9D9D9"/>
          </w:tcPr>
          <w:p w:rsidR="00A53D7D" w:rsidRDefault="00A53D7D" w:rsidP="005140B4">
            <w:pPr>
              <w:pStyle w:val="OGTableofFigures"/>
              <w:rPr>
                <w:sz w:val="18"/>
              </w:rPr>
            </w:pPr>
            <w:r>
              <w:t>30–40</w:t>
            </w:r>
          </w:p>
        </w:tc>
        <w:tc>
          <w:tcPr>
            <w:tcW w:w="993" w:type="dxa"/>
            <w:tcBorders>
              <w:top w:val="nil"/>
              <w:left w:val="nil"/>
              <w:bottom w:val="nil"/>
              <w:right w:val="nil"/>
            </w:tcBorders>
            <w:shd w:val="clear" w:color="auto" w:fill="FFFFFF"/>
          </w:tcPr>
          <w:p w:rsidR="00A53D7D" w:rsidRDefault="00A53D7D" w:rsidP="005140B4">
            <w:pPr>
              <w:pStyle w:val="OGTableofFigures"/>
              <w:rPr>
                <w:sz w:val="18"/>
              </w:rPr>
            </w:pPr>
            <w:r>
              <w:t>40</w:t>
            </w:r>
          </w:p>
        </w:tc>
        <w:tc>
          <w:tcPr>
            <w:tcW w:w="907" w:type="dxa"/>
            <w:tcBorders>
              <w:top w:val="nil"/>
              <w:left w:val="nil"/>
              <w:bottom w:val="nil"/>
              <w:right w:val="nil"/>
            </w:tcBorders>
            <w:shd w:val="clear" w:color="auto" w:fill="FFFFFF"/>
          </w:tcPr>
          <w:p w:rsidR="00A53D7D" w:rsidRDefault="00A53D7D" w:rsidP="005140B4">
            <w:pPr>
              <w:pStyle w:val="OGTableofFigures"/>
              <w:rPr>
                <w:sz w:val="18"/>
              </w:rPr>
            </w:pPr>
            <w:r>
              <w:t>10–18</w:t>
            </w:r>
          </w:p>
        </w:tc>
        <w:tc>
          <w:tcPr>
            <w:tcW w:w="907" w:type="dxa"/>
            <w:tcBorders>
              <w:top w:val="nil"/>
              <w:left w:val="nil"/>
              <w:bottom w:val="nil"/>
              <w:right w:val="nil"/>
            </w:tcBorders>
            <w:shd w:val="clear" w:color="auto" w:fill="FFFFFF"/>
          </w:tcPr>
          <w:p w:rsidR="00A53D7D" w:rsidRDefault="00A53D7D" w:rsidP="005140B4">
            <w:pPr>
              <w:pStyle w:val="OGTableofFigures"/>
              <w:rPr>
                <w:sz w:val="18"/>
              </w:rPr>
            </w:pPr>
            <w:r>
              <w:t>371</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6" w:space="0" w:color="auto"/>
              <w:right w:val="nil"/>
            </w:tcBorders>
            <w:shd w:val="clear" w:color="auto" w:fill="FFFFFF"/>
          </w:tcPr>
          <w:p w:rsidR="00A53D7D" w:rsidRDefault="00A53D7D" w:rsidP="005140B4">
            <w:pPr>
              <w:pStyle w:val="OGNotes"/>
            </w:pPr>
            <w:r>
              <w:t>This performance measure is proposed to be discontinued as it has been replaced by the 2014</w:t>
            </w:r>
            <w:r>
              <w:noBreakHyphen/>
              <w:t xml:space="preserve">15 performance measure 'Number of sites where works have been undertaken to improve </w:t>
            </w:r>
            <w:proofErr w:type="spellStart"/>
            <w:r>
              <w:t>instream</w:t>
            </w:r>
            <w:proofErr w:type="spellEnd"/>
            <w:r>
              <w:t xml:space="preserve"> health'. It has been amended for increased clarity.</w:t>
            </w:r>
          </w:p>
          <w:p w:rsidR="00A53D7D" w:rsidRDefault="00A53D7D" w:rsidP="005140B4">
            <w:pPr>
              <w:pStyle w:val="OGNotes"/>
            </w:pPr>
            <w:r>
              <w:t>The 2013</w:t>
            </w:r>
            <w:r>
              <w:noBreakHyphen/>
              <w:t>14 expected outcome is higher than the 2013</w:t>
            </w:r>
            <w:r>
              <w:noBreakHyphen/>
              <w:t>14 target due to the inclusion of additional programs.</w:t>
            </w:r>
          </w:p>
          <w:p w:rsidR="00A53D7D" w:rsidRPr="00243DFF" w:rsidRDefault="00A53D7D" w:rsidP="005140B4">
            <w:pPr>
              <w:pStyle w:val="OGNotes"/>
              <w:rPr>
                <w:sz w:val="18"/>
                <w:szCs w:val="18"/>
              </w:rPr>
            </w:pPr>
            <w:r>
              <w:t>The 2013</w:t>
            </w:r>
            <w:r>
              <w:noBreakHyphen/>
              <w:t>14 expected outcome and 2013</w:t>
            </w:r>
            <w:r>
              <w:noBreakHyphen/>
              <w:t>14 target are lower than the 2012</w:t>
            </w:r>
            <w:r>
              <w:noBreakHyphen/>
              <w:t>13 actual due to a change in the method of measurement. The activity underlying the measure is the same however the 2013</w:t>
            </w:r>
            <w:r>
              <w:noBreakHyphen/>
              <w:t xml:space="preserve">14 performance measure only includes direct measurement and does not report on downstream impacts. </w:t>
            </w:r>
          </w:p>
        </w:tc>
      </w:tr>
      <w:tr w:rsidR="00A53D7D" w:rsidTr="005140B4">
        <w:tblPrEx>
          <w:tblLook w:val="0000" w:firstRow="0" w:lastRow="0" w:firstColumn="0" w:lastColumn="0" w:noHBand="0" w:noVBand="0"/>
        </w:tblPrEx>
        <w:trPr>
          <w:cantSplit/>
        </w:trPr>
        <w:tc>
          <w:tcPr>
            <w:tcW w:w="3155" w:type="dxa"/>
            <w:tcBorders>
              <w:top w:val="single" w:sz="6" w:space="0" w:color="auto"/>
              <w:left w:val="nil"/>
              <w:bottom w:val="nil"/>
              <w:right w:val="nil"/>
            </w:tcBorders>
            <w:shd w:val="clear" w:color="auto" w:fill="FFFFFF"/>
          </w:tcPr>
          <w:p w:rsidR="00A53D7D" w:rsidRDefault="00A53D7D" w:rsidP="005140B4">
            <w:pPr>
              <w:pStyle w:val="OGTabText"/>
              <w:keepNext/>
              <w:rPr>
                <w:sz w:val="16"/>
                <w:szCs w:val="16"/>
              </w:rPr>
            </w:pPr>
            <w:r>
              <w:t>Living Victoria Program recommendations implemented</w:t>
            </w:r>
          </w:p>
        </w:tc>
        <w:tc>
          <w:tcPr>
            <w:tcW w:w="907" w:type="dxa"/>
            <w:tcBorders>
              <w:top w:val="single" w:sz="6" w:space="0" w:color="auto"/>
              <w:left w:val="nil"/>
              <w:bottom w:val="nil"/>
              <w:right w:val="nil"/>
            </w:tcBorders>
            <w:shd w:val="clear" w:color="auto" w:fill="FFFFFF"/>
          </w:tcPr>
          <w:p w:rsidR="00A53D7D" w:rsidRDefault="00A53D7D" w:rsidP="005140B4">
            <w:pPr>
              <w:pStyle w:val="OGUoM"/>
              <w:keepNext/>
              <w:rPr>
                <w:sz w:val="16"/>
                <w:szCs w:val="16"/>
              </w:rPr>
            </w:pPr>
            <w:r>
              <w:t>per cent</w:t>
            </w:r>
          </w:p>
        </w:tc>
        <w:tc>
          <w:tcPr>
            <w:tcW w:w="907" w:type="dxa"/>
            <w:tcBorders>
              <w:top w:val="single" w:sz="6" w:space="0" w:color="auto"/>
              <w:left w:val="nil"/>
              <w:bottom w:val="nil"/>
              <w:right w:val="nil"/>
            </w:tcBorders>
            <w:shd w:val="clear" w:color="auto" w:fill="D9D9D9"/>
          </w:tcPr>
          <w:p w:rsidR="00A53D7D" w:rsidRDefault="00A53D7D" w:rsidP="005140B4">
            <w:pPr>
              <w:pStyle w:val="OGTableofFigures"/>
              <w:keepNext/>
              <w:rPr>
                <w:sz w:val="16"/>
                <w:szCs w:val="16"/>
              </w:rPr>
            </w:pPr>
            <w:r>
              <w:t>80</w:t>
            </w:r>
          </w:p>
        </w:tc>
        <w:tc>
          <w:tcPr>
            <w:tcW w:w="993" w:type="dxa"/>
            <w:tcBorders>
              <w:top w:val="single" w:sz="6" w:space="0" w:color="auto"/>
              <w:left w:val="nil"/>
              <w:bottom w:val="nil"/>
              <w:right w:val="nil"/>
            </w:tcBorders>
            <w:shd w:val="clear" w:color="auto" w:fill="FFFFFF"/>
          </w:tcPr>
          <w:p w:rsidR="00A53D7D" w:rsidRDefault="00A53D7D" w:rsidP="005140B4">
            <w:pPr>
              <w:pStyle w:val="OGTableofFigures"/>
              <w:keepNext/>
              <w:rPr>
                <w:sz w:val="16"/>
                <w:szCs w:val="16"/>
              </w:rPr>
            </w:pPr>
            <w:r>
              <w:t>60</w:t>
            </w: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keepNext/>
              <w:rPr>
                <w:sz w:val="16"/>
                <w:szCs w:val="16"/>
              </w:rPr>
            </w:pPr>
            <w:r>
              <w:t>50</w:t>
            </w: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keepNext/>
              <w:rPr>
                <w:sz w:val="16"/>
                <w:szCs w:val="16"/>
              </w:rPr>
            </w:pPr>
            <w:r>
              <w:t>50</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6" w:space="0" w:color="auto"/>
              <w:right w:val="nil"/>
            </w:tcBorders>
            <w:shd w:val="clear" w:color="auto" w:fill="FFFFFF"/>
          </w:tcPr>
          <w:p w:rsidR="00A53D7D" w:rsidRDefault="00A53D7D" w:rsidP="005140B4">
            <w:pPr>
              <w:pStyle w:val="OGNotes"/>
            </w:pPr>
            <w:r>
              <w:t>This performance measure is proposed to be discontinued as it has been replaced by the 2014</w:t>
            </w:r>
            <w:r>
              <w:noBreakHyphen/>
              <w:t>15 performance measure 'Melbourne's Water Future Actions implemented'. It has been amended to reflect the release of Living Victoria's Melbourne's Water Future policy in December 2013.</w:t>
            </w:r>
          </w:p>
          <w:p w:rsidR="00A53D7D" w:rsidRDefault="00A53D7D" w:rsidP="005140B4">
            <w:pPr>
              <w:pStyle w:val="OGNotes"/>
            </w:pPr>
            <w:r>
              <w:t>The 2013</w:t>
            </w:r>
            <w:r>
              <w:noBreakHyphen/>
              <w:t>14 expected outcome is higher than the 2013</w:t>
            </w:r>
            <w:r>
              <w:noBreakHyphen/>
              <w:t>14 target due to a revision of the measure following the release of Living Victoria's Melbourne's Water Future policy in December 2013. The higher 2014</w:t>
            </w:r>
            <w:r>
              <w:noBreakHyphen/>
              <w:t>15 target reflects the cumulative nature of the measure.</w:t>
            </w:r>
          </w:p>
        </w:tc>
      </w:tr>
      <w:tr w:rsidR="00A53D7D" w:rsidTr="005140B4">
        <w:tblPrEx>
          <w:tblLook w:val="0000" w:firstRow="0" w:lastRow="0" w:firstColumn="0" w:lastColumn="0" w:noHBand="0" w:noVBand="0"/>
        </w:tblPrEx>
        <w:trPr>
          <w:cantSplit/>
        </w:trPr>
        <w:tc>
          <w:tcPr>
            <w:tcW w:w="3155" w:type="dxa"/>
            <w:tcBorders>
              <w:top w:val="single" w:sz="6" w:space="0" w:color="auto"/>
              <w:left w:val="nil"/>
              <w:right w:val="nil"/>
            </w:tcBorders>
            <w:shd w:val="clear" w:color="auto" w:fill="FFFFFF"/>
          </w:tcPr>
          <w:p w:rsidR="00A53D7D" w:rsidRDefault="00A53D7D" w:rsidP="005140B4">
            <w:pPr>
              <w:pStyle w:val="OGTabText"/>
              <w:rPr>
                <w:sz w:val="16"/>
                <w:szCs w:val="16"/>
              </w:rPr>
            </w:pPr>
            <w:r>
              <w:t>Number of community groups engaged to increase the knowledge/capacity of water management</w:t>
            </w:r>
          </w:p>
        </w:tc>
        <w:tc>
          <w:tcPr>
            <w:tcW w:w="907" w:type="dxa"/>
            <w:tcBorders>
              <w:top w:val="single" w:sz="6" w:space="0" w:color="auto"/>
              <w:left w:val="nil"/>
              <w:right w:val="nil"/>
            </w:tcBorders>
            <w:shd w:val="clear" w:color="auto" w:fill="FFFFFF"/>
          </w:tcPr>
          <w:p w:rsidR="00A53D7D" w:rsidRDefault="00A53D7D" w:rsidP="005140B4">
            <w:pPr>
              <w:pStyle w:val="OGUoM"/>
              <w:rPr>
                <w:sz w:val="16"/>
                <w:szCs w:val="16"/>
              </w:rPr>
            </w:pPr>
            <w:r>
              <w:t>number</w:t>
            </w:r>
          </w:p>
        </w:tc>
        <w:tc>
          <w:tcPr>
            <w:tcW w:w="907" w:type="dxa"/>
            <w:tcBorders>
              <w:top w:val="single" w:sz="6" w:space="0" w:color="auto"/>
              <w:left w:val="nil"/>
              <w:right w:val="nil"/>
            </w:tcBorders>
            <w:shd w:val="clear" w:color="auto" w:fill="D9D9D9"/>
          </w:tcPr>
          <w:p w:rsidR="00A53D7D" w:rsidRDefault="00A53D7D" w:rsidP="005140B4">
            <w:pPr>
              <w:pStyle w:val="OGTableofFigures"/>
              <w:rPr>
                <w:sz w:val="16"/>
                <w:szCs w:val="16"/>
              </w:rPr>
            </w:pPr>
            <w:r>
              <w:t>45–53</w:t>
            </w:r>
          </w:p>
        </w:tc>
        <w:tc>
          <w:tcPr>
            <w:tcW w:w="993" w:type="dxa"/>
            <w:tcBorders>
              <w:top w:val="single" w:sz="6" w:space="0" w:color="auto"/>
              <w:left w:val="nil"/>
              <w:right w:val="nil"/>
            </w:tcBorders>
            <w:shd w:val="clear" w:color="auto" w:fill="FFFFFF"/>
          </w:tcPr>
          <w:p w:rsidR="00A53D7D" w:rsidRDefault="00A53D7D" w:rsidP="005140B4">
            <w:pPr>
              <w:pStyle w:val="OGTableofFigures"/>
              <w:rPr>
                <w:sz w:val="16"/>
                <w:szCs w:val="16"/>
              </w:rPr>
            </w:pPr>
            <w:r>
              <w:t>140</w:t>
            </w:r>
          </w:p>
        </w:tc>
        <w:tc>
          <w:tcPr>
            <w:tcW w:w="907" w:type="dxa"/>
            <w:tcBorders>
              <w:top w:val="single" w:sz="6" w:space="0" w:color="auto"/>
              <w:left w:val="nil"/>
              <w:right w:val="nil"/>
            </w:tcBorders>
            <w:shd w:val="clear" w:color="auto" w:fill="FFFFFF"/>
          </w:tcPr>
          <w:p w:rsidR="00A53D7D" w:rsidRDefault="00A53D7D" w:rsidP="005140B4">
            <w:pPr>
              <w:pStyle w:val="OGTableofFigures"/>
              <w:rPr>
                <w:sz w:val="16"/>
                <w:szCs w:val="16"/>
              </w:rPr>
            </w:pPr>
            <w:r>
              <w:t>45–53</w:t>
            </w:r>
          </w:p>
        </w:tc>
        <w:tc>
          <w:tcPr>
            <w:tcW w:w="907" w:type="dxa"/>
            <w:tcBorders>
              <w:top w:val="single" w:sz="6" w:space="0" w:color="auto"/>
              <w:left w:val="nil"/>
              <w:right w:val="nil"/>
            </w:tcBorders>
            <w:shd w:val="clear" w:color="auto" w:fill="FFFFFF"/>
          </w:tcPr>
          <w:p w:rsidR="00A53D7D" w:rsidRDefault="00A53D7D" w:rsidP="005140B4">
            <w:pPr>
              <w:pStyle w:val="OGTableofFigures"/>
              <w:rPr>
                <w:sz w:val="16"/>
                <w:szCs w:val="16"/>
              </w:rPr>
            </w:pPr>
            <w:r>
              <w:t>nm</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6" w:space="0" w:color="auto"/>
              <w:right w:val="nil"/>
            </w:tcBorders>
            <w:shd w:val="clear" w:color="auto" w:fill="FFFFFF"/>
          </w:tcPr>
          <w:p w:rsidR="00A53D7D" w:rsidRDefault="00A53D7D" w:rsidP="005140B4">
            <w:pPr>
              <w:pStyle w:val="OGNotes"/>
            </w:pPr>
            <w:r w:rsidRPr="00243DFF">
              <w:t xml:space="preserve">This performance measure is proposed to be discontinued </w:t>
            </w:r>
            <w:r>
              <w:t>as it has been replaced by the 2014</w:t>
            </w:r>
            <w:r>
              <w:noBreakHyphen/>
              <w:t xml:space="preserve">15 performance measure </w:t>
            </w:r>
            <w:r w:rsidRPr="00243DFF">
              <w:t xml:space="preserve">'Number of people engaged to increase the knowledge/capacity of water management'. </w:t>
            </w:r>
            <w:r>
              <w:t xml:space="preserve">It has been amended for increased clarity. </w:t>
            </w:r>
          </w:p>
          <w:p w:rsidR="00A53D7D" w:rsidRPr="00243DFF" w:rsidRDefault="00A53D7D" w:rsidP="005140B4">
            <w:pPr>
              <w:pStyle w:val="OGNotes"/>
            </w:pPr>
            <w:r w:rsidRPr="00243DFF">
              <w:t>The 2013</w:t>
            </w:r>
            <w:r>
              <w:noBreakHyphen/>
            </w:r>
            <w:r w:rsidRPr="00243DFF">
              <w:t xml:space="preserve">14 </w:t>
            </w:r>
            <w:r>
              <w:t>expected outcome</w:t>
            </w:r>
            <w:r w:rsidRPr="00243DFF">
              <w:t xml:space="preserve"> is higher than the 2013</w:t>
            </w:r>
            <w:r>
              <w:noBreakHyphen/>
            </w:r>
            <w:r w:rsidRPr="00243DFF">
              <w:t xml:space="preserve">14 </w:t>
            </w:r>
            <w:r>
              <w:t>target</w:t>
            </w:r>
            <w:r w:rsidRPr="00243DFF">
              <w:t xml:space="preserve"> </w:t>
            </w:r>
            <w:r>
              <w:t xml:space="preserve">due to the extended community </w:t>
            </w:r>
            <w:r w:rsidRPr="00243DFF">
              <w:t>consultation being undertaken during 2013</w:t>
            </w:r>
            <w:r>
              <w:noBreakHyphen/>
            </w:r>
            <w:r w:rsidRPr="00243DFF">
              <w:t>14 for the development of regional Waterway Strategies.</w:t>
            </w:r>
          </w:p>
        </w:tc>
      </w:tr>
      <w:tr w:rsidR="00A53D7D" w:rsidTr="005140B4">
        <w:tblPrEx>
          <w:tblLook w:val="0000" w:firstRow="0" w:lastRow="0" w:firstColumn="0" w:lastColumn="0" w:noHBand="0" w:noVBand="0"/>
        </w:tblPrEx>
        <w:trPr>
          <w:cantSplit/>
        </w:trPr>
        <w:tc>
          <w:tcPr>
            <w:tcW w:w="7776" w:type="dxa"/>
            <w:gridSpan w:val="6"/>
            <w:tcBorders>
              <w:top w:val="single" w:sz="6" w:space="0" w:color="auto"/>
              <w:left w:val="nil"/>
              <w:bottom w:val="nil"/>
              <w:right w:val="nil"/>
            </w:tcBorders>
            <w:shd w:val="clear" w:color="auto" w:fill="FFFFFF"/>
          </w:tcPr>
          <w:p w:rsidR="00A53D7D" w:rsidRPr="00243DFF" w:rsidRDefault="00A53D7D" w:rsidP="005140B4">
            <w:pPr>
              <w:pStyle w:val="OGHeading2"/>
              <w:rPr>
                <w:sz w:val="18"/>
                <w:szCs w:val="18"/>
              </w:rPr>
            </w:pPr>
            <w:r>
              <w:t>Fire and Emergency Management</w:t>
            </w:r>
          </w:p>
        </w:tc>
      </w:tr>
      <w:tr w:rsidR="00A53D7D" w:rsidTr="005140B4">
        <w:tblPrEx>
          <w:tblLook w:val="0000" w:firstRow="0" w:lastRow="0" w:firstColumn="0" w:lastColumn="0" w:noHBand="0" w:noVBand="0"/>
        </w:tblPrEx>
        <w:trPr>
          <w:cantSplit/>
        </w:trPr>
        <w:tc>
          <w:tcPr>
            <w:tcW w:w="3155" w:type="dxa"/>
            <w:tcBorders>
              <w:top w:val="single" w:sz="6" w:space="0" w:color="auto"/>
              <w:left w:val="nil"/>
              <w:bottom w:val="nil"/>
              <w:right w:val="nil"/>
            </w:tcBorders>
            <w:shd w:val="clear" w:color="auto" w:fill="FFFFFF"/>
          </w:tcPr>
          <w:p w:rsidR="00A53D7D" w:rsidRDefault="00A53D7D" w:rsidP="005140B4">
            <w:pPr>
              <w:pStyle w:val="OGTabHead"/>
            </w:pPr>
            <w:r>
              <w:t>Quantity</w:t>
            </w:r>
          </w:p>
        </w:tc>
        <w:tc>
          <w:tcPr>
            <w:tcW w:w="907" w:type="dxa"/>
            <w:tcBorders>
              <w:top w:val="single" w:sz="6" w:space="0" w:color="auto"/>
              <w:left w:val="nil"/>
              <w:bottom w:val="nil"/>
              <w:right w:val="nil"/>
            </w:tcBorders>
            <w:shd w:val="clear" w:color="auto" w:fill="FFFFFF"/>
          </w:tcPr>
          <w:p w:rsidR="00A53D7D" w:rsidRDefault="00A53D7D" w:rsidP="005140B4">
            <w:pPr>
              <w:pStyle w:val="OGUoM"/>
            </w:pPr>
          </w:p>
        </w:tc>
        <w:tc>
          <w:tcPr>
            <w:tcW w:w="907" w:type="dxa"/>
            <w:tcBorders>
              <w:top w:val="single" w:sz="6" w:space="0" w:color="auto"/>
              <w:left w:val="nil"/>
              <w:bottom w:val="nil"/>
              <w:right w:val="nil"/>
            </w:tcBorders>
            <w:shd w:val="clear" w:color="auto" w:fill="D9D9D9"/>
          </w:tcPr>
          <w:p w:rsidR="00A53D7D" w:rsidRDefault="00A53D7D" w:rsidP="005140B4">
            <w:pPr>
              <w:pStyle w:val="OGTableofFigures"/>
            </w:pPr>
          </w:p>
        </w:tc>
        <w:tc>
          <w:tcPr>
            <w:tcW w:w="993" w:type="dxa"/>
            <w:tcBorders>
              <w:top w:val="single" w:sz="6" w:space="0" w:color="auto"/>
              <w:left w:val="nil"/>
              <w:bottom w:val="nil"/>
              <w:right w:val="nil"/>
            </w:tcBorders>
            <w:shd w:val="clear" w:color="auto" w:fill="FFFFFF"/>
          </w:tcPr>
          <w:p w:rsidR="00A53D7D" w:rsidRDefault="00A53D7D" w:rsidP="005140B4">
            <w:pPr>
              <w:pStyle w:val="OGTableofFigures"/>
            </w:pP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pP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pPr>
          </w:p>
        </w:tc>
      </w:tr>
      <w:tr w:rsidR="00A53D7D" w:rsidTr="005140B4">
        <w:tblPrEx>
          <w:tblLook w:val="0000" w:firstRow="0" w:lastRow="0" w:firstColumn="0" w:lastColumn="0" w:noHBand="0" w:noVBand="0"/>
        </w:tblPrEx>
        <w:trPr>
          <w:cantSplit/>
        </w:trPr>
        <w:tc>
          <w:tcPr>
            <w:tcW w:w="3155" w:type="dxa"/>
            <w:tcBorders>
              <w:top w:val="nil"/>
              <w:left w:val="nil"/>
              <w:bottom w:val="nil"/>
              <w:right w:val="nil"/>
            </w:tcBorders>
            <w:shd w:val="clear" w:color="auto" w:fill="FFFFFF"/>
          </w:tcPr>
          <w:p w:rsidR="00A53D7D" w:rsidRDefault="00A53D7D" w:rsidP="005140B4">
            <w:pPr>
              <w:pStyle w:val="OGTabText"/>
              <w:rPr>
                <w:sz w:val="18"/>
              </w:rPr>
            </w:pPr>
            <w:r>
              <w:t>State forests bridges (on Category 1 roads) with documented inspections to meet regulatory obligations</w:t>
            </w:r>
          </w:p>
        </w:tc>
        <w:tc>
          <w:tcPr>
            <w:tcW w:w="907" w:type="dxa"/>
            <w:tcBorders>
              <w:top w:val="nil"/>
              <w:left w:val="nil"/>
              <w:bottom w:val="nil"/>
              <w:right w:val="nil"/>
            </w:tcBorders>
            <w:shd w:val="clear" w:color="auto" w:fill="FFFFFF"/>
          </w:tcPr>
          <w:p w:rsidR="00A53D7D" w:rsidRDefault="00A53D7D" w:rsidP="005140B4">
            <w:pPr>
              <w:pStyle w:val="OGUoM"/>
              <w:rPr>
                <w:sz w:val="18"/>
              </w:rPr>
            </w:pPr>
            <w:r>
              <w:t>per cent</w:t>
            </w:r>
          </w:p>
        </w:tc>
        <w:tc>
          <w:tcPr>
            <w:tcW w:w="907" w:type="dxa"/>
            <w:tcBorders>
              <w:top w:val="nil"/>
              <w:left w:val="nil"/>
              <w:bottom w:val="nil"/>
              <w:right w:val="nil"/>
            </w:tcBorders>
            <w:shd w:val="clear" w:color="auto" w:fill="D9D9D9"/>
          </w:tcPr>
          <w:p w:rsidR="00A53D7D" w:rsidRDefault="00A53D7D" w:rsidP="005140B4">
            <w:pPr>
              <w:pStyle w:val="OGTableofFigures"/>
              <w:rPr>
                <w:sz w:val="18"/>
              </w:rPr>
            </w:pPr>
            <w:r>
              <w:t>100</w:t>
            </w:r>
          </w:p>
        </w:tc>
        <w:tc>
          <w:tcPr>
            <w:tcW w:w="993" w:type="dxa"/>
            <w:tcBorders>
              <w:top w:val="nil"/>
              <w:left w:val="nil"/>
              <w:bottom w:val="nil"/>
              <w:right w:val="nil"/>
            </w:tcBorders>
            <w:shd w:val="clear" w:color="auto" w:fill="FFFFFF"/>
          </w:tcPr>
          <w:p w:rsidR="00A53D7D" w:rsidRDefault="00A53D7D" w:rsidP="005140B4">
            <w:pPr>
              <w:pStyle w:val="OGTableofFigures"/>
              <w:rPr>
                <w:sz w:val="18"/>
              </w:rPr>
            </w:pPr>
            <w:r>
              <w:t>100</w:t>
            </w:r>
          </w:p>
        </w:tc>
        <w:tc>
          <w:tcPr>
            <w:tcW w:w="907" w:type="dxa"/>
            <w:tcBorders>
              <w:top w:val="nil"/>
              <w:left w:val="nil"/>
              <w:bottom w:val="nil"/>
              <w:right w:val="nil"/>
            </w:tcBorders>
            <w:shd w:val="clear" w:color="auto" w:fill="FFFFFF"/>
          </w:tcPr>
          <w:p w:rsidR="00A53D7D" w:rsidRDefault="00A53D7D" w:rsidP="005140B4">
            <w:pPr>
              <w:pStyle w:val="OGTableofFigures"/>
              <w:rPr>
                <w:sz w:val="18"/>
              </w:rPr>
            </w:pPr>
            <w:r>
              <w:t>100</w:t>
            </w:r>
          </w:p>
        </w:tc>
        <w:tc>
          <w:tcPr>
            <w:tcW w:w="907" w:type="dxa"/>
            <w:tcBorders>
              <w:top w:val="nil"/>
              <w:left w:val="nil"/>
              <w:bottom w:val="nil"/>
              <w:right w:val="nil"/>
            </w:tcBorders>
            <w:shd w:val="clear" w:color="auto" w:fill="FFFFFF"/>
          </w:tcPr>
          <w:p w:rsidR="00A53D7D" w:rsidRDefault="00A53D7D" w:rsidP="005140B4">
            <w:pPr>
              <w:pStyle w:val="OGTableofFigures"/>
              <w:rPr>
                <w:sz w:val="18"/>
              </w:rPr>
            </w:pPr>
            <w:r>
              <w:t>100</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6" w:space="0" w:color="auto"/>
              <w:right w:val="nil"/>
            </w:tcBorders>
            <w:shd w:val="clear" w:color="auto" w:fill="FFFFFF"/>
          </w:tcPr>
          <w:p w:rsidR="00A53D7D" w:rsidRPr="00243DFF" w:rsidRDefault="00A53D7D" w:rsidP="005140B4">
            <w:pPr>
              <w:pStyle w:val="OGNotes"/>
              <w:rPr>
                <w:sz w:val="18"/>
                <w:szCs w:val="18"/>
              </w:rPr>
            </w:pPr>
            <w:r>
              <w:t>This performance measure is proposed to be discontinued as it has been replaced by the 2014</w:t>
            </w:r>
            <w:r>
              <w:noBreakHyphen/>
              <w:t>15 performance measure ‘State forests roads (Category 1) and bridges (on Category 1 roads) with documented inspections and/or maintenance programs to meet regulatory obligations’.</w:t>
            </w:r>
          </w:p>
        </w:tc>
      </w:tr>
      <w:tr w:rsidR="00A53D7D" w:rsidTr="005140B4">
        <w:tblPrEx>
          <w:tblLook w:val="0000" w:firstRow="0" w:lastRow="0" w:firstColumn="0" w:lastColumn="0" w:noHBand="0" w:noVBand="0"/>
        </w:tblPrEx>
        <w:trPr>
          <w:cantSplit/>
        </w:trPr>
        <w:tc>
          <w:tcPr>
            <w:tcW w:w="3155" w:type="dxa"/>
            <w:tcBorders>
              <w:top w:val="single" w:sz="6" w:space="0" w:color="auto"/>
              <w:left w:val="nil"/>
              <w:right w:val="nil"/>
            </w:tcBorders>
            <w:shd w:val="clear" w:color="auto" w:fill="FFFFFF"/>
          </w:tcPr>
          <w:p w:rsidR="00A53D7D" w:rsidRDefault="00A53D7D" w:rsidP="005140B4">
            <w:pPr>
              <w:pStyle w:val="OGTabText"/>
              <w:rPr>
                <w:sz w:val="16"/>
                <w:szCs w:val="16"/>
              </w:rPr>
            </w:pPr>
            <w:r>
              <w:t>State forests roads (Category 1) with documented inspections to meet regulatory obligations</w:t>
            </w:r>
          </w:p>
        </w:tc>
        <w:tc>
          <w:tcPr>
            <w:tcW w:w="907" w:type="dxa"/>
            <w:tcBorders>
              <w:top w:val="single" w:sz="6" w:space="0" w:color="auto"/>
              <w:left w:val="nil"/>
              <w:right w:val="nil"/>
            </w:tcBorders>
            <w:shd w:val="clear" w:color="auto" w:fill="FFFFFF"/>
          </w:tcPr>
          <w:p w:rsidR="00A53D7D" w:rsidRDefault="00A53D7D" w:rsidP="005140B4">
            <w:pPr>
              <w:pStyle w:val="OGUoM"/>
              <w:rPr>
                <w:sz w:val="16"/>
                <w:szCs w:val="16"/>
              </w:rPr>
            </w:pPr>
            <w:r>
              <w:t>per cent</w:t>
            </w:r>
          </w:p>
        </w:tc>
        <w:tc>
          <w:tcPr>
            <w:tcW w:w="907" w:type="dxa"/>
            <w:tcBorders>
              <w:top w:val="single" w:sz="6" w:space="0" w:color="auto"/>
              <w:left w:val="nil"/>
              <w:right w:val="nil"/>
            </w:tcBorders>
            <w:shd w:val="clear" w:color="auto" w:fill="D9D9D9"/>
          </w:tcPr>
          <w:p w:rsidR="00A53D7D" w:rsidRDefault="00A53D7D" w:rsidP="005140B4">
            <w:pPr>
              <w:pStyle w:val="OGTableofFigures"/>
              <w:rPr>
                <w:sz w:val="16"/>
                <w:szCs w:val="16"/>
              </w:rPr>
            </w:pPr>
            <w:r>
              <w:t>100</w:t>
            </w:r>
          </w:p>
        </w:tc>
        <w:tc>
          <w:tcPr>
            <w:tcW w:w="993" w:type="dxa"/>
            <w:tcBorders>
              <w:top w:val="single" w:sz="6" w:space="0" w:color="auto"/>
              <w:left w:val="nil"/>
              <w:right w:val="nil"/>
            </w:tcBorders>
            <w:shd w:val="clear" w:color="auto" w:fill="FFFFFF"/>
          </w:tcPr>
          <w:p w:rsidR="00A53D7D" w:rsidRDefault="00A53D7D" w:rsidP="005140B4">
            <w:pPr>
              <w:pStyle w:val="OGTableofFigures"/>
              <w:rPr>
                <w:sz w:val="16"/>
                <w:szCs w:val="16"/>
              </w:rPr>
            </w:pPr>
            <w:r>
              <w:t>100</w:t>
            </w:r>
          </w:p>
        </w:tc>
        <w:tc>
          <w:tcPr>
            <w:tcW w:w="907" w:type="dxa"/>
            <w:tcBorders>
              <w:top w:val="single" w:sz="6" w:space="0" w:color="auto"/>
              <w:left w:val="nil"/>
              <w:right w:val="nil"/>
            </w:tcBorders>
            <w:shd w:val="clear" w:color="auto" w:fill="FFFFFF"/>
          </w:tcPr>
          <w:p w:rsidR="00A53D7D" w:rsidRDefault="00A53D7D" w:rsidP="005140B4">
            <w:pPr>
              <w:pStyle w:val="OGTableofFigures"/>
              <w:rPr>
                <w:sz w:val="16"/>
                <w:szCs w:val="16"/>
              </w:rPr>
            </w:pPr>
            <w:r>
              <w:t>100</w:t>
            </w:r>
          </w:p>
        </w:tc>
        <w:tc>
          <w:tcPr>
            <w:tcW w:w="907" w:type="dxa"/>
            <w:tcBorders>
              <w:top w:val="single" w:sz="6" w:space="0" w:color="auto"/>
              <w:left w:val="nil"/>
              <w:right w:val="nil"/>
            </w:tcBorders>
            <w:shd w:val="clear" w:color="auto" w:fill="FFFFFF"/>
          </w:tcPr>
          <w:p w:rsidR="00A53D7D" w:rsidRDefault="00A53D7D" w:rsidP="005140B4">
            <w:pPr>
              <w:pStyle w:val="OGTableofFigures"/>
              <w:rPr>
                <w:sz w:val="16"/>
                <w:szCs w:val="16"/>
              </w:rPr>
            </w:pPr>
            <w:r>
              <w:t>100</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6" w:space="0" w:color="auto"/>
              <w:right w:val="nil"/>
            </w:tcBorders>
            <w:shd w:val="clear" w:color="auto" w:fill="FFFFFF"/>
          </w:tcPr>
          <w:p w:rsidR="00A53D7D" w:rsidRDefault="00A53D7D" w:rsidP="005140B4">
            <w:pPr>
              <w:pStyle w:val="OGNotes"/>
            </w:pPr>
            <w:r>
              <w:t>This performance measure is proposed to be discontinued as it has been replaced by the 2014</w:t>
            </w:r>
            <w:r>
              <w:noBreakHyphen/>
              <w:t>15 performance measure ‘State forests roads (Category 1) and bridges (on Category 1 roads) with documented inspections and/or maintenance programs to meet regulatory obligations’.</w:t>
            </w:r>
          </w:p>
        </w:tc>
      </w:tr>
      <w:tr w:rsidR="00A53D7D" w:rsidTr="005140B4">
        <w:tblPrEx>
          <w:tblLook w:val="0000" w:firstRow="0" w:lastRow="0" w:firstColumn="0" w:lastColumn="0" w:noHBand="0" w:noVBand="0"/>
        </w:tblPrEx>
        <w:trPr>
          <w:cantSplit/>
        </w:trPr>
        <w:tc>
          <w:tcPr>
            <w:tcW w:w="7776" w:type="dxa"/>
            <w:gridSpan w:val="6"/>
            <w:tcBorders>
              <w:top w:val="single" w:sz="4" w:space="0" w:color="auto"/>
              <w:left w:val="nil"/>
              <w:bottom w:val="nil"/>
              <w:right w:val="nil"/>
            </w:tcBorders>
            <w:shd w:val="clear" w:color="auto" w:fill="FFFFFF"/>
          </w:tcPr>
          <w:p w:rsidR="00A53D7D" w:rsidRPr="00243DFF" w:rsidRDefault="00A53D7D" w:rsidP="005140B4">
            <w:pPr>
              <w:pStyle w:val="OGHeading2"/>
              <w:rPr>
                <w:sz w:val="18"/>
                <w:szCs w:val="18"/>
              </w:rPr>
            </w:pPr>
            <w:r>
              <w:t>Sustainably Manage Fish and Forest Resources</w:t>
            </w:r>
          </w:p>
        </w:tc>
      </w:tr>
      <w:tr w:rsidR="00A53D7D" w:rsidTr="005140B4">
        <w:tblPrEx>
          <w:tblLook w:val="0000" w:firstRow="0" w:lastRow="0" w:firstColumn="0" w:lastColumn="0" w:noHBand="0" w:noVBand="0"/>
        </w:tblPrEx>
        <w:trPr>
          <w:cantSplit/>
        </w:trPr>
        <w:tc>
          <w:tcPr>
            <w:tcW w:w="3155" w:type="dxa"/>
            <w:tcBorders>
              <w:top w:val="single" w:sz="6" w:space="0" w:color="auto"/>
              <w:left w:val="nil"/>
              <w:bottom w:val="nil"/>
              <w:right w:val="nil"/>
            </w:tcBorders>
            <w:shd w:val="clear" w:color="auto" w:fill="FFFFFF"/>
          </w:tcPr>
          <w:p w:rsidR="00A53D7D" w:rsidRDefault="00A53D7D" w:rsidP="005140B4">
            <w:pPr>
              <w:pStyle w:val="OGTabHead"/>
            </w:pPr>
            <w:r>
              <w:t>Quantity</w:t>
            </w:r>
          </w:p>
        </w:tc>
        <w:tc>
          <w:tcPr>
            <w:tcW w:w="907" w:type="dxa"/>
            <w:tcBorders>
              <w:top w:val="single" w:sz="6" w:space="0" w:color="auto"/>
              <w:left w:val="nil"/>
              <w:bottom w:val="nil"/>
              <w:right w:val="nil"/>
            </w:tcBorders>
            <w:shd w:val="clear" w:color="auto" w:fill="FFFFFF"/>
          </w:tcPr>
          <w:p w:rsidR="00A53D7D" w:rsidRDefault="00A53D7D" w:rsidP="005140B4">
            <w:pPr>
              <w:pStyle w:val="OGUoM"/>
            </w:pPr>
          </w:p>
        </w:tc>
        <w:tc>
          <w:tcPr>
            <w:tcW w:w="907" w:type="dxa"/>
            <w:tcBorders>
              <w:top w:val="single" w:sz="6" w:space="0" w:color="auto"/>
              <w:left w:val="nil"/>
              <w:bottom w:val="nil"/>
              <w:right w:val="nil"/>
            </w:tcBorders>
            <w:shd w:val="clear" w:color="auto" w:fill="D9D9D9"/>
          </w:tcPr>
          <w:p w:rsidR="00A53D7D" w:rsidRDefault="00A53D7D" w:rsidP="005140B4">
            <w:pPr>
              <w:pStyle w:val="OGTableofFigures"/>
            </w:pPr>
          </w:p>
        </w:tc>
        <w:tc>
          <w:tcPr>
            <w:tcW w:w="993" w:type="dxa"/>
            <w:tcBorders>
              <w:top w:val="single" w:sz="6" w:space="0" w:color="auto"/>
              <w:left w:val="nil"/>
              <w:bottom w:val="nil"/>
              <w:right w:val="nil"/>
            </w:tcBorders>
            <w:shd w:val="clear" w:color="auto" w:fill="FFFFFF"/>
          </w:tcPr>
          <w:p w:rsidR="00A53D7D" w:rsidRDefault="00A53D7D" w:rsidP="005140B4">
            <w:pPr>
              <w:pStyle w:val="OGTableofFigures"/>
            </w:pP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pPr>
          </w:p>
        </w:tc>
        <w:tc>
          <w:tcPr>
            <w:tcW w:w="907" w:type="dxa"/>
            <w:tcBorders>
              <w:top w:val="single" w:sz="6" w:space="0" w:color="auto"/>
              <w:left w:val="nil"/>
              <w:bottom w:val="nil"/>
              <w:right w:val="nil"/>
            </w:tcBorders>
            <w:shd w:val="clear" w:color="auto" w:fill="FFFFFF"/>
          </w:tcPr>
          <w:p w:rsidR="00A53D7D" w:rsidRDefault="00A53D7D" w:rsidP="005140B4">
            <w:pPr>
              <w:pStyle w:val="OGTableofFigures"/>
            </w:pPr>
          </w:p>
        </w:tc>
      </w:tr>
      <w:tr w:rsidR="00A53D7D" w:rsidTr="005140B4">
        <w:tblPrEx>
          <w:tblLook w:val="0000" w:firstRow="0" w:lastRow="0" w:firstColumn="0" w:lastColumn="0" w:noHBand="0" w:noVBand="0"/>
        </w:tblPrEx>
        <w:trPr>
          <w:cantSplit/>
        </w:trPr>
        <w:tc>
          <w:tcPr>
            <w:tcW w:w="3155" w:type="dxa"/>
            <w:tcBorders>
              <w:top w:val="nil"/>
              <w:left w:val="nil"/>
              <w:right w:val="nil"/>
            </w:tcBorders>
            <w:shd w:val="clear" w:color="auto" w:fill="FFFFFF"/>
          </w:tcPr>
          <w:p w:rsidR="00A53D7D" w:rsidRDefault="00A53D7D" w:rsidP="005140B4">
            <w:pPr>
              <w:pStyle w:val="OGTabText"/>
              <w:rPr>
                <w:sz w:val="18"/>
              </w:rPr>
            </w:pPr>
            <w:r>
              <w:rPr>
                <w:szCs w:val="20"/>
              </w:rPr>
              <w:t>Game licence applications, renewals and amendments processed within 15 business days of receipt</w:t>
            </w:r>
          </w:p>
        </w:tc>
        <w:tc>
          <w:tcPr>
            <w:tcW w:w="907" w:type="dxa"/>
            <w:tcBorders>
              <w:top w:val="nil"/>
              <w:left w:val="nil"/>
              <w:right w:val="nil"/>
            </w:tcBorders>
            <w:shd w:val="clear" w:color="auto" w:fill="FFFFFF"/>
          </w:tcPr>
          <w:p w:rsidR="00A53D7D" w:rsidRDefault="00A53D7D" w:rsidP="005140B4">
            <w:pPr>
              <w:pStyle w:val="OGUoM"/>
              <w:rPr>
                <w:sz w:val="18"/>
              </w:rPr>
            </w:pPr>
            <w:r>
              <w:t>per cent</w:t>
            </w:r>
          </w:p>
        </w:tc>
        <w:tc>
          <w:tcPr>
            <w:tcW w:w="907" w:type="dxa"/>
            <w:tcBorders>
              <w:top w:val="nil"/>
              <w:left w:val="nil"/>
              <w:right w:val="nil"/>
            </w:tcBorders>
            <w:shd w:val="clear" w:color="auto" w:fill="D9D9D9"/>
          </w:tcPr>
          <w:p w:rsidR="00A53D7D" w:rsidRDefault="00A53D7D" w:rsidP="005140B4">
            <w:pPr>
              <w:pStyle w:val="OGTableofFigures"/>
              <w:rPr>
                <w:sz w:val="18"/>
              </w:rPr>
            </w:pPr>
            <w:r>
              <w:t>100</w:t>
            </w:r>
          </w:p>
        </w:tc>
        <w:tc>
          <w:tcPr>
            <w:tcW w:w="993" w:type="dxa"/>
            <w:tcBorders>
              <w:top w:val="nil"/>
              <w:left w:val="nil"/>
              <w:right w:val="nil"/>
            </w:tcBorders>
            <w:shd w:val="clear" w:color="auto" w:fill="FFFFFF"/>
          </w:tcPr>
          <w:p w:rsidR="00A53D7D" w:rsidRDefault="00A53D7D" w:rsidP="005140B4">
            <w:pPr>
              <w:pStyle w:val="OGTableofFigures"/>
              <w:rPr>
                <w:sz w:val="18"/>
              </w:rPr>
            </w:pPr>
            <w:r>
              <w:t>100</w:t>
            </w:r>
          </w:p>
        </w:tc>
        <w:tc>
          <w:tcPr>
            <w:tcW w:w="907" w:type="dxa"/>
            <w:tcBorders>
              <w:top w:val="nil"/>
              <w:left w:val="nil"/>
              <w:right w:val="nil"/>
            </w:tcBorders>
            <w:shd w:val="clear" w:color="auto" w:fill="FFFFFF"/>
          </w:tcPr>
          <w:p w:rsidR="00A53D7D" w:rsidRDefault="00A53D7D" w:rsidP="005140B4">
            <w:pPr>
              <w:pStyle w:val="OGTableofFigures"/>
              <w:rPr>
                <w:sz w:val="18"/>
              </w:rPr>
            </w:pPr>
            <w:r>
              <w:t>100</w:t>
            </w:r>
          </w:p>
        </w:tc>
        <w:tc>
          <w:tcPr>
            <w:tcW w:w="907" w:type="dxa"/>
            <w:tcBorders>
              <w:top w:val="nil"/>
              <w:left w:val="nil"/>
              <w:right w:val="nil"/>
            </w:tcBorders>
            <w:shd w:val="clear" w:color="auto" w:fill="FFFFFF"/>
          </w:tcPr>
          <w:p w:rsidR="00A53D7D" w:rsidRDefault="00A53D7D" w:rsidP="005140B4">
            <w:pPr>
              <w:pStyle w:val="OGTableofFigures"/>
              <w:rPr>
                <w:sz w:val="18"/>
              </w:rPr>
            </w:pPr>
            <w:r>
              <w:t>100</w:t>
            </w:r>
          </w:p>
        </w:tc>
      </w:tr>
      <w:tr w:rsidR="00A53D7D" w:rsidTr="005140B4">
        <w:tblPrEx>
          <w:tblLook w:val="0000" w:firstRow="0" w:lastRow="0" w:firstColumn="0" w:lastColumn="0" w:noHBand="0" w:noVBand="0"/>
        </w:tblPrEx>
        <w:trPr>
          <w:cantSplit/>
        </w:trPr>
        <w:tc>
          <w:tcPr>
            <w:tcW w:w="7776" w:type="dxa"/>
            <w:gridSpan w:val="6"/>
            <w:tcBorders>
              <w:top w:val="nil"/>
              <w:left w:val="nil"/>
              <w:bottom w:val="single" w:sz="12" w:space="0" w:color="auto"/>
              <w:right w:val="nil"/>
            </w:tcBorders>
            <w:shd w:val="clear" w:color="auto" w:fill="FFFFFF"/>
          </w:tcPr>
          <w:p w:rsidR="00A53D7D" w:rsidRPr="00243DFF" w:rsidRDefault="00A53D7D" w:rsidP="005140B4">
            <w:pPr>
              <w:pStyle w:val="OGNotes"/>
              <w:rPr>
                <w:sz w:val="18"/>
                <w:szCs w:val="18"/>
              </w:rPr>
            </w:pPr>
            <w:r>
              <w:t>This performance measure is proposed to be discontinued as it has been replaced with the 2014</w:t>
            </w:r>
            <w:r>
              <w:noBreakHyphen/>
              <w:t xml:space="preserve">15 performance measure ‘Key statutory obligations relevant to </w:t>
            </w:r>
            <w:proofErr w:type="spellStart"/>
            <w:r>
              <w:t>VicForests</w:t>
            </w:r>
            <w:proofErr w:type="spellEnd"/>
            <w:r>
              <w:t xml:space="preserve"> and the Game Management Authority complied with (tabling annual reports, audits, corporate plans and board appointments)’.</w:t>
            </w:r>
          </w:p>
        </w:tc>
      </w:tr>
    </w:tbl>
    <w:p w:rsidR="00A53D7D" w:rsidRDefault="00A53D7D" w:rsidP="005140B4">
      <w:pPr>
        <w:pStyle w:val="Source"/>
      </w:pPr>
      <w:r>
        <w:t>Source: Department of Environment and Primary Industries</w:t>
      </w:r>
      <w:r>
        <w:fldChar w:fldCharType="begin"/>
      </w:r>
      <w:r>
        <w:instrText xml:space="preserve"> XE "</w:instrText>
      </w:r>
      <w:r w:rsidRPr="004C7891">
        <w:instrText>Department of Environment and Primary Industries:Output performance measures for review</w:instrText>
      </w:r>
      <w:r>
        <w:instrText xml:space="preserve">" \r "AppADEPI" </w:instrText>
      </w:r>
      <w:r>
        <w:fldChar w:fldCharType="end"/>
      </w:r>
    </w:p>
    <w:bookmarkEnd w:id="163"/>
    <w:p w:rsidR="00A53D7D" w:rsidRDefault="00A53D7D" w:rsidP="005140B4">
      <w:r>
        <w:br w:type="page"/>
      </w:r>
    </w:p>
    <w:p w:rsidR="00A53D7D" w:rsidRPr="00204234" w:rsidRDefault="00A53D7D" w:rsidP="005140B4">
      <w:pPr>
        <w:pStyle w:val="Heading1"/>
      </w:pPr>
      <w:bookmarkStart w:id="165" w:name="_Toc386364085"/>
      <w:bookmarkStart w:id="166" w:name="_Toc386541230"/>
      <w:bookmarkStart w:id="167" w:name="_Toc407116922"/>
      <w:r>
        <w:t>Department of Health</w:t>
      </w:r>
      <w:bookmarkEnd w:id="165"/>
      <w:bookmarkEnd w:id="166"/>
      <w:bookmarkEnd w:id="167"/>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F93FD4" w:rsidTr="005140B4">
        <w:trPr>
          <w:cantSplit/>
        </w:trPr>
        <w:tc>
          <w:tcPr>
            <w:tcW w:w="7776" w:type="dxa"/>
            <w:gridSpan w:val="6"/>
            <w:tcBorders>
              <w:bottom w:val="single" w:sz="6" w:space="0" w:color="auto"/>
            </w:tcBorders>
          </w:tcPr>
          <w:p w:rsidR="00A53D7D" w:rsidRPr="00F93FD4" w:rsidRDefault="00A53D7D" w:rsidP="005140B4">
            <w:pPr>
              <w:pStyle w:val="OGHeading2"/>
            </w:pPr>
            <w:r w:rsidRPr="00E10C61">
              <w:t>Mental Health Community Support Services (MHCSS)</w:t>
            </w:r>
          </w:p>
        </w:tc>
      </w:tr>
      <w:tr w:rsidR="00A53D7D" w:rsidRPr="00F93FD4" w:rsidTr="005140B4">
        <w:trPr>
          <w:cantSplit/>
        </w:trPr>
        <w:tc>
          <w:tcPr>
            <w:tcW w:w="3155" w:type="dxa"/>
            <w:tcBorders>
              <w:top w:val="single" w:sz="6" w:space="0" w:color="auto"/>
            </w:tcBorders>
          </w:tcPr>
          <w:p w:rsidR="00A53D7D" w:rsidRPr="00F93FD4" w:rsidRDefault="00A53D7D" w:rsidP="005140B4">
            <w:pPr>
              <w:pStyle w:val="OGTabHead"/>
            </w:pPr>
            <w:r w:rsidRPr="00F93FD4">
              <w:t>Quantity</w:t>
            </w:r>
          </w:p>
        </w:tc>
        <w:tc>
          <w:tcPr>
            <w:tcW w:w="907" w:type="dxa"/>
            <w:tcBorders>
              <w:top w:val="single" w:sz="6" w:space="0" w:color="auto"/>
            </w:tcBorders>
            <w:noWrap/>
          </w:tcPr>
          <w:p w:rsidR="00A53D7D" w:rsidRPr="00F93FD4" w:rsidRDefault="00A53D7D" w:rsidP="005140B4">
            <w:pPr>
              <w:pStyle w:val="OGUoM"/>
            </w:pPr>
          </w:p>
        </w:tc>
        <w:tc>
          <w:tcPr>
            <w:tcW w:w="907" w:type="dxa"/>
            <w:tcBorders>
              <w:top w:val="single" w:sz="6" w:space="0" w:color="auto"/>
            </w:tcBorders>
            <w:shd w:val="clear" w:color="auto" w:fill="D9D9D9"/>
            <w:noWrap/>
          </w:tcPr>
          <w:p w:rsidR="00A53D7D" w:rsidRPr="00F93FD4" w:rsidRDefault="00A53D7D" w:rsidP="005140B4">
            <w:pPr>
              <w:pStyle w:val="OGTableofFigures"/>
            </w:pPr>
          </w:p>
        </w:tc>
        <w:tc>
          <w:tcPr>
            <w:tcW w:w="993"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r>
      <w:tr w:rsidR="00A53D7D" w:rsidRPr="00F93FD4" w:rsidTr="005140B4">
        <w:trPr>
          <w:cantSplit/>
        </w:trPr>
        <w:tc>
          <w:tcPr>
            <w:tcW w:w="3155" w:type="dxa"/>
          </w:tcPr>
          <w:p w:rsidR="00A53D7D" w:rsidRPr="00F93FD4" w:rsidRDefault="00A53D7D" w:rsidP="005140B4">
            <w:pPr>
              <w:pStyle w:val="OGTabText"/>
            </w:pPr>
            <w:r>
              <w:t>Contact hours</w:t>
            </w:r>
          </w:p>
        </w:tc>
        <w:tc>
          <w:tcPr>
            <w:tcW w:w="907" w:type="dxa"/>
            <w:noWrap/>
          </w:tcPr>
          <w:p w:rsidR="00A53D7D" w:rsidRPr="00F93FD4" w:rsidRDefault="00A53D7D" w:rsidP="005140B4">
            <w:pPr>
              <w:pStyle w:val="OGUoM"/>
            </w:pPr>
            <w:r>
              <w:t>number</w:t>
            </w:r>
          </w:p>
        </w:tc>
        <w:tc>
          <w:tcPr>
            <w:tcW w:w="907" w:type="dxa"/>
            <w:shd w:val="clear" w:color="auto" w:fill="D9D9D9"/>
            <w:noWrap/>
          </w:tcPr>
          <w:p w:rsidR="00A53D7D" w:rsidRPr="00F93FD4" w:rsidRDefault="00A53D7D" w:rsidP="005140B4">
            <w:pPr>
              <w:pStyle w:val="OGTableofFigures"/>
            </w:pPr>
            <w:r>
              <w:t>1 183</w:t>
            </w:r>
          </w:p>
        </w:tc>
        <w:tc>
          <w:tcPr>
            <w:tcW w:w="993" w:type="dxa"/>
            <w:noWrap/>
          </w:tcPr>
          <w:p w:rsidR="00A53D7D" w:rsidRPr="00F93FD4" w:rsidRDefault="00A53D7D" w:rsidP="005140B4">
            <w:pPr>
              <w:pStyle w:val="OGTableofFigures"/>
            </w:pPr>
            <w:r>
              <w:t>1 183</w:t>
            </w:r>
          </w:p>
        </w:tc>
        <w:tc>
          <w:tcPr>
            <w:tcW w:w="907" w:type="dxa"/>
            <w:noWrap/>
          </w:tcPr>
          <w:p w:rsidR="00A53D7D" w:rsidRPr="00F93FD4" w:rsidRDefault="00A53D7D" w:rsidP="005140B4">
            <w:pPr>
              <w:pStyle w:val="OGTableofFigures"/>
            </w:pPr>
            <w:r>
              <w:t>1 183</w:t>
            </w:r>
          </w:p>
        </w:tc>
        <w:tc>
          <w:tcPr>
            <w:tcW w:w="907" w:type="dxa"/>
            <w:noWrap/>
          </w:tcPr>
          <w:p w:rsidR="00A53D7D" w:rsidRPr="00F93FD4" w:rsidRDefault="00A53D7D" w:rsidP="005140B4">
            <w:pPr>
              <w:pStyle w:val="OGTableofFigures"/>
            </w:pPr>
            <w:r>
              <w:t>1 183</w:t>
            </w:r>
          </w:p>
        </w:tc>
      </w:tr>
      <w:tr w:rsidR="00A53D7D" w:rsidRPr="00F93FD4" w:rsidTr="005140B4">
        <w:trPr>
          <w:cantSplit/>
        </w:trPr>
        <w:tc>
          <w:tcPr>
            <w:tcW w:w="7776" w:type="dxa"/>
            <w:gridSpan w:val="6"/>
            <w:tcBorders>
              <w:bottom w:val="single" w:sz="6" w:space="0" w:color="auto"/>
            </w:tcBorders>
          </w:tcPr>
          <w:p w:rsidR="00A53D7D" w:rsidRDefault="00A53D7D" w:rsidP="005140B4">
            <w:pPr>
              <w:pStyle w:val="OGNotes"/>
            </w:pPr>
            <w:r>
              <w:t>This performance measure is proposed to be discontinued as it has been replaced by the 2014</w:t>
            </w:r>
            <w:r>
              <w:noBreakHyphen/>
              <w:t>15 performance measure ‘Client Support Units’.</w:t>
            </w:r>
          </w:p>
        </w:tc>
      </w:tr>
      <w:tr w:rsidR="00A53D7D" w:rsidRPr="00F93FD4" w:rsidTr="005140B4">
        <w:trPr>
          <w:cantSplit/>
        </w:trPr>
        <w:tc>
          <w:tcPr>
            <w:tcW w:w="7776" w:type="dxa"/>
            <w:gridSpan w:val="6"/>
            <w:tcBorders>
              <w:top w:val="single" w:sz="6" w:space="0" w:color="auto"/>
              <w:bottom w:val="single" w:sz="6" w:space="0" w:color="auto"/>
            </w:tcBorders>
          </w:tcPr>
          <w:p w:rsidR="00A53D7D" w:rsidRPr="00F93FD4" w:rsidRDefault="00A53D7D" w:rsidP="005140B4">
            <w:pPr>
              <w:pStyle w:val="OGHeading2"/>
            </w:pPr>
            <w:r>
              <w:t>Residential Aged Care</w:t>
            </w:r>
          </w:p>
        </w:tc>
      </w:tr>
      <w:tr w:rsidR="00A53D7D" w:rsidRPr="00F93FD4" w:rsidTr="005140B4">
        <w:trPr>
          <w:cantSplit/>
        </w:trPr>
        <w:tc>
          <w:tcPr>
            <w:tcW w:w="3155" w:type="dxa"/>
            <w:tcBorders>
              <w:top w:val="single" w:sz="6" w:space="0" w:color="auto"/>
            </w:tcBorders>
          </w:tcPr>
          <w:p w:rsidR="00A53D7D" w:rsidRPr="00F93FD4" w:rsidRDefault="00A53D7D" w:rsidP="005140B4">
            <w:pPr>
              <w:pStyle w:val="OGTabHead"/>
            </w:pPr>
            <w:r w:rsidRPr="00F93FD4">
              <w:t>Quantity</w:t>
            </w:r>
          </w:p>
        </w:tc>
        <w:tc>
          <w:tcPr>
            <w:tcW w:w="907" w:type="dxa"/>
            <w:tcBorders>
              <w:top w:val="single" w:sz="6" w:space="0" w:color="auto"/>
            </w:tcBorders>
            <w:noWrap/>
          </w:tcPr>
          <w:p w:rsidR="00A53D7D" w:rsidRPr="00F93FD4" w:rsidRDefault="00A53D7D" w:rsidP="005140B4">
            <w:pPr>
              <w:pStyle w:val="OGUoM"/>
            </w:pPr>
          </w:p>
        </w:tc>
        <w:tc>
          <w:tcPr>
            <w:tcW w:w="907" w:type="dxa"/>
            <w:tcBorders>
              <w:top w:val="single" w:sz="6" w:space="0" w:color="auto"/>
            </w:tcBorders>
            <w:shd w:val="clear" w:color="auto" w:fill="D9D9D9"/>
            <w:noWrap/>
          </w:tcPr>
          <w:p w:rsidR="00A53D7D" w:rsidRPr="00F93FD4" w:rsidRDefault="00A53D7D" w:rsidP="005140B4">
            <w:pPr>
              <w:pStyle w:val="OGTableofFigures"/>
            </w:pPr>
          </w:p>
        </w:tc>
        <w:tc>
          <w:tcPr>
            <w:tcW w:w="993"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r>
      <w:tr w:rsidR="00A53D7D" w:rsidRPr="00F93FD4" w:rsidTr="005140B4">
        <w:trPr>
          <w:cantSplit/>
        </w:trPr>
        <w:tc>
          <w:tcPr>
            <w:tcW w:w="3155" w:type="dxa"/>
          </w:tcPr>
          <w:p w:rsidR="00A53D7D" w:rsidRPr="00F93FD4" w:rsidRDefault="00A53D7D" w:rsidP="005140B4">
            <w:pPr>
              <w:pStyle w:val="OGTabText"/>
            </w:pPr>
            <w:r>
              <w:t>Bed days in high care places</w:t>
            </w:r>
          </w:p>
        </w:tc>
        <w:tc>
          <w:tcPr>
            <w:tcW w:w="907" w:type="dxa"/>
            <w:noWrap/>
          </w:tcPr>
          <w:p w:rsidR="00A53D7D" w:rsidRPr="00F93FD4" w:rsidRDefault="00A53D7D" w:rsidP="005140B4">
            <w:pPr>
              <w:pStyle w:val="OGUoM"/>
            </w:pPr>
            <w:r>
              <w:t>number</w:t>
            </w:r>
          </w:p>
        </w:tc>
        <w:tc>
          <w:tcPr>
            <w:tcW w:w="907" w:type="dxa"/>
            <w:shd w:val="clear" w:color="auto" w:fill="D9D9D9"/>
            <w:noWrap/>
          </w:tcPr>
          <w:p w:rsidR="00A53D7D" w:rsidRPr="00F93FD4" w:rsidRDefault="00A53D7D" w:rsidP="005140B4">
            <w:pPr>
              <w:pStyle w:val="OGTableofFigures"/>
            </w:pPr>
            <w:r>
              <w:t>850 952</w:t>
            </w:r>
          </w:p>
        </w:tc>
        <w:tc>
          <w:tcPr>
            <w:tcW w:w="993" w:type="dxa"/>
            <w:noWrap/>
          </w:tcPr>
          <w:p w:rsidR="00A53D7D" w:rsidRPr="00F93FD4" w:rsidRDefault="00A53D7D" w:rsidP="005140B4">
            <w:pPr>
              <w:pStyle w:val="OGTableofFigures"/>
            </w:pPr>
            <w:r>
              <w:t>850 952</w:t>
            </w:r>
          </w:p>
        </w:tc>
        <w:tc>
          <w:tcPr>
            <w:tcW w:w="907" w:type="dxa"/>
            <w:noWrap/>
          </w:tcPr>
          <w:p w:rsidR="00A53D7D" w:rsidRPr="00F93FD4" w:rsidRDefault="00A53D7D" w:rsidP="005140B4">
            <w:pPr>
              <w:pStyle w:val="OGTableofFigures"/>
            </w:pPr>
            <w:r>
              <w:t>884 833</w:t>
            </w:r>
          </w:p>
        </w:tc>
        <w:tc>
          <w:tcPr>
            <w:tcW w:w="907" w:type="dxa"/>
            <w:noWrap/>
          </w:tcPr>
          <w:p w:rsidR="00A53D7D" w:rsidRPr="00F93FD4" w:rsidRDefault="00A53D7D" w:rsidP="005140B4">
            <w:pPr>
              <w:pStyle w:val="OGTableofFigures"/>
            </w:pPr>
            <w:r>
              <w:t>892 685</w:t>
            </w:r>
          </w:p>
        </w:tc>
      </w:tr>
      <w:tr w:rsidR="00A53D7D" w:rsidRPr="00F93FD4" w:rsidTr="005140B4">
        <w:trPr>
          <w:cantSplit/>
        </w:trPr>
        <w:tc>
          <w:tcPr>
            <w:tcW w:w="7776" w:type="dxa"/>
            <w:gridSpan w:val="6"/>
          </w:tcPr>
          <w:p w:rsidR="00A53D7D" w:rsidRDefault="00A53D7D" w:rsidP="005140B4">
            <w:pPr>
              <w:pStyle w:val="OGNotes"/>
            </w:pPr>
            <w:r>
              <w:t>This performance measure is proposed to be discontinued as it is being replaced by the 2014</w:t>
            </w:r>
            <w:r>
              <w:noBreakHyphen/>
              <w:t>15 performance measure ‘Available bed days’, to reflect Commonwealth changes effective 1 July 2014 as part of Living Longer, Living Better program. There is no change to calculations to residential aged care bed State supplements.</w:t>
            </w:r>
          </w:p>
          <w:p w:rsidR="00A53D7D" w:rsidRDefault="00A53D7D" w:rsidP="005140B4">
            <w:pPr>
              <w:pStyle w:val="OGNotes"/>
            </w:pPr>
            <w:r>
              <w:t>The 2014</w:t>
            </w:r>
            <w:r>
              <w:noBreakHyphen/>
              <w:t>15 target reflects anticipated service levels.</w:t>
            </w:r>
          </w:p>
        </w:tc>
      </w:tr>
      <w:tr w:rsidR="00A53D7D" w:rsidRPr="00F93FD4" w:rsidTr="005140B4">
        <w:trPr>
          <w:cantSplit/>
        </w:trPr>
        <w:tc>
          <w:tcPr>
            <w:tcW w:w="3155" w:type="dxa"/>
            <w:tcBorders>
              <w:top w:val="single" w:sz="4" w:space="0" w:color="auto"/>
            </w:tcBorders>
          </w:tcPr>
          <w:p w:rsidR="00A53D7D" w:rsidRPr="00F93FD4" w:rsidRDefault="00A53D7D" w:rsidP="005140B4">
            <w:pPr>
              <w:pStyle w:val="OGTabText"/>
            </w:pPr>
            <w:r>
              <w:t>Bed days in low care places</w:t>
            </w:r>
          </w:p>
        </w:tc>
        <w:tc>
          <w:tcPr>
            <w:tcW w:w="907" w:type="dxa"/>
            <w:tcBorders>
              <w:top w:val="single" w:sz="4" w:space="0" w:color="auto"/>
            </w:tcBorders>
            <w:noWrap/>
          </w:tcPr>
          <w:p w:rsidR="00A53D7D" w:rsidRPr="00F93FD4" w:rsidRDefault="00A53D7D" w:rsidP="005140B4">
            <w:pPr>
              <w:pStyle w:val="OGUoM"/>
            </w:pPr>
            <w:r>
              <w:t>number</w:t>
            </w:r>
          </w:p>
        </w:tc>
        <w:tc>
          <w:tcPr>
            <w:tcW w:w="907" w:type="dxa"/>
            <w:tcBorders>
              <w:top w:val="single" w:sz="4" w:space="0" w:color="auto"/>
            </w:tcBorders>
            <w:shd w:val="clear" w:color="auto" w:fill="D9D9D9"/>
            <w:noWrap/>
          </w:tcPr>
          <w:p w:rsidR="00A53D7D" w:rsidRPr="00F93FD4" w:rsidRDefault="00A53D7D" w:rsidP="005140B4">
            <w:pPr>
              <w:pStyle w:val="OGTableofFigures"/>
            </w:pPr>
            <w:r>
              <w:t>363 646</w:t>
            </w:r>
          </w:p>
        </w:tc>
        <w:tc>
          <w:tcPr>
            <w:tcW w:w="993" w:type="dxa"/>
            <w:tcBorders>
              <w:top w:val="single" w:sz="4" w:space="0" w:color="auto"/>
            </w:tcBorders>
            <w:noWrap/>
          </w:tcPr>
          <w:p w:rsidR="00A53D7D" w:rsidRPr="00F93FD4" w:rsidRDefault="00A53D7D" w:rsidP="005140B4">
            <w:pPr>
              <w:pStyle w:val="OGTableofFigures"/>
            </w:pPr>
            <w:r>
              <w:t>363 956</w:t>
            </w:r>
          </w:p>
        </w:tc>
        <w:tc>
          <w:tcPr>
            <w:tcW w:w="907" w:type="dxa"/>
            <w:tcBorders>
              <w:top w:val="single" w:sz="4" w:space="0" w:color="auto"/>
            </w:tcBorders>
            <w:noWrap/>
          </w:tcPr>
          <w:p w:rsidR="00A53D7D" w:rsidRPr="00F93FD4" w:rsidRDefault="00A53D7D" w:rsidP="005140B4">
            <w:pPr>
              <w:pStyle w:val="OGTableofFigures"/>
            </w:pPr>
            <w:r>
              <w:t>363 646</w:t>
            </w:r>
          </w:p>
        </w:tc>
        <w:tc>
          <w:tcPr>
            <w:tcW w:w="907" w:type="dxa"/>
            <w:tcBorders>
              <w:top w:val="single" w:sz="4" w:space="0" w:color="auto"/>
            </w:tcBorders>
            <w:noWrap/>
          </w:tcPr>
          <w:p w:rsidR="00A53D7D" w:rsidRPr="00F93FD4" w:rsidRDefault="00A53D7D" w:rsidP="005140B4">
            <w:pPr>
              <w:pStyle w:val="OGTableofFigures"/>
            </w:pPr>
            <w:r>
              <w:t>367 738</w:t>
            </w:r>
          </w:p>
        </w:tc>
      </w:tr>
      <w:tr w:rsidR="00A53D7D" w:rsidRPr="00F93FD4" w:rsidTr="005140B4">
        <w:trPr>
          <w:cantSplit/>
        </w:trPr>
        <w:tc>
          <w:tcPr>
            <w:tcW w:w="7776" w:type="dxa"/>
            <w:gridSpan w:val="6"/>
            <w:tcBorders>
              <w:bottom w:val="single" w:sz="6" w:space="0" w:color="auto"/>
            </w:tcBorders>
          </w:tcPr>
          <w:p w:rsidR="00A53D7D" w:rsidRDefault="00A53D7D" w:rsidP="005140B4">
            <w:pPr>
              <w:pStyle w:val="OGNotes"/>
            </w:pPr>
            <w:r w:rsidRPr="002E7276">
              <w:t>This performance measure is proposed to be discontinued as it is being replaced by the 2014</w:t>
            </w:r>
            <w:r>
              <w:noBreakHyphen/>
            </w:r>
            <w:r w:rsidRPr="002E7276">
              <w:t>15 performance measure ‘Available Bed Days’, to reflect Commonwealth changes effective 1 July 2014 as part of Living Longer, Living Better program. There is no change to calculati</w:t>
            </w:r>
            <w:r>
              <w:t>ons to residential aged care bed</w:t>
            </w:r>
            <w:r w:rsidRPr="002E7276">
              <w:t xml:space="preserve"> State supplements.</w:t>
            </w:r>
          </w:p>
        </w:tc>
      </w:tr>
      <w:tr w:rsidR="00A53D7D" w:rsidRPr="00F93FD4" w:rsidTr="005140B4">
        <w:trPr>
          <w:cantSplit/>
        </w:trPr>
        <w:tc>
          <w:tcPr>
            <w:tcW w:w="7776" w:type="dxa"/>
            <w:gridSpan w:val="6"/>
            <w:tcBorders>
              <w:top w:val="single" w:sz="6" w:space="0" w:color="auto"/>
              <w:bottom w:val="single" w:sz="6" w:space="0" w:color="auto"/>
            </w:tcBorders>
          </w:tcPr>
          <w:p w:rsidR="00A53D7D" w:rsidRPr="00F93FD4" w:rsidRDefault="00A53D7D" w:rsidP="005140B4">
            <w:pPr>
              <w:pStyle w:val="OGHeading2"/>
            </w:pPr>
            <w:r>
              <w:t>Small Rural Services – Aged Care</w:t>
            </w:r>
          </w:p>
        </w:tc>
      </w:tr>
      <w:tr w:rsidR="00A53D7D" w:rsidRPr="00F93FD4" w:rsidTr="005140B4">
        <w:trPr>
          <w:cantSplit/>
        </w:trPr>
        <w:tc>
          <w:tcPr>
            <w:tcW w:w="3155" w:type="dxa"/>
            <w:tcBorders>
              <w:top w:val="single" w:sz="6" w:space="0" w:color="auto"/>
            </w:tcBorders>
          </w:tcPr>
          <w:p w:rsidR="00A53D7D" w:rsidRPr="00F93FD4" w:rsidRDefault="00A53D7D" w:rsidP="005140B4">
            <w:pPr>
              <w:pStyle w:val="OGTabHead"/>
            </w:pPr>
            <w:r w:rsidRPr="00F93FD4">
              <w:t>Quantity</w:t>
            </w:r>
          </w:p>
        </w:tc>
        <w:tc>
          <w:tcPr>
            <w:tcW w:w="907" w:type="dxa"/>
            <w:tcBorders>
              <w:top w:val="single" w:sz="6" w:space="0" w:color="auto"/>
            </w:tcBorders>
            <w:noWrap/>
          </w:tcPr>
          <w:p w:rsidR="00A53D7D" w:rsidRPr="00F93FD4" w:rsidRDefault="00A53D7D" w:rsidP="005140B4">
            <w:pPr>
              <w:pStyle w:val="OGUoM"/>
            </w:pPr>
          </w:p>
        </w:tc>
        <w:tc>
          <w:tcPr>
            <w:tcW w:w="907" w:type="dxa"/>
            <w:tcBorders>
              <w:top w:val="single" w:sz="6" w:space="0" w:color="auto"/>
            </w:tcBorders>
            <w:shd w:val="clear" w:color="auto" w:fill="D9D9D9"/>
            <w:noWrap/>
          </w:tcPr>
          <w:p w:rsidR="00A53D7D" w:rsidRPr="00F93FD4" w:rsidRDefault="00A53D7D" w:rsidP="005140B4">
            <w:pPr>
              <w:pStyle w:val="OGTableofFigures"/>
            </w:pPr>
          </w:p>
        </w:tc>
        <w:tc>
          <w:tcPr>
            <w:tcW w:w="993"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r>
      <w:tr w:rsidR="00A53D7D" w:rsidRPr="00F93FD4" w:rsidTr="005140B4">
        <w:trPr>
          <w:cantSplit/>
        </w:trPr>
        <w:tc>
          <w:tcPr>
            <w:tcW w:w="3155" w:type="dxa"/>
          </w:tcPr>
          <w:p w:rsidR="00A53D7D" w:rsidRPr="00F93FD4" w:rsidRDefault="00A53D7D" w:rsidP="005140B4">
            <w:pPr>
              <w:pStyle w:val="OGTabText"/>
            </w:pPr>
            <w:r>
              <w:t>Bed days in high care places</w:t>
            </w:r>
          </w:p>
        </w:tc>
        <w:tc>
          <w:tcPr>
            <w:tcW w:w="907" w:type="dxa"/>
            <w:noWrap/>
          </w:tcPr>
          <w:p w:rsidR="00A53D7D" w:rsidRPr="00F93FD4" w:rsidRDefault="00A53D7D" w:rsidP="005140B4">
            <w:pPr>
              <w:pStyle w:val="OGUoM"/>
            </w:pPr>
            <w:r>
              <w:t>number</w:t>
            </w:r>
          </w:p>
        </w:tc>
        <w:tc>
          <w:tcPr>
            <w:tcW w:w="907" w:type="dxa"/>
            <w:shd w:val="clear" w:color="auto" w:fill="D9D9D9"/>
            <w:noWrap/>
          </w:tcPr>
          <w:p w:rsidR="00A53D7D" w:rsidRPr="00F93FD4" w:rsidRDefault="00A53D7D" w:rsidP="005140B4">
            <w:pPr>
              <w:pStyle w:val="OGTableofFigures"/>
            </w:pPr>
            <w:r>
              <w:t>403 700</w:t>
            </w:r>
          </w:p>
        </w:tc>
        <w:tc>
          <w:tcPr>
            <w:tcW w:w="993" w:type="dxa"/>
            <w:noWrap/>
          </w:tcPr>
          <w:p w:rsidR="00A53D7D" w:rsidRPr="00F93FD4" w:rsidRDefault="00A53D7D" w:rsidP="005140B4">
            <w:pPr>
              <w:pStyle w:val="OGTableofFigures"/>
            </w:pPr>
            <w:r>
              <w:t>403 700</w:t>
            </w:r>
          </w:p>
        </w:tc>
        <w:tc>
          <w:tcPr>
            <w:tcW w:w="907" w:type="dxa"/>
            <w:noWrap/>
          </w:tcPr>
          <w:p w:rsidR="00A53D7D" w:rsidRPr="00F93FD4" w:rsidRDefault="00A53D7D" w:rsidP="005140B4">
            <w:pPr>
              <w:pStyle w:val="OGTableofFigures"/>
            </w:pPr>
            <w:r>
              <w:t>403 700</w:t>
            </w:r>
          </w:p>
        </w:tc>
        <w:tc>
          <w:tcPr>
            <w:tcW w:w="907" w:type="dxa"/>
            <w:noWrap/>
          </w:tcPr>
          <w:p w:rsidR="00A53D7D" w:rsidRPr="00F93FD4" w:rsidRDefault="00A53D7D" w:rsidP="005140B4">
            <w:pPr>
              <w:pStyle w:val="OGTableofFigures"/>
            </w:pPr>
            <w:r>
              <w:t>403 700</w:t>
            </w:r>
          </w:p>
        </w:tc>
      </w:tr>
      <w:tr w:rsidR="00A53D7D" w:rsidRPr="00F93FD4" w:rsidTr="005140B4">
        <w:trPr>
          <w:cantSplit/>
        </w:trPr>
        <w:tc>
          <w:tcPr>
            <w:tcW w:w="7776" w:type="dxa"/>
            <w:gridSpan w:val="6"/>
          </w:tcPr>
          <w:p w:rsidR="00A53D7D" w:rsidRDefault="00A53D7D" w:rsidP="005140B4">
            <w:pPr>
              <w:pStyle w:val="OGNotes"/>
            </w:pPr>
            <w:r w:rsidRPr="002E7276">
              <w:t>This performance measure is proposed to be discontinued as it is being replaced by the 2014</w:t>
            </w:r>
            <w:r>
              <w:noBreakHyphen/>
            </w:r>
            <w:r w:rsidRPr="002E7276">
              <w:t>15 performance measure ‘Small Rural Available Bed Days’ to reflect Commonwealth changes effective 1 July 2014 as part of Living Longer, Living Better program. There is no change to calculatio</w:t>
            </w:r>
            <w:r>
              <w:t>ns to residential aged care bed</w:t>
            </w:r>
            <w:r w:rsidRPr="002E7276">
              <w:t xml:space="preserve"> State supplements.</w:t>
            </w:r>
          </w:p>
        </w:tc>
      </w:tr>
      <w:tr w:rsidR="00A53D7D" w:rsidRPr="00F93FD4" w:rsidTr="005140B4">
        <w:trPr>
          <w:cantSplit/>
        </w:trPr>
        <w:tc>
          <w:tcPr>
            <w:tcW w:w="3155" w:type="dxa"/>
            <w:tcBorders>
              <w:top w:val="single" w:sz="4" w:space="0" w:color="auto"/>
            </w:tcBorders>
          </w:tcPr>
          <w:p w:rsidR="00A53D7D" w:rsidRPr="00F93FD4" w:rsidRDefault="00A53D7D" w:rsidP="005140B4">
            <w:pPr>
              <w:pStyle w:val="OGTabText"/>
            </w:pPr>
            <w:r>
              <w:t>Bed days in low care places</w:t>
            </w:r>
          </w:p>
        </w:tc>
        <w:tc>
          <w:tcPr>
            <w:tcW w:w="907" w:type="dxa"/>
            <w:tcBorders>
              <w:top w:val="single" w:sz="4" w:space="0" w:color="auto"/>
            </w:tcBorders>
            <w:noWrap/>
          </w:tcPr>
          <w:p w:rsidR="00A53D7D" w:rsidRPr="00F93FD4" w:rsidRDefault="00A53D7D" w:rsidP="005140B4">
            <w:pPr>
              <w:pStyle w:val="OGUoM"/>
            </w:pPr>
            <w:r>
              <w:t>number</w:t>
            </w:r>
          </w:p>
        </w:tc>
        <w:tc>
          <w:tcPr>
            <w:tcW w:w="907" w:type="dxa"/>
            <w:tcBorders>
              <w:top w:val="single" w:sz="4" w:space="0" w:color="auto"/>
            </w:tcBorders>
            <w:shd w:val="clear" w:color="auto" w:fill="D9D9D9"/>
            <w:noWrap/>
          </w:tcPr>
          <w:p w:rsidR="00A53D7D" w:rsidRPr="00F93FD4" w:rsidRDefault="00A53D7D" w:rsidP="005140B4">
            <w:pPr>
              <w:pStyle w:val="OGTableofFigures"/>
            </w:pPr>
            <w:r>
              <w:t>313 000</w:t>
            </w:r>
          </w:p>
        </w:tc>
        <w:tc>
          <w:tcPr>
            <w:tcW w:w="993" w:type="dxa"/>
            <w:tcBorders>
              <w:top w:val="single" w:sz="4" w:space="0" w:color="auto"/>
            </w:tcBorders>
            <w:noWrap/>
          </w:tcPr>
          <w:p w:rsidR="00A53D7D" w:rsidRPr="00F93FD4" w:rsidRDefault="00A53D7D" w:rsidP="005140B4">
            <w:pPr>
              <w:pStyle w:val="OGTableofFigures"/>
            </w:pPr>
            <w:r>
              <w:t>313 000</w:t>
            </w:r>
          </w:p>
        </w:tc>
        <w:tc>
          <w:tcPr>
            <w:tcW w:w="907" w:type="dxa"/>
            <w:tcBorders>
              <w:top w:val="single" w:sz="4" w:space="0" w:color="auto"/>
            </w:tcBorders>
            <w:noWrap/>
          </w:tcPr>
          <w:p w:rsidR="00A53D7D" w:rsidRPr="00F93FD4" w:rsidRDefault="00A53D7D" w:rsidP="005140B4">
            <w:pPr>
              <w:pStyle w:val="OGTableofFigures"/>
            </w:pPr>
            <w:r>
              <w:t>313 000</w:t>
            </w:r>
          </w:p>
        </w:tc>
        <w:tc>
          <w:tcPr>
            <w:tcW w:w="907" w:type="dxa"/>
            <w:tcBorders>
              <w:top w:val="single" w:sz="4" w:space="0" w:color="auto"/>
            </w:tcBorders>
            <w:noWrap/>
          </w:tcPr>
          <w:p w:rsidR="00A53D7D" w:rsidRPr="00F93FD4" w:rsidRDefault="00A53D7D" w:rsidP="005140B4">
            <w:pPr>
              <w:pStyle w:val="OGTableofFigures"/>
            </w:pPr>
            <w:r>
              <w:t>313 000</w:t>
            </w:r>
          </w:p>
        </w:tc>
      </w:tr>
      <w:tr w:rsidR="00A53D7D" w:rsidRPr="00F93FD4" w:rsidTr="005140B4">
        <w:trPr>
          <w:cantSplit/>
        </w:trPr>
        <w:tc>
          <w:tcPr>
            <w:tcW w:w="7776" w:type="dxa"/>
            <w:gridSpan w:val="6"/>
            <w:tcBorders>
              <w:bottom w:val="single" w:sz="12" w:space="0" w:color="auto"/>
            </w:tcBorders>
          </w:tcPr>
          <w:p w:rsidR="00A53D7D" w:rsidRDefault="00A53D7D" w:rsidP="005140B4">
            <w:pPr>
              <w:pStyle w:val="OGNotes"/>
            </w:pPr>
            <w:r w:rsidRPr="002E7276">
              <w:t>This performance measure is proposed to be discontinued as it is being replaced by the 2014</w:t>
            </w:r>
            <w:r>
              <w:noBreakHyphen/>
            </w:r>
            <w:r w:rsidRPr="002E7276">
              <w:t>15 performance measure ‘Small Rural Available Bed Days’ to reflect Commonwealth changes effective 1 July 2014 as part of Living Longer, Living Better program. There is no change to calculati</w:t>
            </w:r>
            <w:r>
              <w:t>ons to residential aged care bed</w:t>
            </w:r>
            <w:r w:rsidRPr="002E7276">
              <w:t xml:space="preserve"> State supplements.</w:t>
            </w:r>
          </w:p>
        </w:tc>
      </w:tr>
    </w:tbl>
    <w:p w:rsidR="00A53D7D" w:rsidRPr="00863726" w:rsidRDefault="00A53D7D" w:rsidP="005140B4">
      <w:pPr>
        <w:pStyle w:val="Source"/>
      </w:pPr>
      <w:r>
        <w:t>Source: Department of Health</w:t>
      </w:r>
      <w:r>
        <w:fldChar w:fldCharType="begin"/>
      </w:r>
      <w:r>
        <w:instrText xml:space="preserve"> XE "</w:instrText>
      </w:r>
      <w:r w:rsidRPr="00F665FE">
        <w:instrText>Department of Health:Output performance measures for review</w:instrText>
      </w:r>
      <w:r>
        <w:instrText xml:space="preserve">" </w:instrText>
      </w:r>
      <w:r>
        <w:fldChar w:fldCharType="end"/>
      </w:r>
    </w:p>
    <w:p w:rsidR="00A53D7D" w:rsidRDefault="00A53D7D">
      <w:pPr>
        <w:spacing w:after="0"/>
      </w:pPr>
      <w:r>
        <w:br w:type="page"/>
      </w:r>
    </w:p>
    <w:p w:rsidR="00A53D7D" w:rsidRPr="00204234" w:rsidRDefault="00A53D7D" w:rsidP="005140B4">
      <w:pPr>
        <w:pStyle w:val="Heading1"/>
      </w:pPr>
      <w:bookmarkStart w:id="168" w:name="_Toc386364086"/>
      <w:bookmarkStart w:id="169" w:name="_Toc386541231"/>
      <w:bookmarkStart w:id="170" w:name="_Toc407116923"/>
      <w:r>
        <w:t>Department of Human Services</w:t>
      </w:r>
      <w:bookmarkEnd w:id="168"/>
      <w:bookmarkEnd w:id="169"/>
      <w:bookmarkEnd w:id="170"/>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F93FD4" w:rsidTr="005140B4">
        <w:trPr>
          <w:cantSplit/>
        </w:trPr>
        <w:tc>
          <w:tcPr>
            <w:tcW w:w="7776" w:type="dxa"/>
            <w:gridSpan w:val="6"/>
            <w:tcBorders>
              <w:bottom w:val="single" w:sz="6" w:space="0" w:color="auto"/>
            </w:tcBorders>
          </w:tcPr>
          <w:p w:rsidR="00A53D7D" w:rsidRPr="00F93FD4" w:rsidRDefault="00A53D7D" w:rsidP="005140B4">
            <w:pPr>
              <w:pStyle w:val="OGHeading2"/>
            </w:pPr>
            <w:r>
              <w:t>Housing Assistance</w:t>
            </w:r>
          </w:p>
        </w:tc>
      </w:tr>
      <w:tr w:rsidR="00A53D7D" w:rsidRPr="00F93FD4" w:rsidTr="005140B4">
        <w:trPr>
          <w:cantSplit/>
        </w:trPr>
        <w:tc>
          <w:tcPr>
            <w:tcW w:w="3155" w:type="dxa"/>
            <w:tcBorders>
              <w:top w:val="single" w:sz="6" w:space="0" w:color="auto"/>
            </w:tcBorders>
          </w:tcPr>
          <w:p w:rsidR="00A53D7D" w:rsidRPr="00F93FD4" w:rsidRDefault="00A53D7D" w:rsidP="005140B4">
            <w:pPr>
              <w:pStyle w:val="OGTabHead"/>
            </w:pPr>
            <w:r w:rsidRPr="003E46E6">
              <w:t>Timeliness</w:t>
            </w:r>
          </w:p>
        </w:tc>
        <w:tc>
          <w:tcPr>
            <w:tcW w:w="907" w:type="dxa"/>
            <w:tcBorders>
              <w:top w:val="single" w:sz="6" w:space="0" w:color="auto"/>
            </w:tcBorders>
            <w:noWrap/>
          </w:tcPr>
          <w:p w:rsidR="00A53D7D" w:rsidRPr="00F93FD4" w:rsidRDefault="00A53D7D" w:rsidP="005140B4">
            <w:pPr>
              <w:pStyle w:val="OGUoM"/>
            </w:pPr>
          </w:p>
        </w:tc>
        <w:tc>
          <w:tcPr>
            <w:tcW w:w="907" w:type="dxa"/>
            <w:tcBorders>
              <w:top w:val="single" w:sz="6" w:space="0" w:color="auto"/>
            </w:tcBorders>
            <w:shd w:val="clear" w:color="auto" w:fill="D9D9D9"/>
            <w:noWrap/>
          </w:tcPr>
          <w:p w:rsidR="00A53D7D" w:rsidRPr="00F93FD4" w:rsidRDefault="00A53D7D" w:rsidP="005140B4">
            <w:pPr>
              <w:pStyle w:val="OGTableofFigures"/>
            </w:pPr>
          </w:p>
        </w:tc>
        <w:tc>
          <w:tcPr>
            <w:tcW w:w="993"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r>
      <w:tr w:rsidR="00A53D7D" w:rsidRPr="00F93FD4" w:rsidTr="005140B4">
        <w:trPr>
          <w:cantSplit/>
        </w:trPr>
        <w:tc>
          <w:tcPr>
            <w:tcW w:w="3155" w:type="dxa"/>
          </w:tcPr>
          <w:p w:rsidR="00A53D7D" w:rsidRPr="00F93FD4" w:rsidRDefault="00A53D7D" w:rsidP="005140B4">
            <w:pPr>
              <w:pStyle w:val="OGTabText"/>
            </w:pPr>
            <w:r>
              <w:t>Proportion of homelessness support episodes where an accommodation need was unable to be either provided or referred</w:t>
            </w:r>
          </w:p>
        </w:tc>
        <w:tc>
          <w:tcPr>
            <w:tcW w:w="907" w:type="dxa"/>
            <w:noWrap/>
          </w:tcPr>
          <w:p w:rsidR="00A53D7D" w:rsidRPr="00F93FD4" w:rsidRDefault="00A53D7D" w:rsidP="005140B4">
            <w:pPr>
              <w:pStyle w:val="OGUoM"/>
            </w:pPr>
            <w:r>
              <w:t>per cent</w:t>
            </w:r>
          </w:p>
        </w:tc>
        <w:tc>
          <w:tcPr>
            <w:tcW w:w="907" w:type="dxa"/>
            <w:shd w:val="clear" w:color="auto" w:fill="D9D9D9"/>
            <w:noWrap/>
          </w:tcPr>
          <w:p w:rsidR="00A53D7D" w:rsidRPr="00F93FD4" w:rsidRDefault="00A53D7D" w:rsidP="005140B4">
            <w:pPr>
              <w:pStyle w:val="OGTableofFigures"/>
            </w:pPr>
            <w:r>
              <w:t>12</w:t>
            </w:r>
          </w:p>
        </w:tc>
        <w:tc>
          <w:tcPr>
            <w:tcW w:w="993" w:type="dxa"/>
            <w:noWrap/>
          </w:tcPr>
          <w:p w:rsidR="00A53D7D" w:rsidRPr="00F93FD4" w:rsidRDefault="00A53D7D" w:rsidP="005140B4">
            <w:pPr>
              <w:pStyle w:val="OGTableofFigures"/>
            </w:pPr>
            <w:r>
              <w:t>25</w:t>
            </w:r>
          </w:p>
        </w:tc>
        <w:tc>
          <w:tcPr>
            <w:tcW w:w="907" w:type="dxa"/>
            <w:noWrap/>
          </w:tcPr>
          <w:p w:rsidR="00A53D7D" w:rsidRPr="00F93FD4" w:rsidRDefault="00A53D7D" w:rsidP="005140B4">
            <w:pPr>
              <w:pStyle w:val="OGTableofFigures"/>
            </w:pPr>
            <w:r>
              <w:t>12</w:t>
            </w:r>
          </w:p>
        </w:tc>
        <w:tc>
          <w:tcPr>
            <w:tcW w:w="907" w:type="dxa"/>
            <w:noWrap/>
          </w:tcPr>
          <w:p w:rsidR="00A53D7D" w:rsidRPr="00F93FD4" w:rsidRDefault="00A53D7D" w:rsidP="005140B4">
            <w:pPr>
              <w:pStyle w:val="OGTableofFigures"/>
            </w:pPr>
            <w:r>
              <w:t>25.6</w:t>
            </w:r>
          </w:p>
        </w:tc>
      </w:tr>
      <w:tr w:rsidR="00A53D7D" w:rsidRPr="00F93FD4" w:rsidTr="005140B4">
        <w:trPr>
          <w:cantSplit/>
        </w:trPr>
        <w:tc>
          <w:tcPr>
            <w:tcW w:w="7776" w:type="dxa"/>
            <w:gridSpan w:val="6"/>
            <w:tcBorders>
              <w:bottom w:val="single" w:sz="12" w:space="0" w:color="auto"/>
            </w:tcBorders>
          </w:tcPr>
          <w:p w:rsidR="00A53D7D" w:rsidRDefault="00A53D7D" w:rsidP="005140B4">
            <w:pPr>
              <w:pStyle w:val="OGNotes"/>
            </w:pPr>
            <w:r>
              <w:t>This performance measure is proposed to be discontinued as it has been replaced by the 2014</w:t>
            </w:r>
            <w:r>
              <w:noBreakHyphen/>
              <w:t xml:space="preserve">15 performance measure ‘Proportion of clients where support to sustain housing tenure was unable to be provided or referred’. This measure is being replaced because the new Specialist Homelessness Services Collection no longer accurately measures unmet need for accommodation for this measure. </w:t>
            </w:r>
          </w:p>
          <w:p w:rsidR="00A53D7D" w:rsidRDefault="00A53D7D" w:rsidP="005140B4">
            <w:pPr>
              <w:pStyle w:val="OGNotes"/>
            </w:pPr>
            <w:r w:rsidRPr="00C5537D">
              <w:t>The 2013</w:t>
            </w:r>
            <w:r>
              <w:noBreakHyphen/>
            </w:r>
            <w:r w:rsidRPr="00C5537D">
              <w:t xml:space="preserve">14 </w:t>
            </w:r>
            <w:r>
              <w:t>expected outcome</w:t>
            </w:r>
            <w:r w:rsidRPr="00C5537D">
              <w:t xml:space="preserve"> is higher than the 2013</w:t>
            </w:r>
            <w:r>
              <w:noBreakHyphen/>
            </w:r>
            <w:r w:rsidRPr="00C5537D">
              <w:t xml:space="preserve">14 </w:t>
            </w:r>
            <w:r>
              <w:t>target</w:t>
            </w:r>
            <w:r w:rsidRPr="00C5537D">
              <w:t xml:space="preserve"> due to changes in the way the data is collected. A new method of data collection has resulted in a wider range of service providers, different service models, expanded needs being captured</w:t>
            </w:r>
            <w:r>
              <w:t xml:space="preserve"> and amended data definitions. It records clients who request long term housing from specialist homelessness services that do not provide such services and also includes data from specialist homelessness services that do not provide accommodation. </w:t>
            </w:r>
            <w:r w:rsidRPr="00C5537D">
              <w:t>The data therefore is no longer directly comparable.</w:t>
            </w:r>
            <w:r>
              <w:t xml:space="preserve"> </w:t>
            </w:r>
          </w:p>
        </w:tc>
      </w:tr>
    </w:tbl>
    <w:p w:rsidR="00A53D7D" w:rsidRPr="00863726" w:rsidRDefault="00A53D7D" w:rsidP="005140B4">
      <w:pPr>
        <w:pStyle w:val="Source"/>
      </w:pPr>
      <w:r>
        <w:t>Source: Department of Human Services</w:t>
      </w:r>
      <w:r>
        <w:fldChar w:fldCharType="begin"/>
      </w:r>
      <w:r>
        <w:instrText xml:space="preserve"> XE "</w:instrText>
      </w:r>
      <w:r w:rsidRPr="00347C15">
        <w:instrText>Department of Human Services:Output performance measures for review</w:instrText>
      </w:r>
      <w:r>
        <w:instrText xml:space="preserve">" </w:instrText>
      </w:r>
      <w:r>
        <w:fldChar w:fldCharType="end"/>
      </w:r>
    </w:p>
    <w:p w:rsidR="00A53D7D" w:rsidRDefault="00A53D7D" w:rsidP="005140B4"/>
    <w:p w:rsidR="00A53D7D" w:rsidRDefault="00A53D7D">
      <w:pPr>
        <w:spacing w:after="0"/>
        <w:rPr>
          <w:rFonts w:ascii="Calibri" w:hAnsi="Calibri"/>
          <w:b/>
          <w:caps/>
          <w:sz w:val="26"/>
          <w:szCs w:val="22"/>
        </w:rPr>
      </w:pPr>
      <w:r>
        <w:br w:type="page"/>
      </w:r>
    </w:p>
    <w:p w:rsidR="00A53D7D" w:rsidRPr="00204234" w:rsidRDefault="00A53D7D" w:rsidP="005140B4">
      <w:pPr>
        <w:pStyle w:val="Heading1"/>
      </w:pPr>
      <w:bookmarkStart w:id="171" w:name="_Toc386364087"/>
      <w:bookmarkStart w:id="172" w:name="_Toc386541232"/>
      <w:bookmarkStart w:id="173" w:name="_Toc407116924"/>
      <w:r>
        <w:t>Department of Justice</w:t>
      </w:r>
      <w:bookmarkEnd w:id="171"/>
      <w:bookmarkEnd w:id="172"/>
      <w:bookmarkEnd w:id="173"/>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AE5EA3" w:rsidTr="005140B4">
        <w:trPr>
          <w:cantSplit/>
        </w:trPr>
        <w:tc>
          <w:tcPr>
            <w:tcW w:w="7776" w:type="dxa"/>
            <w:gridSpan w:val="6"/>
            <w:tcBorders>
              <w:top w:val="single" w:sz="4" w:space="0" w:color="auto"/>
              <w:bottom w:val="single" w:sz="4" w:space="0" w:color="auto"/>
            </w:tcBorders>
            <w:shd w:val="clear" w:color="auto" w:fill="auto"/>
            <w:vAlign w:val="center"/>
            <w:hideMark/>
          </w:tcPr>
          <w:p w:rsidR="00A53D7D" w:rsidRPr="00AE5EA3" w:rsidRDefault="00A53D7D" w:rsidP="005140B4">
            <w:pPr>
              <w:pStyle w:val="OGHeading2"/>
              <w:rPr>
                <w:lang w:eastAsia="en-AU"/>
              </w:rPr>
            </w:pPr>
            <w:r w:rsidRPr="00AE5EA3">
              <w:rPr>
                <w:lang w:eastAsia="en-AU"/>
              </w:rPr>
              <w:t>Access to Justice and Support Services</w:t>
            </w:r>
          </w:p>
        </w:tc>
      </w:tr>
      <w:tr w:rsidR="00A53D7D" w:rsidRPr="00AE5EA3" w:rsidTr="005140B4">
        <w:trPr>
          <w:cantSplit/>
        </w:trPr>
        <w:tc>
          <w:tcPr>
            <w:tcW w:w="3155" w:type="dxa"/>
            <w:tcBorders>
              <w:top w:val="single" w:sz="4" w:space="0" w:color="auto"/>
            </w:tcBorders>
            <w:shd w:val="clear" w:color="auto" w:fill="auto"/>
            <w:vAlign w:val="center"/>
            <w:hideMark/>
          </w:tcPr>
          <w:p w:rsidR="00A53D7D" w:rsidRPr="00AE5EA3" w:rsidRDefault="00A53D7D" w:rsidP="005140B4">
            <w:pPr>
              <w:pStyle w:val="OGTabHead"/>
              <w:rPr>
                <w:lang w:eastAsia="en-AU"/>
              </w:rPr>
            </w:pPr>
            <w:r w:rsidRPr="00AE5EA3">
              <w:rPr>
                <w:lang w:eastAsia="en-AU"/>
              </w:rPr>
              <w:t>Quality</w:t>
            </w:r>
          </w:p>
        </w:tc>
        <w:tc>
          <w:tcPr>
            <w:tcW w:w="907" w:type="dxa"/>
            <w:tcBorders>
              <w:top w:val="single" w:sz="4" w:space="0" w:color="auto"/>
            </w:tcBorders>
            <w:shd w:val="clear" w:color="auto" w:fill="auto"/>
            <w:vAlign w:val="center"/>
            <w:hideMark/>
          </w:tcPr>
          <w:p w:rsidR="00A53D7D" w:rsidRPr="00AE5EA3" w:rsidRDefault="00A53D7D" w:rsidP="005140B4">
            <w:pPr>
              <w:pStyle w:val="OGUoM"/>
              <w:rPr>
                <w:i/>
                <w:iCs/>
                <w:lang w:eastAsia="en-AU"/>
              </w:rPr>
            </w:pPr>
            <w:r w:rsidRPr="00AE5EA3">
              <w:rPr>
                <w:i/>
                <w:iCs/>
                <w:lang w:eastAsia="en-AU"/>
              </w:rPr>
              <w:t> </w:t>
            </w:r>
          </w:p>
        </w:tc>
        <w:tc>
          <w:tcPr>
            <w:tcW w:w="907" w:type="dxa"/>
            <w:tcBorders>
              <w:top w:val="single" w:sz="4" w:space="0" w:color="auto"/>
            </w:tcBorders>
            <w:shd w:val="clear" w:color="auto" w:fill="D9D9D9"/>
            <w:vAlign w:val="center"/>
            <w:hideMark/>
          </w:tcPr>
          <w:p w:rsidR="00A53D7D" w:rsidRPr="00AE5EA3" w:rsidRDefault="00A53D7D" w:rsidP="005140B4">
            <w:pPr>
              <w:pStyle w:val="OGTableofFigures"/>
              <w:rPr>
                <w:i/>
                <w:iCs/>
                <w:lang w:eastAsia="en-AU"/>
              </w:rPr>
            </w:pPr>
            <w:r w:rsidRPr="00AE5EA3">
              <w:rPr>
                <w:i/>
                <w:iCs/>
                <w:lang w:eastAsia="en-AU"/>
              </w:rPr>
              <w:t> </w:t>
            </w:r>
          </w:p>
        </w:tc>
        <w:tc>
          <w:tcPr>
            <w:tcW w:w="993" w:type="dxa"/>
            <w:tcBorders>
              <w:top w:val="single" w:sz="4" w:space="0" w:color="auto"/>
            </w:tcBorders>
            <w:shd w:val="clear" w:color="auto" w:fill="auto"/>
            <w:vAlign w:val="center"/>
            <w:hideMark/>
          </w:tcPr>
          <w:p w:rsidR="00A53D7D" w:rsidRPr="00AE5EA3" w:rsidRDefault="00A53D7D" w:rsidP="005140B4">
            <w:pPr>
              <w:pStyle w:val="OGTableofFigures"/>
              <w:rPr>
                <w:i/>
                <w:iCs/>
                <w:lang w:eastAsia="en-AU"/>
              </w:rPr>
            </w:pPr>
            <w:r w:rsidRPr="00AE5EA3">
              <w:rPr>
                <w:i/>
                <w:iCs/>
                <w:lang w:eastAsia="en-AU"/>
              </w:rPr>
              <w:t> </w:t>
            </w:r>
          </w:p>
        </w:tc>
        <w:tc>
          <w:tcPr>
            <w:tcW w:w="907" w:type="dxa"/>
            <w:tcBorders>
              <w:top w:val="single" w:sz="4" w:space="0" w:color="auto"/>
            </w:tcBorders>
            <w:shd w:val="clear" w:color="auto" w:fill="auto"/>
            <w:vAlign w:val="center"/>
            <w:hideMark/>
          </w:tcPr>
          <w:p w:rsidR="00A53D7D" w:rsidRPr="00AE5EA3" w:rsidRDefault="00A53D7D" w:rsidP="005140B4">
            <w:pPr>
              <w:pStyle w:val="OGTableofFigures"/>
              <w:rPr>
                <w:i/>
                <w:iCs/>
                <w:lang w:eastAsia="en-AU"/>
              </w:rPr>
            </w:pPr>
            <w:r w:rsidRPr="00AE5EA3">
              <w:rPr>
                <w:i/>
                <w:iCs/>
                <w:lang w:eastAsia="en-AU"/>
              </w:rPr>
              <w:t> </w:t>
            </w:r>
          </w:p>
        </w:tc>
        <w:tc>
          <w:tcPr>
            <w:tcW w:w="907" w:type="dxa"/>
            <w:tcBorders>
              <w:top w:val="single" w:sz="4" w:space="0" w:color="auto"/>
            </w:tcBorders>
            <w:shd w:val="clear" w:color="auto" w:fill="auto"/>
            <w:vAlign w:val="center"/>
            <w:hideMark/>
          </w:tcPr>
          <w:p w:rsidR="00A53D7D" w:rsidRPr="00AE5EA3" w:rsidRDefault="00A53D7D" w:rsidP="005140B4">
            <w:pPr>
              <w:pStyle w:val="OGTableofFigures"/>
              <w:rPr>
                <w:i/>
                <w:iCs/>
                <w:lang w:eastAsia="en-AU"/>
              </w:rPr>
            </w:pPr>
            <w:r w:rsidRPr="00AE5EA3">
              <w:rPr>
                <w:i/>
                <w:iCs/>
                <w:lang w:eastAsia="en-AU"/>
              </w:rPr>
              <w:t> </w:t>
            </w:r>
          </w:p>
        </w:tc>
      </w:tr>
      <w:tr w:rsidR="00A53D7D" w:rsidRPr="00AE5EA3" w:rsidTr="005140B4">
        <w:trPr>
          <w:cantSplit/>
        </w:trPr>
        <w:tc>
          <w:tcPr>
            <w:tcW w:w="3155" w:type="dxa"/>
            <w:shd w:val="clear" w:color="auto" w:fill="auto"/>
            <w:vAlign w:val="center"/>
            <w:hideMark/>
          </w:tcPr>
          <w:p w:rsidR="00A53D7D" w:rsidRPr="00AE5EA3" w:rsidRDefault="00A53D7D" w:rsidP="005140B4">
            <w:pPr>
              <w:pStyle w:val="OGTabText"/>
              <w:rPr>
                <w:lang w:eastAsia="en-AU"/>
              </w:rPr>
            </w:pPr>
            <w:r w:rsidRPr="00AE5EA3">
              <w:rPr>
                <w:lang w:eastAsia="en-AU"/>
              </w:rPr>
              <w:t>Stakeholder satisfaction with law reform projects, briefings and consultations (Legal Policy)</w:t>
            </w:r>
          </w:p>
        </w:tc>
        <w:tc>
          <w:tcPr>
            <w:tcW w:w="907" w:type="dxa"/>
            <w:shd w:val="clear" w:color="auto" w:fill="auto"/>
            <w:vAlign w:val="center"/>
            <w:hideMark/>
          </w:tcPr>
          <w:p w:rsidR="00A53D7D" w:rsidRPr="00AE5EA3" w:rsidRDefault="00A53D7D" w:rsidP="005140B4">
            <w:pPr>
              <w:pStyle w:val="OGUoM"/>
              <w:rPr>
                <w:lang w:eastAsia="en-AU"/>
              </w:rPr>
            </w:pPr>
            <w:r w:rsidRPr="00AE5EA3">
              <w:rPr>
                <w:lang w:eastAsia="en-AU"/>
              </w:rPr>
              <w:t>per cent</w:t>
            </w:r>
          </w:p>
        </w:tc>
        <w:tc>
          <w:tcPr>
            <w:tcW w:w="907" w:type="dxa"/>
            <w:shd w:val="clear" w:color="auto" w:fill="D9D9D9"/>
            <w:vAlign w:val="center"/>
            <w:hideMark/>
          </w:tcPr>
          <w:p w:rsidR="00A53D7D" w:rsidRPr="00AE5EA3" w:rsidRDefault="00A53D7D" w:rsidP="005140B4">
            <w:pPr>
              <w:pStyle w:val="OGTableofFigures"/>
              <w:rPr>
                <w:lang w:eastAsia="en-AU"/>
              </w:rPr>
            </w:pPr>
            <w:r w:rsidRPr="00AE5EA3">
              <w:rPr>
                <w:lang w:eastAsia="en-AU"/>
              </w:rPr>
              <w:t>8</w:t>
            </w:r>
            <w:r>
              <w:rPr>
                <w:lang w:eastAsia="en-AU"/>
              </w:rPr>
              <w:t>0</w:t>
            </w:r>
          </w:p>
        </w:tc>
        <w:tc>
          <w:tcPr>
            <w:tcW w:w="993" w:type="dxa"/>
            <w:shd w:val="clear" w:color="auto" w:fill="auto"/>
            <w:vAlign w:val="center"/>
            <w:hideMark/>
          </w:tcPr>
          <w:p w:rsidR="00A53D7D" w:rsidRPr="00AE5EA3" w:rsidRDefault="00A53D7D" w:rsidP="005140B4">
            <w:pPr>
              <w:pStyle w:val="OGTableofFigures"/>
              <w:rPr>
                <w:lang w:eastAsia="en-AU"/>
              </w:rPr>
            </w:pPr>
            <w:r w:rsidRPr="00AE5EA3">
              <w:rPr>
                <w:lang w:eastAsia="en-AU"/>
              </w:rPr>
              <w:t>8</w:t>
            </w:r>
            <w:r>
              <w:rPr>
                <w:lang w:eastAsia="en-AU"/>
              </w:rPr>
              <w:t>0</w:t>
            </w:r>
          </w:p>
        </w:tc>
        <w:tc>
          <w:tcPr>
            <w:tcW w:w="907" w:type="dxa"/>
            <w:shd w:val="clear" w:color="auto" w:fill="auto"/>
            <w:vAlign w:val="center"/>
            <w:hideMark/>
          </w:tcPr>
          <w:p w:rsidR="00A53D7D" w:rsidRPr="00AE5EA3" w:rsidRDefault="00A53D7D" w:rsidP="005140B4">
            <w:pPr>
              <w:pStyle w:val="OGTableofFigures"/>
              <w:rPr>
                <w:lang w:eastAsia="en-AU"/>
              </w:rPr>
            </w:pPr>
            <w:r w:rsidRPr="008F2575">
              <w:rPr>
                <w:lang w:eastAsia="en-AU"/>
              </w:rPr>
              <w:t>80</w:t>
            </w:r>
          </w:p>
        </w:tc>
        <w:tc>
          <w:tcPr>
            <w:tcW w:w="907" w:type="dxa"/>
            <w:shd w:val="clear" w:color="auto" w:fill="auto"/>
            <w:vAlign w:val="center"/>
            <w:hideMark/>
          </w:tcPr>
          <w:p w:rsidR="00A53D7D" w:rsidRPr="00AE5EA3" w:rsidRDefault="00A53D7D" w:rsidP="005140B4">
            <w:pPr>
              <w:pStyle w:val="OGTableofFigures"/>
              <w:rPr>
                <w:lang w:eastAsia="en-AU"/>
              </w:rPr>
            </w:pPr>
            <w:r w:rsidRPr="00AE5EA3">
              <w:rPr>
                <w:lang w:eastAsia="en-AU"/>
              </w:rPr>
              <w:t>80</w:t>
            </w:r>
          </w:p>
        </w:tc>
      </w:tr>
      <w:tr w:rsidR="00A53D7D" w:rsidRPr="00AE5EA3" w:rsidTr="005140B4">
        <w:trPr>
          <w:cantSplit/>
        </w:trPr>
        <w:tc>
          <w:tcPr>
            <w:tcW w:w="7776" w:type="dxa"/>
            <w:gridSpan w:val="6"/>
            <w:tcBorders>
              <w:bottom w:val="single" w:sz="12" w:space="0" w:color="auto"/>
            </w:tcBorders>
            <w:shd w:val="clear" w:color="auto" w:fill="auto"/>
            <w:vAlign w:val="center"/>
            <w:hideMark/>
          </w:tcPr>
          <w:p w:rsidR="00A53D7D" w:rsidRPr="00AE5EA3" w:rsidRDefault="00A53D7D" w:rsidP="005140B4">
            <w:pPr>
              <w:pStyle w:val="OGNotes"/>
            </w:pPr>
            <w:r w:rsidRPr="00AE5EA3">
              <w:t>This measure is proposed to be discontinued following the amalgamation of the former Legal Policy and Law Reform Advice output into the Access to Justice and Support Service</w:t>
            </w:r>
            <w:r>
              <w:t>s. As the stakeholders involved are solely internal to government, this measure does not provide a useful assessment of performance under an output performance framework.</w:t>
            </w:r>
          </w:p>
        </w:tc>
      </w:tr>
    </w:tbl>
    <w:p w:rsidR="00A53D7D" w:rsidRPr="00863726" w:rsidRDefault="00A53D7D" w:rsidP="005140B4">
      <w:pPr>
        <w:pStyle w:val="Source"/>
      </w:pPr>
      <w:r>
        <w:t>Source: Department of Justice</w:t>
      </w:r>
      <w:r>
        <w:fldChar w:fldCharType="begin"/>
      </w:r>
      <w:r>
        <w:instrText xml:space="preserve"> XE "</w:instrText>
      </w:r>
      <w:r w:rsidRPr="00AA0C3B">
        <w:instrText>Department of Justice:Output performance measures for review</w:instrText>
      </w:r>
      <w:r>
        <w:instrText xml:space="preserve">" </w:instrText>
      </w:r>
      <w:r>
        <w:fldChar w:fldCharType="end"/>
      </w:r>
    </w:p>
    <w:p w:rsidR="00A53D7D" w:rsidRDefault="00A53D7D" w:rsidP="005140B4"/>
    <w:p w:rsidR="00A53D7D" w:rsidRDefault="00A53D7D">
      <w:pPr>
        <w:spacing w:after="0"/>
        <w:rPr>
          <w:rFonts w:ascii="Calibri" w:hAnsi="Calibri"/>
          <w:b/>
          <w:caps/>
          <w:sz w:val="26"/>
          <w:szCs w:val="22"/>
        </w:rPr>
      </w:pPr>
      <w:r>
        <w:br w:type="page"/>
      </w:r>
    </w:p>
    <w:p w:rsidR="00A53D7D" w:rsidRPr="00204234" w:rsidRDefault="00A53D7D" w:rsidP="005140B4">
      <w:pPr>
        <w:pStyle w:val="Heading1"/>
      </w:pPr>
      <w:bookmarkStart w:id="174" w:name="_Toc386364088"/>
      <w:bookmarkStart w:id="175" w:name="_Toc386541233"/>
      <w:bookmarkStart w:id="176" w:name="AppADPC"/>
      <w:bookmarkStart w:id="177" w:name="_Toc407116925"/>
      <w:r>
        <w:t>Department of Premier and Cabinet</w:t>
      </w:r>
      <w:bookmarkEnd w:id="174"/>
      <w:bookmarkEnd w:id="175"/>
      <w:bookmarkEnd w:id="177"/>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F93FD4" w:rsidTr="005140B4">
        <w:trPr>
          <w:cantSplit/>
        </w:trPr>
        <w:tc>
          <w:tcPr>
            <w:tcW w:w="7776" w:type="dxa"/>
            <w:gridSpan w:val="6"/>
            <w:tcBorders>
              <w:bottom w:val="single" w:sz="6" w:space="0" w:color="auto"/>
            </w:tcBorders>
          </w:tcPr>
          <w:p w:rsidR="00A53D7D" w:rsidRPr="00F93FD4" w:rsidRDefault="00A53D7D" w:rsidP="005140B4">
            <w:pPr>
              <w:pStyle w:val="OGHeading2"/>
            </w:pPr>
            <w:r>
              <w:t>Aboriginal Affairs</w:t>
            </w:r>
          </w:p>
        </w:tc>
      </w:tr>
      <w:tr w:rsidR="00A53D7D" w:rsidRPr="00F93FD4" w:rsidTr="005140B4">
        <w:trPr>
          <w:cantSplit/>
        </w:trPr>
        <w:tc>
          <w:tcPr>
            <w:tcW w:w="3155" w:type="dxa"/>
            <w:tcBorders>
              <w:top w:val="single" w:sz="6" w:space="0" w:color="auto"/>
            </w:tcBorders>
          </w:tcPr>
          <w:p w:rsidR="00A53D7D" w:rsidRPr="00F93FD4" w:rsidRDefault="00A53D7D" w:rsidP="005140B4">
            <w:pPr>
              <w:pStyle w:val="OGTabHead"/>
            </w:pPr>
            <w:r w:rsidRPr="00F93FD4">
              <w:t>Quantity</w:t>
            </w:r>
          </w:p>
        </w:tc>
        <w:tc>
          <w:tcPr>
            <w:tcW w:w="907" w:type="dxa"/>
            <w:tcBorders>
              <w:top w:val="single" w:sz="6" w:space="0" w:color="auto"/>
            </w:tcBorders>
            <w:noWrap/>
          </w:tcPr>
          <w:p w:rsidR="00A53D7D" w:rsidRPr="00F93FD4" w:rsidRDefault="00A53D7D" w:rsidP="005140B4">
            <w:pPr>
              <w:pStyle w:val="OGUoM"/>
            </w:pPr>
          </w:p>
        </w:tc>
        <w:tc>
          <w:tcPr>
            <w:tcW w:w="907" w:type="dxa"/>
            <w:tcBorders>
              <w:top w:val="single" w:sz="6" w:space="0" w:color="auto"/>
            </w:tcBorders>
            <w:shd w:val="clear" w:color="auto" w:fill="D9D9D9"/>
            <w:noWrap/>
          </w:tcPr>
          <w:p w:rsidR="00A53D7D" w:rsidRPr="00F93FD4" w:rsidRDefault="00A53D7D" w:rsidP="005140B4">
            <w:pPr>
              <w:pStyle w:val="OGTableofFigures"/>
            </w:pPr>
          </w:p>
        </w:tc>
        <w:tc>
          <w:tcPr>
            <w:tcW w:w="993"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r>
      <w:tr w:rsidR="00A53D7D" w:rsidRPr="00F93FD4" w:rsidTr="005140B4">
        <w:trPr>
          <w:cantSplit/>
        </w:trPr>
        <w:tc>
          <w:tcPr>
            <w:tcW w:w="3155" w:type="dxa"/>
          </w:tcPr>
          <w:p w:rsidR="00A53D7D" w:rsidRPr="00F93FD4" w:rsidRDefault="00A53D7D" w:rsidP="005140B4">
            <w:pPr>
              <w:pStyle w:val="OGTabText"/>
            </w:pPr>
            <w:r w:rsidRPr="003D0580">
              <w:t>Number of trained mentor bank participants available to support Aboriginal people</w:t>
            </w:r>
          </w:p>
        </w:tc>
        <w:tc>
          <w:tcPr>
            <w:tcW w:w="907" w:type="dxa"/>
            <w:noWrap/>
          </w:tcPr>
          <w:p w:rsidR="00A53D7D" w:rsidRPr="00F93FD4" w:rsidRDefault="00A53D7D" w:rsidP="005140B4">
            <w:pPr>
              <w:pStyle w:val="OGUoM"/>
            </w:pPr>
            <w:r>
              <w:t>number</w:t>
            </w:r>
          </w:p>
        </w:tc>
        <w:tc>
          <w:tcPr>
            <w:tcW w:w="907" w:type="dxa"/>
            <w:shd w:val="clear" w:color="auto" w:fill="D9D9D9"/>
            <w:noWrap/>
          </w:tcPr>
          <w:p w:rsidR="00A53D7D" w:rsidRPr="00F93FD4" w:rsidRDefault="00A53D7D" w:rsidP="005140B4">
            <w:pPr>
              <w:pStyle w:val="OGTableofFigures"/>
            </w:pPr>
            <w:proofErr w:type="spellStart"/>
            <w:r>
              <w:t>na</w:t>
            </w:r>
            <w:proofErr w:type="spellEnd"/>
          </w:p>
        </w:tc>
        <w:tc>
          <w:tcPr>
            <w:tcW w:w="993" w:type="dxa"/>
            <w:noWrap/>
          </w:tcPr>
          <w:p w:rsidR="00A53D7D" w:rsidRPr="00F93FD4" w:rsidRDefault="00A53D7D" w:rsidP="005140B4">
            <w:pPr>
              <w:pStyle w:val="OGTableofFigures"/>
            </w:pPr>
            <w:r w:rsidRPr="008F2575">
              <w:t>0</w:t>
            </w:r>
          </w:p>
        </w:tc>
        <w:tc>
          <w:tcPr>
            <w:tcW w:w="907" w:type="dxa"/>
            <w:noWrap/>
          </w:tcPr>
          <w:p w:rsidR="00A53D7D" w:rsidRPr="00F93FD4" w:rsidRDefault="00A53D7D" w:rsidP="005140B4">
            <w:pPr>
              <w:pStyle w:val="OGTableofFigures"/>
            </w:pPr>
            <w:r>
              <w:t>150</w:t>
            </w:r>
          </w:p>
        </w:tc>
        <w:tc>
          <w:tcPr>
            <w:tcW w:w="907" w:type="dxa"/>
            <w:noWrap/>
          </w:tcPr>
          <w:p w:rsidR="00A53D7D" w:rsidRPr="00F93FD4" w:rsidRDefault="00A53D7D" w:rsidP="005140B4">
            <w:pPr>
              <w:pStyle w:val="OGTableofFigures"/>
            </w:pPr>
            <w:r>
              <w:t>83</w:t>
            </w:r>
          </w:p>
        </w:tc>
      </w:tr>
      <w:tr w:rsidR="00A53D7D" w:rsidRPr="00F93FD4" w:rsidTr="005140B4">
        <w:trPr>
          <w:cantSplit/>
        </w:trPr>
        <w:tc>
          <w:tcPr>
            <w:tcW w:w="7776" w:type="dxa"/>
            <w:gridSpan w:val="6"/>
            <w:tcBorders>
              <w:bottom w:val="single" w:sz="6" w:space="0" w:color="auto"/>
            </w:tcBorders>
          </w:tcPr>
          <w:p w:rsidR="00A53D7D" w:rsidRDefault="00A53D7D" w:rsidP="005140B4">
            <w:pPr>
              <w:pStyle w:val="OGNotes"/>
            </w:pPr>
            <w:r w:rsidRPr="003D0580">
              <w:t>This performance measure is proposed to be discontinued as previous budgets did not allocate funding for this program beyond 30 June 2014.</w:t>
            </w:r>
          </w:p>
          <w:p w:rsidR="00A53D7D" w:rsidRDefault="00A53D7D" w:rsidP="005140B4">
            <w:pPr>
              <w:pStyle w:val="OGNotes"/>
            </w:pPr>
            <w:r w:rsidRPr="003D0580">
              <w:t>The 2013</w:t>
            </w:r>
            <w:r>
              <w:noBreakHyphen/>
            </w:r>
            <w:r w:rsidRPr="003D0580">
              <w:t xml:space="preserve">14 </w:t>
            </w:r>
            <w:r>
              <w:t>expected outcome</w:t>
            </w:r>
            <w:r w:rsidRPr="003D0580">
              <w:t xml:space="preserve"> is not available for this performance measure as Indigenous Leadership Victoria ceased to operate in the first half of 2013</w:t>
            </w:r>
            <w:r>
              <w:noBreakHyphen/>
            </w:r>
            <w:r w:rsidRPr="003D0580">
              <w:t>14 and therefore this data cannot be obtained.</w:t>
            </w:r>
          </w:p>
        </w:tc>
      </w:tr>
      <w:tr w:rsidR="00A53D7D" w:rsidRPr="00F93FD4" w:rsidTr="005140B4">
        <w:trPr>
          <w:cantSplit/>
        </w:trPr>
        <w:tc>
          <w:tcPr>
            <w:tcW w:w="7776" w:type="dxa"/>
            <w:gridSpan w:val="6"/>
            <w:tcBorders>
              <w:top w:val="single" w:sz="6" w:space="0" w:color="auto"/>
              <w:bottom w:val="single" w:sz="6" w:space="0" w:color="auto"/>
            </w:tcBorders>
          </w:tcPr>
          <w:p w:rsidR="00A53D7D" w:rsidRDefault="00A53D7D" w:rsidP="005140B4">
            <w:pPr>
              <w:pStyle w:val="OGHeading2"/>
            </w:pPr>
            <w:r w:rsidRPr="00F93FD4">
              <w:t>A</w:t>
            </w:r>
            <w:r>
              <w:t>ccess, Industry Dev</w:t>
            </w:r>
            <w:r w:rsidRPr="00F93FD4">
              <w:t xml:space="preserve">elopment and </w:t>
            </w:r>
            <w:r>
              <w:t>Innovation</w:t>
            </w:r>
          </w:p>
        </w:tc>
      </w:tr>
      <w:tr w:rsidR="00A53D7D" w:rsidRPr="00F93FD4" w:rsidTr="005140B4">
        <w:trPr>
          <w:cantSplit/>
        </w:trPr>
        <w:tc>
          <w:tcPr>
            <w:tcW w:w="3155" w:type="dxa"/>
            <w:tcBorders>
              <w:top w:val="single" w:sz="6" w:space="0" w:color="auto"/>
            </w:tcBorders>
            <w:hideMark/>
          </w:tcPr>
          <w:p w:rsidR="00A53D7D" w:rsidRPr="00F93FD4" w:rsidRDefault="00A53D7D" w:rsidP="005140B4">
            <w:pPr>
              <w:pStyle w:val="OGTabHead"/>
            </w:pPr>
            <w:r w:rsidRPr="00F93FD4">
              <w:t>Quantity</w:t>
            </w:r>
          </w:p>
        </w:tc>
        <w:tc>
          <w:tcPr>
            <w:tcW w:w="907" w:type="dxa"/>
            <w:tcBorders>
              <w:top w:val="single" w:sz="6" w:space="0" w:color="auto"/>
            </w:tcBorders>
            <w:noWrap/>
            <w:hideMark/>
          </w:tcPr>
          <w:p w:rsidR="00A53D7D" w:rsidRPr="00F93FD4" w:rsidRDefault="00A53D7D" w:rsidP="005140B4">
            <w:pPr>
              <w:pStyle w:val="OGUoM"/>
            </w:pPr>
            <w:r w:rsidRPr="00F93FD4">
              <w:t> </w:t>
            </w:r>
          </w:p>
        </w:tc>
        <w:tc>
          <w:tcPr>
            <w:tcW w:w="907" w:type="dxa"/>
            <w:tcBorders>
              <w:top w:val="single" w:sz="6" w:space="0" w:color="auto"/>
            </w:tcBorders>
            <w:shd w:val="clear" w:color="auto" w:fill="D9D9D9"/>
            <w:noWrap/>
            <w:hideMark/>
          </w:tcPr>
          <w:p w:rsidR="00A53D7D" w:rsidRPr="00F93FD4" w:rsidRDefault="00A53D7D" w:rsidP="005140B4">
            <w:pPr>
              <w:pStyle w:val="OGTableofFigures"/>
            </w:pPr>
            <w:r w:rsidRPr="00F93FD4">
              <w:t> </w:t>
            </w:r>
          </w:p>
        </w:tc>
        <w:tc>
          <w:tcPr>
            <w:tcW w:w="993" w:type="dxa"/>
            <w:tcBorders>
              <w:top w:val="single" w:sz="6" w:space="0" w:color="auto"/>
            </w:tcBorders>
            <w:noWrap/>
            <w:hideMark/>
          </w:tcPr>
          <w:p w:rsidR="00A53D7D" w:rsidRPr="00F93FD4" w:rsidRDefault="00A53D7D" w:rsidP="005140B4">
            <w:pPr>
              <w:pStyle w:val="OGTableofFigures"/>
            </w:pPr>
            <w:r w:rsidRPr="00F93FD4">
              <w:t> </w:t>
            </w:r>
          </w:p>
        </w:tc>
        <w:tc>
          <w:tcPr>
            <w:tcW w:w="907" w:type="dxa"/>
            <w:tcBorders>
              <w:top w:val="single" w:sz="6" w:space="0" w:color="auto"/>
            </w:tcBorders>
            <w:noWrap/>
            <w:hideMark/>
          </w:tcPr>
          <w:p w:rsidR="00A53D7D" w:rsidRPr="00F93FD4" w:rsidRDefault="00A53D7D" w:rsidP="005140B4">
            <w:pPr>
              <w:pStyle w:val="OGTableofFigures"/>
            </w:pPr>
            <w:r w:rsidRPr="00F93FD4">
              <w:t> </w:t>
            </w:r>
          </w:p>
        </w:tc>
        <w:tc>
          <w:tcPr>
            <w:tcW w:w="907" w:type="dxa"/>
            <w:tcBorders>
              <w:top w:val="single" w:sz="6" w:space="0" w:color="auto"/>
            </w:tcBorders>
            <w:noWrap/>
            <w:hideMark/>
          </w:tcPr>
          <w:p w:rsidR="00A53D7D" w:rsidRPr="00F93FD4" w:rsidRDefault="00A53D7D" w:rsidP="005140B4">
            <w:pPr>
              <w:pStyle w:val="OGTableofFigures"/>
            </w:pPr>
            <w:r w:rsidRPr="00F93FD4">
              <w:t> </w:t>
            </w:r>
          </w:p>
        </w:tc>
      </w:tr>
      <w:tr w:rsidR="00A53D7D" w:rsidRPr="00F93FD4" w:rsidTr="005140B4">
        <w:trPr>
          <w:cantSplit/>
        </w:trPr>
        <w:tc>
          <w:tcPr>
            <w:tcW w:w="3155" w:type="dxa"/>
          </w:tcPr>
          <w:p w:rsidR="00A53D7D" w:rsidRPr="00DF47F1" w:rsidRDefault="00A53D7D" w:rsidP="005140B4">
            <w:pPr>
              <w:pStyle w:val="OGTabText"/>
              <w:rPr>
                <w:i/>
              </w:rPr>
            </w:pPr>
            <w:r w:rsidRPr="00DF47F1">
              <w:t xml:space="preserve">Attendances at major festivals </w:t>
            </w:r>
          </w:p>
        </w:tc>
        <w:tc>
          <w:tcPr>
            <w:tcW w:w="907" w:type="dxa"/>
            <w:noWrap/>
          </w:tcPr>
          <w:p w:rsidR="00A53D7D" w:rsidRDefault="00A53D7D" w:rsidP="005140B4">
            <w:pPr>
              <w:pStyle w:val="OGUoM"/>
            </w:pPr>
            <w:r>
              <w:t>n</w:t>
            </w:r>
            <w:r w:rsidRPr="00DF47F1">
              <w:t>umber</w:t>
            </w:r>
          </w:p>
          <w:p w:rsidR="00A53D7D" w:rsidRPr="00DF47F1" w:rsidRDefault="00A53D7D" w:rsidP="005140B4">
            <w:pPr>
              <w:pStyle w:val="OGUoM"/>
              <w:rPr>
                <w:i/>
              </w:rPr>
            </w:pPr>
            <w:r>
              <w:t>(000)</w:t>
            </w:r>
          </w:p>
        </w:tc>
        <w:tc>
          <w:tcPr>
            <w:tcW w:w="907" w:type="dxa"/>
            <w:shd w:val="clear" w:color="auto" w:fill="D9D9D9"/>
            <w:noWrap/>
          </w:tcPr>
          <w:p w:rsidR="00A53D7D" w:rsidRPr="0022093E" w:rsidRDefault="00A53D7D" w:rsidP="005140B4">
            <w:pPr>
              <w:pStyle w:val="OGTableofFigures"/>
              <w:rPr>
                <w:szCs w:val="20"/>
              </w:rPr>
            </w:pPr>
            <w:r w:rsidRPr="0022093E">
              <w:rPr>
                <w:szCs w:val="20"/>
              </w:rPr>
              <w:t>1 700</w:t>
            </w:r>
            <w:r>
              <w:t>–</w:t>
            </w:r>
            <w:r w:rsidRPr="0022093E">
              <w:rPr>
                <w:szCs w:val="20"/>
              </w:rPr>
              <w:t xml:space="preserve"> 2 100</w:t>
            </w:r>
          </w:p>
        </w:tc>
        <w:tc>
          <w:tcPr>
            <w:tcW w:w="993" w:type="dxa"/>
            <w:noWrap/>
          </w:tcPr>
          <w:p w:rsidR="00A53D7D" w:rsidRPr="0022093E" w:rsidRDefault="00A53D7D" w:rsidP="005140B4">
            <w:pPr>
              <w:pStyle w:val="OGTableofFigures"/>
              <w:rPr>
                <w:i/>
                <w:szCs w:val="20"/>
              </w:rPr>
            </w:pPr>
            <w:r w:rsidRPr="0022093E">
              <w:rPr>
                <w:szCs w:val="20"/>
              </w:rPr>
              <w:t>2 100 </w:t>
            </w:r>
          </w:p>
        </w:tc>
        <w:tc>
          <w:tcPr>
            <w:tcW w:w="907" w:type="dxa"/>
            <w:noWrap/>
          </w:tcPr>
          <w:p w:rsidR="00A53D7D" w:rsidRPr="0022093E" w:rsidRDefault="00A53D7D" w:rsidP="005140B4">
            <w:pPr>
              <w:pStyle w:val="OGTableofFigures"/>
              <w:rPr>
                <w:i/>
                <w:szCs w:val="20"/>
              </w:rPr>
            </w:pPr>
            <w:r>
              <w:rPr>
                <w:szCs w:val="20"/>
              </w:rPr>
              <w:t>2 000</w:t>
            </w:r>
            <w:r>
              <w:t>–</w:t>
            </w:r>
            <w:r w:rsidRPr="0022093E">
              <w:rPr>
                <w:szCs w:val="20"/>
              </w:rPr>
              <w:t xml:space="preserve"> 2 400</w:t>
            </w:r>
          </w:p>
        </w:tc>
        <w:tc>
          <w:tcPr>
            <w:tcW w:w="907" w:type="dxa"/>
            <w:noWrap/>
          </w:tcPr>
          <w:p w:rsidR="00A53D7D" w:rsidRPr="0022093E" w:rsidRDefault="00A53D7D" w:rsidP="005140B4">
            <w:pPr>
              <w:pStyle w:val="OGTableofFigures"/>
              <w:rPr>
                <w:szCs w:val="20"/>
              </w:rPr>
            </w:pPr>
            <w:r w:rsidRPr="0022093E">
              <w:rPr>
                <w:szCs w:val="20"/>
              </w:rPr>
              <w:t>1 871</w:t>
            </w:r>
          </w:p>
        </w:tc>
      </w:tr>
      <w:tr w:rsidR="00A53D7D" w:rsidRPr="00F93FD4" w:rsidTr="005140B4">
        <w:trPr>
          <w:cantSplit/>
        </w:trPr>
        <w:tc>
          <w:tcPr>
            <w:tcW w:w="7776" w:type="dxa"/>
            <w:gridSpan w:val="6"/>
            <w:tcBorders>
              <w:bottom w:val="single" w:sz="6" w:space="0" w:color="auto"/>
            </w:tcBorders>
          </w:tcPr>
          <w:p w:rsidR="00A53D7D" w:rsidRDefault="00A53D7D" w:rsidP="005140B4">
            <w:pPr>
              <w:pStyle w:val="OGNotes"/>
            </w:pPr>
            <w:r w:rsidRPr="00DF47F1">
              <w:t xml:space="preserve">This performance measure is proposed to be discontinued as it is no longer relevant due to the introduction of the Organisations Investment Program, under which there is no longer a Major Festivals funding program category. Festivals continue to be funded under various Organisations Investment Program categories. Performance of funded festivals is captured under the </w:t>
            </w:r>
            <w:r>
              <w:t xml:space="preserve">performance </w:t>
            </w:r>
            <w:r w:rsidRPr="00DF47F1">
              <w:t xml:space="preserve">measure: </w:t>
            </w:r>
            <w:r>
              <w:t>‘</w:t>
            </w:r>
            <w:r w:rsidRPr="00DF47F1">
              <w:t>Grant recipients who met or exceeded agreed outcome</w:t>
            </w:r>
            <w:r>
              <w:t>’</w:t>
            </w:r>
            <w:r w:rsidRPr="00DF47F1">
              <w:t>s.</w:t>
            </w:r>
          </w:p>
          <w:p w:rsidR="00A53D7D" w:rsidRPr="00DF47F1" w:rsidRDefault="00A53D7D" w:rsidP="005140B4">
            <w:pPr>
              <w:pStyle w:val="OGNotes"/>
            </w:pPr>
            <w:r w:rsidRPr="00A42324">
              <w:t>The lower 2014</w:t>
            </w:r>
            <w:r>
              <w:noBreakHyphen/>
            </w:r>
            <w:r w:rsidRPr="00A42324">
              <w:t xml:space="preserve">15 </w:t>
            </w:r>
            <w:r>
              <w:t>target</w:t>
            </w:r>
            <w:r w:rsidRPr="00A42324">
              <w:t xml:space="preserve"> reflects that the St Kilda Festival is no longer supported as it does not meet the criteria for the new Organisation Investment Program.</w:t>
            </w:r>
          </w:p>
        </w:tc>
      </w:tr>
      <w:tr w:rsidR="00A53D7D" w:rsidRPr="00F93FD4" w:rsidTr="005140B4">
        <w:trPr>
          <w:cantSplit/>
        </w:trPr>
        <w:tc>
          <w:tcPr>
            <w:tcW w:w="3155" w:type="dxa"/>
            <w:tcBorders>
              <w:top w:val="single" w:sz="6" w:space="0" w:color="auto"/>
            </w:tcBorders>
          </w:tcPr>
          <w:p w:rsidR="00A53D7D" w:rsidRPr="00052117" w:rsidRDefault="00A53D7D" w:rsidP="005140B4">
            <w:pPr>
              <w:pStyle w:val="OGTabText"/>
            </w:pPr>
            <w:r>
              <w:t>International markets accessed</w:t>
            </w:r>
          </w:p>
        </w:tc>
        <w:tc>
          <w:tcPr>
            <w:tcW w:w="907" w:type="dxa"/>
            <w:tcBorders>
              <w:top w:val="single" w:sz="6" w:space="0" w:color="auto"/>
            </w:tcBorders>
            <w:noWrap/>
          </w:tcPr>
          <w:p w:rsidR="00A53D7D" w:rsidRPr="00DF47F1" w:rsidRDefault="00A53D7D" w:rsidP="005140B4">
            <w:pPr>
              <w:pStyle w:val="OGUoM"/>
              <w:rPr>
                <w:i/>
              </w:rPr>
            </w:pPr>
            <w:r>
              <w:t>number</w:t>
            </w:r>
          </w:p>
        </w:tc>
        <w:tc>
          <w:tcPr>
            <w:tcW w:w="907" w:type="dxa"/>
            <w:tcBorders>
              <w:top w:val="single" w:sz="6" w:space="0" w:color="auto"/>
            </w:tcBorders>
            <w:shd w:val="clear" w:color="auto" w:fill="D9D9D9"/>
            <w:noWrap/>
          </w:tcPr>
          <w:p w:rsidR="00A53D7D" w:rsidRPr="00DF47F1" w:rsidRDefault="00A53D7D" w:rsidP="005140B4">
            <w:pPr>
              <w:pStyle w:val="OGTableofFigures"/>
              <w:rPr>
                <w:i/>
              </w:rPr>
            </w:pPr>
            <w:r>
              <w:t>15</w:t>
            </w:r>
          </w:p>
        </w:tc>
        <w:tc>
          <w:tcPr>
            <w:tcW w:w="993" w:type="dxa"/>
            <w:tcBorders>
              <w:top w:val="single" w:sz="6" w:space="0" w:color="auto"/>
            </w:tcBorders>
            <w:noWrap/>
          </w:tcPr>
          <w:p w:rsidR="00A53D7D" w:rsidRPr="00DF47F1" w:rsidRDefault="00A53D7D" w:rsidP="005140B4">
            <w:pPr>
              <w:pStyle w:val="OGTableofFigures"/>
              <w:rPr>
                <w:i/>
              </w:rPr>
            </w:pPr>
            <w:r>
              <w:t>15</w:t>
            </w:r>
          </w:p>
        </w:tc>
        <w:tc>
          <w:tcPr>
            <w:tcW w:w="907" w:type="dxa"/>
            <w:tcBorders>
              <w:top w:val="single" w:sz="6" w:space="0" w:color="auto"/>
            </w:tcBorders>
            <w:noWrap/>
          </w:tcPr>
          <w:p w:rsidR="00A53D7D" w:rsidRPr="00DF47F1" w:rsidRDefault="00A53D7D" w:rsidP="005140B4">
            <w:pPr>
              <w:pStyle w:val="OGTableofFigures"/>
              <w:rPr>
                <w:i/>
              </w:rPr>
            </w:pPr>
            <w:r>
              <w:t>15</w:t>
            </w:r>
          </w:p>
        </w:tc>
        <w:tc>
          <w:tcPr>
            <w:tcW w:w="907" w:type="dxa"/>
            <w:tcBorders>
              <w:top w:val="single" w:sz="6" w:space="0" w:color="auto"/>
            </w:tcBorders>
            <w:noWrap/>
          </w:tcPr>
          <w:p w:rsidR="00A53D7D" w:rsidRPr="00DF47F1" w:rsidRDefault="00A53D7D" w:rsidP="005140B4">
            <w:pPr>
              <w:pStyle w:val="OGTableofFigures"/>
            </w:pPr>
            <w:r>
              <w:t>24</w:t>
            </w:r>
          </w:p>
        </w:tc>
      </w:tr>
      <w:tr w:rsidR="00A53D7D" w:rsidRPr="00F93FD4" w:rsidTr="005140B4">
        <w:trPr>
          <w:cantSplit/>
        </w:trPr>
        <w:tc>
          <w:tcPr>
            <w:tcW w:w="7776" w:type="dxa"/>
            <w:gridSpan w:val="6"/>
            <w:tcBorders>
              <w:bottom w:val="single" w:sz="6" w:space="0" w:color="auto"/>
            </w:tcBorders>
          </w:tcPr>
          <w:p w:rsidR="00A53D7D" w:rsidRDefault="00A53D7D" w:rsidP="005140B4">
            <w:pPr>
              <w:pStyle w:val="OGNotes"/>
            </w:pPr>
            <w:r w:rsidRPr="006233DF">
              <w:t xml:space="preserve">This performance measure is proposed to be discontinued as it is no longer relevant as the International Program </w:t>
            </w:r>
            <w:r>
              <w:t>is now part of</w:t>
            </w:r>
            <w:r w:rsidRPr="006233DF">
              <w:t xml:space="preserve"> the new </w:t>
            </w:r>
            <w:proofErr w:type="spellStart"/>
            <w:r w:rsidRPr="006233DF">
              <w:t>VicArts</w:t>
            </w:r>
            <w:proofErr w:type="spellEnd"/>
            <w:r w:rsidRPr="006233DF">
              <w:t xml:space="preserve"> grants program.</w:t>
            </w:r>
          </w:p>
        </w:tc>
      </w:tr>
      <w:tr w:rsidR="00A53D7D" w:rsidRPr="00F93FD4" w:rsidTr="005140B4">
        <w:trPr>
          <w:cantSplit/>
        </w:trPr>
        <w:tc>
          <w:tcPr>
            <w:tcW w:w="3155" w:type="dxa"/>
            <w:tcBorders>
              <w:top w:val="single" w:sz="6" w:space="0" w:color="auto"/>
            </w:tcBorders>
          </w:tcPr>
          <w:p w:rsidR="00A53D7D" w:rsidRPr="00FF5BAC" w:rsidRDefault="00A53D7D" w:rsidP="005140B4">
            <w:pPr>
              <w:pStyle w:val="OGTabHead"/>
            </w:pPr>
            <w:r>
              <w:t>Quality</w:t>
            </w:r>
          </w:p>
        </w:tc>
        <w:tc>
          <w:tcPr>
            <w:tcW w:w="907" w:type="dxa"/>
            <w:tcBorders>
              <w:top w:val="single" w:sz="6" w:space="0" w:color="auto"/>
            </w:tcBorders>
            <w:noWrap/>
          </w:tcPr>
          <w:p w:rsidR="00A53D7D" w:rsidRDefault="00A53D7D" w:rsidP="005140B4">
            <w:pPr>
              <w:pStyle w:val="OGUoM"/>
              <w:rPr>
                <w:i/>
              </w:rPr>
            </w:pPr>
          </w:p>
        </w:tc>
        <w:tc>
          <w:tcPr>
            <w:tcW w:w="907" w:type="dxa"/>
            <w:tcBorders>
              <w:top w:val="single" w:sz="6" w:space="0" w:color="auto"/>
            </w:tcBorders>
            <w:shd w:val="clear" w:color="auto" w:fill="D9D9D9"/>
            <w:noWrap/>
          </w:tcPr>
          <w:p w:rsidR="00A53D7D" w:rsidRDefault="00A53D7D" w:rsidP="005140B4">
            <w:pPr>
              <w:pStyle w:val="OGTableofFigures"/>
              <w:rPr>
                <w:i/>
              </w:rPr>
            </w:pPr>
          </w:p>
        </w:tc>
        <w:tc>
          <w:tcPr>
            <w:tcW w:w="993" w:type="dxa"/>
            <w:tcBorders>
              <w:top w:val="single" w:sz="6" w:space="0" w:color="auto"/>
            </w:tcBorders>
            <w:noWrap/>
          </w:tcPr>
          <w:p w:rsidR="00A53D7D" w:rsidRDefault="00A53D7D" w:rsidP="005140B4">
            <w:pPr>
              <w:pStyle w:val="OGTableofFigures"/>
              <w:rPr>
                <w:i/>
              </w:rPr>
            </w:pPr>
          </w:p>
        </w:tc>
        <w:tc>
          <w:tcPr>
            <w:tcW w:w="907" w:type="dxa"/>
            <w:tcBorders>
              <w:top w:val="single" w:sz="6" w:space="0" w:color="auto"/>
            </w:tcBorders>
            <w:noWrap/>
          </w:tcPr>
          <w:p w:rsidR="00A53D7D" w:rsidRDefault="00A53D7D" w:rsidP="005140B4">
            <w:pPr>
              <w:pStyle w:val="OGTableofFigures"/>
              <w:rPr>
                <w:i/>
              </w:rPr>
            </w:pPr>
          </w:p>
        </w:tc>
        <w:tc>
          <w:tcPr>
            <w:tcW w:w="907" w:type="dxa"/>
            <w:tcBorders>
              <w:top w:val="single" w:sz="6" w:space="0" w:color="auto"/>
            </w:tcBorders>
            <w:noWrap/>
          </w:tcPr>
          <w:p w:rsidR="00A53D7D" w:rsidRDefault="00A53D7D" w:rsidP="005140B4">
            <w:pPr>
              <w:pStyle w:val="OGTableofFigures"/>
            </w:pPr>
          </w:p>
        </w:tc>
      </w:tr>
      <w:tr w:rsidR="00A53D7D" w:rsidRPr="00F93FD4" w:rsidTr="005140B4">
        <w:trPr>
          <w:cantSplit/>
        </w:trPr>
        <w:tc>
          <w:tcPr>
            <w:tcW w:w="3155" w:type="dxa"/>
          </w:tcPr>
          <w:p w:rsidR="00A53D7D" w:rsidRPr="00052117" w:rsidRDefault="00A53D7D" w:rsidP="005140B4">
            <w:pPr>
              <w:pStyle w:val="OGTabText"/>
              <w:rPr>
                <w:i/>
              </w:rPr>
            </w:pPr>
            <w:r w:rsidRPr="006233DF">
              <w:t xml:space="preserve">Level of </w:t>
            </w:r>
            <w:r>
              <w:t>satisfaction with policy advice</w:t>
            </w:r>
          </w:p>
        </w:tc>
        <w:tc>
          <w:tcPr>
            <w:tcW w:w="907" w:type="dxa"/>
            <w:noWrap/>
          </w:tcPr>
          <w:p w:rsidR="00A53D7D" w:rsidRDefault="00A53D7D" w:rsidP="005140B4">
            <w:pPr>
              <w:pStyle w:val="OGUoM"/>
              <w:rPr>
                <w:i/>
              </w:rPr>
            </w:pPr>
            <w:r>
              <w:t>per cent</w:t>
            </w:r>
          </w:p>
        </w:tc>
        <w:tc>
          <w:tcPr>
            <w:tcW w:w="907" w:type="dxa"/>
            <w:shd w:val="clear" w:color="auto" w:fill="D9D9D9"/>
            <w:noWrap/>
          </w:tcPr>
          <w:p w:rsidR="00A53D7D" w:rsidRDefault="00A53D7D" w:rsidP="005140B4">
            <w:pPr>
              <w:pStyle w:val="OGTableofFigures"/>
              <w:rPr>
                <w:i/>
              </w:rPr>
            </w:pPr>
            <w:r>
              <w:t>95</w:t>
            </w:r>
          </w:p>
        </w:tc>
        <w:tc>
          <w:tcPr>
            <w:tcW w:w="993" w:type="dxa"/>
            <w:noWrap/>
          </w:tcPr>
          <w:p w:rsidR="00A53D7D" w:rsidRDefault="00A53D7D" w:rsidP="005140B4">
            <w:pPr>
              <w:pStyle w:val="OGTableofFigures"/>
              <w:rPr>
                <w:i/>
              </w:rPr>
            </w:pPr>
            <w:r>
              <w:t>95</w:t>
            </w:r>
          </w:p>
        </w:tc>
        <w:tc>
          <w:tcPr>
            <w:tcW w:w="907" w:type="dxa"/>
            <w:noWrap/>
          </w:tcPr>
          <w:p w:rsidR="00A53D7D" w:rsidRDefault="00A53D7D" w:rsidP="005140B4">
            <w:pPr>
              <w:pStyle w:val="OGTableofFigures"/>
              <w:rPr>
                <w:i/>
              </w:rPr>
            </w:pPr>
            <w:r>
              <w:t>95</w:t>
            </w:r>
          </w:p>
        </w:tc>
        <w:tc>
          <w:tcPr>
            <w:tcW w:w="907" w:type="dxa"/>
            <w:noWrap/>
          </w:tcPr>
          <w:p w:rsidR="00A53D7D" w:rsidRDefault="00A53D7D" w:rsidP="005140B4">
            <w:pPr>
              <w:pStyle w:val="OGTableofFigures"/>
            </w:pPr>
            <w:r>
              <w:t>95</w:t>
            </w:r>
          </w:p>
        </w:tc>
      </w:tr>
      <w:tr w:rsidR="00A53D7D" w:rsidRPr="00F93FD4" w:rsidTr="005140B4">
        <w:trPr>
          <w:cantSplit/>
        </w:trPr>
        <w:tc>
          <w:tcPr>
            <w:tcW w:w="7776" w:type="dxa"/>
            <w:gridSpan w:val="6"/>
            <w:tcBorders>
              <w:bottom w:val="single" w:sz="6" w:space="0" w:color="auto"/>
            </w:tcBorders>
          </w:tcPr>
          <w:p w:rsidR="00A53D7D" w:rsidRDefault="00A53D7D" w:rsidP="005140B4">
            <w:pPr>
              <w:pStyle w:val="OGNotes"/>
            </w:pPr>
            <w:r w:rsidRPr="006233DF">
              <w:t>This performance measure is proposed to be discontinued as this activity is proposed to be captured through the 2014</w:t>
            </w:r>
            <w:r>
              <w:noBreakHyphen/>
            </w:r>
            <w:r w:rsidRPr="006233DF">
              <w:t xml:space="preserve">15 Strategic Advice and Government Support output measure </w:t>
            </w:r>
            <w:r>
              <w:t>‘</w:t>
            </w:r>
            <w:r w:rsidRPr="006233DF">
              <w:t>Policy services satisfaction rating</w:t>
            </w:r>
            <w:r>
              <w:t>’</w:t>
            </w:r>
            <w:r w:rsidRPr="006233DF">
              <w:t>.</w:t>
            </w:r>
          </w:p>
        </w:tc>
      </w:tr>
      <w:tr w:rsidR="00A53D7D" w:rsidRPr="00F93FD4" w:rsidTr="005140B4">
        <w:trPr>
          <w:cantSplit/>
        </w:trPr>
        <w:tc>
          <w:tcPr>
            <w:tcW w:w="3155" w:type="dxa"/>
            <w:tcBorders>
              <w:top w:val="single" w:sz="6" w:space="0" w:color="auto"/>
            </w:tcBorders>
          </w:tcPr>
          <w:p w:rsidR="00A53D7D" w:rsidRPr="00FF5BAC" w:rsidRDefault="00A53D7D" w:rsidP="005140B4">
            <w:pPr>
              <w:pStyle w:val="OGTabHead"/>
            </w:pPr>
            <w:r>
              <w:t>Timeliness</w:t>
            </w:r>
          </w:p>
        </w:tc>
        <w:tc>
          <w:tcPr>
            <w:tcW w:w="907" w:type="dxa"/>
            <w:tcBorders>
              <w:top w:val="single" w:sz="6" w:space="0" w:color="auto"/>
            </w:tcBorders>
            <w:noWrap/>
          </w:tcPr>
          <w:p w:rsidR="00A53D7D" w:rsidRDefault="00A53D7D" w:rsidP="005140B4">
            <w:pPr>
              <w:pStyle w:val="OGUoM"/>
              <w:rPr>
                <w:i/>
              </w:rPr>
            </w:pPr>
          </w:p>
        </w:tc>
        <w:tc>
          <w:tcPr>
            <w:tcW w:w="907" w:type="dxa"/>
            <w:tcBorders>
              <w:top w:val="single" w:sz="6" w:space="0" w:color="auto"/>
            </w:tcBorders>
            <w:shd w:val="clear" w:color="auto" w:fill="D9D9D9"/>
            <w:noWrap/>
          </w:tcPr>
          <w:p w:rsidR="00A53D7D" w:rsidRDefault="00A53D7D" w:rsidP="005140B4">
            <w:pPr>
              <w:pStyle w:val="OGTableofFigures"/>
              <w:rPr>
                <w:i/>
              </w:rPr>
            </w:pPr>
          </w:p>
        </w:tc>
        <w:tc>
          <w:tcPr>
            <w:tcW w:w="993" w:type="dxa"/>
            <w:tcBorders>
              <w:top w:val="single" w:sz="6" w:space="0" w:color="auto"/>
            </w:tcBorders>
            <w:noWrap/>
          </w:tcPr>
          <w:p w:rsidR="00A53D7D" w:rsidRDefault="00A53D7D" w:rsidP="005140B4">
            <w:pPr>
              <w:pStyle w:val="OGTableofFigures"/>
              <w:rPr>
                <w:i/>
              </w:rPr>
            </w:pPr>
          </w:p>
        </w:tc>
        <w:tc>
          <w:tcPr>
            <w:tcW w:w="907" w:type="dxa"/>
            <w:tcBorders>
              <w:top w:val="single" w:sz="6" w:space="0" w:color="auto"/>
            </w:tcBorders>
            <w:noWrap/>
          </w:tcPr>
          <w:p w:rsidR="00A53D7D" w:rsidRDefault="00A53D7D" w:rsidP="005140B4">
            <w:pPr>
              <w:pStyle w:val="OGTableofFigures"/>
              <w:rPr>
                <w:i/>
              </w:rPr>
            </w:pPr>
          </w:p>
        </w:tc>
        <w:tc>
          <w:tcPr>
            <w:tcW w:w="907" w:type="dxa"/>
            <w:tcBorders>
              <w:top w:val="single" w:sz="6" w:space="0" w:color="auto"/>
            </w:tcBorders>
            <w:noWrap/>
          </w:tcPr>
          <w:p w:rsidR="00A53D7D" w:rsidRDefault="00A53D7D" w:rsidP="005140B4">
            <w:pPr>
              <w:pStyle w:val="OGTableofFigures"/>
            </w:pPr>
          </w:p>
        </w:tc>
      </w:tr>
      <w:tr w:rsidR="00A53D7D" w:rsidRPr="00F93FD4" w:rsidTr="005140B4">
        <w:trPr>
          <w:cantSplit/>
        </w:trPr>
        <w:tc>
          <w:tcPr>
            <w:tcW w:w="3155" w:type="dxa"/>
          </w:tcPr>
          <w:p w:rsidR="00A53D7D" w:rsidRPr="00052117" w:rsidRDefault="00A53D7D" w:rsidP="005140B4">
            <w:pPr>
              <w:pStyle w:val="OGTabText"/>
              <w:rPr>
                <w:i/>
              </w:rPr>
            </w:pPr>
            <w:r w:rsidRPr="006233DF">
              <w:t>Arts Development applications processe</w:t>
            </w:r>
            <w:r>
              <w:t>d for Ministerial consideration</w:t>
            </w:r>
          </w:p>
        </w:tc>
        <w:tc>
          <w:tcPr>
            <w:tcW w:w="907" w:type="dxa"/>
            <w:noWrap/>
          </w:tcPr>
          <w:p w:rsidR="00A53D7D" w:rsidRDefault="00A53D7D" w:rsidP="005140B4">
            <w:pPr>
              <w:pStyle w:val="OGUoM"/>
              <w:rPr>
                <w:i/>
              </w:rPr>
            </w:pPr>
            <w:r>
              <w:t>days</w:t>
            </w:r>
          </w:p>
        </w:tc>
        <w:tc>
          <w:tcPr>
            <w:tcW w:w="907" w:type="dxa"/>
            <w:shd w:val="clear" w:color="auto" w:fill="D9D9D9"/>
            <w:noWrap/>
          </w:tcPr>
          <w:p w:rsidR="00A53D7D" w:rsidRDefault="00A53D7D" w:rsidP="005140B4">
            <w:pPr>
              <w:pStyle w:val="OGTableofFigures"/>
              <w:rPr>
                <w:i/>
              </w:rPr>
            </w:pPr>
            <w:proofErr w:type="spellStart"/>
            <w:r w:rsidRPr="00992466">
              <w:t>na</w:t>
            </w:r>
            <w:proofErr w:type="spellEnd"/>
          </w:p>
        </w:tc>
        <w:tc>
          <w:tcPr>
            <w:tcW w:w="993" w:type="dxa"/>
            <w:noWrap/>
          </w:tcPr>
          <w:p w:rsidR="00A53D7D" w:rsidRDefault="00A53D7D" w:rsidP="005140B4">
            <w:pPr>
              <w:pStyle w:val="OGTableofFigures"/>
              <w:rPr>
                <w:i/>
              </w:rPr>
            </w:pPr>
            <w:proofErr w:type="spellStart"/>
            <w:r>
              <w:t>na</w:t>
            </w:r>
            <w:proofErr w:type="spellEnd"/>
          </w:p>
        </w:tc>
        <w:tc>
          <w:tcPr>
            <w:tcW w:w="907" w:type="dxa"/>
            <w:noWrap/>
          </w:tcPr>
          <w:p w:rsidR="00A53D7D" w:rsidRDefault="00A53D7D" w:rsidP="005140B4">
            <w:pPr>
              <w:pStyle w:val="OGTableofFigures"/>
              <w:rPr>
                <w:i/>
              </w:rPr>
            </w:pPr>
            <w:r>
              <w:t>60</w:t>
            </w:r>
          </w:p>
        </w:tc>
        <w:tc>
          <w:tcPr>
            <w:tcW w:w="907" w:type="dxa"/>
            <w:noWrap/>
          </w:tcPr>
          <w:p w:rsidR="00A53D7D" w:rsidRDefault="00A53D7D" w:rsidP="005140B4">
            <w:pPr>
              <w:pStyle w:val="OGTableofFigures"/>
            </w:pPr>
            <w:r>
              <w:t>53</w:t>
            </w:r>
          </w:p>
        </w:tc>
      </w:tr>
      <w:tr w:rsidR="00A53D7D" w:rsidRPr="00F93FD4" w:rsidTr="005140B4">
        <w:trPr>
          <w:cantSplit/>
        </w:trPr>
        <w:tc>
          <w:tcPr>
            <w:tcW w:w="7776" w:type="dxa"/>
            <w:gridSpan w:val="6"/>
            <w:tcBorders>
              <w:bottom w:val="single" w:sz="6" w:space="0" w:color="auto"/>
            </w:tcBorders>
          </w:tcPr>
          <w:p w:rsidR="00A53D7D" w:rsidRDefault="00A53D7D" w:rsidP="005140B4">
            <w:pPr>
              <w:pStyle w:val="OGNotes"/>
            </w:pPr>
            <w:r w:rsidRPr="004156B2">
              <w:t>This performance measure is proposed to be discontinued as the Arts Development grants program is now part of</w:t>
            </w:r>
            <w:r>
              <w:t xml:space="preserve"> </w:t>
            </w:r>
            <w:r w:rsidRPr="004156B2">
              <w:t xml:space="preserve">the </w:t>
            </w:r>
            <w:proofErr w:type="spellStart"/>
            <w:r w:rsidRPr="004156B2">
              <w:t>VicArts</w:t>
            </w:r>
            <w:proofErr w:type="spellEnd"/>
            <w:r w:rsidRPr="004156B2">
              <w:t xml:space="preserve"> grants program during 2013</w:t>
            </w:r>
            <w:r>
              <w:noBreakHyphen/>
            </w:r>
            <w:r w:rsidRPr="004156B2">
              <w:t>14. It is accounted for under the new 2014</w:t>
            </w:r>
            <w:r>
              <w:noBreakHyphen/>
            </w:r>
            <w:r w:rsidRPr="004156B2">
              <w:t>15 measure ‘</w:t>
            </w:r>
            <w:proofErr w:type="spellStart"/>
            <w:r w:rsidRPr="004156B2">
              <w:t>VicArts</w:t>
            </w:r>
            <w:proofErr w:type="spellEnd"/>
            <w:r w:rsidRPr="004156B2">
              <w:t xml:space="preserve"> grants applications processed for Ministerial consideration’</w:t>
            </w:r>
            <w:r>
              <w:t xml:space="preserve"> </w:t>
            </w:r>
          </w:p>
        </w:tc>
      </w:tr>
      <w:tr w:rsidR="00A53D7D" w:rsidRPr="00F93FD4" w:rsidTr="005140B4">
        <w:trPr>
          <w:cantSplit/>
        </w:trPr>
        <w:tc>
          <w:tcPr>
            <w:tcW w:w="3155" w:type="dxa"/>
            <w:tcBorders>
              <w:top w:val="single" w:sz="6" w:space="0" w:color="auto"/>
            </w:tcBorders>
          </w:tcPr>
          <w:p w:rsidR="00A53D7D" w:rsidRPr="00052117" w:rsidRDefault="00A53D7D" w:rsidP="005140B4">
            <w:pPr>
              <w:pStyle w:val="OGTabText"/>
            </w:pPr>
            <w:r w:rsidRPr="006233DF">
              <w:t>All other applications processe</w:t>
            </w:r>
            <w:r>
              <w:t>d for Ministerial consideration</w:t>
            </w:r>
          </w:p>
        </w:tc>
        <w:tc>
          <w:tcPr>
            <w:tcW w:w="907" w:type="dxa"/>
            <w:tcBorders>
              <w:top w:val="single" w:sz="6" w:space="0" w:color="auto"/>
            </w:tcBorders>
            <w:noWrap/>
          </w:tcPr>
          <w:p w:rsidR="00A53D7D" w:rsidRDefault="00A53D7D" w:rsidP="005140B4">
            <w:pPr>
              <w:pStyle w:val="OGUoM"/>
              <w:rPr>
                <w:i/>
              </w:rPr>
            </w:pPr>
            <w:r>
              <w:t>days</w:t>
            </w:r>
          </w:p>
        </w:tc>
        <w:tc>
          <w:tcPr>
            <w:tcW w:w="907" w:type="dxa"/>
            <w:tcBorders>
              <w:top w:val="single" w:sz="6" w:space="0" w:color="auto"/>
            </w:tcBorders>
            <w:shd w:val="clear" w:color="auto" w:fill="D9D9D9"/>
            <w:noWrap/>
          </w:tcPr>
          <w:p w:rsidR="00A53D7D" w:rsidRPr="008F2575" w:rsidRDefault="00A53D7D" w:rsidP="005140B4">
            <w:pPr>
              <w:pStyle w:val="OGTableofFigures"/>
              <w:rPr>
                <w:i/>
                <w:color w:val="FF0000"/>
              </w:rPr>
            </w:pPr>
            <w:proofErr w:type="spellStart"/>
            <w:r w:rsidRPr="008F2575">
              <w:t>na</w:t>
            </w:r>
            <w:proofErr w:type="spellEnd"/>
          </w:p>
        </w:tc>
        <w:tc>
          <w:tcPr>
            <w:tcW w:w="993" w:type="dxa"/>
            <w:tcBorders>
              <w:top w:val="single" w:sz="6" w:space="0" w:color="auto"/>
            </w:tcBorders>
            <w:noWrap/>
          </w:tcPr>
          <w:p w:rsidR="00A53D7D" w:rsidRDefault="00A53D7D" w:rsidP="005140B4">
            <w:pPr>
              <w:pStyle w:val="OGTableofFigures"/>
              <w:rPr>
                <w:i/>
              </w:rPr>
            </w:pPr>
            <w:proofErr w:type="spellStart"/>
            <w:r>
              <w:t>na</w:t>
            </w:r>
            <w:proofErr w:type="spellEnd"/>
          </w:p>
        </w:tc>
        <w:tc>
          <w:tcPr>
            <w:tcW w:w="907" w:type="dxa"/>
            <w:tcBorders>
              <w:top w:val="single" w:sz="6" w:space="0" w:color="auto"/>
            </w:tcBorders>
            <w:noWrap/>
          </w:tcPr>
          <w:p w:rsidR="00A53D7D" w:rsidRDefault="00A53D7D" w:rsidP="005140B4">
            <w:pPr>
              <w:pStyle w:val="OGTableofFigures"/>
              <w:rPr>
                <w:i/>
              </w:rPr>
            </w:pPr>
            <w:r>
              <w:t>40</w:t>
            </w:r>
          </w:p>
        </w:tc>
        <w:tc>
          <w:tcPr>
            <w:tcW w:w="907" w:type="dxa"/>
            <w:tcBorders>
              <w:top w:val="single" w:sz="6" w:space="0" w:color="auto"/>
            </w:tcBorders>
            <w:noWrap/>
          </w:tcPr>
          <w:p w:rsidR="00A53D7D" w:rsidRDefault="00A53D7D" w:rsidP="005140B4">
            <w:pPr>
              <w:pStyle w:val="OGTableofFigures"/>
            </w:pPr>
            <w:r>
              <w:t>47</w:t>
            </w:r>
          </w:p>
        </w:tc>
      </w:tr>
      <w:tr w:rsidR="00A53D7D" w:rsidRPr="00F93FD4" w:rsidTr="005140B4">
        <w:trPr>
          <w:cantSplit/>
        </w:trPr>
        <w:tc>
          <w:tcPr>
            <w:tcW w:w="7776" w:type="dxa"/>
            <w:gridSpan w:val="6"/>
            <w:tcBorders>
              <w:bottom w:val="single" w:sz="6" w:space="0" w:color="auto"/>
            </w:tcBorders>
          </w:tcPr>
          <w:p w:rsidR="00A53D7D" w:rsidRDefault="00A53D7D" w:rsidP="005140B4">
            <w:pPr>
              <w:pStyle w:val="OGNotes"/>
            </w:pPr>
            <w:r w:rsidRPr="004156B2">
              <w:t xml:space="preserve">This performance measure is proposed to be discontinued as all other applications for </w:t>
            </w:r>
            <w:r>
              <w:t>grants programs are now part of</w:t>
            </w:r>
            <w:r w:rsidRPr="004156B2">
              <w:t xml:space="preserve"> the </w:t>
            </w:r>
            <w:proofErr w:type="spellStart"/>
            <w:r w:rsidRPr="004156B2">
              <w:t>VicArts</w:t>
            </w:r>
            <w:proofErr w:type="spellEnd"/>
            <w:r w:rsidRPr="004156B2">
              <w:t xml:space="preserve"> grants program during 2013</w:t>
            </w:r>
            <w:r>
              <w:noBreakHyphen/>
            </w:r>
            <w:r w:rsidRPr="004156B2">
              <w:t>14</w:t>
            </w:r>
            <w:r>
              <w:t>.</w:t>
            </w:r>
            <w:r w:rsidRPr="004156B2">
              <w:t xml:space="preserve"> It is accounted for under the new 2014</w:t>
            </w:r>
            <w:r>
              <w:noBreakHyphen/>
            </w:r>
            <w:r w:rsidRPr="004156B2">
              <w:t>15 measure ‘</w:t>
            </w:r>
            <w:proofErr w:type="spellStart"/>
            <w:r w:rsidRPr="004156B2">
              <w:t>VicArts</w:t>
            </w:r>
            <w:proofErr w:type="spellEnd"/>
            <w:r w:rsidRPr="004156B2">
              <w:t xml:space="preserve"> grants applications processed for Ministerial consideration’</w:t>
            </w:r>
            <w:r>
              <w:t>.</w:t>
            </w:r>
          </w:p>
        </w:tc>
      </w:tr>
      <w:tr w:rsidR="00A53D7D" w:rsidRPr="00F93FD4" w:rsidTr="005140B4">
        <w:trPr>
          <w:cantSplit/>
        </w:trPr>
        <w:tc>
          <w:tcPr>
            <w:tcW w:w="7776" w:type="dxa"/>
            <w:gridSpan w:val="6"/>
            <w:tcBorders>
              <w:top w:val="single" w:sz="6" w:space="0" w:color="auto"/>
              <w:bottom w:val="single" w:sz="6" w:space="0" w:color="auto"/>
            </w:tcBorders>
          </w:tcPr>
          <w:p w:rsidR="00A53D7D" w:rsidRDefault="00A53D7D" w:rsidP="005140B4">
            <w:pPr>
              <w:pStyle w:val="OGHeading2"/>
            </w:pPr>
            <w:r w:rsidRPr="00503D60">
              <w:rPr>
                <w:lang w:eastAsia="en-AU"/>
              </w:rPr>
              <w:t>Advice and Support to the Governor</w:t>
            </w:r>
          </w:p>
        </w:tc>
      </w:tr>
      <w:tr w:rsidR="00A53D7D" w:rsidRPr="00503D60" w:rsidTr="005140B4">
        <w:trPr>
          <w:cantSplit/>
        </w:trPr>
        <w:tc>
          <w:tcPr>
            <w:tcW w:w="3155" w:type="dxa"/>
            <w:tcBorders>
              <w:top w:val="single" w:sz="6" w:space="0" w:color="auto"/>
            </w:tcBorders>
            <w:hideMark/>
          </w:tcPr>
          <w:p w:rsidR="00A53D7D" w:rsidRPr="00503D60" w:rsidRDefault="00A53D7D" w:rsidP="005140B4">
            <w:pPr>
              <w:pStyle w:val="OGTabHead"/>
              <w:rPr>
                <w:lang w:eastAsia="en-AU"/>
              </w:rPr>
            </w:pPr>
            <w:r w:rsidRPr="00560D1F">
              <w:rPr>
                <w:lang w:eastAsia="en-AU"/>
              </w:rPr>
              <w:t>Quantity</w:t>
            </w:r>
          </w:p>
        </w:tc>
        <w:tc>
          <w:tcPr>
            <w:tcW w:w="907" w:type="dxa"/>
            <w:tcBorders>
              <w:top w:val="single" w:sz="6" w:space="0" w:color="auto"/>
            </w:tcBorders>
            <w:noWrap/>
            <w:hideMark/>
          </w:tcPr>
          <w:p w:rsidR="00A53D7D" w:rsidRPr="00503D60" w:rsidRDefault="00A53D7D" w:rsidP="005140B4">
            <w:pPr>
              <w:pStyle w:val="OGUoM"/>
              <w:keepNext/>
              <w:rPr>
                <w:lang w:eastAsia="en-AU"/>
              </w:rPr>
            </w:pPr>
            <w:r w:rsidRPr="00503D60">
              <w:rPr>
                <w:lang w:eastAsia="en-AU"/>
              </w:rPr>
              <w:t> </w:t>
            </w:r>
          </w:p>
        </w:tc>
        <w:tc>
          <w:tcPr>
            <w:tcW w:w="907" w:type="dxa"/>
            <w:tcBorders>
              <w:top w:val="single" w:sz="6" w:space="0" w:color="auto"/>
            </w:tcBorders>
            <w:shd w:val="clear" w:color="auto" w:fill="D9D9D9"/>
            <w:noWrap/>
            <w:hideMark/>
          </w:tcPr>
          <w:p w:rsidR="00A53D7D" w:rsidRPr="00503D60" w:rsidRDefault="00A53D7D" w:rsidP="005140B4">
            <w:pPr>
              <w:pStyle w:val="OGTableofFigures"/>
              <w:keepNext/>
              <w:rPr>
                <w:lang w:eastAsia="en-AU"/>
              </w:rPr>
            </w:pPr>
            <w:r w:rsidRPr="00503D60">
              <w:rPr>
                <w:lang w:eastAsia="en-AU"/>
              </w:rPr>
              <w:t> </w:t>
            </w:r>
          </w:p>
        </w:tc>
        <w:tc>
          <w:tcPr>
            <w:tcW w:w="993" w:type="dxa"/>
            <w:tcBorders>
              <w:top w:val="single" w:sz="6" w:space="0" w:color="auto"/>
            </w:tcBorders>
            <w:noWrap/>
            <w:hideMark/>
          </w:tcPr>
          <w:p w:rsidR="00A53D7D" w:rsidRPr="00503D60" w:rsidRDefault="00A53D7D" w:rsidP="005140B4">
            <w:pPr>
              <w:pStyle w:val="OGTableofFigures"/>
              <w:keepNext/>
              <w:rPr>
                <w:lang w:eastAsia="en-AU"/>
              </w:rPr>
            </w:pPr>
            <w:r w:rsidRPr="00503D60">
              <w:rPr>
                <w:lang w:eastAsia="en-AU"/>
              </w:rPr>
              <w:t> </w:t>
            </w:r>
          </w:p>
        </w:tc>
        <w:tc>
          <w:tcPr>
            <w:tcW w:w="907" w:type="dxa"/>
            <w:tcBorders>
              <w:top w:val="single" w:sz="6" w:space="0" w:color="auto"/>
            </w:tcBorders>
            <w:noWrap/>
            <w:hideMark/>
          </w:tcPr>
          <w:p w:rsidR="00A53D7D" w:rsidRPr="00503D60" w:rsidRDefault="00A53D7D" w:rsidP="005140B4">
            <w:pPr>
              <w:pStyle w:val="OGTableofFigures"/>
              <w:keepNext/>
              <w:rPr>
                <w:lang w:eastAsia="en-AU"/>
              </w:rPr>
            </w:pPr>
            <w:r w:rsidRPr="00503D60">
              <w:rPr>
                <w:lang w:eastAsia="en-AU"/>
              </w:rPr>
              <w:t> </w:t>
            </w:r>
          </w:p>
        </w:tc>
        <w:tc>
          <w:tcPr>
            <w:tcW w:w="907" w:type="dxa"/>
            <w:tcBorders>
              <w:top w:val="single" w:sz="6" w:space="0" w:color="auto"/>
            </w:tcBorders>
            <w:noWrap/>
            <w:hideMark/>
          </w:tcPr>
          <w:p w:rsidR="00A53D7D" w:rsidRPr="00503D60" w:rsidRDefault="00A53D7D" w:rsidP="005140B4">
            <w:pPr>
              <w:pStyle w:val="OGTableofFigures"/>
              <w:keepNext/>
              <w:rPr>
                <w:lang w:eastAsia="en-AU"/>
              </w:rPr>
            </w:pPr>
            <w:r w:rsidRPr="00503D60">
              <w:rPr>
                <w:lang w:eastAsia="en-AU"/>
              </w:rPr>
              <w:t> </w:t>
            </w:r>
          </w:p>
        </w:tc>
      </w:tr>
      <w:tr w:rsidR="00A53D7D" w:rsidRPr="00503D60" w:rsidTr="005140B4">
        <w:trPr>
          <w:cantSplit/>
        </w:trPr>
        <w:tc>
          <w:tcPr>
            <w:tcW w:w="3155" w:type="dxa"/>
          </w:tcPr>
          <w:p w:rsidR="00A53D7D" w:rsidRPr="00503D60" w:rsidRDefault="00A53D7D" w:rsidP="005140B4">
            <w:pPr>
              <w:pStyle w:val="OGTabText"/>
              <w:rPr>
                <w:color w:val="000000"/>
                <w:lang w:eastAsia="en-AU"/>
              </w:rPr>
            </w:pPr>
            <w:r w:rsidRPr="00996A89">
              <w:rPr>
                <w:color w:val="000000"/>
                <w:lang w:eastAsia="en-AU"/>
              </w:rPr>
              <w:t>Events and services arranged in respo</w:t>
            </w:r>
            <w:r>
              <w:rPr>
                <w:color w:val="000000"/>
                <w:lang w:eastAsia="en-AU"/>
              </w:rPr>
              <w:t>nse to requests by the Governor and the Premier</w:t>
            </w:r>
          </w:p>
        </w:tc>
        <w:tc>
          <w:tcPr>
            <w:tcW w:w="907" w:type="dxa"/>
            <w:noWrap/>
          </w:tcPr>
          <w:p w:rsidR="00A53D7D" w:rsidRPr="00503D60" w:rsidRDefault="00A53D7D" w:rsidP="005140B4">
            <w:pPr>
              <w:pStyle w:val="OGUoM"/>
              <w:rPr>
                <w:rFonts w:cs="Calibri"/>
                <w:lang w:eastAsia="en-AU"/>
              </w:rPr>
            </w:pPr>
            <w:r>
              <w:rPr>
                <w:rFonts w:cs="Calibri"/>
                <w:lang w:eastAsia="en-AU"/>
              </w:rPr>
              <w:t>per cent</w:t>
            </w:r>
          </w:p>
        </w:tc>
        <w:tc>
          <w:tcPr>
            <w:tcW w:w="907" w:type="dxa"/>
            <w:shd w:val="clear" w:color="auto" w:fill="D9D9D9"/>
            <w:noWrap/>
          </w:tcPr>
          <w:p w:rsidR="00A53D7D" w:rsidRPr="00503D60" w:rsidRDefault="00A53D7D" w:rsidP="005140B4">
            <w:pPr>
              <w:pStyle w:val="OGTableofFigures"/>
              <w:rPr>
                <w:rFonts w:cs="Calibri"/>
                <w:lang w:eastAsia="en-AU"/>
              </w:rPr>
            </w:pPr>
            <w:r>
              <w:rPr>
                <w:rFonts w:cs="Calibri"/>
                <w:lang w:eastAsia="en-AU"/>
              </w:rPr>
              <w:t>100</w:t>
            </w:r>
          </w:p>
        </w:tc>
        <w:tc>
          <w:tcPr>
            <w:tcW w:w="993" w:type="dxa"/>
            <w:noWrap/>
          </w:tcPr>
          <w:p w:rsidR="00A53D7D" w:rsidRPr="00503D60" w:rsidRDefault="00A53D7D" w:rsidP="005140B4">
            <w:pPr>
              <w:pStyle w:val="OGTableofFigures"/>
              <w:rPr>
                <w:rFonts w:cs="Calibri"/>
                <w:lang w:eastAsia="en-AU"/>
              </w:rPr>
            </w:pPr>
            <w:r>
              <w:rPr>
                <w:rFonts w:cs="Calibri"/>
                <w:lang w:eastAsia="en-AU"/>
              </w:rPr>
              <w:t>100</w:t>
            </w:r>
          </w:p>
        </w:tc>
        <w:tc>
          <w:tcPr>
            <w:tcW w:w="907" w:type="dxa"/>
            <w:noWrap/>
          </w:tcPr>
          <w:p w:rsidR="00A53D7D" w:rsidRPr="00503D60" w:rsidRDefault="00A53D7D" w:rsidP="005140B4">
            <w:pPr>
              <w:pStyle w:val="OGTableofFigures"/>
              <w:rPr>
                <w:rFonts w:cs="Calibri"/>
                <w:lang w:eastAsia="en-AU"/>
              </w:rPr>
            </w:pPr>
            <w:r>
              <w:rPr>
                <w:rFonts w:cs="Calibri"/>
                <w:lang w:eastAsia="en-AU"/>
              </w:rPr>
              <w:t>100</w:t>
            </w:r>
          </w:p>
        </w:tc>
        <w:tc>
          <w:tcPr>
            <w:tcW w:w="907" w:type="dxa"/>
            <w:noWrap/>
          </w:tcPr>
          <w:p w:rsidR="00A53D7D" w:rsidRPr="00503D60" w:rsidRDefault="00A53D7D" w:rsidP="005140B4">
            <w:pPr>
              <w:pStyle w:val="OGTableofFigures"/>
              <w:rPr>
                <w:rFonts w:cs="Calibri"/>
                <w:lang w:eastAsia="en-AU"/>
              </w:rPr>
            </w:pPr>
            <w:r>
              <w:rPr>
                <w:rFonts w:cs="Calibri"/>
                <w:lang w:eastAsia="en-AU"/>
              </w:rPr>
              <w:t>100</w:t>
            </w:r>
          </w:p>
        </w:tc>
      </w:tr>
      <w:tr w:rsidR="00A53D7D" w:rsidRPr="00503D60" w:rsidTr="005140B4">
        <w:trPr>
          <w:cantSplit/>
        </w:trPr>
        <w:tc>
          <w:tcPr>
            <w:tcW w:w="7776" w:type="dxa"/>
            <w:gridSpan w:val="6"/>
            <w:tcBorders>
              <w:bottom w:val="single" w:sz="6" w:space="0" w:color="auto"/>
            </w:tcBorders>
          </w:tcPr>
          <w:p w:rsidR="00A53D7D" w:rsidRDefault="00A53D7D" w:rsidP="005140B4">
            <w:pPr>
              <w:pStyle w:val="OGNotes"/>
              <w:rPr>
                <w:rFonts w:cs="Calibri"/>
              </w:rPr>
            </w:pPr>
            <w:r w:rsidRPr="00A61BA3">
              <w:t>This performance measure is proposed to be discontinued as it has been replaced by the 2014</w:t>
            </w:r>
            <w:r>
              <w:noBreakHyphen/>
            </w:r>
            <w:r w:rsidRPr="00A61BA3">
              <w:t xml:space="preserve">15 </w:t>
            </w:r>
            <w:r>
              <w:t xml:space="preserve">performance </w:t>
            </w:r>
            <w:r w:rsidRPr="00A61BA3">
              <w:t xml:space="preserve">measure </w:t>
            </w:r>
            <w:r>
              <w:t>‘</w:t>
            </w:r>
            <w:r w:rsidRPr="00A61BA3">
              <w:t>Events and services arranged in response to requests by the Governor</w:t>
            </w:r>
            <w:r>
              <w:t>’</w:t>
            </w:r>
            <w:r w:rsidRPr="00A61BA3">
              <w:t>.</w:t>
            </w:r>
            <w:r>
              <w:t xml:space="preserve"> Discontinuing this measure aligns with the measurement approach in Question 11(a) of PAEC’s 2012</w:t>
            </w:r>
            <w:r>
              <w:noBreakHyphen/>
              <w:t>13 Financial and Performance Outcomes – Entity</w:t>
            </w:r>
            <w:r>
              <w:noBreakHyphen/>
              <w:t>Specific Questionnaire.</w:t>
            </w:r>
          </w:p>
        </w:tc>
      </w:tr>
      <w:tr w:rsidR="00A53D7D" w:rsidRPr="00503D60" w:rsidTr="005140B4">
        <w:trPr>
          <w:cantSplit/>
        </w:trPr>
        <w:tc>
          <w:tcPr>
            <w:tcW w:w="7776" w:type="dxa"/>
            <w:gridSpan w:val="6"/>
            <w:tcBorders>
              <w:top w:val="single" w:sz="6" w:space="0" w:color="auto"/>
              <w:bottom w:val="single" w:sz="6" w:space="0" w:color="auto"/>
            </w:tcBorders>
          </w:tcPr>
          <w:p w:rsidR="00A53D7D" w:rsidRDefault="00A53D7D" w:rsidP="005140B4">
            <w:pPr>
              <w:pStyle w:val="OGHeading2"/>
              <w:rPr>
                <w:rFonts w:cs="Calibri"/>
                <w:lang w:eastAsia="en-AU"/>
              </w:rPr>
            </w:pPr>
            <w:r>
              <w:t>Ombudsman services</w:t>
            </w:r>
          </w:p>
        </w:tc>
      </w:tr>
      <w:tr w:rsidR="00A53D7D" w:rsidRPr="00F93FD4" w:rsidTr="005140B4">
        <w:trPr>
          <w:cantSplit/>
        </w:trPr>
        <w:tc>
          <w:tcPr>
            <w:tcW w:w="3155" w:type="dxa"/>
            <w:tcBorders>
              <w:top w:val="single" w:sz="6" w:space="0" w:color="auto"/>
            </w:tcBorders>
          </w:tcPr>
          <w:p w:rsidR="00A53D7D" w:rsidRPr="00F93FD4" w:rsidRDefault="00A53D7D" w:rsidP="005140B4">
            <w:pPr>
              <w:pStyle w:val="OGTabHead"/>
            </w:pPr>
            <w:r w:rsidRPr="00F93FD4">
              <w:t>Quantity</w:t>
            </w:r>
          </w:p>
        </w:tc>
        <w:tc>
          <w:tcPr>
            <w:tcW w:w="907" w:type="dxa"/>
            <w:tcBorders>
              <w:top w:val="single" w:sz="6" w:space="0" w:color="auto"/>
            </w:tcBorders>
            <w:noWrap/>
          </w:tcPr>
          <w:p w:rsidR="00A53D7D" w:rsidRPr="00F93FD4" w:rsidRDefault="00A53D7D" w:rsidP="005140B4">
            <w:pPr>
              <w:pStyle w:val="OGUoM"/>
            </w:pPr>
          </w:p>
        </w:tc>
        <w:tc>
          <w:tcPr>
            <w:tcW w:w="907" w:type="dxa"/>
            <w:tcBorders>
              <w:top w:val="single" w:sz="6" w:space="0" w:color="auto"/>
            </w:tcBorders>
            <w:shd w:val="clear" w:color="auto" w:fill="D9D9D9"/>
            <w:noWrap/>
          </w:tcPr>
          <w:p w:rsidR="00A53D7D" w:rsidRPr="00F93FD4" w:rsidRDefault="00A53D7D" w:rsidP="005140B4">
            <w:pPr>
              <w:pStyle w:val="OGTableofFigures"/>
            </w:pPr>
          </w:p>
        </w:tc>
        <w:tc>
          <w:tcPr>
            <w:tcW w:w="993"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r>
      <w:tr w:rsidR="00A53D7D" w:rsidRPr="00F93FD4" w:rsidTr="005140B4">
        <w:trPr>
          <w:cantSplit/>
        </w:trPr>
        <w:tc>
          <w:tcPr>
            <w:tcW w:w="3155" w:type="dxa"/>
          </w:tcPr>
          <w:p w:rsidR="00A53D7D" w:rsidRPr="00F93FD4" w:rsidRDefault="00A53D7D" w:rsidP="005140B4">
            <w:pPr>
              <w:pStyle w:val="OGTabText"/>
            </w:pPr>
            <w:r w:rsidRPr="00252087">
              <w:t>Initiatives delivered under the Outreach program</w:t>
            </w:r>
          </w:p>
        </w:tc>
        <w:tc>
          <w:tcPr>
            <w:tcW w:w="907" w:type="dxa"/>
            <w:noWrap/>
          </w:tcPr>
          <w:p w:rsidR="00A53D7D" w:rsidRPr="00F93FD4" w:rsidRDefault="00A53D7D" w:rsidP="005140B4">
            <w:pPr>
              <w:pStyle w:val="OGUoM"/>
            </w:pPr>
            <w:r>
              <w:t>number</w:t>
            </w:r>
          </w:p>
        </w:tc>
        <w:tc>
          <w:tcPr>
            <w:tcW w:w="907" w:type="dxa"/>
            <w:shd w:val="clear" w:color="auto" w:fill="D9D9D9"/>
            <w:noWrap/>
          </w:tcPr>
          <w:p w:rsidR="00A53D7D" w:rsidRPr="00F93FD4" w:rsidRDefault="00A53D7D" w:rsidP="005140B4">
            <w:pPr>
              <w:pStyle w:val="OGTableofFigures"/>
            </w:pPr>
            <w:r>
              <w:t>25</w:t>
            </w:r>
          </w:p>
        </w:tc>
        <w:tc>
          <w:tcPr>
            <w:tcW w:w="993" w:type="dxa"/>
            <w:noWrap/>
          </w:tcPr>
          <w:p w:rsidR="00A53D7D" w:rsidRPr="00F93FD4" w:rsidRDefault="00A53D7D" w:rsidP="005140B4">
            <w:pPr>
              <w:pStyle w:val="OGTableofFigures"/>
            </w:pPr>
            <w:r>
              <w:t>45</w:t>
            </w:r>
          </w:p>
        </w:tc>
        <w:tc>
          <w:tcPr>
            <w:tcW w:w="907" w:type="dxa"/>
            <w:noWrap/>
          </w:tcPr>
          <w:p w:rsidR="00A53D7D" w:rsidRPr="00F93FD4" w:rsidRDefault="00A53D7D" w:rsidP="005140B4">
            <w:pPr>
              <w:pStyle w:val="OGTableofFigures"/>
            </w:pPr>
            <w:r>
              <w:t>115</w:t>
            </w:r>
          </w:p>
        </w:tc>
        <w:tc>
          <w:tcPr>
            <w:tcW w:w="907" w:type="dxa"/>
            <w:noWrap/>
          </w:tcPr>
          <w:p w:rsidR="00A53D7D" w:rsidRPr="00F93FD4" w:rsidRDefault="00A53D7D" w:rsidP="005140B4">
            <w:pPr>
              <w:pStyle w:val="OGTableofFigures"/>
            </w:pPr>
            <w:r>
              <w:t>113</w:t>
            </w:r>
          </w:p>
        </w:tc>
      </w:tr>
      <w:tr w:rsidR="00A53D7D" w:rsidRPr="00F93FD4" w:rsidTr="005140B4">
        <w:trPr>
          <w:cantSplit/>
        </w:trPr>
        <w:tc>
          <w:tcPr>
            <w:tcW w:w="7776" w:type="dxa"/>
            <w:gridSpan w:val="6"/>
            <w:tcBorders>
              <w:bottom w:val="single" w:sz="6" w:space="0" w:color="auto"/>
            </w:tcBorders>
          </w:tcPr>
          <w:p w:rsidR="00A53D7D" w:rsidRPr="00190D26" w:rsidRDefault="00A53D7D" w:rsidP="005140B4">
            <w:pPr>
              <w:pStyle w:val="OGNotes"/>
            </w:pPr>
            <w:r w:rsidRPr="00190D26">
              <w:t>This performance measure is proposed to be discontinued as it is no longer relevant. It is neither funded nor a statutory function of the Ombudsman. The Ombudsman will continue to undertake educational activities where they complement the performance of his statutory functions.</w:t>
            </w:r>
          </w:p>
          <w:p w:rsidR="00A53D7D" w:rsidRDefault="00A53D7D" w:rsidP="005140B4">
            <w:pPr>
              <w:pStyle w:val="OGNotes"/>
            </w:pPr>
            <w:r w:rsidRPr="00190D26">
              <w:t>The 2013</w:t>
            </w:r>
            <w:r>
              <w:noBreakHyphen/>
            </w:r>
            <w:r w:rsidRPr="00190D26">
              <w:t xml:space="preserve">14 </w:t>
            </w:r>
            <w:r>
              <w:t>expected outcome</w:t>
            </w:r>
            <w:r w:rsidRPr="00190D26">
              <w:t xml:space="preserve"> is lower than the 2013</w:t>
            </w:r>
            <w:r>
              <w:noBreakHyphen/>
            </w:r>
            <w:r w:rsidRPr="00190D26">
              <w:t xml:space="preserve">14 </w:t>
            </w:r>
            <w:r>
              <w:t>target</w:t>
            </w:r>
            <w:r w:rsidRPr="00190D26">
              <w:t xml:space="preserve"> as in September 2013, the Ombudsman commenced a new outreach program which differs from previous years. The number of initiatives is significantly less than the 2013</w:t>
            </w:r>
            <w:r>
              <w:noBreakHyphen/>
            </w:r>
            <w:r w:rsidRPr="00190D26">
              <w:t>14 target of 115 initially set in early 2013, but is more focused and targeted to promote access to the Ombudsman's services. The 2014</w:t>
            </w:r>
            <w:r>
              <w:noBreakHyphen/>
            </w:r>
            <w:r w:rsidRPr="00190D26">
              <w:t xml:space="preserve">15 </w:t>
            </w:r>
            <w:r>
              <w:t>target</w:t>
            </w:r>
            <w:r w:rsidRPr="00190D26">
              <w:t xml:space="preserve"> has been revised downwards to reflect this.</w:t>
            </w:r>
          </w:p>
        </w:tc>
      </w:tr>
      <w:tr w:rsidR="00A53D7D" w:rsidRPr="00F93FD4" w:rsidTr="005140B4">
        <w:trPr>
          <w:cantSplit/>
        </w:trPr>
        <w:tc>
          <w:tcPr>
            <w:tcW w:w="3155" w:type="dxa"/>
            <w:tcBorders>
              <w:top w:val="single" w:sz="6" w:space="0" w:color="auto"/>
            </w:tcBorders>
          </w:tcPr>
          <w:p w:rsidR="00A53D7D" w:rsidRPr="00252087" w:rsidRDefault="00A53D7D" w:rsidP="005140B4">
            <w:pPr>
              <w:pStyle w:val="OGTabText"/>
            </w:pPr>
            <w:r w:rsidRPr="00D84140">
              <w:t>Internal reviews of complaint investigations conducted at the request of the complainant</w:t>
            </w:r>
          </w:p>
        </w:tc>
        <w:tc>
          <w:tcPr>
            <w:tcW w:w="907" w:type="dxa"/>
            <w:tcBorders>
              <w:top w:val="single" w:sz="6" w:space="0" w:color="auto"/>
            </w:tcBorders>
            <w:noWrap/>
          </w:tcPr>
          <w:p w:rsidR="00A53D7D" w:rsidRDefault="00A53D7D" w:rsidP="005140B4">
            <w:pPr>
              <w:pStyle w:val="OGUoM"/>
            </w:pPr>
            <w:r>
              <w:t>number</w:t>
            </w:r>
          </w:p>
        </w:tc>
        <w:tc>
          <w:tcPr>
            <w:tcW w:w="907" w:type="dxa"/>
            <w:tcBorders>
              <w:top w:val="single" w:sz="6" w:space="0" w:color="auto"/>
            </w:tcBorders>
            <w:shd w:val="clear" w:color="auto" w:fill="D9D9D9"/>
            <w:noWrap/>
          </w:tcPr>
          <w:p w:rsidR="00A53D7D" w:rsidRDefault="00A53D7D" w:rsidP="005140B4">
            <w:pPr>
              <w:pStyle w:val="OGTableofFigures"/>
            </w:pPr>
            <w:r w:rsidRPr="00D84140">
              <w:t>&lt; 70</w:t>
            </w:r>
          </w:p>
        </w:tc>
        <w:tc>
          <w:tcPr>
            <w:tcW w:w="993" w:type="dxa"/>
            <w:tcBorders>
              <w:top w:val="single" w:sz="6" w:space="0" w:color="auto"/>
            </w:tcBorders>
            <w:noWrap/>
          </w:tcPr>
          <w:p w:rsidR="00A53D7D" w:rsidRDefault="00A53D7D" w:rsidP="005140B4">
            <w:pPr>
              <w:pStyle w:val="OGTableofFigures"/>
            </w:pPr>
            <w:r>
              <w:t>35</w:t>
            </w:r>
          </w:p>
        </w:tc>
        <w:tc>
          <w:tcPr>
            <w:tcW w:w="907" w:type="dxa"/>
            <w:tcBorders>
              <w:top w:val="single" w:sz="6" w:space="0" w:color="auto"/>
            </w:tcBorders>
            <w:noWrap/>
          </w:tcPr>
          <w:p w:rsidR="00A53D7D" w:rsidRDefault="00A53D7D" w:rsidP="005140B4">
            <w:pPr>
              <w:pStyle w:val="OGTableofFigures"/>
            </w:pPr>
            <w:r w:rsidRPr="00D84140">
              <w:t>&lt; 70</w:t>
            </w:r>
          </w:p>
        </w:tc>
        <w:tc>
          <w:tcPr>
            <w:tcW w:w="907" w:type="dxa"/>
            <w:tcBorders>
              <w:top w:val="single" w:sz="6" w:space="0" w:color="auto"/>
            </w:tcBorders>
            <w:noWrap/>
          </w:tcPr>
          <w:p w:rsidR="00A53D7D" w:rsidRDefault="00A53D7D" w:rsidP="005140B4">
            <w:pPr>
              <w:pStyle w:val="OGTableofFigures"/>
            </w:pPr>
            <w:r>
              <w:t>28</w:t>
            </w:r>
          </w:p>
        </w:tc>
      </w:tr>
      <w:tr w:rsidR="00A53D7D" w:rsidRPr="00F93FD4" w:rsidTr="005140B4">
        <w:trPr>
          <w:cantSplit/>
        </w:trPr>
        <w:tc>
          <w:tcPr>
            <w:tcW w:w="7776" w:type="dxa"/>
            <w:gridSpan w:val="6"/>
            <w:tcBorders>
              <w:bottom w:val="single" w:sz="6" w:space="0" w:color="auto"/>
            </w:tcBorders>
          </w:tcPr>
          <w:p w:rsidR="00A53D7D" w:rsidRDefault="00A53D7D" w:rsidP="005140B4">
            <w:pPr>
              <w:pStyle w:val="OGNotes"/>
            </w:pPr>
            <w:r w:rsidRPr="00D84140">
              <w:t>This performance measure is proposed to be discontinued as it has been replaced by the 2014</w:t>
            </w:r>
            <w:r>
              <w:noBreakHyphen/>
            </w:r>
            <w:r w:rsidRPr="00D84140">
              <w:t xml:space="preserve">15 </w:t>
            </w:r>
            <w:r>
              <w:t xml:space="preserve">performance </w:t>
            </w:r>
            <w:r w:rsidRPr="00D84140">
              <w:t xml:space="preserve">measure </w:t>
            </w:r>
            <w:r>
              <w:t>‘</w:t>
            </w:r>
            <w:r w:rsidRPr="00D84140">
              <w:t>Proportion of jurisdictional complaints where the original outcome is set aside by a review undertaken in accordance with the Ombudsman's internal review policy</w:t>
            </w:r>
            <w:r>
              <w:t>’</w:t>
            </w:r>
            <w:r w:rsidRPr="00D84140">
              <w:t>.</w:t>
            </w:r>
          </w:p>
        </w:tc>
      </w:tr>
      <w:tr w:rsidR="00A53D7D" w:rsidRPr="00F93FD4" w:rsidTr="005140B4">
        <w:trPr>
          <w:cantSplit/>
        </w:trPr>
        <w:tc>
          <w:tcPr>
            <w:tcW w:w="3155" w:type="dxa"/>
            <w:tcBorders>
              <w:top w:val="single" w:sz="6" w:space="0" w:color="auto"/>
            </w:tcBorders>
          </w:tcPr>
          <w:p w:rsidR="00A53D7D" w:rsidRPr="00F93FD4" w:rsidRDefault="00A53D7D" w:rsidP="005140B4">
            <w:pPr>
              <w:pStyle w:val="OGTabHead"/>
            </w:pPr>
            <w:r w:rsidRPr="00F93FD4">
              <w:t>Quality</w:t>
            </w:r>
          </w:p>
        </w:tc>
        <w:tc>
          <w:tcPr>
            <w:tcW w:w="907" w:type="dxa"/>
            <w:tcBorders>
              <w:top w:val="single" w:sz="6" w:space="0" w:color="auto"/>
            </w:tcBorders>
            <w:noWrap/>
          </w:tcPr>
          <w:p w:rsidR="00A53D7D" w:rsidRPr="00F93FD4" w:rsidRDefault="00A53D7D" w:rsidP="005140B4">
            <w:pPr>
              <w:pStyle w:val="OGUoM"/>
            </w:pPr>
          </w:p>
        </w:tc>
        <w:tc>
          <w:tcPr>
            <w:tcW w:w="907" w:type="dxa"/>
            <w:tcBorders>
              <w:top w:val="single" w:sz="6" w:space="0" w:color="auto"/>
            </w:tcBorders>
            <w:shd w:val="clear" w:color="auto" w:fill="D9D9D9"/>
            <w:noWrap/>
          </w:tcPr>
          <w:p w:rsidR="00A53D7D" w:rsidRPr="00F93FD4" w:rsidRDefault="00A53D7D" w:rsidP="005140B4">
            <w:pPr>
              <w:pStyle w:val="OGTableofFigures"/>
            </w:pPr>
          </w:p>
        </w:tc>
        <w:tc>
          <w:tcPr>
            <w:tcW w:w="993"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r>
      <w:tr w:rsidR="00A53D7D" w:rsidRPr="00F93FD4" w:rsidTr="005140B4">
        <w:trPr>
          <w:cantSplit/>
        </w:trPr>
        <w:tc>
          <w:tcPr>
            <w:tcW w:w="3155" w:type="dxa"/>
          </w:tcPr>
          <w:p w:rsidR="00A53D7D" w:rsidRPr="00F93FD4" w:rsidRDefault="00A53D7D" w:rsidP="005140B4">
            <w:pPr>
              <w:pStyle w:val="OGTabText"/>
            </w:pPr>
            <w:r w:rsidRPr="00D84140">
              <w:t>Proportion of complaint investigations reviewed at the request of complainants (by a fresh, senior investigator) where the original findings were found to be sound and well founded</w:t>
            </w:r>
          </w:p>
        </w:tc>
        <w:tc>
          <w:tcPr>
            <w:tcW w:w="907" w:type="dxa"/>
            <w:noWrap/>
          </w:tcPr>
          <w:p w:rsidR="00A53D7D" w:rsidRPr="00F93FD4" w:rsidRDefault="00A53D7D" w:rsidP="005140B4">
            <w:pPr>
              <w:pStyle w:val="OGUoM"/>
            </w:pPr>
            <w:r w:rsidRPr="00F93FD4">
              <w:t>per cent</w:t>
            </w:r>
          </w:p>
        </w:tc>
        <w:tc>
          <w:tcPr>
            <w:tcW w:w="907" w:type="dxa"/>
            <w:shd w:val="clear" w:color="auto" w:fill="D9D9D9"/>
            <w:noWrap/>
          </w:tcPr>
          <w:p w:rsidR="00A53D7D" w:rsidRPr="00F93FD4" w:rsidRDefault="00A53D7D" w:rsidP="005140B4">
            <w:pPr>
              <w:pStyle w:val="OGTableofFigures"/>
            </w:pPr>
            <w:r>
              <w:t>&gt; 80</w:t>
            </w:r>
          </w:p>
        </w:tc>
        <w:tc>
          <w:tcPr>
            <w:tcW w:w="993" w:type="dxa"/>
            <w:noWrap/>
          </w:tcPr>
          <w:p w:rsidR="00A53D7D" w:rsidRPr="00F93FD4" w:rsidRDefault="00A53D7D" w:rsidP="005140B4">
            <w:pPr>
              <w:pStyle w:val="OGTableofFigures"/>
            </w:pPr>
            <w:r>
              <w:t>87</w:t>
            </w:r>
          </w:p>
        </w:tc>
        <w:tc>
          <w:tcPr>
            <w:tcW w:w="907" w:type="dxa"/>
            <w:noWrap/>
          </w:tcPr>
          <w:p w:rsidR="00A53D7D" w:rsidRPr="00F93FD4" w:rsidRDefault="00A53D7D" w:rsidP="005140B4">
            <w:pPr>
              <w:pStyle w:val="OGTableofFigures"/>
            </w:pPr>
            <w:r>
              <w:t>80</w:t>
            </w:r>
          </w:p>
        </w:tc>
        <w:tc>
          <w:tcPr>
            <w:tcW w:w="907" w:type="dxa"/>
            <w:noWrap/>
          </w:tcPr>
          <w:p w:rsidR="00A53D7D" w:rsidRPr="00F93FD4" w:rsidRDefault="00A53D7D" w:rsidP="005140B4">
            <w:pPr>
              <w:pStyle w:val="OGTableofFigures"/>
            </w:pPr>
            <w:r>
              <w:t>93</w:t>
            </w:r>
          </w:p>
        </w:tc>
      </w:tr>
      <w:tr w:rsidR="00A53D7D" w:rsidRPr="00F93FD4" w:rsidTr="005140B4">
        <w:trPr>
          <w:cantSplit/>
        </w:trPr>
        <w:tc>
          <w:tcPr>
            <w:tcW w:w="7776" w:type="dxa"/>
            <w:gridSpan w:val="6"/>
            <w:tcBorders>
              <w:bottom w:val="single" w:sz="6" w:space="0" w:color="auto"/>
            </w:tcBorders>
          </w:tcPr>
          <w:p w:rsidR="00A53D7D" w:rsidRDefault="00A53D7D" w:rsidP="005140B4">
            <w:pPr>
              <w:pStyle w:val="OGNotes"/>
            </w:pPr>
            <w:r w:rsidRPr="00D84140">
              <w:t>This performance measure is proposed to be discontinued as it has been replaced by the 2014</w:t>
            </w:r>
            <w:r>
              <w:noBreakHyphen/>
            </w:r>
            <w:r w:rsidRPr="00D84140">
              <w:t xml:space="preserve">15 </w:t>
            </w:r>
            <w:r>
              <w:t xml:space="preserve">performance </w:t>
            </w:r>
            <w:r w:rsidRPr="00D84140">
              <w:t xml:space="preserve">measure </w:t>
            </w:r>
            <w:r>
              <w:t>‘</w:t>
            </w:r>
            <w:r w:rsidRPr="00D84140">
              <w:t>Proportion of jurisdictional complaints where the original outcome is set aside by a review undertaken in accordance with the Ombudsman's internal review policy</w:t>
            </w:r>
            <w:r>
              <w:t>’.</w:t>
            </w:r>
          </w:p>
          <w:p w:rsidR="00A53D7D" w:rsidRDefault="00A53D7D" w:rsidP="005140B4">
            <w:pPr>
              <w:pStyle w:val="OGNotes"/>
            </w:pPr>
            <w:r w:rsidRPr="00D84140">
              <w:t>The 2013</w:t>
            </w:r>
            <w:r>
              <w:noBreakHyphen/>
            </w:r>
            <w:r w:rsidRPr="00D84140">
              <w:t xml:space="preserve">14 </w:t>
            </w:r>
            <w:r>
              <w:t>expected outcome</w:t>
            </w:r>
            <w:r w:rsidRPr="00D84140">
              <w:t xml:space="preserve"> is higher than the 2013</w:t>
            </w:r>
            <w:r>
              <w:noBreakHyphen/>
            </w:r>
            <w:r w:rsidRPr="00D84140">
              <w:t xml:space="preserve">14 </w:t>
            </w:r>
            <w:r>
              <w:t>target</w:t>
            </w:r>
            <w:r w:rsidRPr="00D84140">
              <w:t xml:space="preserve"> as the Ombudsman's office puts much effort into ensuring that its complaint investigations are thorough and fair.</w:t>
            </w:r>
            <w:r>
              <w:t xml:space="preserve"> </w:t>
            </w:r>
            <w:r w:rsidRPr="00D84140">
              <w:t>The 2014</w:t>
            </w:r>
            <w:r>
              <w:noBreakHyphen/>
            </w:r>
            <w:r w:rsidRPr="00D84140">
              <w:t xml:space="preserve">15 </w:t>
            </w:r>
            <w:r>
              <w:t>target</w:t>
            </w:r>
            <w:r w:rsidRPr="00D84140">
              <w:t xml:space="preserve"> has been amended to reflect that a high result against this performance measure is a positive outcome.</w:t>
            </w:r>
          </w:p>
        </w:tc>
      </w:tr>
      <w:tr w:rsidR="00A53D7D" w:rsidRPr="00F93FD4" w:rsidTr="005140B4">
        <w:trPr>
          <w:cantSplit/>
        </w:trPr>
        <w:tc>
          <w:tcPr>
            <w:tcW w:w="3155" w:type="dxa"/>
            <w:tcBorders>
              <w:top w:val="single" w:sz="6" w:space="0" w:color="auto"/>
            </w:tcBorders>
          </w:tcPr>
          <w:p w:rsidR="00A53D7D" w:rsidRPr="00F93FD4" w:rsidRDefault="00A53D7D" w:rsidP="005140B4">
            <w:pPr>
              <w:pStyle w:val="OGTabText"/>
              <w:keepNext/>
            </w:pPr>
            <w:r w:rsidRPr="00D84140">
              <w:t>Recommendations made in reports tabled in Parliament which respondent agencies agreed to implement</w:t>
            </w:r>
          </w:p>
        </w:tc>
        <w:tc>
          <w:tcPr>
            <w:tcW w:w="907" w:type="dxa"/>
            <w:tcBorders>
              <w:top w:val="single" w:sz="6" w:space="0" w:color="auto"/>
            </w:tcBorders>
            <w:noWrap/>
          </w:tcPr>
          <w:p w:rsidR="00A53D7D" w:rsidRPr="00F93FD4" w:rsidRDefault="00A53D7D" w:rsidP="005140B4">
            <w:pPr>
              <w:pStyle w:val="OGUoM"/>
              <w:keepNext/>
            </w:pPr>
            <w:r>
              <w:t>per cent</w:t>
            </w:r>
          </w:p>
        </w:tc>
        <w:tc>
          <w:tcPr>
            <w:tcW w:w="907" w:type="dxa"/>
            <w:tcBorders>
              <w:top w:val="single" w:sz="6" w:space="0" w:color="auto"/>
            </w:tcBorders>
            <w:shd w:val="clear" w:color="auto" w:fill="D9D9D9"/>
            <w:noWrap/>
          </w:tcPr>
          <w:p w:rsidR="00A53D7D" w:rsidRPr="00F93FD4" w:rsidRDefault="00A53D7D" w:rsidP="005140B4">
            <w:pPr>
              <w:pStyle w:val="OGTableofFigures"/>
              <w:keepNext/>
            </w:pPr>
            <w:r>
              <w:t>90</w:t>
            </w:r>
          </w:p>
        </w:tc>
        <w:tc>
          <w:tcPr>
            <w:tcW w:w="993" w:type="dxa"/>
            <w:tcBorders>
              <w:top w:val="single" w:sz="6" w:space="0" w:color="auto"/>
            </w:tcBorders>
            <w:noWrap/>
          </w:tcPr>
          <w:p w:rsidR="00A53D7D" w:rsidRPr="00F93FD4" w:rsidRDefault="00A53D7D" w:rsidP="005140B4">
            <w:pPr>
              <w:pStyle w:val="OGTableofFigures"/>
              <w:keepNext/>
            </w:pPr>
            <w:r>
              <w:t>78</w:t>
            </w:r>
          </w:p>
        </w:tc>
        <w:tc>
          <w:tcPr>
            <w:tcW w:w="907" w:type="dxa"/>
            <w:tcBorders>
              <w:top w:val="single" w:sz="6" w:space="0" w:color="auto"/>
            </w:tcBorders>
            <w:noWrap/>
          </w:tcPr>
          <w:p w:rsidR="00A53D7D" w:rsidRPr="00F93FD4" w:rsidRDefault="00A53D7D" w:rsidP="005140B4">
            <w:pPr>
              <w:pStyle w:val="OGTableofFigures"/>
              <w:keepNext/>
            </w:pPr>
            <w:r>
              <w:t>90</w:t>
            </w:r>
          </w:p>
        </w:tc>
        <w:tc>
          <w:tcPr>
            <w:tcW w:w="907" w:type="dxa"/>
            <w:tcBorders>
              <w:top w:val="single" w:sz="6" w:space="0" w:color="auto"/>
            </w:tcBorders>
            <w:noWrap/>
          </w:tcPr>
          <w:p w:rsidR="00A53D7D" w:rsidRPr="00F93FD4" w:rsidRDefault="00A53D7D" w:rsidP="005140B4">
            <w:pPr>
              <w:pStyle w:val="OGTableofFigures"/>
              <w:keepNext/>
            </w:pPr>
            <w:r>
              <w:t>88</w:t>
            </w:r>
          </w:p>
        </w:tc>
      </w:tr>
      <w:tr w:rsidR="00A53D7D" w:rsidRPr="00F93FD4" w:rsidTr="005140B4">
        <w:trPr>
          <w:cantSplit/>
        </w:trPr>
        <w:tc>
          <w:tcPr>
            <w:tcW w:w="7776" w:type="dxa"/>
            <w:gridSpan w:val="6"/>
            <w:tcBorders>
              <w:bottom w:val="single" w:sz="6" w:space="0" w:color="auto"/>
            </w:tcBorders>
          </w:tcPr>
          <w:p w:rsidR="00A53D7D" w:rsidRDefault="00A53D7D" w:rsidP="005140B4">
            <w:pPr>
              <w:pStyle w:val="OGNotes"/>
            </w:pPr>
            <w:r w:rsidRPr="001C3D57">
              <w:t>This performance measure is proposed to be discontinued as it has been replaced by the 2014</w:t>
            </w:r>
            <w:r>
              <w:noBreakHyphen/>
            </w:r>
            <w:r w:rsidRPr="001C3D57">
              <w:t xml:space="preserve">15 </w:t>
            </w:r>
            <w:r>
              <w:t xml:space="preserve">performance </w:t>
            </w:r>
            <w:r w:rsidRPr="001C3D57">
              <w:t xml:space="preserve">measure </w:t>
            </w:r>
            <w:r>
              <w:t>‘</w:t>
            </w:r>
            <w:r w:rsidRPr="001C3D57">
              <w:t>Recommendations accepted by agencies upon completion of investigations</w:t>
            </w:r>
            <w:r>
              <w:t>’</w:t>
            </w:r>
            <w:r w:rsidRPr="001C3D57">
              <w:t>.</w:t>
            </w:r>
          </w:p>
          <w:p w:rsidR="00A53D7D" w:rsidRDefault="00A53D7D" w:rsidP="005140B4">
            <w:pPr>
              <w:pStyle w:val="OGNotes"/>
            </w:pPr>
            <w:r w:rsidRPr="001C3D57">
              <w:t>The 2013</w:t>
            </w:r>
            <w:r>
              <w:noBreakHyphen/>
            </w:r>
            <w:r w:rsidRPr="001C3D57">
              <w:t xml:space="preserve">14 </w:t>
            </w:r>
            <w:r>
              <w:t>expected outcome</w:t>
            </w:r>
            <w:r w:rsidRPr="001C3D57">
              <w:t xml:space="preserve"> is lower than the 2013</w:t>
            </w:r>
            <w:r>
              <w:noBreakHyphen/>
            </w:r>
            <w:r w:rsidRPr="001C3D57">
              <w:t xml:space="preserve">14 </w:t>
            </w:r>
            <w:r>
              <w:t>target</w:t>
            </w:r>
            <w:r w:rsidRPr="001C3D57">
              <w:t xml:space="preserve"> due to the Ombudsman not seeking responses to the recommendations </w:t>
            </w:r>
            <w:r>
              <w:t>made in his December 2013 report</w:t>
            </w:r>
            <w:r w:rsidRPr="001C3D57">
              <w:t xml:space="preserve"> </w:t>
            </w:r>
            <w:r>
              <w:t>‘</w:t>
            </w:r>
            <w:r w:rsidRPr="00853092">
              <w:t>A review of the governance of public sector boards in Victoria</w:t>
            </w:r>
            <w:r>
              <w:t>’ –</w:t>
            </w:r>
            <w:r w:rsidRPr="001C3D57">
              <w:t xml:space="preserve"> as these recommendations were made to all departments, Ministers and the Vict</w:t>
            </w:r>
            <w:r>
              <w:t xml:space="preserve">orian Government more broadly </w:t>
            </w:r>
            <w:r w:rsidRPr="001C3D57">
              <w:t>and were not counted as accepted. If these recommendations are excluded, the 2013</w:t>
            </w:r>
            <w:r>
              <w:noBreakHyphen/>
              <w:t>14 expected outcome would be 88 per cent</w:t>
            </w:r>
            <w:r w:rsidRPr="001C3D57">
              <w:t>.</w:t>
            </w:r>
          </w:p>
        </w:tc>
      </w:tr>
      <w:tr w:rsidR="00A53D7D" w:rsidRPr="00F93FD4" w:rsidTr="005140B4">
        <w:trPr>
          <w:cantSplit/>
        </w:trPr>
        <w:tc>
          <w:tcPr>
            <w:tcW w:w="7776" w:type="dxa"/>
            <w:gridSpan w:val="6"/>
            <w:tcBorders>
              <w:top w:val="single" w:sz="6" w:space="0" w:color="auto"/>
              <w:bottom w:val="single" w:sz="6" w:space="0" w:color="auto"/>
            </w:tcBorders>
          </w:tcPr>
          <w:p w:rsidR="00A53D7D" w:rsidRDefault="00A53D7D" w:rsidP="005140B4">
            <w:pPr>
              <w:pStyle w:val="OGHeading2"/>
            </w:pPr>
            <w:r w:rsidRPr="00974103">
              <w:rPr>
                <w:lang w:eastAsia="en-AU"/>
              </w:rPr>
              <w:t>State Services Authority</w:t>
            </w:r>
          </w:p>
        </w:tc>
      </w:tr>
      <w:tr w:rsidR="00A53D7D" w:rsidRPr="00F93FD4" w:rsidTr="005140B4">
        <w:trPr>
          <w:cantSplit/>
        </w:trPr>
        <w:tc>
          <w:tcPr>
            <w:tcW w:w="3155" w:type="dxa"/>
            <w:tcBorders>
              <w:top w:val="single" w:sz="6" w:space="0" w:color="auto"/>
            </w:tcBorders>
          </w:tcPr>
          <w:p w:rsidR="00A53D7D" w:rsidRPr="00F93FD4" w:rsidRDefault="00A53D7D" w:rsidP="005140B4">
            <w:pPr>
              <w:pStyle w:val="OGTabHead"/>
            </w:pPr>
            <w:r w:rsidRPr="00F93FD4">
              <w:t>Quantity</w:t>
            </w:r>
          </w:p>
        </w:tc>
        <w:tc>
          <w:tcPr>
            <w:tcW w:w="907" w:type="dxa"/>
            <w:tcBorders>
              <w:top w:val="single" w:sz="6" w:space="0" w:color="auto"/>
            </w:tcBorders>
            <w:noWrap/>
          </w:tcPr>
          <w:p w:rsidR="00A53D7D" w:rsidRPr="00F93FD4" w:rsidRDefault="00A53D7D" w:rsidP="005140B4">
            <w:pPr>
              <w:pStyle w:val="OGUoM"/>
            </w:pPr>
          </w:p>
        </w:tc>
        <w:tc>
          <w:tcPr>
            <w:tcW w:w="907" w:type="dxa"/>
            <w:tcBorders>
              <w:top w:val="single" w:sz="6" w:space="0" w:color="auto"/>
            </w:tcBorders>
            <w:shd w:val="clear" w:color="auto" w:fill="D9D9D9"/>
            <w:noWrap/>
          </w:tcPr>
          <w:p w:rsidR="00A53D7D" w:rsidRPr="00F93FD4" w:rsidRDefault="00A53D7D" w:rsidP="005140B4">
            <w:pPr>
              <w:pStyle w:val="OGTableofFigures"/>
            </w:pPr>
          </w:p>
        </w:tc>
        <w:tc>
          <w:tcPr>
            <w:tcW w:w="993"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c>
          <w:tcPr>
            <w:tcW w:w="907" w:type="dxa"/>
            <w:tcBorders>
              <w:top w:val="single" w:sz="6" w:space="0" w:color="auto"/>
            </w:tcBorders>
            <w:noWrap/>
          </w:tcPr>
          <w:p w:rsidR="00A53D7D" w:rsidRPr="00F93FD4" w:rsidRDefault="00A53D7D" w:rsidP="005140B4">
            <w:pPr>
              <w:pStyle w:val="OGTableofFigures"/>
            </w:pPr>
          </w:p>
        </w:tc>
      </w:tr>
      <w:tr w:rsidR="00A53D7D" w:rsidRPr="00F93FD4" w:rsidTr="005140B4">
        <w:trPr>
          <w:cantSplit/>
        </w:trPr>
        <w:tc>
          <w:tcPr>
            <w:tcW w:w="3155" w:type="dxa"/>
          </w:tcPr>
          <w:p w:rsidR="00A53D7D" w:rsidRPr="00D80DF8" w:rsidRDefault="00A53D7D" w:rsidP="005140B4">
            <w:pPr>
              <w:pStyle w:val="OGTabText"/>
            </w:pPr>
            <w:r w:rsidRPr="00D80DF8">
              <w:t>Formal events and activities delivered across the public sector that promote values and employment principles; effective workforce planning and development; good governance in public sector entities; and effectiveness in public administration</w:t>
            </w:r>
          </w:p>
        </w:tc>
        <w:tc>
          <w:tcPr>
            <w:tcW w:w="907" w:type="dxa"/>
            <w:noWrap/>
          </w:tcPr>
          <w:p w:rsidR="00A53D7D" w:rsidRPr="00D80DF8" w:rsidRDefault="00A53D7D" w:rsidP="005140B4">
            <w:pPr>
              <w:pStyle w:val="OGUoM"/>
            </w:pPr>
            <w:r>
              <w:t>n</w:t>
            </w:r>
            <w:r w:rsidRPr="00D80DF8">
              <w:t>umber</w:t>
            </w:r>
          </w:p>
        </w:tc>
        <w:tc>
          <w:tcPr>
            <w:tcW w:w="907" w:type="dxa"/>
            <w:shd w:val="clear" w:color="auto" w:fill="D9D9D9"/>
            <w:noWrap/>
          </w:tcPr>
          <w:p w:rsidR="00A53D7D" w:rsidRPr="00D80DF8" w:rsidRDefault="00A53D7D" w:rsidP="005140B4">
            <w:pPr>
              <w:pStyle w:val="OGTableofFigures"/>
            </w:pPr>
            <w:proofErr w:type="spellStart"/>
            <w:r w:rsidRPr="00D80DF8">
              <w:t>na</w:t>
            </w:r>
            <w:proofErr w:type="spellEnd"/>
          </w:p>
        </w:tc>
        <w:tc>
          <w:tcPr>
            <w:tcW w:w="993" w:type="dxa"/>
            <w:noWrap/>
          </w:tcPr>
          <w:p w:rsidR="00A53D7D" w:rsidRPr="00D80DF8" w:rsidRDefault="00A53D7D" w:rsidP="005140B4">
            <w:pPr>
              <w:pStyle w:val="OGTableofFigures"/>
            </w:pPr>
            <w:r w:rsidRPr="00D80DF8">
              <w:t>72</w:t>
            </w:r>
          </w:p>
        </w:tc>
        <w:tc>
          <w:tcPr>
            <w:tcW w:w="907" w:type="dxa"/>
            <w:noWrap/>
          </w:tcPr>
          <w:p w:rsidR="00A53D7D" w:rsidRPr="00D80DF8" w:rsidRDefault="00A53D7D" w:rsidP="005140B4">
            <w:pPr>
              <w:pStyle w:val="OGTableofFigures"/>
            </w:pPr>
            <w:r w:rsidRPr="00D80DF8">
              <w:t>50</w:t>
            </w:r>
          </w:p>
        </w:tc>
        <w:tc>
          <w:tcPr>
            <w:tcW w:w="907" w:type="dxa"/>
            <w:noWrap/>
          </w:tcPr>
          <w:p w:rsidR="00A53D7D" w:rsidRPr="00D80DF8" w:rsidRDefault="00A53D7D" w:rsidP="005140B4">
            <w:pPr>
              <w:pStyle w:val="OGTableofFigures"/>
            </w:pPr>
            <w:r w:rsidRPr="00D80DF8">
              <w:t>111</w:t>
            </w:r>
          </w:p>
        </w:tc>
      </w:tr>
      <w:tr w:rsidR="00A53D7D" w:rsidRPr="00F93FD4" w:rsidTr="005140B4">
        <w:trPr>
          <w:cantSplit/>
        </w:trPr>
        <w:tc>
          <w:tcPr>
            <w:tcW w:w="7776" w:type="dxa"/>
            <w:gridSpan w:val="6"/>
            <w:tcBorders>
              <w:bottom w:val="single" w:sz="6" w:space="0" w:color="auto"/>
            </w:tcBorders>
          </w:tcPr>
          <w:p w:rsidR="00A53D7D" w:rsidRDefault="00A53D7D" w:rsidP="005140B4">
            <w:pPr>
              <w:pStyle w:val="OGNotes"/>
            </w:pPr>
            <w:r w:rsidRPr="00D80DF8">
              <w:t>This performance measure is proposed to be discontinued as it is no longer relevant due to the establishment of the new Victorian Public Sector Commission (VPSC). The performance measures under the 2014</w:t>
            </w:r>
            <w:r>
              <w:noBreakHyphen/>
            </w:r>
            <w:r w:rsidRPr="00D80DF8">
              <w:t xml:space="preserve">15 output </w:t>
            </w:r>
            <w:r>
              <w:t>‘</w:t>
            </w:r>
            <w:r w:rsidRPr="002B0C1D">
              <w:t>Public Administration Advice and Support</w:t>
            </w:r>
            <w:r>
              <w:t>’</w:t>
            </w:r>
            <w:r w:rsidRPr="00D80DF8">
              <w:t xml:space="preserve"> better reflect the activities and objectives of the VPSC.</w:t>
            </w:r>
          </w:p>
          <w:p w:rsidR="00A53D7D" w:rsidRPr="00D80DF8" w:rsidRDefault="00A53D7D" w:rsidP="005140B4">
            <w:pPr>
              <w:pStyle w:val="OGNotes"/>
            </w:pPr>
            <w:r w:rsidRPr="00D80DF8">
              <w:t>The 2013</w:t>
            </w:r>
            <w:r>
              <w:noBreakHyphen/>
            </w:r>
            <w:r w:rsidRPr="00D80DF8">
              <w:t xml:space="preserve">14 </w:t>
            </w:r>
            <w:r>
              <w:t>expected outcome</w:t>
            </w:r>
            <w:r w:rsidRPr="00D80DF8">
              <w:t xml:space="preserve"> is higher than the 2013</w:t>
            </w:r>
            <w:r>
              <w:noBreakHyphen/>
            </w:r>
            <w:r w:rsidRPr="00D80DF8">
              <w:t xml:space="preserve">14 </w:t>
            </w:r>
            <w:r>
              <w:t>target</w:t>
            </w:r>
            <w:r w:rsidRPr="00D80DF8">
              <w:t xml:space="preserve"> as it reflects an increased interest in the People Matter Survey results that have been collected and collated by the SSA</w:t>
            </w:r>
            <w:r>
              <w:t xml:space="preserve">. </w:t>
            </w:r>
            <w:r w:rsidRPr="00D80DF8">
              <w:t>Requests for presentations on organisational data and benchmarking against similar size</w:t>
            </w:r>
            <w:r>
              <w:t>d</w:t>
            </w:r>
            <w:r w:rsidRPr="00D80DF8">
              <w:t xml:space="preserve"> organisations have increased compared to previous years.</w:t>
            </w:r>
          </w:p>
        </w:tc>
      </w:tr>
      <w:tr w:rsidR="00A53D7D" w:rsidRPr="00F93FD4" w:rsidTr="005140B4">
        <w:trPr>
          <w:cantSplit/>
        </w:trPr>
        <w:tc>
          <w:tcPr>
            <w:tcW w:w="3155" w:type="dxa"/>
            <w:tcBorders>
              <w:top w:val="single" w:sz="6" w:space="0" w:color="auto"/>
            </w:tcBorders>
          </w:tcPr>
          <w:p w:rsidR="00A53D7D" w:rsidRPr="00D80DF8" w:rsidRDefault="00A53D7D" w:rsidP="005140B4">
            <w:pPr>
              <w:pStyle w:val="OGTabText"/>
            </w:pPr>
            <w:r w:rsidRPr="00D80DF8">
              <w:t>Referred reviews aimed at improving service delivery, governance, and/or public administration efficiency and effectiveness completed</w:t>
            </w:r>
          </w:p>
        </w:tc>
        <w:tc>
          <w:tcPr>
            <w:tcW w:w="907" w:type="dxa"/>
            <w:tcBorders>
              <w:top w:val="single" w:sz="6" w:space="0" w:color="auto"/>
            </w:tcBorders>
            <w:noWrap/>
          </w:tcPr>
          <w:p w:rsidR="00A53D7D" w:rsidRPr="00D80DF8" w:rsidRDefault="00A53D7D" w:rsidP="005140B4">
            <w:pPr>
              <w:pStyle w:val="OGUoM"/>
            </w:pPr>
            <w:r>
              <w:t>n</w:t>
            </w:r>
            <w:r w:rsidRPr="00D80DF8">
              <w:t>umber</w:t>
            </w:r>
          </w:p>
        </w:tc>
        <w:tc>
          <w:tcPr>
            <w:tcW w:w="907" w:type="dxa"/>
            <w:tcBorders>
              <w:top w:val="single" w:sz="6" w:space="0" w:color="auto"/>
            </w:tcBorders>
            <w:shd w:val="clear" w:color="auto" w:fill="D9D9D9"/>
            <w:noWrap/>
          </w:tcPr>
          <w:p w:rsidR="00A53D7D" w:rsidRPr="00D80DF8" w:rsidRDefault="00A53D7D" w:rsidP="005140B4">
            <w:pPr>
              <w:pStyle w:val="OGTableofFigures"/>
            </w:pPr>
            <w:proofErr w:type="spellStart"/>
            <w:r w:rsidRPr="00D80DF8">
              <w:t>na</w:t>
            </w:r>
            <w:proofErr w:type="spellEnd"/>
          </w:p>
        </w:tc>
        <w:tc>
          <w:tcPr>
            <w:tcW w:w="993" w:type="dxa"/>
            <w:tcBorders>
              <w:top w:val="single" w:sz="6" w:space="0" w:color="auto"/>
            </w:tcBorders>
            <w:noWrap/>
          </w:tcPr>
          <w:p w:rsidR="00A53D7D" w:rsidRPr="00D80DF8" w:rsidRDefault="00A53D7D" w:rsidP="005140B4">
            <w:pPr>
              <w:pStyle w:val="OGTableofFigures"/>
            </w:pPr>
            <w:proofErr w:type="spellStart"/>
            <w:r w:rsidRPr="00D80DF8">
              <w:t>na</w:t>
            </w:r>
            <w:proofErr w:type="spellEnd"/>
          </w:p>
        </w:tc>
        <w:tc>
          <w:tcPr>
            <w:tcW w:w="907" w:type="dxa"/>
            <w:tcBorders>
              <w:top w:val="single" w:sz="6" w:space="0" w:color="auto"/>
            </w:tcBorders>
            <w:noWrap/>
          </w:tcPr>
          <w:p w:rsidR="00A53D7D" w:rsidRPr="00D80DF8" w:rsidRDefault="00A53D7D" w:rsidP="005140B4">
            <w:pPr>
              <w:pStyle w:val="OGTableofFigures"/>
            </w:pPr>
            <w:r>
              <w:t>10</w:t>
            </w:r>
          </w:p>
        </w:tc>
        <w:tc>
          <w:tcPr>
            <w:tcW w:w="907" w:type="dxa"/>
            <w:tcBorders>
              <w:top w:val="single" w:sz="6" w:space="0" w:color="auto"/>
            </w:tcBorders>
            <w:noWrap/>
          </w:tcPr>
          <w:p w:rsidR="00A53D7D" w:rsidRPr="00D80DF8" w:rsidRDefault="00A53D7D" w:rsidP="005140B4">
            <w:pPr>
              <w:pStyle w:val="OGTableofFigures"/>
            </w:pPr>
            <w:r>
              <w:t>10</w:t>
            </w:r>
          </w:p>
        </w:tc>
      </w:tr>
      <w:tr w:rsidR="00A53D7D" w:rsidRPr="00F93FD4" w:rsidTr="005140B4">
        <w:trPr>
          <w:cantSplit/>
        </w:trPr>
        <w:tc>
          <w:tcPr>
            <w:tcW w:w="7776" w:type="dxa"/>
            <w:gridSpan w:val="6"/>
            <w:tcBorders>
              <w:bottom w:val="single" w:sz="6" w:space="0" w:color="auto"/>
            </w:tcBorders>
          </w:tcPr>
          <w:p w:rsidR="00A53D7D" w:rsidRDefault="00A53D7D" w:rsidP="005140B4">
            <w:pPr>
              <w:pStyle w:val="OGNotes"/>
            </w:pPr>
            <w:r w:rsidRPr="00D80DF8">
              <w:t>This performance measure is proposed to be discontinued as it is no longer relevant due to the establishment of the new VPSC. The performance measures under the 2014</w:t>
            </w:r>
            <w:r>
              <w:noBreakHyphen/>
            </w:r>
            <w:r w:rsidRPr="00D80DF8">
              <w:t xml:space="preserve">15 output </w:t>
            </w:r>
            <w:r>
              <w:t>‘</w:t>
            </w:r>
            <w:r w:rsidRPr="00EC38C4">
              <w:t>Public Administration Advice and Support</w:t>
            </w:r>
            <w:r>
              <w:t>’</w:t>
            </w:r>
            <w:r w:rsidRPr="00D80DF8">
              <w:t xml:space="preserve"> better reflect the activities and objectives of the VPSC.</w:t>
            </w:r>
          </w:p>
        </w:tc>
      </w:tr>
      <w:tr w:rsidR="00A53D7D" w:rsidRPr="00F93FD4" w:rsidTr="005140B4">
        <w:trPr>
          <w:cantSplit/>
        </w:trPr>
        <w:tc>
          <w:tcPr>
            <w:tcW w:w="3155" w:type="dxa"/>
            <w:tcBorders>
              <w:top w:val="single" w:sz="6" w:space="0" w:color="auto"/>
            </w:tcBorders>
          </w:tcPr>
          <w:p w:rsidR="00A53D7D" w:rsidRPr="00D80DF8" w:rsidRDefault="00A53D7D" w:rsidP="005140B4">
            <w:pPr>
              <w:pStyle w:val="OGTabHead"/>
            </w:pPr>
            <w:r>
              <w:t>Quality</w:t>
            </w:r>
          </w:p>
        </w:tc>
        <w:tc>
          <w:tcPr>
            <w:tcW w:w="907" w:type="dxa"/>
            <w:tcBorders>
              <w:top w:val="single" w:sz="6" w:space="0" w:color="auto"/>
            </w:tcBorders>
            <w:noWrap/>
          </w:tcPr>
          <w:p w:rsidR="00A53D7D" w:rsidRPr="00F93FD4" w:rsidRDefault="00A53D7D" w:rsidP="005140B4">
            <w:pPr>
              <w:pStyle w:val="OGUoM"/>
            </w:pPr>
          </w:p>
        </w:tc>
        <w:tc>
          <w:tcPr>
            <w:tcW w:w="907" w:type="dxa"/>
            <w:tcBorders>
              <w:top w:val="single" w:sz="6" w:space="0" w:color="auto"/>
            </w:tcBorders>
            <w:shd w:val="clear" w:color="auto" w:fill="D9D9D9"/>
            <w:noWrap/>
          </w:tcPr>
          <w:p w:rsidR="00A53D7D" w:rsidRPr="00252087" w:rsidRDefault="00A53D7D" w:rsidP="005140B4">
            <w:pPr>
              <w:pStyle w:val="OGTableofFigures"/>
              <w:rPr>
                <w:i/>
              </w:rPr>
            </w:pPr>
          </w:p>
        </w:tc>
        <w:tc>
          <w:tcPr>
            <w:tcW w:w="993" w:type="dxa"/>
            <w:tcBorders>
              <w:top w:val="single" w:sz="6" w:space="0" w:color="auto"/>
            </w:tcBorders>
            <w:noWrap/>
          </w:tcPr>
          <w:p w:rsidR="00A53D7D" w:rsidRPr="00252087" w:rsidRDefault="00A53D7D" w:rsidP="005140B4">
            <w:pPr>
              <w:pStyle w:val="OGTableofFigures"/>
              <w:rPr>
                <w:i/>
              </w:rPr>
            </w:pPr>
          </w:p>
        </w:tc>
        <w:tc>
          <w:tcPr>
            <w:tcW w:w="907" w:type="dxa"/>
            <w:tcBorders>
              <w:top w:val="single" w:sz="6" w:space="0" w:color="auto"/>
            </w:tcBorders>
            <w:noWrap/>
          </w:tcPr>
          <w:p w:rsidR="00A53D7D" w:rsidRPr="00252087" w:rsidRDefault="00A53D7D" w:rsidP="005140B4">
            <w:pPr>
              <w:pStyle w:val="OGTableofFigures"/>
              <w:rPr>
                <w:i/>
              </w:rPr>
            </w:pPr>
          </w:p>
        </w:tc>
        <w:tc>
          <w:tcPr>
            <w:tcW w:w="907" w:type="dxa"/>
            <w:tcBorders>
              <w:top w:val="single" w:sz="6" w:space="0" w:color="auto"/>
            </w:tcBorders>
            <w:noWrap/>
          </w:tcPr>
          <w:p w:rsidR="00A53D7D" w:rsidRPr="00252087" w:rsidRDefault="00A53D7D" w:rsidP="005140B4">
            <w:pPr>
              <w:pStyle w:val="OGTableofFigures"/>
              <w:rPr>
                <w:i/>
              </w:rPr>
            </w:pPr>
          </w:p>
        </w:tc>
      </w:tr>
      <w:tr w:rsidR="00A53D7D" w:rsidRPr="00F93FD4" w:rsidTr="005140B4">
        <w:trPr>
          <w:cantSplit/>
        </w:trPr>
        <w:tc>
          <w:tcPr>
            <w:tcW w:w="3155" w:type="dxa"/>
          </w:tcPr>
          <w:p w:rsidR="00A53D7D" w:rsidRPr="00D80DF8" w:rsidRDefault="00A53D7D" w:rsidP="005140B4">
            <w:pPr>
              <w:pStyle w:val="OGTabText"/>
            </w:pPr>
            <w:r w:rsidRPr="00D80DF8">
              <w:t>Recommendations arising from reviews of actions (Section 64) implemented by the public service</w:t>
            </w:r>
          </w:p>
        </w:tc>
        <w:tc>
          <w:tcPr>
            <w:tcW w:w="907" w:type="dxa"/>
            <w:noWrap/>
          </w:tcPr>
          <w:p w:rsidR="00A53D7D" w:rsidRPr="00D80DF8" w:rsidRDefault="00A53D7D" w:rsidP="005140B4">
            <w:pPr>
              <w:pStyle w:val="OGUoM"/>
            </w:pPr>
            <w:r>
              <w:t>p</w:t>
            </w:r>
            <w:r w:rsidRPr="00D80DF8">
              <w:t xml:space="preserve">er </w:t>
            </w:r>
            <w:r>
              <w:t>c</w:t>
            </w:r>
            <w:r w:rsidRPr="00D80DF8">
              <w:t>ent</w:t>
            </w:r>
          </w:p>
        </w:tc>
        <w:tc>
          <w:tcPr>
            <w:tcW w:w="907" w:type="dxa"/>
            <w:shd w:val="clear" w:color="auto" w:fill="D9D9D9"/>
            <w:noWrap/>
          </w:tcPr>
          <w:p w:rsidR="00A53D7D" w:rsidRPr="00D80DF8" w:rsidRDefault="00A53D7D" w:rsidP="005140B4">
            <w:pPr>
              <w:pStyle w:val="OGTableofFigures"/>
            </w:pPr>
            <w:proofErr w:type="spellStart"/>
            <w:r w:rsidRPr="00D80DF8">
              <w:t>na</w:t>
            </w:r>
            <w:proofErr w:type="spellEnd"/>
          </w:p>
        </w:tc>
        <w:tc>
          <w:tcPr>
            <w:tcW w:w="993" w:type="dxa"/>
            <w:noWrap/>
          </w:tcPr>
          <w:p w:rsidR="00A53D7D" w:rsidRPr="00D80DF8" w:rsidRDefault="00A53D7D" w:rsidP="005140B4">
            <w:pPr>
              <w:pStyle w:val="OGTableofFigures"/>
            </w:pPr>
            <w:r w:rsidRPr="00D80DF8">
              <w:t>100</w:t>
            </w:r>
          </w:p>
        </w:tc>
        <w:tc>
          <w:tcPr>
            <w:tcW w:w="907" w:type="dxa"/>
            <w:noWrap/>
          </w:tcPr>
          <w:p w:rsidR="00A53D7D" w:rsidRPr="00D80DF8" w:rsidRDefault="00A53D7D" w:rsidP="005140B4">
            <w:pPr>
              <w:pStyle w:val="OGTableofFigures"/>
            </w:pPr>
            <w:r w:rsidRPr="00D80DF8">
              <w:t>100</w:t>
            </w:r>
          </w:p>
        </w:tc>
        <w:tc>
          <w:tcPr>
            <w:tcW w:w="907" w:type="dxa"/>
            <w:noWrap/>
          </w:tcPr>
          <w:p w:rsidR="00A53D7D" w:rsidRPr="00D80DF8" w:rsidRDefault="00A53D7D" w:rsidP="005140B4">
            <w:pPr>
              <w:pStyle w:val="OGTableofFigures"/>
            </w:pPr>
            <w:r w:rsidRPr="00D80DF8">
              <w:t>100</w:t>
            </w:r>
          </w:p>
        </w:tc>
      </w:tr>
      <w:tr w:rsidR="00A53D7D" w:rsidRPr="00F93FD4" w:rsidTr="005140B4">
        <w:trPr>
          <w:cantSplit/>
        </w:trPr>
        <w:tc>
          <w:tcPr>
            <w:tcW w:w="7776" w:type="dxa"/>
            <w:gridSpan w:val="6"/>
            <w:tcBorders>
              <w:bottom w:val="single" w:sz="6" w:space="0" w:color="auto"/>
            </w:tcBorders>
          </w:tcPr>
          <w:p w:rsidR="00A53D7D" w:rsidRPr="00D80DF8" w:rsidRDefault="00A53D7D" w:rsidP="005140B4">
            <w:pPr>
              <w:pStyle w:val="OGNotes"/>
            </w:pPr>
            <w:r w:rsidRPr="00D80DF8">
              <w:t xml:space="preserve">This performance measure is proposed to be discontinued as it is no longer relevant due to the establishment of the new </w:t>
            </w:r>
            <w:r>
              <w:t>VPSC</w:t>
            </w:r>
            <w:r w:rsidRPr="00D80DF8">
              <w:t>. The performance measures under the 2014</w:t>
            </w:r>
            <w:r>
              <w:noBreakHyphen/>
            </w:r>
            <w:r w:rsidRPr="00D80DF8">
              <w:t xml:space="preserve">15 output </w:t>
            </w:r>
            <w:r>
              <w:t>‘</w:t>
            </w:r>
            <w:r w:rsidRPr="00901BFD">
              <w:t>Public Administration Advice and Support</w:t>
            </w:r>
            <w:r>
              <w:t>’</w:t>
            </w:r>
            <w:r w:rsidRPr="00D80DF8">
              <w:t xml:space="preserve"> better reflect the activities and objectives of the VPSC.</w:t>
            </w:r>
          </w:p>
        </w:tc>
      </w:tr>
      <w:tr w:rsidR="00A53D7D" w:rsidRPr="00F93FD4" w:rsidTr="005140B4">
        <w:trPr>
          <w:cantSplit/>
        </w:trPr>
        <w:tc>
          <w:tcPr>
            <w:tcW w:w="3155" w:type="dxa"/>
            <w:tcBorders>
              <w:top w:val="single" w:sz="6" w:space="0" w:color="auto"/>
            </w:tcBorders>
          </w:tcPr>
          <w:p w:rsidR="00A53D7D" w:rsidRPr="00D80DF8" w:rsidRDefault="00A53D7D" w:rsidP="005140B4">
            <w:pPr>
              <w:pStyle w:val="OGTabHead"/>
            </w:pPr>
            <w:r>
              <w:t>Timeliness</w:t>
            </w:r>
          </w:p>
        </w:tc>
        <w:tc>
          <w:tcPr>
            <w:tcW w:w="907" w:type="dxa"/>
            <w:tcBorders>
              <w:top w:val="single" w:sz="6" w:space="0" w:color="auto"/>
            </w:tcBorders>
            <w:noWrap/>
          </w:tcPr>
          <w:p w:rsidR="00A53D7D" w:rsidRPr="00F93FD4" w:rsidRDefault="00A53D7D" w:rsidP="005140B4">
            <w:pPr>
              <w:pStyle w:val="OGUoM"/>
            </w:pPr>
          </w:p>
        </w:tc>
        <w:tc>
          <w:tcPr>
            <w:tcW w:w="907" w:type="dxa"/>
            <w:tcBorders>
              <w:top w:val="single" w:sz="6" w:space="0" w:color="auto"/>
            </w:tcBorders>
            <w:shd w:val="clear" w:color="auto" w:fill="D9D9D9"/>
            <w:noWrap/>
          </w:tcPr>
          <w:p w:rsidR="00A53D7D" w:rsidRPr="00252087" w:rsidRDefault="00A53D7D" w:rsidP="005140B4">
            <w:pPr>
              <w:pStyle w:val="OGTableofFigures"/>
              <w:rPr>
                <w:i/>
              </w:rPr>
            </w:pPr>
          </w:p>
        </w:tc>
        <w:tc>
          <w:tcPr>
            <w:tcW w:w="993" w:type="dxa"/>
            <w:tcBorders>
              <w:top w:val="single" w:sz="6" w:space="0" w:color="auto"/>
            </w:tcBorders>
            <w:noWrap/>
          </w:tcPr>
          <w:p w:rsidR="00A53D7D" w:rsidRPr="00252087" w:rsidRDefault="00A53D7D" w:rsidP="005140B4">
            <w:pPr>
              <w:pStyle w:val="OGTableofFigures"/>
              <w:rPr>
                <w:i/>
              </w:rPr>
            </w:pPr>
          </w:p>
        </w:tc>
        <w:tc>
          <w:tcPr>
            <w:tcW w:w="907" w:type="dxa"/>
            <w:tcBorders>
              <w:top w:val="single" w:sz="6" w:space="0" w:color="auto"/>
            </w:tcBorders>
            <w:noWrap/>
          </w:tcPr>
          <w:p w:rsidR="00A53D7D" w:rsidRPr="00252087" w:rsidRDefault="00A53D7D" w:rsidP="005140B4">
            <w:pPr>
              <w:pStyle w:val="OGTableofFigures"/>
              <w:rPr>
                <w:i/>
              </w:rPr>
            </w:pPr>
          </w:p>
        </w:tc>
        <w:tc>
          <w:tcPr>
            <w:tcW w:w="907" w:type="dxa"/>
            <w:tcBorders>
              <w:top w:val="single" w:sz="6" w:space="0" w:color="auto"/>
            </w:tcBorders>
            <w:noWrap/>
          </w:tcPr>
          <w:p w:rsidR="00A53D7D" w:rsidRPr="00252087" w:rsidRDefault="00A53D7D" w:rsidP="005140B4">
            <w:pPr>
              <w:pStyle w:val="OGTableofFigures"/>
              <w:rPr>
                <w:i/>
              </w:rPr>
            </w:pPr>
          </w:p>
        </w:tc>
      </w:tr>
      <w:tr w:rsidR="00A53D7D" w:rsidRPr="00F93FD4" w:rsidTr="00D418A8">
        <w:trPr>
          <w:cantSplit/>
        </w:trPr>
        <w:tc>
          <w:tcPr>
            <w:tcW w:w="3155" w:type="dxa"/>
          </w:tcPr>
          <w:p w:rsidR="00A53D7D" w:rsidRPr="00D80DF8" w:rsidRDefault="00A53D7D" w:rsidP="005140B4">
            <w:pPr>
              <w:pStyle w:val="OGTabText"/>
            </w:pPr>
            <w:r>
              <w:t>Referred reviews completed within agreed timelines</w:t>
            </w:r>
          </w:p>
        </w:tc>
        <w:tc>
          <w:tcPr>
            <w:tcW w:w="907" w:type="dxa"/>
            <w:noWrap/>
          </w:tcPr>
          <w:p w:rsidR="00A53D7D" w:rsidRDefault="00A53D7D" w:rsidP="005140B4">
            <w:pPr>
              <w:pStyle w:val="OGUoM"/>
            </w:pPr>
            <w:r>
              <w:t>per cent</w:t>
            </w:r>
          </w:p>
        </w:tc>
        <w:tc>
          <w:tcPr>
            <w:tcW w:w="907" w:type="dxa"/>
            <w:shd w:val="clear" w:color="auto" w:fill="D9D9D9"/>
            <w:noWrap/>
          </w:tcPr>
          <w:p w:rsidR="00A53D7D" w:rsidRPr="00D80DF8" w:rsidRDefault="00A53D7D" w:rsidP="005140B4">
            <w:pPr>
              <w:pStyle w:val="OGTableofFigures"/>
            </w:pPr>
            <w:proofErr w:type="spellStart"/>
            <w:r>
              <w:t>na</w:t>
            </w:r>
            <w:proofErr w:type="spellEnd"/>
          </w:p>
        </w:tc>
        <w:tc>
          <w:tcPr>
            <w:tcW w:w="993" w:type="dxa"/>
            <w:noWrap/>
          </w:tcPr>
          <w:p w:rsidR="00A53D7D" w:rsidRPr="00D80DF8" w:rsidRDefault="00A53D7D" w:rsidP="005140B4">
            <w:pPr>
              <w:pStyle w:val="OGTableofFigures"/>
            </w:pPr>
            <w:proofErr w:type="spellStart"/>
            <w:r>
              <w:t>na</w:t>
            </w:r>
            <w:proofErr w:type="spellEnd"/>
          </w:p>
        </w:tc>
        <w:tc>
          <w:tcPr>
            <w:tcW w:w="907" w:type="dxa"/>
            <w:noWrap/>
          </w:tcPr>
          <w:p w:rsidR="00A53D7D" w:rsidRPr="00D80DF8" w:rsidRDefault="00A53D7D" w:rsidP="005140B4">
            <w:pPr>
              <w:pStyle w:val="OGTableofFigures"/>
            </w:pPr>
            <w:r>
              <w:t>90</w:t>
            </w:r>
          </w:p>
        </w:tc>
        <w:tc>
          <w:tcPr>
            <w:tcW w:w="907" w:type="dxa"/>
            <w:noWrap/>
          </w:tcPr>
          <w:p w:rsidR="00A53D7D" w:rsidRPr="00D80DF8" w:rsidRDefault="00A53D7D" w:rsidP="005140B4">
            <w:pPr>
              <w:pStyle w:val="OGTableofFigures"/>
            </w:pPr>
            <w:r>
              <w:t>100</w:t>
            </w:r>
          </w:p>
        </w:tc>
      </w:tr>
      <w:tr w:rsidR="00A53D7D" w:rsidRPr="00F93FD4" w:rsidTr="00D418A8">
        <w:trPr>
          <w:cantSplit/>
        </w:trPr>
        <w:tc>
          <w:tcPr>
            <w:tcW w:w="7776" w:type="dxa"/>
            <w:gridSpan w:val="6"/>
            <w:tcBorders>
              <w:bottom w:val="single" w:sz="6" w:space="0" w:color="auto"/>
            </w:tcBorders>
          </w:tcPr>
          <w:p w:rsidR="00A53D7D" w:rsidRDefault="00A53D7D" w:rsidP="005140B4">
            <w:pPr>
              <w:pStyle w:val="OGNotes"/>
            </w:pPr>
            <w:r>
              <w:t xml:space="preserve">This performance measure is proposed to be </w:t>
            </w:r>
            <w:r w:rsidRPr="00D80DF8">
              <w:t>discontinued as it is no longer relevant due to the establishment of the new V</w:t>
            </w:r>
            <w:r>
              <w:t>ictorian Public Service Commission</w:t>
            </w:r>
            <w:r w:rsidRPr="00D80DF8">
              <w:t>. The performance measures under the 2014</w:t>
            </w:r>
            <w:r>
              <w:noBreakHyphen/>
            </w:r>
            <w:r w:rsidRPr="00D80DF8">
              <w:t xml:space="preserve">15 output </w:t>
            </w:r>
            <w:r>
              <w:t>‘</w:t>
            </w:r>
            <w:r w:rsidRPr="00D529F6">
              <w:t>Public Administration Advice and Support</w:t>
            </w:r>
            <w:r>
              <w:t>’</w:t>
            </w:r>
            <w:r w:rsidRPr="00D80DF8">
              <w:t xml:space="preserve"> better reflect the activities and objectives of the VPSC.</w:t>
            </w:r>
          </w:p>
        </w:tc>
      </w:tr>
      <w:tr w:rsidR="00A53D7D" w:rsidRPr="00F93FD4" w:rsidTr="00D418A8">
        <w:trPr>
          <w:cantSplit/>
        </w:trPr>
        <w:tc>
          <w:tcPr>
            <w:tcW w:w="3155" w:type="dxa"/>
            <w:tcBorders>
              <w:top w:val="single" w:sz="6" w:space="0" w:color="auto"/>
            </w:tcBorders>
          </w:tcPr>
          <w:p w:rsidR="00A53D7D" w:rsidRDefault="00A53D7D" w:rsidP="005140B4">
            <w:pPr>
              <w:pStyle w:val="OGTabHead"/>
            </w:pPr>
            <w:r>
              <w:t>Cost</w:t>
            </w:r>
          </w:p>
          <w:p w:rsidR="00A53D7D" w:rsidRPr="00D80DF8" w:rsidRDefault="00A53D7D" w:rsidP="005140B4">
            <w:pPr>
              <w:pStyle w:val="OGTabText"/>
            </w:pPr>
            <w:r>
              <w:t>Total output cost</w:t>
            </w:r>
          </w:p>
        </w:tc>
        <w:tc>
          <w:tcPr>
            <w:tcW w:w="907" w:type="dxa"/>
            <w:tcBorders>
              <w:top w:val="single" w:sz="6" w:space="0" w:color="auto"/>
            </w:tcBorders>
            <w:noWrap/>
          </w:tcPr>
          <w:p w:rsidR="00A53D7D" w:rsidRDefault="00A53D7D" w:rsidP="005140B4">
            <w:pPr>
              <w:pStyle w:val="OGUoM"/>
            </w:pPr>
          </w:p>
          <w:p w:rsidR="00A53D7D" w:rsidRPr="00D80DF8" w:rsidRDefault="00A53D7D" w:rsidP="005140B4">
            <w:pPr>
              <w:pStyle w:val="OGUoM"/>
            </w:pPr>
            <w:r>
              <w:t>$ million</w:t>
            </w:r>
          </w:p>
        </w:tc>
        <w:tc>
          <w:tcPr>
            <w:tcW w:w="907" w:type="dxa"/>
            <w:tcBorders>
              <w:top w:val="single" w:sz="6" w:space="0" w:color="auto"/>
            </w:tcBorders>
            <w:shd w:val="clear" w:color="auto" w:fill="D9D9D9"/>
            <w:noWrap/>
          </w:tcPr>
          <w:p w:rsidR="00A53D7D" w:rsidRDefault="00A53D7D" w:rsidP="005140B4">
            <w:pPr>
              <w:pStyle w:val="OGTableofFigures"/>
            </w:pPr>
          </w:p>
          <w:p w:rsidR="00A53D7D" w:rsidRPr="00D80DF8" w:rsidRDefault="00A53D7D" w:rsidP="005140B4">
            <w:pPr>
              <w:pStyle w:val="OGTableofFigures"/>
            </w:pPr>
            <w:proofErr w:type="spellStart"/>
            <w:r>
              <w:t>na</w:t>
            </w:r>
            <w:proofErr w:type="spellEnd"/>
          </w:p>
        </w:tc>
        <w:tc>
          <w:tcPr>
            <w:tcW w:w="993" w:type="dxa"/>
            <w:tcBorders>
              <w:top w:val="single" w:sz="6" w:space="0" w:color="auto"/>
            </w:tcBorders>
            <w:noWrap/>
          </w:tcPr>
          <w:p w:rsidR="00A53D7D" w:rsidRDefault="00A53D7D" w:rsidP="005140B4">
            <w:pPr>
              <w:pStyle w:val="OGTableofFigures"/>
            </w:pPr>
          </w:p>
          <w:p w:rsidR="00A53D7D" w:rsidRPr="00D80DF8" w:rsidRDefault="00A53D7D" w:rsidP="005140B4">
            <w:pPr>
              <w:pStyle w:val="OGTableofFigures"/>
            </w:pPr>
            <w:r>
              <w:t>7.3</w:t>
            </w:r>
          </w:p>
        </w:tc>
        <w:tc>
          <w:tcPr>
            <w:tcW w:w="907" w:type="dxa"/>
            <w:tcBorders>
              <w:top w:val="single" w:sz="6" w:space="0" w:color="auto"/>
            </w:tcBorders>
            <w:noWrap/>
          </w:tcPr>
          <w:p w:rsidR="00A53D7D" w:rsidRDefault="00A53D7D" w:rsidP="005140B4">
            <w:pPr>
              <w:pStyle w:val="OGTableofFigures"/>
            </w:pPr>
          </w:p>
          <w:p w:rsidR="00A53D7D" w:rsidRPr="00D80DF8" w:rsidRDefault="00A53D7D" w:rsidP="005140B4">
            <w:pPr>
              <w:pStyle w:val="OGTableofFigures"/>
            </w:pPr>
            <w:r>
              <w:t>6.7</w:t>
            </w:r>
          </w:p>
        </w:tc>
        <w:tc>
          <w:tcPr>
            <w:tcW w:w="907" w:type="dxa"/>
            <w:tcBorders>
              <w:top w:val="single" w:sz="6" w:space="0" w:color="auto"/>
            </w:tcBorders>
            <w:noWrap/>
          </w:tcPr>
          <w:p w:rsidR="00A53D7D" w:rsidRDefault="00A53D7D" w:rsidP="005140B4">
            <w:pPr>
              <w:pStyle w:val="OGTableofFigures"/>
            </w:pPr>
          </w:p>
          <w:p w:rsidR="00A53D7D" w:rsidRPr="00D80DF8" w:rsidRDefault="00A53D7D" w:rsidP="005140B4">
            <w:pPr>
              <w:pStyle w:val="OGTableofFigures"/>
            </w:pPr>
            <w:r>
              <w:t>9.4</w:t>
            </w:r>
          </w:p>
        </w:tc>
      </w:tr>
      <w:tr w:rsidR="00A53D7D" w:rsidRPr="00F93FD4" w:rsidTr="005140B4">
        <w:trPr>
          <w:cantSplit/>
        </w:trPr>
        <w:tc>
          <w:tcPr>
            <w:tcW w:w="7776" w:type="dxa"/>
            <w:gridSpan w:val="6"/>
            <w:tcBorders>
              <w:bottom w:val="single" w:sz="12" w:space="0" w:color="auto"/>
            </w:tcBorders>
          </w:tcPr>
          <w:p w:rsidR="00A53D7D" w:rsidRPr="00A919CA" w:rsidRDefault="00A53D7D" w:rsidP="005140B4">
            <w:pPr>
              <w:pStyle w:val="OGNotes"/>
              <w:tabs>
                <w:tab w:val="left" w:pos="825"/>
              </w:tabs>
              <w:spacing w:before="30"/>
            </w:pPr>
            <w:r w:rsidRPr="00A919CA">
              <w:t>This performance measure is proposed to be discontinued as it is no longer relevant due to the establishment of the new VPSC. The performance measures under the 2014</w:t>
            </w:r>
            <w:r>
              <w:noBreakHyphen/>
            </w:r>
            <w:r w:rsidRPr="00A919CA">
              <w:t xml:space="preserve">15 output </w:t>
            </w:r>
            <w:r>
              <w:t>‘</w:t>
            </w:r>
            <w:r w:rsidRPr="00A919CA">
              <w:t>Public Administration Advice and Support</w:t>
            </w:r>
            <w:r>
              <w:t>’</w:t>
            </w:r>
            <w:r w:rsidRPr="00A919CA">
              <w:t xml:space="preserve"> better reflect the activities and objectives of the VPSC.</w:t>
            </w:r>
          </w:p>
          <w:p w:rsidR="00A53D7D" w:rsidRPr="00D80DF8" w:rsidRDefault="00A53D7D" w:rsidP="005140B4">
            <w:pPr>
              <w:pStyle w:val="OGNotes"/>
            </w:pPr>
            <w:r w:rsidRPr="00A919CA">
              <w:t>The 2013</w:t>
            </w:r>
            <w:r>
              <w:noBreakHyphen/>
            </w:r>
            <w:r w:rsidRPr="00A919CA">
              <w:t xml:space="preserve">14 </w:t>
            </w:r>
            <w:r>
              <w:t>expected outcome</w:t>
            </w:r>
            <w:r w:rsidRPr="00A919CA">
              <w:t xml:space="preserve"> is higher than the 2013</w:t>
            </w:r>
            <w:r>
              <w:noBreakHyphen/>
            </w:r>
            <w:r w:rsidRPr="00A919CA">
              <w:t xml:space="preserve">14 </w:t>
            </w:r>
            <w:r>
              <w:t>target</w:t>
            </w:r>
            <w:r w:rsidRPr="00A919CA">
              <w:t xml:space="preserve"> due to a higher than anticipated carryover from 2012</w:t>
            </w:r>
            <w:r>
              <w:noBreakHyphen/>
            </w:r>
            <w:r w:rsidRPr="00A919CA">
              <w:t>13 to 2013</w:t>
            </w:r>
            <w:r>
              <w:noBreakHyphen/>
            </w:r>
            <w:r w:rsidRPr="00A919CA">
              <w:t>14.</w:t>
            </w:r>
          </w:p>
        </w:tc>
      </w:tr>
    </w:tbl>
    <w:p w:rsidR="00A53D7D" w:rsidRPr="00863726" w:rsidRDefault="00A53D7D" w:rsidP="005140B4">
      <w:pPr>
        <w:pStyle w:val="Source"/>
      </w:pPr>
      <w:r>
        <w:t>Source: Department of Premier and Cabinet</w:t>
      </w:r>
      <w:r>
        <w:fldChar w:fldCharType="begin"/>
      </w:r>
      <w:r>
        <w:instrText xml:space="preserve"> XE "</w:instrText>
      </w:r>
      <w:r w:rsidRPr="00D2032D">
        <w:instrText>Department of Premier and Cabinet:Output performance measures for review</w:instrText>
      </w:r>
      <w:r>
        <w:instrText xml:space="preserve">" \r "AppADPC" </w:instrText>
      </w:r>
      <w:r>
        <w:fldChar w:fldCharType="end"/>
      </w:r>
    </w:p>
    <w:bookmarkEnd w:id="176"/>
    <w:p w:rsidR="00A53D7D" w:rsidRDefault="00A53D7D" w:rsidP="005140B4"/>
    <w:p w:rsidR="00A53D7D" w:rsidRDefault="00A53D7D">
      <w:pPr>
        <w:spacing w:after="0"/>
        <w:rPr>
          <w:rFonts w:ascii="Calibri" w:hAnsi="Calibri"/>
          <w:b/>
          <w:caps/>
          <w:sz w:val="26"/>
          <w:szCs w:val="22"/>
        </w:rPr>
      </w:pPr>
      <w:r>
        <w:br w:type="page"/>
      </w:r>
    </w:p>
    <w:p w:rsidR="00A53D7D" w:rsidRPr="00204234" w:rsidRDefault="00A53D7D" w:rsidP="005140B4">
      <w:pPr>
        <w:pStyle w:val="Heading1"/>
      </w:pPr>
      <w:bookmarkStart w:id="178" w:name="_Toc386364089"/>
      <w:bookmarkStart w:id="179" w:name="_Toc386541234"/>
      <w:bookmarkStart w:id="180" w:name="AppADSDBI"/>
      <w:bookmarkStart w:id="181" w:name="_Toc407116926"/>
      <w:r>
        <w:t>Department of State Development, Business and Innovation</w:t>
      </w:r>
      <w:bookmarkEnd w:id="178"/>
      <w:bookmarkEnd w:id="179"/>
      <w:bookmarkEnd w:id="181"/>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noWrap/>
            <w:vAlign w:val="bottom"/>
            <w:hideMark/>
          </w:tcPr>
          <w:p w:rsidR="00A53D7D" w:rsidRPr="00FC11CE" w:rsidRDefault="00A53D7D" w:rsidP="005140B4">
            <w:pPr>
              <w:pStyle w:val="OGHeading2"/>
              <w:rPr>
                <w:lang w:eastAsia="en-AU"/>
              </w:rPr>
            </w:pPr>
            <w:r w:rsidRPr="00FC11CE">
              <w:rPr>
                <w:lang w:eastAsia="en-AU"/>
              </w:rPr>
              <w:t>Energy and Resources</w:t>
            </w:r>
          </w:p>
        </w:tc>
      </w:tr>
      <w:tr w:rsidR="00A53D7D" w:rsidRPr="00FC11CE" w:rsidTr="005140B4">
        <w:trPr>
          <w:cantSplit/>
        </w:trPr>
        <w:tc>
          <w:tcPr>
            <w:tcW w:w="3155"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Head"/>
              <w:rPr>
                <w:lang w:eastAsia="en-AU"/>
              </w:rPr>
            </w:pPr>
            <w:r w:rsidRPr="00FC11CE">
              <w:rPr>
                <w:lang w:eastAsia="en-AU"/>
              </w:rPr>
              <w:t>Quantity</w:t>
            </w:r>
          </w:p>
        </w:tc>
        <w:tc>
          <w:tcPr>
            <w:tcW w:w="907"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UoM"/>
              <w:rPr>
                <w:lang w:eastAsia="en-AU"/>
              </w:rPr>
            </w:pPr>
          </w:p>
        </w:tc>
        <w:tc>
          <w:tcPr>
            <w:tcW w:w="907" w:type="dxa"/>
            <w:tcBorders>
              <w:top w:val="single" w:sz="4" w:space="0" w:color="auto"/>
              <w:left w:val="nil"/>
              <w:bottom w:val="nil"/>
              <w:right w:val="nil"/>
            </w:tcBorders>
            <w:shd w:val="clear" w:color="auto" w:fill="D9D9D9"/>
            <w:noWrap/>
            <w:vAlign w:val="bottom"/>
            <w:hideMark/>
          </w:tcPr>
          <w:p w:rsidR="00A53D7D" w:rsidRPr="00FC11CE" w:rsidRDefault="00A53D7D" w:rsidP="005140B4">
            <w:pPr>
              <w:pStyle w:val="OGTableofFigures"/>
              <w:rPr>
                <w:lang w:eastAsia="en-AU"/>
              </w:rPr>
            </w:pPr>
          </w:p>
        </w:tc>
        <w:tc>
          <w:tcPr>
            <w:tcW w:w="993"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leofFigures"/>
              <w:rPr>
                <w:lang w:eastAsia="en-AU"/>
              </w:rPr>
            </w:pPr>
          </w:p>
        </w:tc>
        <w:tc>
          <w:tcPr>
            <w:tcW w:w="907"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leofFigures"/>
              <w:rPr>
                <w:lang w:eastAsia="en-AU"/>
              </w:rPr>
            </w:pPr>
          </w:p>
        </w:tc>
        <w:tc>
          <w:tcPr>
            <w:tcW w:w="907"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leofFigures"/>
              <w:rPr>
                <w:lang w:eastAsia="en-AU"/>
              </w:rPr>
            </w:pPr>
          </w:p>
        </w:tc>
      </w:tr>
      <w:tr w:rsidR="00A53D7D" w:rsidRPr="00FC11CE" w:rsidTr="005140B4">
        <w:trPr>
          <w:cantSplit/>
        </w:trPr>
        <w:tc>
          <w:tcPr>
            <w:tcW w:w="3155" w:type="dxa"/>
            <w:tcBorders>
              <w:top w:val="nil"/>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Audits completed at mineral and petroleum sites on specific high risk issues</w:t>
            </w:r>
          </w:p>
        </w:tc>
        <w:tc>
          <w:tcPr>
            <w:tcW w:w="907" w:type="dxa"/>
            <w:tcBorders>
              <w:top w:val="nil"/>
              <w:left w:val="nil"/>
              <w:right w:val="nil"/>
            </w:tcBorders>
            <w:shd w:val="clear" w:color="000000" w:fill="FFFFFF"/>
            <w:hideMark/>
          </w:tcPr>
          <w:p w:rsidR="00A53D7D" w:rsidRPr="00FC11CE" w:rsidRDefault="00A53D7D" w:rsidP="005140B4">
            <w:pPr>
              <w:pStyle w:val="OGUoM"/>
              <w:rPr>
                <w:lang w:eastAsia="en-AU"/>
              </w:rPr>
            </w:pPr>
            <w:r w:rsidRPr="00FC11CE">
              <w:rPr>
                <w:lang w:eastAsia="en-AU"/>
              </w:rPr>
              <w:t>number</w:t>
            </w:r>
          </w:p>
        </w:tc>
        <w:tc>
          <w:tcPr>
            <w:tcW w:w="907" w:type="dxa"/>
            <w:tcBorders>
              <w:top w:val="nil"/>
              <w:left w:val="nil"/>
              <w:right w:val="nil"/>
            </w:tcBorders>
            <w:shd w:val="clear" w:color="auto" w:fill="D9D9D9"/>
            <w:hideMark/>
          </w:tcPr>
          <w:p w:rsidR="00A53D7D" w:rsidRPr="00FC11CE" w:rsidRDefault="00A53D7D" w:rsidP="005140B4">
            <w:pPr>
              <w:pStyle w:val="OGTableofFigures"/>
              <w:rPr>
                <w:lang w:eastAsia="en-AU"/>
              </w:rPr>
            </w:pPr>
            <w:r>
              <w:rPr>
                <w:lang w:eastAsia="en-AU"/>
              </w:rPr>
              <w:t>100</w:t>
            </w:r>
          </w:p>
        </w:tc>
        <w:tc>
          <w:tcPr>
            <w:tcW w:w="993" w:type="dxa"/>
            <w:tcBorders>
              <w:top w:val="nil"/>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nil"/>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nil"/>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105</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Pr="00FC11CE" w:rsidRDefault="00A53D7D" w:rsidP="005140B4">
            <w:pPr>
              <w:pStyle w:val="OGNotes"/>
            </w:pPr>
            <w:r w:rsidRPr="00FC11CE">
              <w:t xml:space="preserve">This performance measure is proposed to be discontinued </w:t>
            </w:r>
            <w:r>
              <w:t>as it has been replaced by the 2014</w:t>
            </w:r>
            <w:r>
              <w:noBreakHyphen/>
              <w:t>15 performance measure</w:t>
            </w:r>
            <w:r w:rsidRPr="00FC11CE">
              <w:t xml:space="preserve"> 'Regulatory audits completed within agreed timelines'.</w:t>
            </w:r>
            <w:r>
              <w:t xml:space="preserve"> </w:t>
            </w:r>
            <w:r w:rsidRPr="00FC11CE">
              <w:t>The new measure will consolidate three existing measures relating to audit programs across mineral and petroleum sites concerning: environmental and compliance issues, high risk issues; and mine stability.</w:t>
            </w:r>
            <w:r>
              <w:t xml:space="preserve">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Delivery of stakeholder engagement information forums as part of the Clean Coal Victoria work program</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number</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Pr>
                <w:lang w:eastAsia="en-AU"/>
              </w:rPr>
              <w:t>15</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18</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15</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nm</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Default="00A53D7D" w:rsidP="005140B4">
            <w:pPr>
              <w:pStyle w:val="OGNotes"/>
            </w:pPr>
            <w:r w:rsidRPr="00FC11CE">
              <w:t>This performance measure is proposed to be renamed to '</w:t>
            </w:r>
            <w:r>
              <w:t>C</w:t>
            </w:r>
            <w:r w:rsidRPr="00FC11CE">
              <w:t xml:space="preserve">ommunity and stakeholder </w:t>
            </w:r>
            <w:r>
              <w:t>engagement information forums'.</w:t>
            </w:r>
            <w:r w:rsidRPr="00FC11CE">
              <w:t xml:space="preserve"> The measure is being expanded to encompass a range of information sessions to be held with the community and industry concerning developments in the broader energy and resources sector. </w:t>
            </w:r>
          </w:p>
          <w:p w:rsidR="00A53D7D" w:rsidRPr="00FC11CE" w:rsidRDefault="00A53D7D" w:rsidP="005140B4">
            <w:pPr>
              <w:pStyle w:val="OGNotes"/>
            </w:pPr>
            <w:r w:rsidRPr="00FC11CE">
              <w:t xml:space="preserve">The </w:t>
            </w:r>
            <w:r>
              <w:t>expected outcome</w:t>
            </w:r>
            <w:r w:rsidRPr="00FC11CE">
              <w:t xml:space="preserve"> for 2013</w:t>
            </w:r>
            <w:r>
              <w:noBreakHyphen/>
            </w:r>
            <w:r w:rsidRPr="00FC11CE">
              <w:t>14 exceeds the 2013</w:t>
            </w:r>
            <w:r>
              <w:noBreakHyphen/>
            </w:r>
            <w:r w:rsidRPr="00FC11CE">
              <w:t xml:space="preserve">14 </w:t>
            </w:r>
            <w:r>
              <w:t>target</w:t>
            </w:r>
            <w:r w:rsidRPr="00FC11CE">
              <w:t xml:space="preserve"> due to increased community engagement sessions in relation to onshore gas</w:t>
            </w:r>
            <w:r w:rsidRPr="008F2575">
              <w:rPr>
                <w:color w:val="FF0000"/>
              </w:rPr>
              <w:t xml:space="preserve">.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Earth resource information packages released to industry covering the promotion of new geological data and regulatory guidance material</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number</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Pr>
                <w:lang w:eastAsia="en-AU"/>
              </w:rPr>
              <w:t>8</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8</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8</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8</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Pr="00FC11CE" w:rsidRDefault="00A53D7D" w:rsidP="005140B4">
            <w:pPr>
              <w:pStyle w:val="OGNotes"/>
            </w:pPr>
            <w:r w:rsidRPr="00FC11CE">
              <w:t xml:space="preserve">This performance measure is proposed to be discontinued </w:t>
            </w:r>
            <w:r>
              <w:t>as it has been replaced by the 2014</w:t>
            </w:r>
            <w:r>
              <w:noBreakHyphen/>
              <w:t xml:space="preserve">15 performance measure </w:t>
            </w:r>
            <w:r w:rsidRPr="00FC11CE">
              <w:t xml:space="preserve">'Industry geoscience data packages released for minerals and petroleum sectors consistent with agreed timelines'. The new measure will replace two existing measures relating to geoscience data and earth resources information packages that have been measuring the same activity.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Environmental and compliance audits of critical minerals and petroleum sites completed</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number</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Pr>
                <w:lang w:eastAsia="en-AU"/>
              </w:rPr>
              <w:t>60</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60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60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62</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Pr="00FC11CE" w:rsidRDefault="00A53D7D" w:rsidP="005140B4">
            <w:pPr>
              <w:pStyle w:val="OGNotes"/>
            </w:pPr>
            <w:r w:rsidRPr="00FC11CE">
              <w:t xml:space="preserve">This performance measure is proposed to be discontinued </w:t>
            </w:r>
            <w:r>
              <w:t>as it has been replaced by the 2014</w:t>
            </w:r>
            <w:r>
              <w:noBreakHyphen/>
              <w:t>15 performance measure</w:t>
            </w:r>
            <w:r w:rsidRPr="00FC11CE">
              <w:t xml:space="preserve"> 'Regulatory audits completed within agreed timelines'. The new measure will consolidate three existing measures relating to audit programs across mineral and petroleum sites concerning: environmental and compliance issues, high risk issues and mine stability</w:t>
            </w:r>
            <w:r w:rsidRPr="00D76CFC">
              <w:t>.</w:t>
            </w:r>
            <w:r w:rsidRPr="008F2575">
              <w:rPr>
                <w:color w:val="FF0000"/>
              </w:rPr>
              <w:t xml:space="preserve">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Exercise strategies for maintaining security of electricity and gas supply</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number</w:t>
            </w:r>
          </w:p>
        </w:tc>
        <w:tc>
          <w:tcPr>
            <w:tcW w:w="907" w:type="dxa"/>
            <w:tcBorders>
              <w:top w:val="single" w:sz="4" w:space="0" w:color="auto"/>
              <w:left w:val="nil"/>
              <w:right w:val="nil"/>
            </w:tcBorders>
            <w:shd w:val="clear" w:color="auto" w:fill="D9D9D9"/>
            <w:hideMark/>
          </w:tcPr>
          <w:p w:rsidR="00A53D7D" w:rsidRPr="00D76CFC" w:rsidRDefault="00A53D7D" w:rsidP="005140B4">
            <w:pPr>
              <w:pStyle w:val="OGTableofFigures"/>
              <w:rPr>
                <w:lang w:eastAsia="en-AU"/>
              </w:rPr>
            </w:pPr>
            <w:r w:rsidRPr="00D76CFC">
              <w:rPr>
                <w:lang w:eastAsia="en-AU"/>
              </w:rPr>
              <w:t>4</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8</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4</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4</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Default="00A53D7D" w:rsidP="005140B4">
            <w:pPr>
              <w:pStyle w:val="OGNotes"/>
            </w:pPr>
            <w:r w:rsidRPr="00FC11CE">
              <w:t xml:space="preserve">This performance measure is proposed to be discontinued as </w:t>
            </w:r>
            <w:r>
              <w:t xml:space="preserve">it is no longer relevant because it reflects activity that is not influenced by the Department. </w:t>
            </w:r>
            <w:r w:rsidRPr="00FC11CE">
              <w:t>The number of exercises is determined by external agencies. The Department will continue to participate in the exercises.</w:t>
            </w:r>
          </w:p>
          <w:p w:rsidR="00A53D7D" w:rsidRPr="00FC11CE" w:rsidRDefault="00A53D7D" w:rsidP="005140B4">
            <w:pPr>
              <w:pStyle w:val="OGNotes"/>
            </w:pPr>
            <w:r w:rsidRPr="00FC11CE">
              <w:t>The 2013</w:t>
            </w:r>
            <w:r>
              <w:noBreakHyphen/>
            </w:r>
            <w:r w:rsidRPr="00FC11CE">
              <w:t xml:space="preserve">14 </w:t>
            </w:r>
            <w:r>
              <w:t>expected outcome</w:t>
            </w:r>
            <w:r w:rsidRPr="00FC11CE">
              <w:t xml:space="preserve"> is expected to exceed the 2013</w:t>
            </w:r>
            <w:r>
              <w:noBreakHyphen/>
            </w:r>
            <w:r w:rsidRPr="00FC11CE">
              <w:t xml:space="preserve">14 </w:t>
            </w:r>
            <w:r>
              <w:t>target</w:t>
            </w:r>
            <w:r w:rsidRPr="00FC11CE">
              <w:t xml:space="preserve"> due to additional exercises being scheduled in the lead up to summer. This is part of the ongoing emergency management exercises designed to review the security of supply for electricity and gas in the </w:t>
            </w:r>
            <w:r>
              <w:t>s</w:t>
            </w:r>
            <w:r w:rsidRPr="00FC11CE">
              <w:t xml:space="preserve">tate.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keepNext/>
              <w:rPr>
                <w:lang w:eastAsia="en-AU"/>
              </w:rPr>
            </w:pPr>
            <w:r w:rsidRPr="00FC11CE">
              <w:rPr>
                <w:lang w:eastAsia="en-AU"/>
              </w:rPr>
              <w:t>Major strategic policy briefings to government</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keepNext/>
              <w:rPr>
                <w:lang w:eastAsia="en-AU"/>
              </w:rPr>
            </w:pPr>
            <w:r w:rsidRPr="00FC11CE">
              <w:rPr>
                <w:lang w:eastAsia="en-AU"/>
              </w:rPr>
              <w:t>number</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keepNext/>
              <w:rPr>
                <w:lang w:eastAsia="en-AU"/>
              </w:rPr>
            </w:pPr>
            <w:r>
              <w:rPr>
                <w:lang w:eastAsia="en-AU"/>
              </w:rPr>
              <w:t>6</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keepNext/>
              <w:rPr>
                <w:lang w:eastAsia="en-AU"/>
              </w:rPr>
            </w:pPr>
            <w:r w:rsidRPr="00FC11CE">
              <w:rPr>
                <w:lang w:eastAsia="en-AU"/>
              </w:rPr>
              <w:t>6</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keepNext/>
              <w:rPr>
                <w:lang w:eastAsia="en-AU"/>
              </w:rPr>
            </w:pPr>
            <w:r w:rsidRPr="00FC11CE">
              <w:rPr>
                <w:lang w:eastAsia="en-AU"/>
              </w:rPr>
              <w:t>6</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keepNext/>
              <w:rPr>
                <w:lang w:eastAsia="en-AU"/>
              </w:rPr>
            </w:pPr>
            <w:r>
              <w:rPr>
                <w:lang w:eastAsia="en-AU"/>
              </w:rPr>
              <w:t>10</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Pr="00FC11CE" w:rsidRDefault="00A53D7D" w:rsidP="005140B4">
            <w:pPr>
              <w:pStyle w:val="OGNotes"/>
            </w:pPr>
            <w:r w:rsidRPr="00FC11CE">
              <w:t xml:space="preserve">This performance measure is proposed to be discontinued as it reflects process and day to day activities within the </w:t>
            </w:r>
            <w:r w:rsidRPr="00D76CFC">
              <w:t xml:space="preserve">Department.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Meetings of the AMI Ministerial Advisory Council conducted in accordance with terms of reference and strategic agenda</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number</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Pr>
                <w:lang w:eastAsia="en-AU"/>
              </w:rPr>
              <w:t>4</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4</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4</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5</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Pr="00FC11CE" w:rsidRDefault="00A53D7D" w:rsidP="005140B4">
            <w:pPr>
              <w:pStyle w:val="OGNotes"/>
            </w:pPr>
            <w:r w:rsidRPr="00FC11CE">
              <w:t xml:space="preserve">This performance measure is proposed to be discontinued as it reflects process and day to day activities within the </w:t>
            </w:r>
            <w:r w:rsidRPr="00D76CFC">
              <w:t xml:space="preserve">Department.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Minerals and petroleum licences, permits and authorities administered by DSDBI</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number</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Pr>
                <w:lang w:eastAsia="en-AU"/>
              </w:rPr>
              <w:t>1 700</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w:t>
            </w:r>
            <w:r>
              <w:rPr>
                <w:lang w:eastAsia="en-AU"/>
              </w:rPr>
              <w:t> </w:t>
            </w:r>
            <w:r w:rsidRPr="00FC11CE">
              <w:rPr>
                <w:lang w:eastAsia="en-AU"/>
              </w:rPr>
              <w:t>700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w:t>
            </w:r>
            <w:r>
              <w:rPr>
                <w:lang w:eastAsia="en-AU"/>
              </w:rPr>
              <w:t> </w:t>
            </w:r>
            <w:r w:rsidRPr="00FC11CE">
              <w:rPr>
                <w:lang w:eastAsia="en-AU"/>
              </w:rPr>
              <w:t>700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w:t>
            </w:r>
            <w:r>
              <w:rPr>
                <w:lang w:eastAsia="en-AU"/>
              </w:rPr>
              <w:t> </w:t>
            </w:r>
            <w:r w:rsidRPr="00FC11CE">
              <w:rPr>
                <w:lang w:eastAsia="en-AU"/>
              </w:rPr>
              <w:t>670</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Pr="00FC11CE" w:rsidRDefault="00A53D7D" w:rsidP="005140B4">
            <w:pPr>
              <w:pStyle w:val="OGNotes"/>
            </w:pPr>
            <w:r w:rsidRPr="00FC11CE">
              <w:t>This performance measure is proposed to be discontinued as it reflects activity that is influenced by industry factors not within the control of the Department. The measure does not reflect an outcome.</w:t>
            </w:r>
            <w:r>
              <w:t xml:space="preserve">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Strategic policy briefings on energy matters to portfolio minister</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number</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Pr>
                <w:lang w:eastAsia="en-AU"/>
              </w:rPr>
              <w:t>180</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180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180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182</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Pr="00FC11CE" w:rsidRDefault="00A53D7D" w:rsidP="005140B4">
            <w:pPr>
              <w:pStyle w:val="OGNotes"/>
            </w:pPr>
            <w:r w:rsidRPr="00FC11CE">
              <w:t xml:space="preserve">This performance measure is proposed to be discontinued as it reflects process and day to day activities within the </w:t>
            </w:r>
            <w:r w:rsidRPr="00D76CFC">
              <w:t xml:space="preserve">Department.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Technical Review Board to complete the review of stability reports for Latrobe Valley coal mines</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number</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Pr>
                <w:lang w:eastAsia="en-AU"/>
              </w:rPr>
              <w:t>3</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3</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3</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3</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Pr="00FC11CE" w:rsidRDefault="00A53D7D" w:rsidP="005140B4">
            <w:pPr>
              <w:pStyle w:val="OGNotes"/>
            </w:pPr>
            <w:r w:rsidRPr="00FC11CE">
              <w:t xml:space="preserve">This performance measure is proposed to be discontinued </w:t>
            </w:r>
            <w:r>
              <w:t xml:space="preserve">as it is no longer relevant due to the </w:t>
            </w:r>
            <w:r w:rsidRPr="00FC11CE">
              <w:t>review ha</w:t>
            </w:r>
            <w:r>
              <w:t>ving</w:t>
            </w:r>
            <w:r w:rsidRPr="00FC11CE">
              <w:t xml:space="preserve"> been completed and the program of stability reports </w:t>
            </w:r>
            <w:r w:rsidRPr="00D76CFC">
              <w:t xml:space="preserve">established. </w:t>
            </w:r>
          </w:p>
        </w:tc>
      </w:tr>
      <w:tr w:rsidR="00A53D7D" w:rsidRPr="00FC11CE" w:rsidTr="005140B4">
        <w:trPr>
          <w:cantSplit/>
        </w:trPr>
        <w:tc>
          <w:tcPr>
            <w:tcW w:w="3155"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Head"/>
              <w:rPr>
                <w:lang w:eastAsia="en-AU"/>
              </w:rPr>
            </w:pPr>
            <w:r w:rsidRPr="00FC11CE">
              <w:rPr>
                <w:lang w:eastAsia="en-AU"/>
              </w:rPr>
              <w:t>Quality</w:t>
            </w:r>
          </w:p>
        </w:tc>
        <w:tc>
          <w:tcPr>
            <w:tcW w:w="907"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UoM"/>
              <w:rPr>
                <w:lang w:eastAsia="en-AU"/>
              </w:rPr>
            </w:pPr>
          </w:p>
        </w:tc>
        <w:tc>
          <w:tcPr>
            <w:tcW w:w="907" w:type="dxa"/>
            <w:tcBorders>
              <w:top w:val="single" w:sz="4" w:space="0" w:color="auto"/>
              <w:left w:val="nil"/>
              <w:bottom w:val="nil"/>
              <w:right w:val="nil"/>
            </w:tcBorders>
            <w:shd w:val="clear" w:color="auto" w:fill="D9D9D9"/>
            <w:noWrap/>
            <w:vAlign w:val="bottom"/>
            <w:hideMark/>
          </w:tcPr>
          <w:p w:rsidR="00A53D7D" w:rsidRPr="00FC11CE" w:rsidRDefault="00A53D7D" w:rsidP="005140B4">
            <w:pPr>
              <w:pStyle w:val="OGTableofFigures"/>
              <w:rPr>
                <w:lang w:eastAsia="en-AU"/>
              </w:rPr>
            </w:pPr>
          </w:p>
        </w:tc>
        <w:tc>
          <w:tcPr>
            <w:tcW w:w="993"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leofFigures"/>
              <w:rPr>
                <w:lang w:eastAsia="en-AU"/>
              </w:rPr>
            </w:pPr>
          </w:p>
        </w:tc>
        <w:tc>
          <w:tcPr>
            <w:tcW w:w="907"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leofFigures"/>
              <w:rPr>
                <w:lang w:eastAsia="en-AU"/>
              </w:rPr>
            </w:pPr>
          </w:p>
        </w:tc>
        <w:tc>
          <w:tcPr>
            <w:tcW w:w="907"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leofFigures"/>
              <w:rPr>
                <w:lang w:eastAsia="en-AU"/>
              </w:rPr>
            </w:pPr>
          </w:p>
        </w:tc>
      </w:tr>
      <w:tr w:rsidR="00A53D7D" w:rsidRPr="00FC11CE" w:rsidTr="005140B4">
        <w:trPr>
          <w:cantSplit/>
        </w:trPr>
        <w:tc>
          <w:tcPr>
            <w:tcW w:w="3155" w:type="dxa"/>
            <w:tcBorders>
              <w:top w:val="nil"/>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Number of mine stability audits</w:t>
            </w:r>
          </w:p>
        </w:tc>
        <w:tc>
          <w:tcPr>
            <w:tcW w:w="907" w:type="dxa"/>
            <w:tcBorders>
              <w:top w:val="nil"/>
              <w:left w:val="nil"/>
              <w:right w:val="nil"/>
            </w:tcBorders>
            <w:shd w:val="clear" w:color="000000" w:fill="FFFFFF"/>
            <w:hideMark/>
          </w:tcPr>
          <w:p w:rsidR="00A53D7D" w:rsidRPr="00FC11CE" w:rsidRDefault="00A53D7D" w:rsidP="005140B4">
            <w:pPr>
              <w:pStyle w:val="OGUoM"/>
              <w:rPr>
                <w:lang w:eastAsia="en-AU"/>
              </w:rPr>
            </w:pPr>
            <w:r w:rsidRPr="00FC11CE">
              <w:rPr>
                <w:lang w:eastAsia="en-AU"/>
              </w:rPr>
              <w:t>number</w:t>
            </w:r>
          </w:p>
        </w:tc>
        <w:tc>
          <w:tcPr>
            <w:tcW w:w="907" w:type="dxa"/>
            <w:tcBorders>
              <w:top w:val="nil"/>
              <w:left w:val="nil"/>
              <w:right w:val="nil"/>
            </w:tcBorders>
            <w:shd w:val="clear" w:color="auto" w:fill="D9D9D9"/>
            <w:hideMark/>
          </w:tcPr>
          <w:p w:rsidR="00A53D7D" w:rsidRPr="00FC11CE" w:rsidRDefault="00A53D7D" w:rsidP="005140B4">
            <w:pPr>
              <w:pStyle w:val="OGTableofFigures"/>
              <w:rPr>
                <w:lang w:eastAsia="en-AU"/>
              </w:rPr>
            </w:pPr>
            <w:r w:rsidRPr="00D76CFC">
              <w:rPr>
                <w:lang w:eastAsia="en-AU"/>
              </w:rPr>
              <w:t>3</w:t>
            </w:r>
          </w:p>
        </w:tc>
        <w:tc>
          <w:tcPr>
            <w:tcW w:w="993" w:type="dxa"/>
            <w:tcBorders>
              <w:top w:val="nil"/>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3</w:t>
            </w:r>
          </w:p>
        </w:tc>
        <w:tc>
          <w:tcPr>
            <w:tcW w:w="907" w:type="dxa"/>
            <w:tcBorders>
              <w:top w:val="nil"/>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3</w:t>
            </w:r>
          </w:p>
        </w:tc>
        <w:tc>
          <w:tcPr>
            <w:tcW w:w="907" w:type="dxa"/>
            <w:tcBorders>
              <w:top w:val="nil"/>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nm</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Pr="00FC11CE" w:rsidRDefault="00A53D7D" w:rsidP="005140B4">
            <w:pPr>
              <w:pStyle w:val="OGNotes"/>
            </w:pPr>
            <w:r w:rsidRPr="00FC11CE">
              <w:t xml:space="preserve">This performance measure is </w:t>
            </w:r>
            <w:r>
              <w:t>proposed to be discontinued as it has been replaced by the 2014</w:t>
            </w:r>
            <w:r>
              <w:noBreakHyphen/>
              <w:t xml:space="preserve">15 performance measure </w:t>
            </w:r>
            <w:r w:rsidRPr="00FC11CE">
              <w:t>'Regulatory audits completed within agreed timelines'.</w:t>
            </w:r>
            <w:r>
              <w:t xml:space="preserve"> </w:t>
            </w:r>
            <w:r w:rsidRPr="00FC11CE">
              <w:t xml:space="preserve">The new measure will consolidate three existing measures relating to </w:t>
            </w:r>
            <w:r w:rsidRPr="00D76CFC">
              <w:t>audit programs across mineral and petroleum sites concerning: environmental and compliance issues</w:t>
            </w:r>
            <w:r>
              <w:t>;</w:t>
            </w:r>
            <w:r w:rsidRPr="00D76CFC">
              <w:t xml:space="preserve"> high</w:t>
            </w:r>
            <w:r>
              <w:noBreakHyphen/>
            </w:r>
            <w:r w:rsidRPr="00D76CFC">
              <w:t xml:space="preserve">risk issues; and mine stability.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Proportion of minerals and petroleum publications and packages requiring post</w:t>
            </w:r>
            <w:r>
              <w:rPr>
                <w:lang w:eastAsia="en-AU"/>
              </w:rPr>
              <w:noBreakHyphen/>
            </w:r>
            <w:r w:rsidRPr="00FC11CE">
              <w:rPr>
                <w:lang w:eastAsia="en-AU"/>
              </w:rPr>
              <w:t>release correction or recall</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per cent</w:t>
            </w:r>
          </w:p>
        </w:tc>
        <w:tc>
          <w:tcPr>
            <w:tcW w:w="907" w:type="dxa"/>
            <w:tcBorders>
              <w:top w:val="single" w:sz="4" w:space="0" w:color="auto"/>
              <w:left w:val="nil"/>
              <w:right w:val="nil"/>
            </w:tcBorders>
            <w:shd w:val="clear" w:color="auto" w:fill="D9D9D9"/>
            <w:hideMark/>
          </w:tcPr>
          <w:p w:rsidR="00A53D7D" w:rsidRPr="00D76CFC" w:rsidRDefault="00A53D7D" w:rsidP="005140B4">
            <w:pPr>
              <w:pStyle w:val="OGTableofFigures"/>
              <w:rPr>
                <w:lang w:eastAsia="en-AU"/>
              </w:rPr>
            </w:pPr>
            <w:r w:rsidRPr="00D76CFC">
              <w:rPr>
                <w:lang w:eastAsia="en-AU"/>
              </w:rPr>
              <w:t>&lt;</w:t>
            </w:r>
            <w:r>
              <w:rPr>
                <w:lang w:eastAsia="en-AU"/>
              </w:rPr>
              <w:t xml:space="preserve"> </w:t>
            </w:r>
            <w:r w:rsidRPr="00D76CFC">
              <w:rPr>
                <w:lang w:eastAsia="en-AU"/>
              </w:rPr>
              <w:t>5</w:t>
            </w:r>
          </w:p>
        </w:tc>
        <w:tc>
          <w:tcPr>
            <w:tcW w:w="993" w:type="dxa"/>
            <w:tcBorders>
              <w:top w:val="single" w:sz="4" w:space="0" w:color="auto"/>
              <w:left w:val="nil"/>
              <w:right w:val="nil"/>
            </w:tcBorders>
            <w:shd w:val="clear" w:color="000000" w:fill="FFFFFF"/>
            <w:hideMark/>
          </w:tcPr>
          <w:p w:rsidR="00A53D7D" w:rsidRPr="00D76CFC" w:rsidRDefault="00A53D7D" w:rsidP="005140B4">
            <w:pPr>
              <w:pStyle w:val="OGTableofFigures"/>
              <w:rPr>
                <w:lang w:eastAsia="en-AU"/>
              </w:rPr>
            </w:pPr>
            <w:r w:rsidRPr="00D76CFC">
              <w:rPr>
                <w:lang w:eastAsia="en-AU"/>
              </w:rPr>
              <w:t>&lt;</w:t>
            </w:r>
            <w:r>
              <w:rPr>
                <w:lang w:eastAsia="en-AU"/>
              </w:rPr>
              <w:t xml:space="preserve"> </w:t>
            </w:r>
            <w:r w:rsidRPr="00D76CFC">
              <w:rPr>
                <w:lang w:eastAsia="en-AU"/>
              </w:rPr>
              <w:t>5</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&lt;</w:t>
            </w:r>
            <w:r>
              <w:rPr>
                <w:lang w:eastAsia="en-AU"/>
              </w:rPr>
              <w:t xml:space="preserve"> </w:t>
            </w:r>
            <w:r w:rsidRPr="00FC11CE">
              <w:rPr>
                <w:lang w:eastAsia="en-AU"/>
              </w:rPr>
              <w:t>5</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0</w:t>
            </w:r>
          </w:p>
        </w:tc>
      </w:tr>
      <w:tr w:rsidR="00A53D7D" w:rsidRPr="00FC11CE" w:rsidTr="005140B4">
        <w:trPr>
          <w:cantSplit/>
        </w:trPr>
        <w:tc>
          <w:tcPr>
            <w:tcW w:w="7776" w:type="dxa"/>
            <w:gridSpan w:val="6"/>
            <w:tcBorders>
              <w:top w:val="nil"/>
              <w:left w:val="nil"/>
              <w:bottom w:val="single" w:sz="4" w:space="0" w:color="auto"/>
              <w:right w:val="nil"/>
            </w:tcBorders>
            <w:shd w:val="clear" w:color="000000" w:fill="FFFFFF"/>
          </w:tcPr>
          <w:p w:rsidR="00A53D7D" w:rsidRPr="00D76CFC" w:rsidRDefault="00A53D7D" w:rsidP="005140B4">
            <w:pPr>
              <w:pStyle w:val="OGNotes"/>
            </w:pPr>
            <w:r w:rsidRPr="00D76CFC">
              <w:t xml:space="preserve">This performance measure is proposed to be discontinued as it reflects process activities within the Department. </w:t>
            </w:r>
          </w:p>
        </w:tc>
      </w:tr>
      <w:tr w:rsidR="00A53D7D" w:rsidRPr="00FC11CE" w:rsidTr="005140B4">
        <w:trPr>
          <w:cantSplit/>
        </w:trPr>
        <w:tc>
          <w:tcPr>
            <w:tcW w:w="3155"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Head"/>
              <w:rPr>
                <w:lang w:eastAsia="en-AU"/>
              </w:rPr>
            </w:pPr>
            <w:r w:rsidRPr="00FC11CE">
              <w:rPr>
                <w:lang w:eastAsia="en-AU"/>
              </w:rPr>
              <w:t>Timeliness</w:t>
            </w:r>
          </w:p>
        </w:tc>
        <w:tc>
          <w:tcPr>
            <w:tcW w:w="907"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UoM"/>
              <w:rPr>
                <w:lang w:eastAsia="en-AU"/>
              </w:rPr>
            </w:pPr>
          </w:p>
        </w:tc>
        <w:tc>
          <w:tcPr>
            <w:tcW w:w="907" w:type="dxa"/>
            <w:tcBorders>
              <w:top w:val="single" w:sz="4" w:space="0" w:color="auto"/>
              <w:left w:val="nil"/>
              <w:bottom w:val="nil"/>
              <w:right w:val="nil"/>
            </w:tcBorders>
            <w:shd w:val="clear" w:color="auto" w:fill="D9D9D9"/>
            <w:noWrap/>
            <w:vAlign w:val="bottom"/>
            <w:hideMark/>
          </w:tcPr>
          <w:p w:rsidR="00A53D7D" w:rsidRPr="00FC11CE" w:rsidRDefault="00A53D7D" w:rsidP="005140B4">
            <w:pPr>
              <w:pStyle w:val="OGTableofFigures"/>
              <w:rPr>
                <w:lang w:eastAsia="en-AU"/>
              </w:rPr>
            </w:pPr>
          </w:p>
        </w:tc>
        <w:tc>
          <w:tcPr>
            <w:tcW w:w="993"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leofFigures"/>
              <w:rPr>
                <w:lang w:eastAsia="en-AU"/>
              </w:rPr>
            </w:pPr>
          </w:p>
        </w:tc>
        <w:tc>
          <w:tcPr>
            <w:tcW w:w="907"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leofFigures"/>
              <w:rPr>
                <w:lang w:eastAsia="en-AU"/>
              </w:rPr>
            </w:pPr>
          </w:p>
        </w:tc>
        <w:tc>
          <w:tcPr>
            <w:tcW w:w="907"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leofFigures"/>
              <w:rPr>
                <w:lang w:eastAsia="en-AU"/>
              </w:rPr>
            </w:pPr>
          </w:p>
        </w:tc>
      </w:tr>
      <w:tr w:rsidR="00A53D7D" w:rsidRPr="00FC11CE" w:rsidTr="005140B4">
        <w:trPr>
          <w:cantSplit/>
        </w:trPr>
        <w:tc>
          <w:tcPr>
            <w:tcW w:w="3155" w:type="dxa"/>
            <w:tcBorders>
              <w:top w:val="nil"/>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Delivery of key milestones in line with the Facilitating Low Emission Transition approved project plan</w:t>
            </w:r>
          </w:p>
        </w:tc>
        <w:tc>
          <w:tcPr>
            <w:tcW w:w="907" w:type="dxa"/>
            <w:tcBorders>
              <w:top w:val="nil"/>
              <w:left w:val="nil"/>
              <w:right w:val="nil"/>
            </w:tcBorders>
            <w:shd w:val="clear" w:color="000000" w:fill="FFFFFF"/>
            <w:hideMark/>
          </w:tcPr>
          <w:p w:rsidR="00A53D7D" w:rsidRPr="00FC11CE" w:rsidRDefault="00A53D7D" w:rsidP="005140B4">
            <w:pPr>
              <w:pStyle w:val="OGUoM"/>
              <w:rPr>
                <w:lang w:eastAsia="en-AU"/>
              </w:rPr>
            </w:pPr>
            <w:r w:rsidRPr="00FC11CE">
              <w:rPr>
                <w:lang w:eastAsia="en-AU"/>
              </w:rPr>
              <w:t>per cent</w:t>
            </w:r>
          </w:p>
        </w:tc>
        <w:tc>
          <w:tcPr>
            <w:tcW w:w="907" w:type="dxa"/>
            <w:tcBorders>
              <w:top w:val="nil"/>
              <w:left w:val="nil"/>
              <w:right w:val="nil"/>
            </w:tcBorders>
            <w:shd w:val="clear" w:color="auto" w:fill="D9D9D9"/>
            <w:hideMark/>
          </w:tcPr>
          <w:p w:rsidR="00A53D7D" w:rsidRPr="00FC11CE" w:rsidRDefault="00A53D7D" w:rsidP="005140B4">
            <w:pPr>
              <w:pStyle w:val="OGTableofFigures"/>
              <w:rPr>
                <w:lang w:eastAsia="en-AU"/>
              </w:rPr>
            </w:pPr>
            <w:r w:rsidRPr="00D76CFC">
              <w:rPr>
                <w:lang w:eastAsia="en-AU"/>
              </w:rPr>
              <w:t>100</w:t>
            </w:r>
          </w:p>
        </w:tc>
        <w:tc>
          <w:tcPr>
            <w:tcW w:w="993" w:type="dxa"/>
            <w:tcBorders>
              <w:top w:val="nil"/>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nil"/>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nil"/>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50</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Pr="00FC11CE" w:rsidRDefault="00A53D7D" w:rsidP="005140B4">
            <w:pPr>
              <w:pStyle w:val="OGNotes"/>
            </w:pPr>
            <w:r w:rsidRPr="003E35AB">
              <w:t>This performance measure is proposed to be discontinued as it is no longer relevant as the work program has been incorporated into the Department's broader energy reform work program</w:t>
            </w:r>
            <w:r w:rsidRPr="00D76CFC">
              <w:t xml:space="preserve">.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Delivery of milestones facilitated in line with grant</w:t>
            </w:r>
            <w:r>
              <w:rPr>
                <w:lang w:eastAsia="en-AU"/>
              </w:rPr>
              <w:t xml:space="preserve"> agreements for the brown coal research and development</w:t>
            </w:r>
            <w:r w:rsidRPr="00FC11CE">
              <w:rPr>
                <w:lang w:eastAsia="en-AU"/>
              </w:rPr>
              <w:t xml:space="preserve"> grants that form part of the Energy Technology Innovation Strategy initiative</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per cent</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sidRPr="00D76CFC">
              <w:rPr>
                <w:lang w:eastAsia="en-AU"/>
              </w:rPr>
              <w:t>100</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Default="00A53D7D" w:rsidP="005140B4">
            <w:pPr>
              <w:pStyle w:val="OGNotes"/>
            </w:pPr>
            <w:r w:rsidRPr="00FC11CE">
              <w:t xml:space="preserve">This performance measure is proposed to be discontinued </w:t>
            </w:r>
            <w:r>
              <w:t>as it has been replaced by the 2014</w:t>
            </w:r>
            <w:r>
              <w:noBreakHyphen/>
              <w:t>15 performance measure</w:t>
            </w:r>
            <w:r w:rsidRPr="00FC11CE">
              <w:t xml:space="preserve"> 'Facilitate the delivery of key energy technology innovation milestones in line with grant agreements'. </w:t>
            </w:r>
          </w:p>
          <w:p w:rsidR="00A53D7D" w:rsidRPr="00FC11CE" w:rsidRDefault="00A53D7D" w:rsidP="005140B4">
            <w:pPr>
              <w:pStyle w:val="OGNotes"/>
            </w:pPr>
            <w:r w:rsidRPr="00FC11CE">
              <w:t>The proposed new measure will consolidate four existing measures concerning the delivery of milestones relating to energy technology innovation and will be a more efficient indicator of progress against these indicators.</w:t>
            </w:r>
            <w:r w:rsidRPr="008F2575">
              <w:rPr>
                <w:color w:val="FF0000"/>
              </w:rPr>
              <w:t xml:space="preserve">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Earth resource geoscience data packages released to market in line with agreed timetables</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per cent</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Pr>
                <w:lang w:eastAsia="en-AU"/>
              </w:rPr>
              <w:t>&gt; 95</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&gt;</w:t>
            </w:r>
            <w:r>
              <w:rPr>
                <w:lang w:eastAsia="en-AU"/>
              </w:rPr>
              <w:t xml:space="preserve"> </w:t>
            </w:r>
            <w:r w:rsidRPr="00FC11CE">
              <w:rPr>
                <w:lang w:eastAsia="en-AU"/>
              </w:rPr>
              <w:t>95</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&gt;</w:t>
            </w:r>
            <w:r>
              <w:rPr>
                <w:lang w:eastAsia="en-AU"/>
              </w:rPr>
              <w:t xml:space="preserve"> </w:t>
            </w:r>
            <w:r w:rsidRPr="00FC11CE">
              <w:rPr>
                <w:lang w:eastAsia="en-AU"/>
              </w:rPr>
              <w:t>95</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Pr="00FC11CE" w:rsidRDefault="00A53D7D" w:rsidP="005140B4">
            <w:pPr>
              <w:pStyle w:val="OGNotes"/>
            </w:pPr>
            <w:r w:rsidRPr="00FC11CE">
              <w:t xml:space="preserve">This performance measure is proposed to be discontinued </w:t>
            </w:r>
            <w:r>
              <w:t>as it has been replaced by the 2014</w:t>
            </w:r>
            <w:r>
              <w:noBreakHyphen/>
              <w:t>15 performance measure</w:t>
            </w:r>
            <w:r w:rsidRPr="00FC11CE">
              <w:t xml:space="preserve"> 'Industry geoscience data packages released for minerals and petroleum sectors cons</w:t>
            </w:r>
            <w:r>
              <w:t>istent with agreed time lines'.</w:t>
            </w:r>
            <w:r w:rsidRPr="00FC11CE">
              <w:t xml:space="preserve"> The new measure will replace</w:t>
            </w:r>
            <w:r>
              <w:t xml:space="preserve"> </w:t>
            </w:r>
            <w:r w:rsidRPr="00FC11CE">
              <w:t>two existing measures relating to geoscience data and earth resources information packages that have bee</w:t>
            </w:r>
            <w:r>
              <w:t xml:space="preserve">n measuring the </w:t>
            </w:r>
            <w:r w:rsidRPr="00D76CFC">
              <w:t xml:space="preserve">same activity.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 xml:space="preserve">Facilitate delivery of milestones for the feasibility stage of </w:t>
            </w:r>
            <w:proofErr w:type="spellStart"/>
            <w:r w:rsidRPr="00FC11CE">
              <w:rPr>
                <w:lang w:eastAsia="en-AU"/>
              </w:rPr>
              <w:t>CarbonNet</w:t>
            </w:r>
            <w:proofErr w:type="spellEnd"/>
            <w:r w:rsidRPr="00FC11CE">
              <w:rPr>
                <w:lang w:eastAsia="en-AU"/>
              </w:rPr>
              <w:t xml:space="preserve"> (Carbon Capture and Storage) project</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per cent</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sidRPr="00D76CFC">
              <w:rPr>
                <w:lang w:eastAsia="en-AU"/>
              </w:rPr>
              <w:t>100</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80</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Default="00A53D7D" w:rsidP="005140B4">
            <w:pPr>
              <w:pStyle w:val="OGNotes"/>
            </w:pPr>
            <w:r w:rsidRPr="00FC11CE">
              <w:t xml:space="preserve">This performance measure is proposed to be discontinued </w:t>
            </w:r>
            <w:r>
              <w:t>as it has been replaced by the 2014</w:t>
            </w:r>
            <w:r>
              <w:noBreakHyphen/>
              <w:t>15 performance measure</w:t>
            </w:r>
            <w:r w:rsidRPr="00FC11CE">
              <w:t xml:space="preserve"> </w:t>
            </w:r>
            <w:r>
              <w:t>‘</w:t>
            </w:r>
            <w:r w:rsidRPr="00FC11CE">
              <w:t xml:space="preserve">Delivery of key </w:t>
            </w:r>
            <w:proofErr w:type="spellStart"/>
            <w:r w:rsidRPr="00FC11CE">
              <w:t>CarbonNet</w:t>
            </w:r>
            <w:proofErr w:type="spellEnd"/>
            <w:r w:rsidRPr="00FC11CE">
              <w:t xml:space="preserve"> milestone, in line with funding agreements and</w:t>
            </w:r>
            <w:r>
              <w:t xml:space="preserve"> agreed project deliverables'.</w:t>
            </w:r>
          </w:p>
          <w:p w:rsidR="00A53D7D" w:rsidRPr="00FC11CE" w:rsidRDefault="00A53D7D" w:rsidP="005140B4">
            <w:pPr>
              <w:pStyle w:val="OGNotes"/>
            </w:pPr>
            <w:r w:rsidRPr="001858D5">
              <w:t xml:space="preserve">The proposed new measure replaces three measures focussed on feasibility, implementation and grant agreements for the demonstration program and will be a more efficient indicator of performance against the </w:t>
            </w:r>
            <w:proofErr w:type="spellStart"/>
            <w:r w:rsidRPr="00D76CFC">
              <w:t>CarbonNet</w:t>
            </w:r>
            <w:proofErr w:type="spellEnd"/>
            <w:r w:rsidRPr="00D76CFC">
              <w:t xml:space="preserve"> project.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Facilitate delivery of milestones in line with grant agreements for Energy Technology Innovation Strategy Sustainable Energy programs</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per cent</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sidRPr="00D76CFC">
              <w:rPr>
                <w:lang w:eastAsia="en-AU"/>
              </w:rPr>
              <w:t>100</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96</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Default="00A53D7D" w:rsidP="005140B4">
            <w:pPr>
              <w:pStyle w:val="OGNotes"/>
            </w:pPr>
            <w:r w:rsidRPr="00FC11CE">
              <w:t xml:space="preserve">This performance measure is proposed to be discontinued </w:t>
            </w:r>
            <w:r>
              <w:t>as it has been replaced by the 2014</w:t>
            </w:r>
            <w:r>
              <w:noBreakHyphen/>
              <w:t>15 performance measure</w:t>
            </w:r>
            <w:r w:rsidRPr="00FC11CE">
              <w:t xml:space="preserve"> 'Facilitate the delivery of key energy technology innovation milestones in line with grant agreements'. </w:t>
            </w:r>
          </w:p>
          <w:p w:rsidR="00A53D7D" w:rsidRPr="00FC11CE" w:rsidRDefault="00A53D7D" w:rsidP="005140B4">
            <w:pPr>
              <w:pStyle w:val="OGNotes"/>
            </w:pPr>
            <w:r w:rsidRPr="001858D5">
              <w:t xml:space="preserve">The proposed new measure will consolidate four existing measures concerning the delivery of milestones relating to energy technology innovation and will be a more efficient indicator of progress against these </w:t>
            </w:r>
            <w:r w:rsidRPr="00D76CFC">
              <w:t xml:space="preserve">indicators.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keepNext/>
              <w:rPr>
                <w:lang w:eastAsia="en-AU"/>
              </w:rPr>
            </w:pPr>
            <w:r w:rsidRPr="00FC11CE">
              <w:rPr>
                <w:lang w:eastAsia="en-AU"/>
              </w:rPr>
              <w:t>Facilitate delivery of milestones in line with grant agreements for the large</w:t>
            </w:r>
            <w:r>
              <w:rPr>
                <w:lang w:eastAsia="en-AU"/>
              </w:rPr>
              <w:noBreakHyphen/>
            </w:r>
            <w:r w:rsidRPr="00FC11CE">
              <w:rPr>
                <w:lang w:eastAsia="en-AU"/>
              </w:rPr>
              <w:t>scale Carbon Capture and Storage demonstration program</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keepNext/>
              <w:rPr>
                <w:lang w:eastAsia="en-AU"/>
              </w:rPr>
            </w:pPr>
            <w:r w:rsidRPr="00FC11CE">
              <w:rPr>
                <w:lang w:eastAsia="en-AU"/>
              </w:rPr>
              <w:t>per cent</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keepNext/>
              <w:rPr>
                <w:lang w:eastAsia="en-AU"/>
              </w:rPr>
            </w:pPr>
            <w:r w:rsidRPr="00D76CFC">
              <w:rPr>
                <w:lang w:eastAsia="en-AU"/>
              </w:rPr>
              <w:t>100</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keepNext/>
              <w:rPr>
                <w:lang w:eastAsia="en-AU"/>
              </w:rPr>
            </w:pPr>
            <w:r w:rsidRPr="00FC11CE">
              <w:rPr>
                <w:lang w:eastAsia="en-AU"/>
              </w:rPr>
              <w:t>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keepNext/>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keepNext/>
              <w:rPr>
                <w:lang w:eastAsia="en-AU"/>
              </w:rPr>
            </w:pPr>
            <w:r w:rsidRPr="00FC11CE">
              <w:rPr>
                <w:lang w:eastAsia="en-AU"/>
              </w:rPr>
              <w:t>0</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Default="00A53D7D" w:rsidP="005140B4">
            <w:pPr>
              <w:pStyle w:val="OGNotes"/>
            </w:pPr>
            <w:r w:rsidRPr="001858D5">
              <w:t xml:space="preserve">This performance measure is proposed to be discontinued </w:t>
            </w:r>
            <w:r>
              <w:t>as it has been replaced by the 2014</w:t>
            </w:r>
            <w:r>
              <w:noBreakHyphen/>
              <w:t>15 performance measure</w:t>
            </w:r>
            <w:r w:rsidRPr="001858D5">
              <w:t xml:space="preserve"> 'Delivery of key </w:t>
            </w:r>
            <w:proofErr w:type="spellStart"/>
            <w:r w:rsidRPr="001858D5">
              <w:t>CarbonNet</w:t>
            </w:r>
            <w:proofErr w:type="spellEnd"/>
            <w:r w:rsidRPr="001858D5">
              <w:t xml:space="preserve"> milestones, in line with funding agreements and agreed project deliverables'. The proposed new measure replaces three measures focussed on feasibility, implementation and grant agreements for the demonstration program.</w:t>
            </w:r>
          </w:p>
          <w:p w:rsidR="00A53D7D" w:rsidRPr="00FC11CE" w:rsidRDefault="00A53D7D" w:rsidP="005140B4">
            <w:pPr>
              <w:pStyle w:val="OGNotes"/>
            </w:pPr>
            <w:r w:rsidRPr="00FC11CE">
              <w:t>The 2013</w:t>
            </w:r>
            <w:r>
              <w:noBreakHyphen/>
            </w:r>
            <w:r w:rsidRPr="00FC11CE">
              <w:t xml:space="preserve">14 </w:t>
            </w:r>
            <w:r>
              <w:t>expected outcome</w:t>
            </w:r>
            <w:r w:rsidRPr="00FC11CE">
              <w:t xml:space="preserve"> is zero. No grant agreements are in place as the feasibility phase of the </w:t>
            </w:r>
            <w:proofErr w:type="spellStart"/>
            <w:r w:rsidRPr="00FC11CE">
              <w:t>CarbonNet</w:t>
            </w:r>
            <w:proofErr w:type="spellEnd"/>
            <w:r w:rsidRPr="00FC11CE">
              <w:t xml:space="preserve"> project is not yet completed.</w:t>
            </w:r>
            <w:r>
              <w:t xml:space="preserve"> </w:t>
            </w:r>
            <w:r w:rsidRPr="00FC11CE">
              <w:t xml:space="preserve">Once completed, the Government will determine the scope of the work program going forward.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Facilitate delivery of milestones in line with grant agreements under the Advanced Lignite Demonstration program</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per cent</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sidRPr="00D76CFC">
              <w:rPr>
                <w:lang w:eastAsia="en-AU"/>
              </w:rPr>
              <w:t>100</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nm</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Default="00A53D7D" w:rsidP="005140B4">
            <w:pPr>
              <w:pStyle w:val="OGNotes"/>
            </w:pPr>
            <w:r w:rsidRPr="00FC11CE">
              <w:t xml:space="preserve">This performance measure is proposed to be discontinued </w:t>
            </w:r>
            <w:r>
              <w:t>as it has been replaced by the 2014</w:t>
            </w:r>
            <w:r>
              <w:noBreakHyphen/>
              <w:t>15 performance measure</w:t>
            </w:r>
            <w:r w:rsidRPr="00FC11CE">
              <w:t xml:space="preserve"> 'Facilitate the delivery of key energy technology innovation milestones in line with grant agreements'. </w:t>
            </w:r>
          </w:p>
          <w:p w:rsidR="00A53D7D" w:rsidRPr="00FC11CE" w:rsidRDefault="00A53D7D" w:rsidP="005140B4">
            <w:pPr>
              <w:pStyle w:val="OGNotes"/>
            </w:pPr>
            <w:r w:rsidRPr="001858D5">
              <w:t xml:space="preserve">The proposed new measure will consolidate four existing measures concerning the delivery of milestones relating to energy technology innovation and will be a more efficient indicator of progress against energy technology innovation </w:t>
            </w:r>
            <w:r w:rsidRPr="00D76CFC">
              <w:t>milestones.</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Facilitate delivery of milestones in line with grant agreements under the Low Emission Energy Technologies program</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per cent</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Pr>
                <w:lang w:eastAsia="en-AU"/>
              </w:rPr>
              <w:t>100</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nm</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Default="00A53D7D" w:rsidP="005140B4">
            <w:pPr>
              <w:pStyle w:val="OGNotes"/>
            </w:pPr>
            <w:r w:rsidRPr="00FC11CE">
              <w:t xml:space="preserve">This performance measure is proposed to be discontinued </w:t>
            </w:r>
            <w:r>
              <w:t>as it has been replaced by the 2014</w:t>
            </w:r>
            <w:r>
              <w:noBreakHyphen/>
              <w:t>15 performance measure</w:t>
            </w:r>
            <w:r w:rsidRPr="00FC11CE">
              <w:t xml:space="preserve"> 'Facilitate the delivery of key energy technology innovation milestones in line with grant agreements'. </w:t>
            </w:r>
          </w:p>
          <w:p w:rsidR="00A53D7D" w:rsidRPr="00FC11CE" w:rsidRDefault="00A53D7D" w:rsidP="005140B4">
            <w:pPr>
              <w:pStyle w:val="OGNotes"/>
            </w:pPr>
            <w:r w:rsidRPr="001858D5">
              <w:t>The proposed new measure will consolidate four existing measures concerning the delivery of milestones relating to energy technology innovation and will be a more efficient indicator of progress against energy technology innovation milestones.</w:t>
            </w:r>
            <w:r w:rsidRPr="008F2575">
              <w:rPr>
                <w:color w:val="FF0000"/>
              </w:rPr>
              <w:t xml:space="preserve">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 xml:space="preserve">Facilitate delivery of the implementation plan of the </w:t>
            </w:r>
            <w:proofErr w:type="spellStart"/>
            <w:r w:rsidRPr="00FC11CE">
              <w:rPr>
                <w:lang w:eastAsia="en-AU"/>
              </w:rPr>
              <w:t>CarbonNet</w:t>
            </w:r>
            <w:proofErr w:type="spellEnd"/>
            <w:r w:rsidRPr="00FC11CE">
              <w:rPr>
                <w:lang w:eastAsia="en-AU"/>
              </w:rPr>
              <w:t xml:space="preserve"> geoscience evaluation program by 2014</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per cent</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sidRPr="001D7B14">
              <w:rPr>
                <w:lang w:eastAsia="en-AU"/>
              </w:rPr>
              <w:t>100</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85</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Default="00A53D7D" w:rsidP="005140B4">
            <w:pPr>
              <w:pStyle w:val="OGNotes"/>
            </w:pPr>
            <w:r w:rsidRPr="00FC11CE">
              <w:t xml:space="preserve">This performance measure is proposed to be discontinued </w:t>
            </w:r>
            <w:r>
              <w:t>as it has been replaced by the 2014</w:t>
            </w:r>
            <w:r>
              <w:noBreakHyphen/>
              <w:t>15 performance measure ‘</w:t>
            </w:r>
            <w:r w:rsidRPr="00FC11CE">
              <w:t xml:space="preserve">Delivery of key </w:t>
            </w:r>
            <w:proofErr w:type="spellStart"/>
            <w:r w:rsidRPr="00FC11CE">
              <w:t>CarbonNet</w:t>
            </w:r>
            <w:proofErr w:type="spellEnd"/>
            <w:r w:rsidRPr="00FC11CE">
              <w:t xml:space="preserve"> milestone, in line with funding agreements and agreed project deliverables'. </w:t>
            </w:r>
          </w:p>
          <w:p w:rsidR="00A53D7D" w:rsidRPr="00FC11CE" w:rsidRDefault="00A53D7D" w:rsidP="005140B4">
            <w:pPr>
              <w:pStyle w:val="OGNotes"/>
            </w:pPr>
            <w:r w:rsidRPr="00FC11CE">
              <w:rPr>
                <w:iCs/>
                <w:sz w:val="16"/>
                <w:szCs w:val="16"/>
              </w:rPr>
              <w:t xml:space="preserve">The proposed new measure replaces three measures focussed on feasibility, implementation and grant agreements for the demonstration program and will be a more efficient indicator of performance against the </w:t>
            </w:r>
            <w:proofErr w:type="spellStart"/>
            <w:r w:rsidRPr="00FC11CE">
              <w:rPr>
                <w:iCs/>
                <w:sz w:val="16"/>
                <w:szCs w:val="16"/>
              </w:rPr>
              <w:t>CarbonNet</w:t>
            </w:r>
            <w:proofErr w:type="spellEnd"/>
            <w:r w:rsidRPr="00FC11CE">
              <w:rPr>
                <w:iCs/>
                <w:sz w:val="16"/>
                <w:szCs w:val="16"/>
              </w:rPr>
              <w:t xml:space="preserve"> project</w:t>
            </w:r>
            <w:r w:rsidRPr="008F2575">
              <w:rPr>
                <w:iCs/>
                <w:sz w:val="16"/>
                <w:szCs w:val="16"/>
              </w:rPr>
              <w:t>.</w:t>
            </w:r>
            <w:r w:rsidRPr="008F2575">
              <w:t xml:space="preserve">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Minerals and petroleum exploration license applications not determined after three months</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per cent</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sidRPr="001D7B14">
              <w:rPr>
                <w:lang w:eastAsia="en-AU"/>
              </w:rPr>
              <w:t>&lt;</w:t>
            </w:r>
            <w:r>
              <w:rPr>
                <w:lang w:eastAsia="en-AU"/>
              </w:rPr>
              <w:t xml:space="preserve"> </w:t>
            </w:r>
            <w:r w:rsidRPr="001D7B14">
              <w:rPr>
                <w:lang w:eastAsia="en-AU"/>
              </w:rPr>
              <w:t>5</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&lt;</w:t>
            </w:r>
            <w:r>
              <w:rPr>
                <w:lang w:eastAsia="en-AU"/>
              </w:rPr>
              <w:t xml:space="preserve"> </w:t>
            </w:r>
            <w:r w:rsidRPr="00FC11CE">
              <w:rPr>
                <w:lang w:eastAsia="en-AU"/>
              </w:rPr>
              <w:t>5</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&lt;</w:t>
            </w:r>
            <w:r>
              <w:rPr>
                <w:lang w:eastAsia="en-AU"/>
              </w:rPr>
              <w:t xml:space="preserve"> </w:t>
            </w:r>
            <w:r w:rsidRPr="00FC11CE">
              <w:rPr>
                <w:lang w:eastAsia="en-AU"/>
              </w:rPr>
              <w:t>5</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Default="00A53D7D" w:rsidP="005140B4">
            <w:pPr>
              <w:pStyle w:val="OGNotes"/>
            </w:pPr>
            <w:r w:rsidRPr="00FC11CE">
              <w:t xml:space="preserve">This performance measure is proposed to be discontinued </w:t>
            </w:r>
            <w:r>
              <w:t>as it has been replaced by the 2014</w:t>
            </w:r>
            <w:r>
              <w:noBreakHyphen/>
              <w:t>15 performance measure</w:t>
            </w:r>
            <w:r w:rsidRPr="00FC11CE">
              <w:t xml:space="preserve"> 'Percentage of exploration licence applications, mining industry </w:t>
            </w:r>
            <w:proofErr w:type="spellStart"/>
            <w:r w:rsidRPr="00FC11CE">
              <w:t>workplans</w:t>
            </w:r>
            <w:proofErr w:type="spellEnd"/>
            <w:r w:rsidRPr="00FC11CE">
              <w:t xml:space="preserve"> and mining licence applications processed</w:t>
            </w:r>
            <w:r>
              <w:t xml:space="preserve"> within regulatory timeframes'.</w:t>
            </w:r>
            <w:r w:rsidRPr="00FC11CE">
              <w:t xml:space="preserve"> </w:t>
            </w:r>
          </w:p>
          <w:p w:rsidR="00A53D7D" w:rsidRPr="00FC11CE" w:rsidRDefault="00A53D7D" w:rsidP="005140B4">
            <w:pPr>
              <w:pStyle w:val="OGNotes"/>
            </w:pPr>
            <w:r w:rsidRPr="001858D5">
              <w:rPr>
                <w:iCs/>
                <w:sz w:val="16"/>
                <w:szCs w:val="16"/>
              </w:rPr>
              <w:t>In 2013</w:t>
            </w:r>
            <w:r>
              <w:rPr>
                <w:iCs/>
                <w:sz w:val="16"/>
                <w:szCs w:val="16"/>
              </w:rPr>
              <w:noBreakHyphen/>
            </w:r>
            <w:r w:rsidRPr="001858D5">
              <w:rPr>
                <w:iCs/>
                <w:sz w:val="16"/>
                <w:szCs w:val="16"/>
              </w:rPr>
              <w:t xml:space="preserve">14 there were three measures relating to regulatory timeline requirements on licence and </w:t>
            </w:r>
            <w:proofErr w:type="spellStart"/>
            <w:r w:rsidRPr="001858D5">
              <w:rPr>
                <w:iCs/>
                <w:sz w:val="16"/>
                <w:szCs w:val="16"/>
              </w:rPr>
              <w:t>workplan</w:t>
            </w:r>
            <w:proofErr w:type="spellEnd"/>
            <w:r w:rsidRPr="001858D5">
              <w:rPr>
                <w:iCs/>
                <w:sz w:val="16"/>
                <w:szCs w:val="16"/>
              </w:rPr>
              <w:t xml:space="preserve"> applications with the same percentage target of </w:t>
            </w:r>
            <w:r>
              <w:rPr>
                <w:iCs/>
                <w:sz w:val="16"/>
                <w:szCs w:val="16"/>
              </w:rPr>
              <w:t>less than five per cent</w:t>
            </w:r>
            <w:r w:rsidRPr="001858D5">
              <w:rPr>
                <w:iCs/>
                <w:sz w:val="16"/>
                <w:szCs w:val="16"/>
              </w:rPr>
              <w:t xml:space="preserve">. The new measure will provide an efficient overview of whether regulatory timelines are being met on these process requirements for the mining and minerals, and petroleum </w:t>
            </w:r>
            <w:r w:rsidRPr="001D7B14">
              <w:rPr>
                <w:iCs/>
                <w:sz w:val="16"/>
                <w:szCs w:val="16"/>
              </w:rPr>
              <w:t>industries.</w:t>
            </w:r>
            <w:r>
              <w:rPr>
                <w:iCs/>
                <w:sz w:val="16"/>
                <w:szCs w:val="16"/>
              </w:rPr>
              <w:t xml:space="preserve">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 xml:space="preserve">Mining industry </w:t>
            </w:r>
            <w:proofErr w:type="spellStart"/>
            <w:r w:rsidRPr="00FC11CE">
              <w:rPr>
                <w:lang w:eastAsia="en-AU"/>
              </w:rPr>
              <w:t>workplans</w:t>
            </w:r>
            <w:proofErr w:type="spellEnd"/>
            <w:r w:rsidRPr="00FC11CE">
              <w:rPr>
                <w:lang w:eastAsia="en-AU"/>
              </w:rPr>
              <w:t xml:space="preserve"> not processed in one month</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per cent</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Pr>
                <w:lang w:eastAsia="en-AU"/>
              </w:rPr>
              <w:t>&lt; 5</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&lt;</w:t>
            </w:r>
            <w:r>
              <w:rPr>
                <w:lang w:eastAsia="en-AU"/>
              </w:rPr>
              <w:t xml:space="preserve"> </w:t>
            </w:r>
            <w:r w:rsidRPr="00FC11CE">
              <w:rPr>
                <w:lang w:eastAsia="en-AU"/>
              </w:rPr>
              <w:t>5</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&lt;</w:t>
            </w:r>
            <w:r>
              <w:rPr>
                <w:lang w:eastAsia="en-AU"/>
              </w:rPr>
              <w:t xml:space="preserve"> </w:t>
            </w:r>
            <w:r w:rsidRPr="00FC11CE">
              <w:rPr>
                <w:lang w:eastAsia="en-AU"/>
              </w:rPr>
              <w:t>5</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11</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Default="00A53D7D" w:rsidP="005140B4">
            <w:pPr>
              <w:pStyle w:val="OGNotes"/>
            </w:pPr>
            <w:r w:rsidRPr="001858D5">
              <w:t xml:space="preserve">This performance measure is proposed to be discontinued </w:t>
            </w:r>
            <w:r>
              <w:t>as it has been replaced by the 2014</w:t>
            </w:r>
            <w:r>
              <w:noBreakHyphen/>
              <w:t>15 performance measure</w:t>
            </w:r>
            <w:r w:rsidRPr="001858D5">
              <w:t xml:space="preserve"> ‘Percentage of exploration licence applications, mining industry </w:t>
            </w:r>
            <w:proofErr w:type="spellStart"/>
            <w:r w:rsidRPr="001858D5">
              <w:t>workplans</w:t>
            </w:r>
            <w:proofErr w:type="spellEnd"/>
            <w:r w:rsidRPr="001858D5">
              <w:t xml:space="preserve"> and mining licence applications processed within regulatory timeframes’.</w:t>
            </w:r>
            <w:r>
              <w:t xml:space="preserve"> </w:t>
            </w:r>
            <w:r w:rsidRPr="001858D5">
              <w:t>In 2013</w:t>
            </w:r>
            <w:r>
              <w:noBreakHyphen/>
            </w:r>
            <w:r w:rsidRPr="001858D5">
              <w:t xml:space="preserve">14 there were three measures relating to regulatory timeline requirements on licence and work plan applications with the same percentage target of </w:t>
            </w:r>
            <w:r>
              <w:t>less than five per cent</w:t>
            </w:r>
            <w:r w:rsidRPr="001858D5">
              <w:t>. It is not meaningful to have these three measures as standalone indicators.</w:t>
            </w:r>
          </w:p>
          <w:p w:rsidR="00A53D7D" w:rsidRPr="00FC11CE" w:rsidRDefault="00A53D7D" w:rsidP="005140B4">
            <w:pPr>
              <w:pStyle w:val="OGNotes"/>
            </w:pPr>
            <w:r w:rsidRPr="00FC11CE">
              <w:rPr>
                <w:iCs/>
                <w:sz w:val="16"/>
                <w:szCs w:val="16"/>
              </w:rPr>
              <w:t xml:space="preserve">The new measure will provide an efficient overview of whether regulatory timelines are being met on these process requirements for the mining and minerals, and </w:t>
            </w:r>
            <w:r w:rsidRPr="001D7B14">
              <w:rPr>
                <w:iCs/>
                <w:sz w:val="16"/>
                <w:szCs w:val="16"/>
              </w:rPr>
              <w:t>petroleum industries.</w:t>
            </w:r>
            <w:r w:rsidRPr="001D7B14">
              <w:t xml:space="preserve">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keepNext/>
              <w:rPr>
                <w:lang w:eastAsia="en-AU"/>
              </w:rPr>
            </w:pPr>
            <w:r w:rsidRPr="00FC11CE">
              <w:rPr>
                <w:lang w:eastAsia="en-AU"/>
              </w:rPr>
              <w:t>Mining licence applications not determined after four months</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keepNext/>
              <w:rPr>
                <w:lang w:eastAsia="en-AU"/>
              </w:rPr>
            </w:pPr>
            <w:r w:rsidRPr="00FC11CE">
              <w:rPr>
                <w:lang w:eastAsia="en-AU"/>
              </w:rPr>
              <w:t>per cent</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keepNext/>
              <w:rPr>
                <w:lang w:eastAsia="en-AU"/>
              </w:rPr>
            </w:pPr>
            <w:r w:rsidRPr="001D7B14">
              <w:rPr>
                <w:lang w:eastAsia="en-AU"/>
              </w:rPr>
              <w:t>&lt;</w:t>
            </w:r>
            <w:r>
              <w:rPr>
                <w:lang w:eastAsia="en-AU"/>
              </w:rPr>
              <w:t xml:space="preserve"> </w:t>
            </w:r>
            <w:r w:rsidRPr="001D7B14">
              <w:rPr>
                <w:lang w:eastAsia="en-AU"/>
              </w:rPr>
              <w:t>5</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keepNext/>
              <w:rPr>
                <w:lang w:eastAsia="en-AU"/>
              </w:rPr>
            </w:pPr>
            <w:r w:rsidRPr="00FC11CE">
              <w:rPr>
                <w:lang w:eastAsia="en-AU"/>
              </w:rPr>
              <w:t>&lt;</w:t>
            </w:r>
            <w:r>
              <w:rPr>
                <w:lang w:eastAsia="en-AU"/>
              </w:rPr>
              <w:t xml:space="preserve"> </w:t>
            </w:r>
            <w:r w:rsidRPr="00FC11CE">
              <w:rPr>
                <w:lang w:eastAsia="en-AU"/>
              </w:rPr>
              <w:t>5</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keepNext/>
              <w:rPr>
                <w:lang w:eastAsia="en-AU"/>
              </w:rPr>
            </w:pPr>
            <w:r w:rsidRPr="00FC11CE">
              <w:rPr>
                <w:lang w:eastAsia="en-AU"/>
              </w:rPr>
              <w:t>&lt;</w:t>
            </w:r>
            <w:r>
              <w:rPr>
                <w:lang w:eastAsia="en-AU"/>
              </w:rPr>
              <w:t xml:space="preserve"> </w:t>
            </w:r>
            <w:r w:rsidRPr="00FC11CE">
              <w:rPr>
                <w:lang w:eastAsia="en-AU"/>
              </w:rPr>
              <w:t>5</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keepNext/>
              <w:rPr>
                <w:lang w:eastAsia="en-AU"/>
              </w:rPr>
            </w:pPr>
            <w:r w:rsidRPr="00FC11CE">
              <w:rPr>
                <w:lang w:eastAsia="en-AU"/>
              </w:rPr>
              <w:t>0</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Default="00A53D7D" w:rsidP="005140B4">
            <w:pPr>
              <w:pStyle w:val="OGNotes"/>
            </w:pPr>
            <w:r w:rsidRPr="001858D5">
              <w:t xml:space="preserve">This performance measure is proposed to be discontinued </w:t>
            </w:r>
            <w:r>
              <w:t>as it has been replaced by the 2014</w:t>
            </w:r>
            <w:r>
              <w:noBreakHyphen/>
              <w:t>15 performance measure</w:t>
            </w:r>
            <w:r w:rsidRPr="001858D5">
              <w:t xml:space="preserve"> ‘Percentage of exploration licence applications, mining industry </w:t>
            </w:r>
            <w:proofErr w:type="spellStart"/>
            <w:r w:rsidRPr="001858D5">
              <w:t>workplans</w:t>
            </w:r>
            <w:proofErr w:type="spellEnd"/>
            <w:r w:rsidRPr="001858D5">
              <w:t xml:space="preserve"> and mining licence applications processed within regulatory timeframes’.</w:t>
            </w:r>
            <w:r>
              <w:t xml:space="preserve"> </w:t>
            </w:r>
            <w:r w:rsidRPr="001858D5">
              <w:t>In 2013</w:t>
            </w:r>
            <w:r>
              <w:noBreakHyphen/>
            </w:r>
            <w:r w:rsidRPr="001858D5">
              <w:t>14 there were three measures relating to regulatory timeline requirements on licence and work plan applications with the same percentage target of</w:t>
            </w:r>
            <w:r>
              <w:t xml:space="preserve"> less than five per cent</w:t>
            </w:r>
            <w:r w:rsidRPr="001858D5">
              <w:t>. It is not meaningful to have these three measures as standalone indicators.</w:t>
            </w:r>
          </w:p>
          <w:p w:rsidR="00A53D7D" w:rsidRPr="00FC11CE" w:rsidRDefault="00A53D7D" w:rsidP="005140B4">
            <w:pPr>
              <w:pStyle w:val="OGNotes"/>
            </w:pPr>
            <w:r w:rsidRPr="00FC11CE">
              <w:rPr>
                <w:iCs/>
                <w:sz w:val="16"/>
                <w:szCs w:val="16"/>
              </w:rPr>
              <w:t xml:space="preserve">The new measure will provide an efficient overview of whether regulatory timelines are being met on these process requirements for the mining and minerals, and petroleum </w:t>
            </w:r>
            <w:r w:rsidRPr="001D7B14">
              <w:rPr>
                <w:iCs/>
                <w:sz w:val="16"/>
                <w:szCs w:val="16"/>
              </w:rPr>
              <w:t>industries.</w:t>
            </w:r>
            <w:r w:rsidRPr="001D7B14">
              <w:t xml:space="preserve"> </w:t>
            </w:r>
          </w:p>
        </w:tc>
      </w:tr>
      <w:tr w:rsidR="00A53D7D" w:rsidRPr="00FC11CE" w:rsidTr="005140B4">
        <w:trPr>
          <w:cantSplit/>
        </w:trPr>
        <w:tc>
          <w:tcPr>
            <w:tcW w:w="3155" w:type="dxa"/>
            <w:tcBorders>
              <w:top w:val="single" w:sz="4" w:space="0" w:color="auto"/>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Submissions to Environment Effects Statements (EES) for earth resource proposals completed according to ESS panel timelines</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UoM"/>
              <w:rPr>
                <w:lang w:eastAsia="en-AU"/>
              </w:rPr>
            </w:pPr>
            <w:r w:rsidRPr="00FC11CE">
              <w:rPr>
                <w:lang w:eastAsia="en-AU"/>
              </w:rPr>
              <w:t>per cent</w:t>
            </w:r>
          </w:p>
        </w:tc>
        <w:tc>
          <w:tcPr>
            <w:tcW w:w="907" w:type="dxa"/>
            <w:tcBorders>
              <w:top w:val="single" w:sz="4" w:space="0" w:color="auto"/>
              <w:left w:val="nil"/>
              <w:right w:val="nil"/>
            </w:tcBorders>
            <w:shd w:val="clear" w:color="auto" w:fill="D9D9D9"/>
            <w:hideMark/>
          </w:tcPr>
          <w:p w:rsidR="00A53D7D" w:rsidRPr="00FC11CE" w:rsidRDefault="00A53D7D" w:rsidP="005140B4">
            <w:pPr>
              <w:pStyle w:val="OGTableofFigures"/>
              <w:rPr>
                <w:lang w:eastAsia="en-AU"/>
              </w:rPr>
            </w:pPr>
            <w:r>
              <w:rPr>
                <w:lang w:eastAsia="en-AU"/>
              </w:rPr>
              <w:t>100</w:t>
            </w:r>
          </w:p>
        </w:tc>
        <w:tc>
          <w:tcPr>
            <w:tcW w:w="993"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single" w:sz="4" w:space="0" w:color="auto"/>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Pr="00FC11CE" w:rsidRDefault="00A53D7D" w:rsidP="005140B4">
            <w:pPr>
              <w:pStyle w:val="OGNotes"/>
            </w:pPr>
            <w:r w:rsidRPr="00FC11CE">
              <w:t>This performance measure is proposed to be discontinued</w:t>
            </w:r>
            <w:r>
              <w:t xml:space="preserve"> because it is</w:t>
            </w:r>
            <w:r w:rsidRPr="00FC11CE">
              <w:t xml:space="preserve"> process related and does not demonstrate outcomes </w:t>
            </w:r>
            <w:r w:rsidRPr="001D7B14">
              <w:t xml:space="preserve">or outputs. </w:t>
            </w:r>
          </w:p>
        </w:tc>
      </w:tr>
      <w:tr w:rsidR="00A53D7D" w:rsidRPr="00FC11CE" w:rsidTr="005140B4">
        <w:trPr>
          <w:cantSplit/>
        </w:trPr>
        <w:tc>
          <w:tcPr>
            <w:tcW w:w="7776" w:type="dxa"/>
            <w:gridSpan w:val="6"/>
            <w:tcBorders>
              <w:top w:val="single" w:sz="4" w:space="0" w:color="auto"/>
              <w:left w:val="nil"/>
              <w:bottom w:val="single" w:sz="4" w:space="0" w:color="auto"/>
              <w:right w:val="nil"/>
            </w:tcBorders>
            <w:shd w:val="clear" w:color="auto" w:fill="auto"/>
            <w:vAlign w:val="bottom"/>
          </w:tcPr>
          <w:p w:rsidR="00A53D7D" w:rsidRPr="00FC11CE" w:rsidRDefault="00A53D7D" w:rsidP="005140B4">
            <w:pPr>
              <w:pStyle w:val="OGHeading2"/>
              <w:rPr>
                <w:lang w:eastAsia="en-AU"/>
              </w:rPr>
            </w:pPr>
            <w:r w:rsidRPr="00FC11CE">
              <w:rPr>
                <w:lang w:eastAsia="en-AU"/>
              </w:rPr>
              <w:t>Regional Development and Regional Cities</w:t>
            </w:r>
          </w:p>
        </w:tc>
      </w:tr>
      <w:tr w:rsidR="00A53D7D" w:rsidRPr="00FC11CE" w:rsidTr="005140B4">
        <w:trPr>
          <w:cantSplit/>
        </w:trPr>
        <w:tc>
          <w:tcPr>
            <w:tcW w:w="3155"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Head"/>
              <w:rPr>
                <w:lang w:eastAsia="en-AU"/>
              </w:rPr>
            </w:pPr>
            <w:r w:rsidRPr="00FC11CE">
              <w:rPr>
                <w:lang w:eastAsia="en-AU"/>
              </w:rPr>
              <w:t>Quantity</w:t>
            </w:r>
          </w:p>
        </w:tc>
        <w:tc>
          <w:tcPr>
            <w:tcW w:w="907"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UoM"/>
              <w:rPr>
                <w:lang w:eastAsia="en-AU"/>
              </w:rPr>
            </w:pPr>
          </w:p>
        </w:tc>
        <w:tc>
          <w:tcPr>
            <w:tcW w:w="907" w:type="dxa"/>
            <w:tcBorders>
              <w:top w:val="single" w:sz="4" w:space="0" w:color="auto"/>
              <w:left w:val="nil"/>
              <w:bottom w:val="nil"/>
              <w:right w:val="nil"/>
            </w:tcBorders>
            <w:shd w:val="clear" w:color="auto" w:fill="D9D9D9"/>
            <w:noWrap/>
            <w:vAlign w:val="bottom"/>
            <w:hideMark/>
          </w:tcPr>
          <w:p w:rsidR="00A53D7D" w:rsidRPr="00FC11CE" w:rsidRDefault="00A53D7D" w:rsidP="005140B4">
            <w:pPr>
              <w:pStyle w:val="OGTableofFigures"/>
              <w:rPr>
                <w:lang w:eastAsia="en-AU"/>
              </w:rPr>
            </w:pPr>
          </w:p>
        </w:tc>
        <w:tc>
          <w:tcPr>
            <w:tcW w:w="993"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leofFigures"/>
              <w:rPr>
                <w:lang w:eastAsia="en-AU"/>
              </w:rPr>
            </w:pPr>
          </w:p>
        </w:tc>
        <w:tc>
          <w:tcPr>
            <w:tcW w:w="907"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leofFigures"/>
              <w:rPr>
                <w:lang w:eastAsia="en-AU"/>
              </w:rPr>
            </w:pPr>
          </w:p>
        </w:tc>
        <w:tc>
          <w:tcPr>
            <w:tcW w:w="907" w:type="dxa"/>
            <w:tcBorders>
              <w:top w:val="single" w:sz="4" w:space="0" w:color="auto"/>
              <w:left w:val="nil"/>
              <w:bottom w:val="nil"/>
              <w:right w:val="nil"/>
            </w:tcBorders>
            <w:shd w:val="clear" w:color="auto" w:fill="auto"/>
            <w:noWrap/>
            <w:vAlign w:val="bottom"/>
            <w:hideMark/>
          </w:tcPr>
          <w:p w:rsidR="00A53D7D" w:rsidRPr="00FC11CE" w:rsidRDefault="00A53D7D" w:rsidP="005140B4">
            <w:pPr>
              <w:pStyle w:val="OGTableofFigures"/>
              <w:rPr>
                <w:lang w:eastAsia="en-AU"/>
              </w:rPr>
            </w:pPr>
          </w:p>
        </w:tc>
      </w:tr>
      <w:tr w:rsidR="00A53D7D" w:rsidRPr="00FC11CE" w:rsidTr="005140B4">
        <w:trPr>
          <w:cantSplit/>
        </w:trPr>
        <w:tc>
          <w:tcPr>
            <w:tcW w:w="3155" w:type="dxa"/>
            <w:tcBorders>
              <w:top w:val="nil"/>
              <w:left w:val="nil"/>
              <w:right w:val="nil"/>
            </w:tcBorders>
            <w:shd w:val="clear" w:color="000000" w:fill="FFFFFF"/>
            <w:hideMark/>
          </w:tcPr>
          <w:p w:rsidR="00A53D7D" w:rsidRPr="00FC11CE" w:rsidRDefault="00A53D7D" w:rsidP="005140B4">
            <w:pPr>
              <w:pStyle w:val="OGTabText"/>
              <w:rPr>
                <w:lang w:eastAsia="en-AU"/>
              </w:rPr>
            </w:pPr>
            <w:r w:rsidRPr="00FC11CE">
              <w:rPr>
                <w:lang w:eastAsia="en-AU"/>
              </w:rPr>
              <w:t>Energy for Regions</w:t>
            </w:r>
            <w:r>
              <w:rPr>
                <w:lang w:eastAsia="en-AU"/>
              </w:rPr>
              <w:t xml:space="preserve"> program</w:t>
            </w:r>
            <w:r w:rsidRPr="00FC11CE">
              <w:rPr>
                <w:lang w:eastAsia="en-AU"/>
              </w:rPr>
              <w:t>: Number of towns included</w:t>
            </w:r>
          </w:p>
        </w:tc>
        <w:tc>
          <w:tcPr>
            <w:tcW w:w="907" w:type="dxa"/>
            <w:tcBorders>
              <w:top w:val="nil"/>
              <w:left w:val="nil"/>
              <w:right w:val="nil"/>
            </w:tcBorders>
            <w:shd w:val="clear" w:color="000000" w:fill="FFFFFF"/>
            <w:hideMark/>
          </w:tcPr>
          <w:p w:rsidR="00A53D7D" w:rsidRPr="00FC11CE" w:rsidRDefault="00A53D7D" w:rsidP="005140B4">
            <w:pPr>
              <w:pStyle w:val="OGUoM"/>
              <w:rPr>
                <w:lang w:eastAsia="en-AU"/>
              </w:rPr>
            </w:pPr>
            <w:r w:rsidRPr="00FC11CE">
              <w:rPr>
                <w:lang w:eastAsia="en-AU"/>
              </w:rPr>
              <w:t>number</w:t>
            </w:r>
          </w:p>
        </w:tc>
        <w:tc>
          <w:tcPr>
            <w:tcW w:w="907" w:type="dxa"/>
            <w:tcBorders>
              <w:top w:val="nil"/>
              <w:left w:val="nil"/>
              <w:right w:val="nil"/>
            </w:tcBorders>
            <w:shd w:val="clear" w:color="auto" w:fill="D9D9D9"/>
            <w:hideMark/>
          </w:tcPr>
          <w:p w:rsidR="00A53D7D" w:rsidRPr="00FC11CE" w:rsidRDefault="00A53D7D" w:rsidP="005140B4">
            <w:pPr>
              <w:pStyle w:val="OGTableofFigures"/>
              <w:rPr>
                <w:lang w:eastAsia="en-AU"/>
              </w:rPr>
            </w:pPr>
            <w:r w:rsidRPr="00C03F23">
              <w:rPr>
                <w:lang w:eastAsia="en-AU"/>
              </w:rPr>
              <w:t>0</w:t>
            </w:r>
          </w:p>
        </w:tc>
        <w:tc>
          <w:tcPr>
            <w:tcW w:w="993" w:type="dxa"/>
            <w:tcBorders>
              <w:top w:val="nil"/>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8</w:t>
            </w:r>
          </w:p>
        </w:tc>
        <w:tc>
          <w:tcPr>
            <w:tcW w:w="907" w:type="dxa"/>
            <w:tcBorders>
              <w:top w:val="nil"/>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8</w:t>
            </w:r>
          </w:p>
        </w:tc>
        <w:tc>
          <w:tcPr>
            <w:tcW w:w="907" w:type="dxa"/>
            <w:tcBorders>
              <w:top w:val="nil"/>
              <w:left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4</w:t>
            </w:r>
          </w:p>
        </w:tc>
      </w:tr>
      <w:tr w:rsidR="00A53D7D" w:rsidRPr="00FC11CE" w:rsidTr="005140B4">
        <w:trPr>
          <w:cantSplit/>
        </w:trPr>
        <w:tc>
          <w:tcPr>
            <w:tcW w:w="7776" w:type="dxa"/>
            <w:gridSpan w:val="6"/>
            <w:tcBorders>
              <w:top w:val="nil"/>
              <w:left w:val="nil"/>
              <w:bottom w:val="single" w:sz="4" w:space="0" w:color="auto"/>
              <w:right w:val="nil"/>
            </w:tcBorders>
            <w:shd w:val="clear" w:color="auto" w:fill="auto"/>
            <w:vAlign w:val="bottom"/>
            <w:hideMark/>
          </w:tcPr>
          <w:p w:rsidR="00A53D7D" w:rsidRPr="00FC11CE" w:rsidRDefault="00A53D7D" w:rsidP="005140B4">
            <w:pPr>
              <w:pStyle w:val="OGNotes"/>
            </w:pPr>
            <w:r w:rsidRPr="00026A5C">
              <w:t>There were a total of 14 towns included in the program which commenced in 2011</w:t>
            </w:r>
            <w:r>
              <w:noBreakHyphen/>
            </w:r>
            <w:r w:rsidRPr="00026A5C">
              <w:t>12. It is expected that agreements will be put in place for the eight remaining towns by the end of 2013</w:t>
            </w:r>
            <w:r>
              <w:noBreakHyphen/>
            </w:r>
            <w:r w:rsidRPr="00026A5C">
              <w:t>14 (subject to tenders). This performance measure is proposed to be discontinued as it is no longer relevant due to the completion of the program.</w:t>
            </w:r>
          </w:p>
        </w:tc>
      </w:tr>
      <w:tr w:rsidR="00A53D7D" w:rsidRPr="00FC11CE" w:rsidTr="005140B4">
        <w:trPr>
          <w:cantSplit/>
        </w:trPr>
        <w:tc>
          <w:tcPr>
            <w:tcW w:w="3155" w:type="dxa"/>
            <w:tcBorders>
              <w:top w:val="single" w:sz="4" w:space="0" w:color="auto"/>
              <w:left w:val="nil"/>
              <w:right w:val="nil"/>
            </w:tcBorders>
            <w:shd w:val="clear" w:color="auto" w:fill="auto"/>
            <w:noWrap/>
            <w:vAlign w:val="bottom"/>
            <w:hideMark/>
          </w:tcPr>
          <w:p w:rsidR="00A53D7D" w:rsidRPr="00FC11CE" w:rsidRDefault="00A53D7D" w:rsidP="005140B4">
            <w:pPr>
              <w:pStyle w:val="OGTabHead"/>
              <w:rPr>
                <w:lang w:eastAsia="en-AU"/>
              </w:rPr>
            </w:pPr>
            <w:r w:rsidRPr="00FC11CE">
              <w:rPr>
                <w:lang w:eastAsia="en-AU"/>
              </w:rPr>
              <w:t>Quality</w:t>
            </w:r>
          </w:p>
        </w:tc>
        <w:tc>
          <w:tcPr>
            <w:tcW w:w="907" w:type="dxa"/>
            <w:tcBorders>
              <w:top w:val="single" w:sz="4" w:space="0" w:color="auto"/>
              <w:left w:val="nil"/>
              <w:right w:val="nil"/>
            </w:tcBorders>
            <w:shd w:val="clear" w:color="auto" w:fill="auto"/>
            <w:noWrap/>
            <w:vAlign w:val="bottom"/>
            <w:hideMark/>
          </w:tcPr>
          <w:p w:rsidR="00A53D7D" w:rsidRPr="00FC11CE" w:rsidRDefault="00A53D7D" w:rsidP="005140B4">
            <w:pPr>
              <w:pStyle w:val="OGUoM"/>
              <w:rPr>
                <w:lang w:eastAsia="en-AU"/>
              </w:rPr>
            </w:pPr>
          </w:p>
        </w:tc>
        <w:tc>
          <w:tcPr>
            <w:tcW w:w="907" w:type="dxa"/>
            <w:tcBorders>
              <w:top w:val="single" w:sz="4" w:space="0" w:color="auto"/>
              <w:left w:val="nil"/>
              <w:right w:val="nil"/>
            </w:tcBorders>
            <w:shd w:val="clear" w:color="auto" w:fill="D9D9D9"/>
            <w:noWrap/>
            <w:vAlign w:val="bottom"/>
            <w:hideMark/>
          </w:tcPr>
          <w:p w:rsidR="00A53D7D" w:rsidRPr="00FC11CE" w:rsidRDefault="00A53D7D" w:rsidP="005140B4">
            <w:pPr>
              <w:pStyle w:val="OGTableofFigures"/>
              <w:rPr>
                <w:lang w:eastAsia="en-AU"/>
              </w:rPr>
            </w:pPr>
          </w:p>
        </w:tc>
        <w:tc>
          <w:tcPr>
            <w:tcW w:w="993" w:type="dxa"/>
            <w:tcBorders>
              <w:top w:val="single" w:sz="4" w:space="0" w:color="auto"/>
              <w:left w:val="nil"/>
              <w:right w:val="nil"/>
            </w:tcBorders>
            <w:shd w:val="clear" w:color="auto" w:fill="auto"/>
            <w:noWrap/>
            <w:vAlign w:val="bottom"/>
            <w:hideMark/>
          </w:tcPr>
          <w:p w:rsidR="00A53D7D" w:rsidRPr="00FC11CE" w:rsidRDefault="00A53D7D" w:rsidP="005140B4">
            <w:pPr>
              <w:pStyle w:val="OGTableofFigures"/>
              <w:rPr>
                <w:lang w:eastAsia="en-AU"/>
              </w:rPr>
            </w:pPr>
          </w:p>
        </w:tc>
        <w:tc>
          <w:tcPr>
            <w:tcW w:w="907" w:type="dxa"/>
            <w:tcBorders>
              <w:top w:val="single" w:sz="4" w:space="0" w:color="auto"/>
              <w:left w:val="nil"/>
              <w:right w:val="nil"/>
            </w:tcBorders>
            <w:shd w:val="clear" w:color="auto" w:fill="auto"/>
            <w:noWrap/>
            <w:vAlign w:val="bottom"/>
            <w:hideMark/>
          </w:tcPr>
          <w:p w:rsidR="00A53D7D" w:rsidRPr="00FC11CE" w:rsidRDefault="00A53D7D" w:rsidP="005140B4">
            <w:pPr>
              <w:pStyle w:val="OGTableofFigures"/>
              <w:rPr>
                <w:lang w:eastAsia="en-AU"/>
              </w:rPr>
            </w:pPr>
          </w:p>
        </w:tc>
        <w:tc>
          <w:tcPr>
            <w:tcW w:w="907" w:type="dxa"/>
            <w:tcBorders>
              <w:top w:val="single" w:sz="4" w:space="0" w:color="auto"/>
              <w:left w:val="nil"/>
              <w:right w:val="nil"/>
            </w:tcBorders>
            <w:shd w:val="clear" w:color="auto" w:fill="auto"/>
            <w:noWrap/>
            <w:vAlign w:val="bottom"/>
            <w:hideMark/>
          </w:tcPr>
          <w:p w:rsidR="00A53D7D" w:rsidRPr="00FC11CE" w:rsidRDefault="00A53D7D" w:rsidP="005140B4">
            <w:pPr>
              <w:pStyle w:val="OGTableofFigures"/>
              <w:rPr>
                <w:lang w:eastAsia="en-AU"/>
              </w:rPr>
            </w:pPr>
          </w:p>
        </w:tc>
      </w:tr>
      <w:tr w:rsidR="00A53D7D" w:rsidRPr="00FC11CE" w:rsidTr="005140B4">
        <w:trPr>
          <w:cantSplit/>
        </w:trPr>
        <w:tc>
          <w:tcPr>
            <w:tcW w:w="3155" w:type="dxa"/>
            <w:tcBorders>
              <w:top w:val="nil"/>
              <w:left w:val="nil"/>
              <w:bottom w:val="nil"/>
              <w:right w:val="nil"/>
            </w:tcBorders>
            <w:shd w:val="clear" w:color="000000" w:fill="FFFFFF"/>
            <w:hideMark/>
          </w:tcPr>
          <w:p w:rsidR="00A53D7D" w:rsidRPr="00FC11CE" w:rsidRDefault="00A53D7D" w:rsidP="005140B4">
            <w:pPr>
              <w:pStyle w:val="OGTabText"/>
              <w:rPr>
                <w:lang w:eastAsia="en-AU"/>
              </w:rPr>
            </w:pPr>
            <w:r w:rsidRPr="00FC11CE">
              <w:rPr>
                <w:lang w:eastAsia="en-AU"/>
              </w:rPr>
              <w:t>Coordination and implementation of actions within agreed performance targets: Transport Connections Initiative</w:t>
            </w:r>
          </w:p>
        </w:tc>
        <w:tc>
          <w:tcPr>
            <w:tcW w:w="907" w:type="dxa"/>
            <w:tcBorders>
              <w:top w:val="nil"/>
              <w:left w:val="nil"/>
              <w:bottom w:val="nil"/>
              <w:right w:val="nil"/>
            </w:tcBorders>
            <w:shd w:val="clear" w:color="000000" w:fill="FFFFFF"/>
            <w:hideMark/>
          </w:tcPr>
          <w:p w:rsidR="00A53D7D" w:rsidRPr="00FC11CE" w:rsidRDefault="00A53D7D" w:rsidP="005140B4">
            <w:pPr>
              <w:pStyle w:val="OGUoM"/>
              <w:rPr>
                <w:lang w:eastAsia="en-AU"/>
              </w:rPr>
            </w:pPr>
            <w:r w:rsidRPr="00FC11CE">
              <w:rPr>
                <w:lang w:eastAsia="en-AU"/>
              </w:rPr>
              <w:t>per cent</w:t>
            </w:r>
          </w:p>
        </w:tc>
        <w:tc>
          <w:tcPr>
            <w:tcW w:w="907" w:type="dxa"/>
            <w:tcBorders>
              <w:top w:val="nil"/>
              <w:left w:val="nil"/>
              <w:bottom w:val="nil"/>
              <w:right w:val="nil"/>
            </w:tcBorders>
            <w:shd w:val="clear" w:color="auto" w:fill="D9D9D9"/>
            <w:hideMark/>
          </w:tcPr>
          <w:p w:rsidR="00A53D7D" w:rsidRPr="00FC11CE" w:rsidRDefault="00A53D7D" w:rsidP="005140B4">
            <w:pPr>
              <w:pStyle w:val="OGTableofFigures"/>
              <w:rPr>
                <w:lang w:eastAsia="en-AU"/>
              </w:rPr>
            </w:pPr>
            <w:r w:rsidRPr="00C03F23">
              <w:rPr>
                <w:lang w:eastAsia="en-AU"/>
              </w:rPr>
              <w:t>0</w:t>
            </w:r>
          </w:p>
        </w:tc>
        <w:tc>
          <w:tcPr>
            <w:tcW w:w="993" w:type="dxa"/>
            <w:tcBorders>
              <w:top w:val="nil"/>
              <w:left w:val="nil"/>
              <w:bottom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nil"/>
              <w:left w:val="nil"/>
              <w:bottom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c>
          <w:tcPr>
            <w:tcW w:w="907" w:type="dxa"/>
            <w:tcBorders>
              <w:top w:val="nil"/>
              <w:left w:val="nil"/>
              <w:bottom w:val="nil"/>
              <w:right w:val="nil"/>
            </w:tcBorders>
            <w:shd w:val="clear" w:color="000000" w:fill="FFFFFF"/>
            <w:hideMark/>
          </w:tcPr>
          <w:p w:rsidR="00A53D7D" w:rsidRPr="00FC11CE" w:rsidRDefault="00A53D7D" w:rsidP="005140B4">
            <w:pPr>
              <w:pStyle w:val="OGTableofFigures"/>
              <w:rPr>
                <w:lang w:eastAsia="en-AU"/>
              </w:rPr>
            </w:pPr>
            <w:r w:rsidRPr="00FC11CE">
              <w:rPr>
                <w:lang w:eastAsia="en-AU"/>
              </w:rPr>
              <w:t>100</w:t>
            </w:r>
          </w:p>
        </w:tc>
      </w:tr>
      <w:tr w:rsidR="00A53D7D" w:rsidRPr="00FC11CE" w:rsidTr="005140B4">
        <w:trPr>
          <w:cantSplit/>
        </w:trPr>
        <w:tc>
          <w:tcPr>
            <w:tcW w:w="7776" w:type="dxa"/>
            <w:gridSpan w:val="6"/>
            <w:tcBorders>
              <w:top w:val="nil"/>
              <w:left w:val="nil"/>
              <w:bottom w:val="single" w:sz="12" w:space="0" w:color="auto"/>
            </w:tcBorders>
            <w:shd w:val="clear" w:color="000000" w:fill="FFFFFF"/>
          </w:tcPr>
          <w:p w:rsidR="00A53D7D" w:rsidRPr="002048E0" w:rsidRDefault="00A53D7D" w:rsidP="005140B4">
            <w:pPr>
              <w:pStyle w:val="OGTableofFigures"/>
              <w:ind w:left="397"/>
              <w:jc w:val="left"/>
              <w:rPr>
                <w:i/>
                <w:sz w:val="15"/>
                <w:szCs w:val="15"/>
              </w:rPr>
            </w:pPr>
            <w:r w:rsidRPr="000244C5">
              <w:rPr>
                <w:i/>
                <w:sz w:val="15"/>
                <w:szCs w:val="15"/>
              </w:rPr>
              <w:t>This measure is proposed to be discontinued as it is no longer relevant due to the completion of the program.</w:t>
            </w:r>
          </w:p>
        </w:tc>
      </w:tr>
    </w:tbl>
    <w:p w:rsidR="00A53D7D" w:rsidRPr="00863726" w:rsidRDefault="00A53D7D" w:rsidP="005140B4">
      <w:pPr>
        <w:pStyle w:val="Source"/>
      </w:pPr>
      <w:r>
        <w:t>Source: Department of State Development, Business and Innovation</w:t>
      </w:r>
      <w:r>
        <w:fldChar w:fldCharType="begin"/>
      </w:r>
      <w:r>
        <w:instrText xml:space="preserve"> XE "</w:instrText>
      </w:r>
      <w:r w:rsidRPr="005A7E3C">
        <w:instrText>Department of State Development, Business and Innovation:Output performance measures for review</w:instrText>
      </w:r>
      <w:r>
        <w:instrText xml:space="preserve">" \r "AppADSDBI" </w:instrText>
      </w:r>
      <w:r>
        <w:fldChar w:fldCharType="end"/>
      </w:r>
    </w:p>
    <w:bookmarkEnd w:id="180"/>
    <w:p w:rsidR="00A53D7D" w:rsidRDefault="00A53D7D">
      <w:pPr>
        <w:spacing w:after="0"/>
        <w:rPr>
          <w:rFonts w:ascii="Calibri" w:hAnsi="Calibri"/>
          <w:b/>
          <w:caps/>
          <w:sz w:val="26"/>
          <w:szCs w:val="22"/>
        </w:rPr>
      </w:pPr>
      <w:r>
        <w:br w:type="page"/>
      </w:r>
    </w:p>
    <w:p w:rsidR="00A53D7D" w:rsidRPr="00204234" w:rsidRDefault="00A53D7D" w:rsidP="005140B4">
      <w:pPr>
        <w:pStyle w:val="Heading1"/>
      </w:pPr>
      <w:bookmarkStart w:id="182" w:name="_Toc386364090"/>
      <w:bookmarkStart w:id="183" w:name="_Toc386541235"/>
      <w:bookmarkStart w:id="184" w:name="AppADTPLI"/>
      <w:bookmarkStart w:id="185" w:name="_Toc407116927"/>
      <w:r>
        <w:t>Department of Transport, Planning and Local Infrastructure</w:t>
      </w:r>
      <w:bookmarkEnd w:id="182"/>
      <w:bookmarkEnd w:id="183"/>
      <w:bookmarkEnd w:id="185"/>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A53D7D" w:rsidRPr="00204234" w:rsidTr="005140B4">
        <w:trPr>
          <w:cantSplit/>
          <w:tblHeader/>
        </w:trPr>
        <w:tc>
          <w:tcPr>
            <w:tcW w:w="3155"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A53D7D" w:rsidRPr="00204234" w:rsidRDefault="00A53D7D" w:rsidP="005140B4">
            <w:pPr>
              <w:pStyle w:val="OGTabColLeft"/>
            </w:pPr>
            <w:r w:rsidRPr="00204234">
              <w:rPr>
                <w:shd w:val="clear" w:color="auto" w:fill="000000"/>
              </w:rPr>
              <w:t xml:space="preserve">Major </w:t>
            </w:r>
            <w:r w:rsidRPr="0020423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centred"/>
            </w:pPr>
            <w:r w:rsidRPr="00773596">
              <w:t>Unit of</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2014</w:t>
            </w:r>
            <w:r>
              <w:rPr>
                <w:lang w:eastAsia="en-AU"/>
              </w:rPr>
              <w:noBreakHyphen/>
            </w:r>
            <w:r w:rsidRPr="00773596">
              <w:rPr>
                <w:lang w:eastAsia="en-AU"/>
              </w:rPr>
              <w:t>15</w:t>
            </w:r>
          </w:p>
        </w:tc>
        <w:tc>
          <w:tcPr>
            <w:tcW w:w="993"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p w:rsidR="00A53D7D" w:rsidRPr="00773596" w:rsidRDefault="00A53D7D" w:rsidP="005140B4">
            <w:pPr>
              <w:pStyle w:val="Tabletextheading"/>
              <w:rPr>
                <w:lang w:eastAsia="en-AU"/>
              </w:rPr>
            </w:pPr>
            <w:r w:rsidRPr="00773596">
              <w:rPr>
                <w:lang w:eastAsia="en-AU"/>
              </w:rPr>
              <w:t>Expected</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2013</w:t>
            </w:r>
            <w:r>
              <w:rPr>
                <w:lang w:eastAsia="en-AU"/>
              </w:rPr>
              <w:noBreakHyphen/>
            </w:r>
            <w:r w:rsidRPr="00773596">
              <w:rPr>
                <w:lang w:eastAsia="en-AU"/>
              </w:rPr>
              <w:t>14</w:t>
            </w:r>
          </w:p>
        </w:tc>
        <w:tc>
          <w:tcPr>
            <w:tcW w:w="907" w:type="dxa"/>
            <w:tcBorders>
              <w:top w:val="single" w:sz="4" w:space="0" w:color="auto"/>
              <w:left w:val="nil"/>
              <w:bottom w:val="single" w:sz="4" w:space="0" w:color="auto"/>
              <w:right w:val="single" w:sz="4" w:space="0" w:color="auto"/>
            </w:tcBorders>
            <w:shd w:val="clear" w:color="auto" w:fill="000000"/>
            <w:vAlign w:val="bottom"/>
            <w:hideMark/>
          </w:tcPr>
          <w:p w:rsidR="00A53D7D" w:rsidRPr="00773596" w:rsidRDefault="00A53D7D" w:rsidP="005140B4">
            <w:pPr>
              <w:pStyle w:val="Tabletextheading"/>
              <w:rPr>
                <w:lang w:eastAsia="en-AU"/>
              </w:rPr>
            </w:pPr>
            <w:r w:rsidRPr="00773596">
              <w:rPr>
                <w:lang w:eastAsia="en-AU"/>
              </w:rPr>
              <w:t>2012</w:t>
            </w:r>
            <w:r>
              <w:rPr>
                <w:lang w:eastAsia="en-AU"/>
              </w:rPr>
              <w:noBreakHyphen/>
            </w:r>
            <w:r w:rsidRPr="00773596">
              <w:rPr>
                <w:lang w:eastAsia="en-AU"/>
              </w:rPr>
              <w:t>13</w:t>
            </w:r>
          </w:p>
        </w:tc>
      </w:tr>
      <w:tr w:rsidR="00A53D7D" w:rsidRPr="00204234" w:rsidTr="005140B4">
        <w:trPr>
          <w:cantSplit/>
          <w:tblHeader/>
        </w:trPr>
        <w:tc>
          <w:tcPr>
            <w:tcW w:w="3155" w:type="dxa"/>
            <w:tcBorders>
              <w:top w:val="single" w:sz="4" w:space="0" w:color="auto"/>
              <w:left w:val="single" w:sz="4" w:space="0" w:color="000000"/>
              <w:right w:val="single" w:sz="4" w:space="0" w:color="000000"/>
            </w:tcBorders>
            <w:shd w:val="clear" w:color="000000" w:fill="000000"/>
            <w:hideMark/>
          </w:tcPr>
          <w:p w:rsidR="00A53D7D" w:rsidRPr="00204234" w:rsidRDefault="00A53D7D" w:rsidP="005140B4">
            <w:pPr>
              <w:pStyle w:val="Tabletextheadingleft"/>
              <w:rPr>
                <w:lang w:eastAsia="en-AU"/>
              </w:rPr>
            </w:pPr>
            <w:r w:rsidRPr="00204234">
              <w:rPr>
                <w:lang w:eastAsia="en-AU"/>
              </w:rPr>
              <w:t>Performance measures</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centred"/>
              <w:rPr>
                <w:lang w:eastAsia="en-AU"/>
              </w:rPr>
            </w:pPr>
            <w:r w:rsidRPr="00773596">
              <w:t>measure</w:t>
            </w:r>
          </w:p>
        </w:tc>
        <w:tc>
          <w:tcPr>
            <w:tcW w:w="907" w:type="dxa"/>
            <w:tcBorders>
              <w:top w:val="single" w:sz="4" w:space="0" w:color="auto"/>
              <w:left w:val="nil"/>
              <w:right w:val="single" w:sz="4" w:space="0" w:color="000000"/>
            </w:tcBorders>
            <w:shd w:val="clear" w:color="auto" w:fill="000000" w:themeFill="text1"/>
            <w:hideMark/>
          </w:tcPr>
          <w:p w:rsidR="00A53D7D" w:rsidRPr="00773596" w:rsidRDefault="00A53D7D" w:rsidP="005140B4">
            <w:pPr>
              <w:pStyle w:val="Tabletextheading"/>
              <w:rPr>
                <w:lang w:eastAsia="en-AU"/>
              </w:rPr>
            </w:pPr>
            <w:r w:rsidRPr="00773596">
              <w:rPr>
                <w:lang w:eastAsia="en-AU"/>
              </w:rPr>
              <w:t>Target</w:t>
            </w:r>
          </w:p>
        </w:tc>
        <w:tc>
          <w:tcPr>
            <w:tcW w:w="993"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Outcome</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color w:val="FFFFFF"/>
                <w:lang w:eastAsia="en-AU"/>
              </w:rPr>
            </w:pPr>
            <w:r w:rsidRPr="00773596">
              <w:rPr>
                <w:color w:val="FFFFFF"/>
                <w:lang w:eastAsia="en-AU"/>
              </w:rPr>
              <w:t>Target</w:t>
            </w:r>
          </w:p>
        </w:tc>
        <w:tc>
          <w:tcPr>
            <w:tcW w:w="907" w:type="dxa"/>
            <w:tcBorders>
              <w:top w:val="single" w:sz="4" w:space="0" w:color="auto"/>
              <w:left w:val="nil"/>
              <w:right w:val="single" w:sz="4" w:space="0" w:color="000000"/>
            </w:tcBorders>
            <w:shd w:val="clear" w:color="000000" w:fill="000000"/>
            <w:hideMark/>
          </w:tcPr>
          <w:p w:rsidR="00A53D7D" w:rsidRPr="00773596" w:rsidRDefault="00A53D7D" w:rsidP="005140B4">
            <w:pPr>
              <w:pStyle w:val="Tabletextheading"/>
              <w:rPr>
                <w:lang w:eastAsia="en-AU"/>
              </w:rPr>
            </w:pPr>
            <w:r w:rsidRPr="00773596">
              <w:rPr>
                <w:lang w:eastAsia="en-AU"/>
              </w:rPr>
              <w:t>Actual</w:t>
            </w:r>
          </w:p>
        </w:tc>
      </w:tr>
      <w:tr w:rsidR="00A53D7D" w:rsidRPr="00E76E8E" w:rsidTr="005140B4">
        <w:trPr>
          <w:cantSplit/>
        </w:trPr>
        <w:tc>
          <w:tcPr>
            <w:tcW w:w="7776" w:type="dxa"/>
            <w:gridSpan w:val="6"/>
            <w:tcBorders>
              <w:bottom w:val="single" w:sz="6" w:space="0" w:color="auto"/>
            </w:tcBorders>
          </w:tcPr>
          <w:p w:rsidR="00A53D7D" w:rsidRPr="003B42E8" w:rsidRDefault="00A53D7D" w:rsidP="005140B4">
            <w:pPr>
              <w:pStyle w:val="OGHeading2"/>
              <w:rPr>
                <w:lang w:eastAsia="en-AU"/>
              </w:rPr>
            </w:pPr>
            <w:r w:rsidRPr="005B30D6">
              <w:t>Transport Safety Regulation and Investigations</w:t>
            </w:r>
          </w:p>
        </w:tc>
      </w:tr>
      <w:tr w:rsidR="00A53D7D" w:rsidRPr="00E76E8E" w:rsidTr="005140B4">
        <w:trPr>
          <w:cantSplit/>
        </w:trPr>
        <w:tc>
          <w:tcPr>
            <w:tcW w:w="3155" w:type="dxa"/>
            <w:tcBorders>
              <w:top w:val="single" w:sz="6" w:space="0" w:color="auto"/>
            </w:tcBorders>
          </w:tcPr>
          <w:p w:rsidR="00A53D7D" w:rsidRPr="00911402" w:rsidRDefault="00A53D7D" w:rsidP="005140B4">
            <w:pPr>
              <w:pStyle w:val="OGTabHead"/>
              <w:rPr>
                <w:lang w:eastAsia="en-AU"/>
              </w:rPr>
            </w:pPr>
            <w:r w:rsidRPr="00911402">
              <w:rPr>
                <w:lang w:eastAsia="en-AU"/>
              </w:rPr>
              <w:t>Quantity</w:t>
            </w:r>
          </w:p>
        </w:tc>
        <w:tc>
          <w:tcPr>
            <w:tcW w:w="907" w:type="dxa"/>
            <w:tcBorders>
              <w:top w:val="single" w:sz="6" w:space="0" w:color="auto"/>
            </w:tcBorders>
            <w:noWrap/>
          </w:tcPr>
          <w:p w:rsidR="00A53D7D" w:rsidRPr="003B42E8" w:rsidRDefault="00A53D7D" w:rsidP="005140B4">
            <w:pPr>
              <w:pStyle w:val="OGUoM"/>
              <w:rPr>
                <w:lang w:eastAsia="en-AU"/>
              </w:rPr>
            </w:pPr>
          </w:p>
        </w:tc>
        <w:tc>
          <w:tcPr>
            <w:tcW w:w="907" w:type="dxa"/>
            <w:tcBorders>
              <w:top w:val="single" w:sz="6" w:space="0" w:color="auto"/>
            </w:tcBorders>
            <w:shd w:val="clear" w:color="auto" w:fill="D9D9D9"/>
            <w:noWrap/>
          </w:tcPr>
          <w:p w:rsidR="00A53D7D" w:rsidRPr="003D5A00" w:rsidRDefault="00A53D7D" w:rsidP="005140B4">
            <w:pPr>
              <w:pStyle w:val="OGTableofFigures"/>
              <w:rPr>
                <w:lang w:eastAsia="en-AU"/>
              </w:rPr>
            </w:pPr>
          </w:p>
        </w:tc>
        <w:tc>
          <w:tcPr>
            <w:tcW w:w="993" w:type="dxa"/>
            <w:tcBorders>
              <w:top w:val="single" w:sz="6" w:space="0" w:color="auto"/>
            </w:tcBorders>
            <w:noWrap/>
          </w:tcPr>
          <w:p w:rsidR="00A53D7D" w:rsidRDefault="00A53D7D" w:rsidP="005140B4">
            <w:pPr>
              <w:pStyle w:val="OGTableofFigures"/>
              <w:rPr>
                <w:lang w:eastAsia="en-AU"/>
              </w:rPr>
            </w:pPr>
          </w:p>
        </w:tc>
        <w:tc>
          <w:tcPr>
            <w:tcW w:w="907" w:type="dxa"/>
            <w:tcBorders>
              <w:top w:val="single" w:sz="6" w:space="0" w:color="auto"/>
            </w:tcBorders>
            <w:noWrap/>
          </w:tcPr>
          <w:p w:rsidR="00A53D7D" w:rsidRPr="003B42E8" w:rsidRDefault="00A53D7D" w:rsidP="005140B4">
            <w:pPr>
              <w:pStyle w:val="OGTableofFigures"/>
              <w:rPr>
                <w:lang w:eastAsia="en-AU"/>
              </w:rPr>
            </w:pPr>
          </w:p>
        </w:tc>
        <w:tc>
          <w:tcPr>
            <w:tcW w:w="907" w:type="dxa"/>
            <w:tcBorders>
              <w:top w:val="single" w:sz="6" w:space="0" w:color="auto"/>
            </w:tcBorders>
            <w:noWrap/>
          </w:tcPr>
          <w:p w:rsidR="00A53D7D" w:rsidRPr="003B42E8" w:rsidRDefault="00A53D7D" w:rsidP="005140B4">
            <w:pPr>
              <w:pStyle w:val="OGTableofFigures"/>
              <w:rPr>
                <w:lang w:eastAsia="en-AU"/>
              </w:rPr>
            </w:pPr>
          </w:p>
        </w:tc>
      </w:tr>
      <w:tr w:rsidR="00A53D7D" w:rsidRPr="009B3704" w:rsidTr="005140B4">
        <w:trPr>
          <w:cantSplit/>
        </w:trPr>
        <w:tc>
          <w:tcPr>
            <w:tcW w:w="3155" w:type="dxa"/>
          </w:tcPr>
          <w:p w:rsidR="00A53D7D" w:rsidRPr="00A35B07" w:rsidRDefault="00A53D7D" w:rsidP="005140B4">
            <w:pPr>
              <w:pStyle w:val="OGTabText"/>
              <w:rPr>
                <w:lang w:eastAsia="en-AU"/>
              </w:rPr>
            </w:pPr>
            <w:r w:rsidRPr="00A35B07">
              <w:rPr>
                <w:lang w:eastAsia="en-AU"/>
              </w:rPr>
              <w:t xml:space="preserve">Transport safety regulation: audits conducted to identify gaps between currently deemed accredited bus operators systems and the </w:t>
            </w:r>
            <w:r w:rsidRPr="00A35B07">
              <w:rPr>
                <w:i/>
                <w:lang w:eastAsia="en-AU"/>
              </w:rPr>
              <w:t>Bus Safety Act 2009 (Vic)</w:t>
            </w:r>
            <w:r w:rsidRPr="00A35B07">
              <w:rPr>
                <w:lang w:eastAsia="en-AU"/>
              </w:rPr>
              <w:t xml:space="preserve"> requirements</w:t>
            </w:r>
          </w:p>
        </w:tc>
        <w:tc>
          <w:tcPr>
            <w:tcW w:w="907" w:type="dxa"/>
            <w:noWrap/>
          </w:tcPr>
          <w:p w:rsidR="00A53D7D" w:rsidRPr="00A35B07" w:rsidRDefault="00A53D7D" w:rsidP="005140B4">
            <w:pPr>
              <w:pStyle w:val="OGUoM"/>
              <w:rPr>
                <w:lang w:eastAsia="en-AU"/>
              </w:rPr>
            </w:pPr>
            <w:r w:rsidRPr="00A35B07">
              <w:rPr>
                <w:lang w:eastAsia="en-AU"/>
              </w:rPr>
              <w:t>per cent</w:t>
            </w:r>
          </w:p>
        </w:tc>
        <w:tc>
          <w:tcPr>
            <w:tcW w:w="907" w:type="dxa"/>
            <w:shd w:val="clear" w:color="auto" w:fill="D9D9D9"/>
            <w:noWrap/>
          </w:tcPr>
          <w:p w:rsidR="00A53D7D" w:rsidRPr="00A35B07" w:rsidRDefault="00A53D7D" w:rsidP="005140B4">
            <w:pPr>
              <w:pStyle w:val="OGTableofFigures"/>
              <w:rPr>
                <w:lang w:eastAsia="en-AU"/>
              </w:rPr>
            </w:pPr>
            <w:proofErr w:type="spellStart"/>
            <w:r w:rsidRPr="00A35B07">
              <w:rPr>
                <w:lang w:eastAsia="en-AU"/>
              </w:rPr>
              <w:t>na</w:t>
            </w:r>
            <w:proofErr w:type="spellEnd"/>
          </w:p>
        </w:tc>
        <w:tc>
          <w:tcPr>
            <w:tcW w:w="993" w:type="dxa"/>
            <w:noWrap/>
          </w:tcPr>
          <w:p w:rsidR="00A53D7D" w:rsidRPr="009B3704" w:rsidRDefault="00A53D7D" w:rsidP="005140B4">
            <w:pPr>
              <w:pStyle w:val="OGTableofFigures"/>
              <w:rPr>
                <w:lang w:eastAsia="en-AU"/>
              </w:rPr>
            </w:pPr>
            <w:r>
              <w:rPr>
                <w:lang w:eastAsia="en-AU"/>
              </w:rPr>
              <w:t>20</w:t>
            </w:r>
          </w:p>
        </w:tc>
        <w:tc>
          <w:tcPr>
            <w:tcW w:w="907" w:type="dxa"/>
            <w:noWrap/>
          </w:tcPr>
          <w:p w:rsidR="00A53D7D" w:rsidRPr="009B3704" w:rsidRDefault="00A53D7D" w:rsidP="005140B4">
            <w:pPr>
              <w:pStyle w:val="OGTableofFigures"/>
              <w:rPr>
                <w:lang w:eastAsia="en-AU"/>
              </w:rPr>
            </w:pPr>
            <w:r w:rsidRPr="00B0121A">
              <w:rPr>
                <w:lang w:eastAsia="en-AU"/>
              </w:rPr>
              <w:t>20</w:t>
            </w:r>
          </w:p>
        </w:tc>
        <w:tc>
          <w:tcPr>
            <w:tcW w:w="907" w:type="dxa"/>
            <w:noWrap/>
          </w:tcPr>
          <w:p w:rsidR="00A53D7D" w:rsidRPr="009B3704" w:rsidRDefault="00A53D7D" w:rsidP="005140B4">
            <w:pPr>
              <w:pStyle w:val="OGTableofFigures"/>
              <w:rPr>
                <w:lang w:eastAsia="en-AU"/>
              </w:rPr>
            </w:pPr>
            <w:r w:rsidRPr="00B0121A">
              <w:rPr>
                <w:lang w:eastAsia="en-AU"/>
              </w:rPr>
              <w:t>20</w:t>
            </w:r>
          </w:p>
        </w:tc>
      </w:tr>
      <w:tr w:rsidR="00A53D7D" w:rsidRPr="009B3704" w:rsidTr="005140B4">
        <w:trPr>
          <w:cantSplit/>
        </w:trPr>
        <w:tc>
          <w:tcPr>
            <w:tcW w:w="7776" w:type="dxa"/>
            <w:gridSpan w:val="6"/>
            <w:tcBorders>
              <w:bottom w:val="single" w:sz="6" w:space="0" w:color="auto"/>
            </w:tcBorders>
          </w:tcPr>
          <w:p w:rsidR="00A53D7D" w:rsidRPr="00B0121A" w:rsidRDefault="00A53D7D" w:rsidP="005140B4">
            <w:pPr>
              <w:pStyle w:val="OGNotes"/>
            </w:pPr>
            <w:r w:rsidRPr="00A35B07">
              <w:t>This performance measure is proposed to be discontinued as the gap analysis audit program agreed with industry was completed in 2013</w:t>
            </w:r>
            <w:r>
              <w:noBreakHyphen/>
            </w:r>
            <w:r w:rsidRPr="00A35B07">
              <w:t>14.</w:t>
            </w:r>
          </w:p>
        </w:tc>
      </w:tr>
      <w:tr w:rsidR="00A53D7D" w:rsidRPr="009B3704" w:rsidTr="005140B4">
        <w:trPr>
          <w:cantSplit/>
        </w:trPr>
        <w:tc>
          <w:tcPr>
            <w:tcW w:w="3155" w:type="dxa"/>
            <w:tcBorders>
              <w:top w:val="single" w:sz="6" w:space="0" w:color="auto"/>
            </w:tcBorders>
          </w:tcPr>
          <w:p w:rsidR="00A53D7D" w:rsidRPr="00A35B07" w:rsidRDefault="00A53D7D" w:rsidP="005140B4">
            <w:pPr>
              <w:pStyle w:val="OGTabText"/>
              <w:rPr>
                <w:lang w:eastAsia="en-AU"/>
              </w:rPr>
            </w:pPr>
            <w:r w:rsidRPr="00A35B07">
              <w:rPr>
                <w:lang w:eastAsia="en-AU"/>
              </w:rPr>
              <w:t>Transport safety regulation: applications for bus operators registrations processed on time</w:t>
            </w:r>
          </w:p>
        </w:tc>
        <w:tc>
          <w:tcPr>
            <w:tcW w:w="907" w:type="dxa"/>
            <w:tcBorders>
              <w:top w:val="single" w:sz="6" w:space="0" w:color="auto"/>
            </w:tcBorders>
            <w:noWrap/>
          </w:tcPr>
          <w:p w:rsidR="00A53D7D" w:rsidRPr="00A35B07" w:rsidRDefault="00A53D7D" w:rsidP="005140B4">
            <w:pPr>
              <w:pStyle w:val="OGUoM"/>
              <w:rPr>
                <w:lang w:eastAsia="en-AU"/>
              </w:rPr>
            </w:pPr>
            <w:r w:rsidRPr="00A35B07">
              <w:rPr>
                <w:lang w:eastAsia="en-AU"/>
              </w:rPr>
              <w:t>per cent</w:t>
            </w:r>
          </w:p>
        </w:tc>
        <w:tc>
          <w:tcPr>
            <w:tcW w:w="907" w:type="dxa"/>
            <w:tcBorders>
              <w:top w:val="single" w:sz="6" w:space="0" w:color="auto"/>
            </w:tcBorders>
            <w:shd w:val="clear" w:color="auto" w:fill="D9D9D9"/>
            <w:noWrap/>
          </w:tcPr>
          <w:p w:rsidR="00A53D7D" w:rsidRPr="00A35B07" w:rsidRDefault="00A53D7D" w:rsidP="005140B4">
            <w:pPr>
              <w:pStyle w:val="OGTableofFigures"/>
              <w:rPr>
                <w:lang w:eastAsia="en-AU"/>
              </w:rPr>
            </w:pPr>
            <w:r>
              <w:rPr>
                <w:lang w:eastAsia="en-AU"/>
              </w:rPr>
              <w:t>100</w:t>
            </w:r>
          </w:p>
        </w:tc>
        <w:tc>
          <w:tcPr>
            <w:tcW w:w="993" w:type="dxa"/>
            <w:tcBorders>
              <w:top w:val="single" w:sz="6" w:space="0" w:color="auto"/>
            </w:tcBorders>
            <w:noWrap/>
          </w:tcPr>
          <w:p w:rsidR="00A53D7D" w:rsidRPr="009B3704" w:rsidRDefault="00A53D7D" w:rsidP="005140B4">
            <w:pPr>
              <w:pStyle w:val="OGTableofFigures"/>
              <w:rPr>
                <w:lang w:eastAsia="en-AU"/>
              </w:rPr>
            </w:pPr>
            <w:r>
              <w:rPr>
                <w:lang w:eastAsia="en-AU"/>
              </w:rPr>
              <w:t>100</w:t>
            </w:r>
          </w:p>
        </w:tc>
        <w:tc>
          <w:tcPr>
            <w:tcW w:w="907" w:type="dxa"/>
            <w:tcBorders>
              <w:top w:val="single" w:sz="6" w:space="0" w:color="auto"/>
            </w:tcBorders>
            <w:noWrap/>
          </w:tcPr>
          <w:p w:rsidR="00A53D7D" w:rsidRPr="009B3704" w:rsidRDefault="00A53D7D" w:rsidP="005140B4">
            <w:pPr>
              <w:pStyle w:val="OGTableofFigures"/>
              <w:rPr>
                <w:lang w:eastAsia="en-AU"/>
              </w:rPr>
            </w:pPr>
            <w:r>
              <w:rPr>
                <w:lang w:eastAsia="en-AU"/>
              </w:rPr>
              <w:t>100</w:t>
            </w:r>
          </w:p>
        </w:tc>
        <w:tc>
          <w:tcPr>
            <w:tcW w:w="907" w:type="dxa"/>
            <w:tcBorders>
              <w:top w:val="single" w:sz="6" w:space="0" w:color="auto"/>
            </w:tcBorders>
            <w:noWrap/>
          </w:tcPr>
          <w:p w:rsidR="00A53D7D" w:rsidRPr="009B3704" w:rsidRDefault="00A53D7D" w:rsidP="005140B4">
            <w:pPr>
              <w:pStyle w:val="OGTableofFigures"/>
              <w:rPr>
                <w:lang w:eastAsia="en-AU"/>
              </w:rPr>
            </w:pPr>
            <w:r>
              <w:rPr>
                <w:lang w:eastAsia="en-AU"/>
              </w:rPr>
              <w:t>100</w:t>
            </w:r>
          </w:p>
        </w:tc>
      </w:tr>
      <w:tr w:rsidR="00A53D7D" w:rsidRPr="009B3704" w:rsidTr="005140B4">
        <w:trPr>
          <w:cantSplit/>
        </w:trPr>
        <w:tc>
          <w:tcPr>
            <w:tcW w:w="7776" w:type="dxa"/>
            <w:gridSpan w:val="6"/>
            <w:tcBorders>
              <w:bottom w:val="single" w:sz="6" w:space="0" w:color="auto"/>
            </w:tcBorders>
          </w:tcPr>
          <w:p w:rsidR="00A53D7D" w:rsidRDefault="00A53D7D" w:rsidP="005140B4">
            <w:pPr>
              <w:pStyle w:val="OGNotes"/>
            </w:pPr>
            <w:r w:rsidRPr="00A35B07">
              <w:t>This performance measure is proposed to be discontinued as it has been replaced by the 2014</w:t>
            </w:r>
            <w:r>
              <w:noBreakHyphen/>
            </w:r>
            <w:r w:rsidRPr="00A35B07">
              <w:t xml:space="preserve">15 performance measure ‘Transport safety regulation: applications for bus operator registration and safety </w:t>
            </w:r>
            <w:r>
              <w:t xml:space="preserve">accreditation </w:t>
            </w:r>
            <w:r w:rsidRPr="00A35B07">
              <w:t xml:space="preserve">processed on time in accordance with </w:t>
            </w:r>
            <w:r w:rsidRPr="00CD70AE">
              <w:rPr>
                <w:i w:val="0"/>
              </w:rPr>
              <w:t>Bus Safety Act 2009</w:t>
            </w:r>
            <w:r w:rsidRPr="007A5FD6">
              <w:rPr>
                <w:i w:val="0"/>
              </w:rPr>
              <w:t xml:space="preserve"> (Vic)</w:t>
            </w:r>
            <w:r w:rsidRPr="00A35B07">
              <w:t xml:space="preserve"> requirements’.</w:t>
            </w:r>
            <w:r>
              <w:t xml:space="preserve"> The target for 2014</w:t>
            </w:r>
            <w:r>
              <w:noBreakHyphen/>
              <w:t>15 is included to indicate what the target would have been had the measure been continued.</w:t>
            </w:r>
          </w:p>
        </w:tc>
      </w:tr>
      <w:tr w:rsidR="00A53D7D" w:rsidRPr="009B3704" w:rsidTr="005140B4">
        <w:trPr>
          <w:cantSplit/>
        </w:trPr>
        <w:tc>
          <w:tcPr>
            <w:tcW w:w="3155" w:type="dxa"/>
            <w:tcBorders>
              <w:top w:val="single" w:sz="6" w:space="0" w:color="auto"/>
            </w:tcBorders>
          </w:tcPr>
          <w:p w:rsidR="00A53D7D" w:rsidRPr="00A35B07" w:rsidRDefault="00A53D7D" w:rsidP="005140B4">
            <w:pPr>
              <w:pStyle w:val="OGTabText"/>
              <w:rPr>
                <w:lang w:eastAsia="en-AU"/>
              </w:rPr>
            </w:pPr>
            <w:r w:rsidRPr="00A35B07">
              <w:rPr>
                <w:lang w:eastAsia="en-AU"/>
              </w:rPr>
              <w:t>Transport safety regulation: applications for bus safety accreditation processed on time</w:t>
            </w:r>
          </w:p>
        </w:tc>
        <w:tc>
          <w:tcPr>
            <w:tcW w:w="907" w:type="dxa"/>
            <w:tcBorders>
              <w:top w:val="single" w:sz="6" w:space="0" w:color="auto"/>
            </w:tcBorders>
            <w:noWrap/>
          </w:tcPr>
          <w:p w:rsidR="00A53D7D" w:rsidRPr="00A35B07" w:rsidRDefault="00A53D7D" w:rsidP="005140B4">
            <w:pPr>
              <w:pStyle w:val="OGUoM"/>
              <w:rPr>
                <w:lang w:eastAsia="en-AU"/>
              </w:rPr>
            </w:pPr>
            <w:r w:rsidRPr="00A35B07">
              <w:rPr>
                <w:lang w:eastAsia="en-AU"/>
              </w:rPr>
              <w:t>per cent</w:t>
            </w:r>
          </w:p>
        </w:tc>
        <w:tc>
          <w:tcPr>
            <w:tcW w:w="907" w:type="dxa"/>
            <w:tcBorders>
              <w:top w:val="single" w:sz="6" w:space="0" w:color="auto"/>
            </w:tcBorders>
            <w:shd w:val="clear" w:color="auto" w:fill="D9D9D9"/>
            <w:noWrap/>
          </w:tcPr>
          <w:p w:rsidR="00A53D7D" w:rsidRPr="00A35B07" w:rsidRDefault="00A53D7D" w:rsidP="005140B4">
            <w:pPr>
              <w:pStyle w:val="OGTableofFigures"/>
              <w:rPr>
                <w:lang w:eastAsia="en-AU"/>
              </w:rPr>
            </w:pPr>
            <w:r>
              <w:rPr>
                <w:lang w:eastAsia="en-AU"/>
              </w:rPr>
              <w:t>100</w:t>
            </w:r>
          </w:p>
        </w:tc>
        <w:tc>
          <w:tcPr>
            <w:tcW w:w="993" w:type="dxa"/>
            <w:tcBorders>
              <w:top w:val="single" w:sz="6" w:space="0" w:color="auto"/>
            </w:tcBorders>
            <w:noWrap/>
          </w:tcPr>
          <w:p w:rsidR="00A53D7D" w:rsidRPr="009B3704" w:rsidRDefault="00A53D7D" w:rsidP="005140B4">
            <w:pPr>
              <w:pStyle w:val="OGTableofFigures"/>
              <w:rPr>
                <w:lang w:eastAsia="en-AU"/>
              </w:rPr>
            </w:pPr>
            <w:r>
              <w:rPr>
                <w:lang w:eastAsia="en-AU"/>
              </w:rPr>
              <w:t>100</w:t>
            </w:r>
          </w:p>
        </w:tc>
        <w:tc>
          <w:tcPr>
            <w:tcW w:w="907" w:type="dxa"/>
            <w:tcBorders>
              <w:top w:val="single" w:sz="6" w:space="0" w:color="auto"/>
            </w:tcBorders>
            <w:noWrap/>
          </w:tcPr>
          <w:p w:rsidR="00A53D7D" w:rsidRPr="009B3704" w:rsidRDefault="00A53D7D" w:rsidP="005140B4">
            <w:pPr>
              <w:pStyle w:val="OGTableofFigures"/>
              <w:rPr>
                <w:lang w:eastAsia="en-AU"/>
              </w:rPr>
            </w:pPr>
            <w:r>
              <w:rPr>
                <w:lang w:eastAsia="en-AU"/>
              </w:rPr>
              <w:t>100</w:t>
            </w:r>
          </w:p>
        </w:tc>
        <w:tc>
          <w:tcPr>
            <w:tcW w:w="907" w:type="dxa"/>
            <w:tcBorders>
              <w:top w:val="single" w:sz="6" w:space="0" w:color="auto"/>
            </w:tcBorders>
            <w:noWrap/>
          </w:tcPr>
          <w:p w:rsidR="00A53D7D" w:rsidRPr="009B3704" w:rsidRDefault="00A53D7D" w:rsidP="005140B4">
            <w:pPr>
              <w:pStyle w:val="OGTableofFigures"/>
              <w:rPr>
                <w:lang w:eastAsia="en-AU"/>
              </w:rPr>
            </w:pPr>
            <w:r>
              <w:rPr>
                <w:lang w:eastAsia="en-AU"/>
              </w:rPr>
              <w:t>100</w:t>
            </w:r>
          </w:p>
        </w:tc>
      </w:tr>
      <w:tr w:rsidR="00A53D7D" w:rsidRPr="009B3704" w:rsidTr="005140B4">
        <w:trPr>
          <w:cantSplit/>
        </w:trPr>
        <w:tc>
          <w:tcPr>
            <w:tcW w:w="7776" w:type="dxa"/>
            <w:gridSpan w:val="6"/>
            <w:tcBorders>
              <w:bottom w:val="single" w:sz="6" w:space="0" w:color="auto"/>
            </w:tcBorders>
          </w:tcPr>
          <w:p w:rsidR="00A53D7D" w:rsidRDefault="00A53D7D" w:rsidP="005140B4">
            <w:pPr>
              <w:pStyle w:val="OGNotes"/>
            </w:pPr>
            <w:r w:rsidRPr="00A35B07">
              <w:t>This performance measure is proposed to be discontinued as it has been replaced by the 2014</w:t>
            </w:r>
            <w:r>
              <w:noBreakHyphen/>
            </w:r>
            <w:r w:rsidRPr="00A35B07">
              <w:t xml:space="preserve">15 performance measure ‘Transport safety regulation: applications for bus operator registration and safety accreditation processed on time in accordance with </w:t>
            </w:r>
            <w:r w:rsidRPr="00CD70AE">
              <w:rPr>
                <w:i w:val="0"/>
              </w:rPr>
              <w:t>Bus Safety Act 2009</w:t>
            </w:r>
            <w:r w:rsidRPr="007A5FD6">
              <w:rPr>
                <w:i w:val="0"/>
              </w:rPr>
              <w:t xml:space="preserve"> (Vic)</w:t>
            </w:r>
            <w:r w:rsidRPr="00A35B07">
              <w:t xml:space="preserve"> requirements’.</w:t>
            </w:r>
            <w:r>
              <w:t xml:space="preserve"> The target for 2014</w:t>
            </w:r>
            <w:r>
              <w:noBreakHyphen/>
              <w:t>15 is included to indicate what the target would have been had the measure been continued.</w:t>
            </w:r>
          </w:p>
        </w:tc>
      </w:tr>
      <w:tr w:rsidR="00A53D7D" w:rsidRPr="009B3704" w:rsidTr="005140B4">
        <w:trPr>
          <w:cantSplit/>
        </w:trPr>
        <w:tc>
          <w:tcPr>
            <w:tcW w:w="3155" w:type="dxa"/>
            <w:tcBorders>
              <w:top w:val="single" w:sz="6" w:space="0" w:color="auto"/>
            </w:tcBorders>
          </w:tcPr>
          <w:p w:rsidR="00A53D7D" w:rsidRPr="00A35B07" w:rsidRDefault="00A53D7D" w:rsidP="005140B4">
            <w:pPr>
              <w:pStyle w:val="OGTabText"/>
              <w:rPr>
                <w:lang w:eastAsia="en-AU"/>
              </w:rPr>
            </w:pPr>
            <w:r w:rsidRPr="00A35B07">
              <w:rPr>
                <w:lang w:eastAsia="en-AU"/>
              </w:rPr>
              <w:t>Transport safety regulation: bus safety improvement notices addressed within specified timeframes by accredited bus operators</w:t>
            </w:r>
          </w:p>
        </w:tc>
        <w:tc>
          <w:tcPr>
            <w:tcW w:w="907" w:type="dxa"/>
            <w:tcBorders>
              <w:top w:val="single" w:sz="6" w:space="0" w:color="auto"/>
            </w:tcBorders>
            <w:noWrap/>
          </w:tcPr>
          <w:p w:rsidR="00A53D7D" w:rsidRPr="00A35B07" w:rsidRDefault="00A53D7D" w:rsidP="005140B4">
            <w:pPr>
              <w:pStyle w:val="OGUoM"/>
              <w:rPr>
                <w:lang w:eastAsia="en-AU"/>
              </w:rPr>
            </w:pPr>
            <w:r w:rsidRPr="00A35B07">
              <w:rPr>
                <w:lang w:eastAsia="en-AU"/>
              </w:rPr>
              <w:t>per cent</w:t>
            </w:r>
          </w:p>
        </w:tc>
        <w:tc>
          <w:tcPr>
            <w:tcW w:w="907" w:type="dxa"/>
            <w:tcBorders>
              <w:top w:val="single" w:sz="6" w:space="0" w:color="auto"/>
            </w:tcBorders>
            <w:shd w:val="clear" w:color="auto" w:fill="D9D9D9"/>
            <w:noWrap/>
          </w:tcPr>
          <w:p w:rsidR="00A53D7D" w:rsidRPr="00A35B07" w:rsidRDefault="00A53D7D" w:rsidP="005140B4">
            <w:pPr>
              <w:pStyle w:val="OGTableofFigures"/>
              <w:rPr>
                <w:lang w:eastAsia="en-AU"/>
              </w:rPr>
            </w:pPr>
            <w:r>
              <w:rPr>
                <w:lang w:eastAsia="en-AU"/>
              </w:rPr>
              <w:t>100</w:t>
            </w:r>
          </w:p>
        </w:tc>
        <w:tc>
          <w:tcPr>
            <w:tcW w:w="993" w:type="dxa"/>
            <w:tcBorders>
              <w:top w:val="single" w:sz="6" w:space="0" w:color="auto"/>
            </w:tcBorders>
            <w:noWrap/>
          </w:tcPr>
          <w:p w:rsidR="00A53D7D" w:rsidRPr="009B3704" w:rsidRDefault="00A53D7D" w:rsidP="005140B4">
            <w:pPr>
              <w:pStyle w:val="OGTableofFigures"/>
              <w:rPr>
                <w:lang w:eastAsia="en-AU"/>
              </w:rPr>
            </w:pPr>
            <w:r>
              <w:rPr>
                <w:lang w:eastAsia="en-AU"/>
              </w:rPr>
              <w:t>100</w:t>
            </w:r>
          </w:p>
        </w:tc>
        <w:tc>
          <w:tcPr>
            <w:tcW w:w="907" w:type="dxa"/>
            <w:tcBorders>
              <w:top w:val="single" w:sz="6" w:space="0" w:color="auto"/>
            </w:tcBorders>
            <w:noWrap/>
          </w:tcPr>
          <w:p w:rsidR="00A53D7D" w:rsidRPr="009B3704" w:rsidRDefault="00A53D7D" w:rsidP="005140B4">
            <w:pPr>
              <w:pStyle w:val="OGTableofFigures"/>
              <w:rPr>
                <w:lang w:eastAsia="en-AU"/>
              </w:rPr>
            </w:pPr>
            <w:r>
              <w:rPr>
                <w:lang w:eastAsia="en-AU"/>
              </w:rPr>
              <w:t>100</w:t>
            </w:r>
          </w:p>
        </w:tc>
        <w:tc>
          <w:tcPr>
            <w:tcW w:w="907" w:type="dxa"/>
            <w:tcBorders>
              <w:top w:val="single" w:sz="6" w:space="0" w:color="auto"/>
            </w:tcBorders>
            <w:noWrap/>
          </w:tcPr>
          <w:p w:rsidR="00A53D7D" w:rsidRPr="009B3704" w:rsidRDefault="00A53D7D" w:rsidP="005140B4">
            <w:pPr>
              <w:pStyle w:val="OGTableofFigures"/>
              <w:rPr>
                <w:lang w:eastAsia="en-AU"/>
              </w:rPr>
            </w:pPr>
            <w:r>
              <w:rPr>
                <w:lang w:eastAsia="en-AU"/>
              </w:rPr>
              <w:t>100</w:t>
            </w:r>
          </w:p>
        </w:tc>
      </w:tr>
      <w:tr w:rsidR="00A53D7D" w:rsidRPr="009B3704" w:rsidTr="005140B4">
        <w:trPr>
          <w:cantSplit/>
        </w:trPr>
        <w:tc>
          <w:tcPr>
            <w:tcW w:w="7776" w:type="dxa"/>
            <w:gridSpan w:val="6"/>
            <w:tcBorders>
              <w:bottom w:val="single" w:sz="6" w:space="0" w:color="auto"/>
            </w:tcBorders>
          </w:tcPr>
          <w:p w:rsidR="00A53D7D" w:rsidRDefault="00A53D7D" w:rsidP="005140B4">
            <w:pPr>
              <w:pStyle w:val="OGNotes"/>
            </w:pPr>
            <w:r w:rsidRPr="00A35B07">
              <w:t xml:space="preserve">This performance measure is proposed to be discontinued as it is the bus operators' responsibilities to address the bus safety improvement notices within </w:t>
            </w:r>
            <w:r>
              <w:t xml:space="preserve">the </w:t>
            </w:r>
            <w:r w:rsidRPr="00A35B07">
              <w:t>specified timeframe as per legislation.</w:t>
            </w:r>
            <w:r>
              <w:t xml:space="preserve"> The target for 2014</w:t>
            </w:r>
            <w:r>
              <w:noBreakHyphen/>
              <w:t>15 is included to indicate what the target would have been had the measure been continued.</w:t>
            </w:r>
          </w:p>
        </w:tc>
      </w:tr>
      <w:tr w:rsidR="00A53D7D" w:rsidRPr="009B3704" w:rsidTr="005140B4">
        <w:trPr>
          <w:cantSplit/>
        </w:trPr>
        <w:tc>
          <w:tcPr>
            <w:tcW w:w="7776" w:type="dxa"/>
            <w:gridSpan w:val="6"/>
            <w:tcBorders>
              <w:top w:val="single" w:sz="6" w:space="0" w:color="auto"/>
              <w:bottom w:val="single" w:sz="6" w:space="0" w:color="auto"/>
            </w:tcBorders>
          </w:tcPr>
          <w:p w:rsidR="00A53D7D" w:rsidRDefault="00A53D7D" w:rsidP="005140B4">
            <w:pPr>
              <w:pStyle w:val="OGHeading2"/>
              <w:rPr>
                <w:lang w:eastAsia="en-AU"/>
              </w:rPr>
            </w:pPr>
            <w:r w:rsidRPr="00A35B07">
              <w:rPr>
                <w:lang w:eastAsia="en-AU"/>
              </w:rPr>
              <w:t>Public Transport Network Improvements and Maintenance</w:t>
            </w:r>
          </w:p>
        </w:tc>
      </w:tr>
      <w:tr w:rsidR="00A53D7D" w:rsidRPr="00E76E8E" w:rsidTr="005140B4">
        <w:trPr>
          <w:cantSplit/>
        </w:trPr>
        <w:tc>
          <w:tcPr>
            <w:tcW w:w="3155" w:type="dxa"/>
            <w:tcBorders>
              <w:top w:val="single" w:sz="6" w:space="0" w:color="auto"/>
            </w:tcBorders>
          </w:tcPr>
          <w:p w:rsidR="00A53D7D" w:rsidRPr="00A35B07" w:rsidRDefault="00A53D7D" w:rsidP="005140B4">
            <w:pPr>
              <w:pStyle w:val="OGTabHead"/>
              <w:rPr>
                <w:lang w:eastAsia="en-AU"/>
              </w:rPr>
            </w:pPr>
            <w:r w:rsidRPr="00A35B07">
              <w:rPr>
                <w:lang w:eastAsia="en-AU"/>
              </w:rPr>
              <w:t>Timeliness</w:t>
            </w:r>
          </w:p>
        </w:tc>
        <w:tc>
          <w:tcPr>
            <w:tcW w:w="907" w:type="dxa"/>
            <w:tcBorders>
              <w:top w:val="single" w:sz="6" w:space="0" w:color="auto"/>
            </w:tcBorders>
            <w:noWrap/>
          </w:tcPr>
          <w:p w:rsidR="00A53D7D" w:rsidRPr="00A35B07" w:rsidRDefault="00A53D7D" w:rsidP="005140B4">
            <w:pPr>
              <w:pStyle w:val="OGUoM"/>
              <w:rPr>
                <w:color w:val="000000"/>
                <w:szCs w:val="20"/>
                <w:lang w:eastAsia="en-AU"/>
              </w:rPr>
            </w:pPr>
            <w:r w:rsidRPr="00A35B07">
              <w:rPr>
                <w:color w:val="000000"/>
                <w:szCs w:val="20"/>
                <w:lang w:eastAsia="en-AU"/>
              </w:rPr>
              <w:t> </w:t>
            </w:r>
          </w:p>
        </w:tc>
        <w:tc>
          <w:tcPr>
            <w:tcW w:w="907" w:type="dxa"/>
            <w:tcBorders>
              <w:top w:val="single" w:sz="6" w:space="0" w:color="auto"/>
            </w:tcBorders>
            <w:shd w:val="clear" w:color="auto" w:fill="D9D9D9"/>
            <w:noWrap/>
          </w:tcPr>
          <w:p w:rsidR="00A53D7D" w:rsidRPr="00A35B07" w:rsidRDefault="00A53D7D" w:rsidP="005140B4">
            <w:pPr>
              <w:pStyle w:val="OGTableofFigures"/>
              <w:rPr>
                <w:szCs w:val="20"/>
                <w:lang w:eastAsia="en-AU"/>
              </w:rPr>
            </w:pPr>
            <w:r w:rsidRPr="00A35B07">
              <w:rPr>
                <w:szCs w:val="20"/>
                <w:lang w:eastAsia="en-AU"/>
              </w:rPr>
              <w:t> </w:t>
            </w:r>
          </w:p>
        </w:tc>
        <w:tc>
          <w:tcPr>
            <w:tcW w:w="993" w:type="dxa"/>
            <w:tcBorders>
              <w:top w:val="single" w:sz="6" w:space="0" w:color="auto"/>
            </w:tcBorders>
            <w:noWrap/>
          </w:tcPr>
          <w:p w:rsidR="00A53D7D" w:rsidRPr="00243B2B" w:rsidRDefault="00A53D7D" w:rsidP="005140B4">
            <w:pPr>
              <w:pStyle w:val="OGTableofFigures"/>
              <w:rPr>
                <w:szCs w:val="20"/>
                <w:lang w:eastAsia="en-AU"/>
              </w:rPr>
            </w:pPr>
            <w:r w:rsidRPr="00243B2B">
              <w:rPr>
                <w:szCs w:val="20"/>
                <w:lang w:eastAsia="en-AU"/>
              </w:rPr>
              <w:t> </w:t>
            </w:r>
          </w:p>
        </w:tc>
        <w:tc>
          <w:tcPr>
            <w:tcW w:w="907" w:type="dxa"/>
            <w:tcBorders>
              <w:top w:val="single" w:sz="6" w:space="0" w:color="auto"/>
            </w:tcBorders>
            <w:noWrap/>
          </w:tcPr>
          <w:p w:rsidR="00A53D7D" w:rsidRPr="00243B2B" w:rsidRDefault="00A53D7D" w:rsidP="005140B4">
            <w:pPr>
              <w:pStyle w:val="OGTableofFigures"/>
              <w:rPr>
                <w:szCs w:val="20"/>
                <w:lang w:eastAsia="en-AU"/>
              </w:rPr>
            </w:pPr>
            <w:r w:rsidRPr="00243B2B">
              <w:rPr>
                <w:szCs w:val="20"/>
                <w:lang w:eastAsia="en-AU"/>
              </w:rPr>
              <w:t> </w:t>
            </w:r>
          </w:p>
        </w:tc>
        <w:tc>
          <w:tcPr>
            <w:tcW w:w="907" w:type="dxa"/>
            <w:tcBorders>
              <w:top w:val="single" w:sz="6" w:space="0" w:color="auto"/>
            </w:tcBorders>
            <w:noWrap/>
          </w:tcPr>
          <w:p w:rsidR="00A53D7D" w:rsidRPr="00E76E8E" w:rsidRDefault="00A53D7D" w:rsidP="005140B4">
            <w:pPr>
              <w:pStyle w:val="OGTableofFigures"/>
              <w:rPr>
                <w:szCs w:val="20"/>
                <w:lang w:eastAsia="en-AU"/>
              </w:rPr>
            </w:pPr>
            <w:r w:rsidRPr="00E76E8E">
              <w:rPr>
                <w:szCs w:val="20"/>
                <w:lang w:eastAsia="en-AU"/>
              </w:rPr>
              <w:t> </w:t>
            </w:r>
          </w:p>
        </w:tc>
      </w:tr>
      <w:tr w:rsidR="00A53D7D" w:rsidRPr="00E76E8E" w:rsidTr="005140B4">
        <w:trPr>
          <w:cantSplit/>
        </w:trPr>
        <w:tc>
          <w:tcPr>
            <w:tcW w:w="3155" w:type="dxa"/>
          </w:tcPr>
          <w:p w:rsidR="00A53D7D" w:rsidRPr="00A35B07" w:rsidRDefault="00A53D7D" w:rsidP="005140B4">
            <w:pPr>
              <w:pStyle w:val="OGTabText"/>
              <w:rPr>
                <w:lang w:eastAsia="en-AU"/>
              </w:rPr>
            </w:pPr>
            <w:r w:rsidRPr="00A35B07">
              <w:rPr>
                <w:lang w:eastAsia="en-AU"/>
              </w:rPr>
              <w:t>Doncaster Area Rapid Transit (DART): construction works completed for all on</w:t>
            </w:r>
            <w:r>
              <w:rPr>
                <w:lang w:eastAsia="en-AU"/>
              </w:rPr>
              <w:noBreakHyphen/>
            </w:r>
            <w:r w:rsidRPr="00A35B07">
              <w:rPr>
                <w:lang w:eastAsia="en-AU"/>
              </w:rPr>
              <w:t>road bus priority treatments</w:t>
            </w:r>
          </w:p>
        </w:tc>
        <w:tc>
          <w:tcPr>
            <w:tcW w:w="907" w:type="dxa"/>
            <w:noWrap/>
          </w:tcPr>
          <w:p w:rsidR="00A53D7D" w:rsidRPr="00A35B07" w:rsidRDefault="00A53D7D" w:rsidP="005140B4">
            <w:pPr>
              <w:pStyle w:val="OGUoM"/>
              <w:rPr>
                <w:lang w:eastAsia="en-AU"/>
              </w:rPr>
            </w:pPr>
            <w:r w:rsidRPr="00A35B07">
              <w:rPr>
                <w:lang w:eastAsia="en-AU"/>
              </w:rPr>
              <w:t>date</w:t>
            </w:r>
          </w:p>
        </w:tc>
        <w:tc>
          <w:tcPr>
            <w:tcW w:w="907" w:type="dxa"/>
            <w:shd w:val="clear" w:color="auto" w:fill="D9D9D9"/>
            <w:noWrap/>
          </w:tcPr>
          <w:p w:rsidR="00A53D7D" w:rsidRPr="00A35B07" w:rsidRDefault="00A53D7D" w:rsidP="005140B4">
            <w:pPr>
              <w:pStyle w:val="OGTableofFigures"/>
              <w:rPr>
                <w:lang w:eastAsia="en-AU"/>
              </w:rPr>
            </w:pPr>
            <w:proofErr w:type="spellStart"/>
            <w:r>
              <w:rPr>
                <w:lang w:eastAsia="en-AU"/>
              </w:rPr>
              <w:t>na</w:t>
            </w:r>
            <w:proofErr w:type="spellEnd"/>
          </w:p>
        </w:tc>
        <w:tc>
          <w:tcPr>
            <w:tcW w:w="993" w:type="dxa"/>
            <w:noWrap/>
          </w:tcPr>
          <w:p w:rsidR="00A53D7D" w:rsidRPr="00243B2B" w:rsidRDefault="00A53D7D" w:rsidP="005140B4">
            <w:pPr>
              <w:pStyle w:val="OGTableofFigures"/>
              <w:rPr>
                <w:lang w:eastAsia="en-AU"/>
              </w:rPr>
            </w:pPr>
            <w:proofErr w:type="spellStart"/>
            <w:r w:rsidRPr="00243B2B">
              <w:rPr>
                <w:lang w:eastAsia="en-AU"/>
              </w:rPr>
              <w:t>qtr</w:t>
            </w:r>
            <w:proofErr w:type="spellEnd"/>
            <w:r w:rsidRPr="00243B2B">
              <w:rPr>
                <w:lang w:eastAsia="en-AU"/>
              </w:rPr>
              <w:t xml:space="preserve"> 4</w:t>
            </w:r>
          </w:p>
        </w:tc>
        <w:tc>
          <w:tcPr>
            <w:tcW w:w="907" w:type="dxa"/>
            <w:noWrap/>
          </w:tcPr>
          <w:p w:rsidR="00A53D7D" w:rsidRPr="00D139F4" w:rsidRDefault="00A53D7D" w:rsidP="005140B4">
            <w:pPr>
              <w:pStyle w:val="OGTableofFigures"/>
              <w:rPr>
                <w:lang w:eastAsia="en-AU"/>
              </w:rPr>
            </w:pPr>
            <w:proofErr w:type="spellStart"/>
            <w:r w:rsidRPr="00D139F4">
              <w:rPr>
                <w:lang w:eastAsia="en-AU"/>
              </w:rPr>
              <w:t>qtr</w:t>
            </w:r>
            <w:proofErr w:type="spellEnd"/>
            <w:r w:rsidRPr="00D139F4">
              <w:rPr>
                <w:lang w:eastAsia="en-AU"/>
              </w:rPr>
              <w:t xml:space="preserve"> 2</w:t>
            </w:r>
          </w:p>
        </w:tc>
        <w:tc>
          <w:tcPr>
            <w:tcW w:w="907" w:type="dxa"/>
            <w:noWrap/>
          </w:tcPr>
          <w:p w:rsidR="00A53D7D" w:rsidRPr="00D139F4" w:rsidRDefault="00A53D7D" w:rsidP="005140B4">
            <w:pPr>
              <w:pStyle w:val="OGTableofFigures"/>
              <w:rPr>
                <w:lang w:eastAsia="en-AU"/>
              </w:rPr>
            </w:pPr>
            <w:proofErr w:type="spellStart"/>
            <w:r w:rsidRPr="00D139F4">
              <w:rPr>
                <w:lang w:eastAsia="en-AU"/>
              </w:rPr>
              <w:t>na</w:t>
            </w:r>
            <w:proofErr w:type="spellEnd"/>
          </w:p>
        </w:tc>
      </w:tr>
      <w:tr w:rsidR="00A53D7D" w:rsidRPr="00E76E8E" w:rsidTr="005140B4">
        <w:trPr>
          <w:cantSplit/>
        </w:trPr>
        <w:tc>
          <w:tcPr>
            <w:tcW w:w="7776" w:type="dxa"/>
            <w:gridSpan w:val="6"/>
            <w:tcBorders>
              <w:bottom w:val="single" w:sz="6" w:space="0" w:color="auto"/>
            </w:tcBorders>
          </w:tcPr>
          <w:p w:rsidR="00A53D7D" w:rsidRPr="00D139F4" w:rsidRDefault="00A53D7D" w:rsidP="005140B4">
            <w:pPr>
              <w:pStyle w:val="OGNotes"/>
            </w:pPr>
            <w:r w:rsidRPr="00A35B07">
              <w:t xml:space="preserve">This performance measure is proposed to be discontinued as it </w:t>
            </w:r>
            <w:r>
              <w:t>is expected to be completed i</w:t>
            </w:r>
            <w:r w:rsidRPr="00A35B07">
              <w:t>n 2013</w:t>
            </w:r>
            <w:r>
              <w:noBreakHyphen/>
              <w:t>14.</w:t>
            </w:r>
          </w:p>
        </w:tc>
      </w:tr>
      <w:tr w:rsidR="00A53D7D" w:rsidRPr="00E76E8E" w:rsidTr="005140B4">
        <w:trPr>
          <w:cantSplit/>
        </w:trPr>
        <w:tc>
          <w:tcPr>
            <w:tcW w:w="3155" w:type="dxa"/>
            <w:tcBorders>
              <w:top w:val="single" w:sz="6" w:space="0" w:color="auto"/>
            </w:tcBorders>
          </w:tcPr>
          <w:p w:rsidR="00A53D7D" w:rsidRPr="00A35B07" w:rsidRDefault="00A53D7D" w:rsidP="005140B4">
            <w:pPr>
              <w:pStyle w:val="OGTabText"/>
              <w:rPr>
                <w:lang w:eastAsia="en-AU"/>
              </w:rPr>
            </w:pPr>
            <w:r w:rsidRPr="00A35B07">
              <w:rPr>
                <w:lang w:eastAsia="en-AU"/>
              </w:rPr>
              <w:t>Metropolitan Train Safety Communications System replacement: 50 per cent of on</w:t>
            </w:r>
            <w:r>
              <w:rPr>
                <w:lang w:eastAsia="en-AU"/>
              </w:rPr>
              <w:noBreakHyphen/>
            </w:r>
            <w:r w:rsidRPr="00A35B07">
              <w:rPr>
                <w:lang w:eastAsia="en-AU"/>
              </w:rPr>
              <w:t>train equipment installed</w:t>
            </w:r>
          </w:p>
        </w:tc>
        <w:tc>
          <w:tcPr>
            <w:tcW w:w="907" w:type="dxa"/>
            <w:tcBorders>
              <w:top w:val="single" w:sz="6" w:space="0" w:color="auto"/>
            </w:tcBorders>
            <w:noWrap/>
          </w:tcPr>
          <w:p w:rsidR="00A53D7D" w:rsidRPr="00A35B07" w:rsidRDefault="00A53D7D" w:rsidP="005140B4">
            <w:pPr>
              <w:pStyle w:val="OGUoM"/>
              <w:rPr>
                <w:lang w:eastAsia="en-AU"/>
              </w:rPr>
            </w:pPr>
            <w:r w:rsidRPr="00A35B07">
              <w:rPr>
                <w:lang w:eastAsia="en-AU"/>
              </w:rPr>
              <w:t>date</w:t>
            </w:r>
          </w:p>
        </w:tc>
        <w:tc>
          <w:tcPr>
            <w:tcW w:w="907" w:type="dxa"/>
            <w:tcBorders>
              <w:top w:val="single" w:sz="6" w:space="0" w:color="auto"/>
            </w:tcBorders>
            <w:shd w:val="clear" w:color="auto" w:fill="D9D9D9"/>
            <w:noWrap/>
          </w:tcPr>
          <w:p w:rsidR="00A53D7D" w:rsidRPr="00A35B07" w:rsidRDefault="00A53D7D" w:rsidP="005140B4">
            <w:pPr>
              <w:pStyle w:val="OGTableofFigures"/>
              <w:rPr>
                <w:lang w:eastAsia="en-AU"/>
              </w:rPr>
            </w:pPr>
            <w:proofErr w:type="spellStart"/>
            <w:r>
              <w:rPr>
                <w:lang w:eastAsia="en-AU"/>
              </w:rPr>
              <w:t>na</w:t>
            </w:r>
            <w:proofErr w:type="spellEnd"/>
          </w:p>
        </w:tc>
        <w:tc>
          <w:tcPr>
            <w:tcW w:w="993" w:type="dxa"/>
            <w:tcBorders>
              <w:top w:val="single" w:sz="6" w:space="0" w:color="auto"/>
            </w:tcBorders>
            <w:noWrap/>
          </w:tcPr>
          <w:p w:rsidR="00A53D7D" w:rsidRPr="00243B2B" w:rsidRDefault="00A53D7D" w:rsidP="005140B4">
            <w:pPr>
              <w:pStyle w:val="OGTableofFigures"/>
              <w:rPr>
                <w:lang w:eastAsia="en-AU"/>
              </w:rPr>
            </w:pPr>
            <w:proofErr w:type="spellStart"/>
            <w:r>
              <w:rPr>
                <w:lang w:eastAsia="en-AU"/>
              </w:rPr>
              <w:t>qtr</w:t>
            </w:r>
            <w:proofErr w:type="spellEnd"/>
            <w:r>
              <w:rPr>
                <w:lang w:eastAsia="en-AU"/>
              </w:rPr>
              <w:t xml:space="preserve"> 4</w:t>
            </w:r>
          </w:p>
        </w:tc>
        <w:tc>
          <w:tcPr>
            <w:tcW w:w="907" w:type="dxa"/>
            <w:tcBorders>
              <w:top w:val="single" w:sz="6" w:space="0" w:color="auto"/>
            </w:tcBorders>
            <w:noWrap/>
          </w:tcPr>
          <w:p w:rsidR="00A53D7D" w:rsidRPr="00243B2B" w:rsidRDefault="00A53D7D" w:rsidP="005140B4">
            <w:pPr>
              <w:pStyle w:val="OGTableofFigures"/>
              <w:rPr>
                <w:lang w:eastAsia="en-AU"/>
              </w:rPr>
            </w:pPr>
            <w:proofErr w:type="spellStart"/>
            <w:r w:rsidRPr="00243B2B">
              <w:rPr>
                <w:lang w:eastAsia="en-AU"/>
              </w:rPr>
              <w:t>qtr</w:t>
            </w:r>
            <w:proofErr w:type="spellEnd"/>
            <w:r w:rsidRPr="00243B2B">
              <w:rPr>
                <w:lang w:eastAsia="en-AU"/>
              </w:rPr>
              <w:t xml:space="preserve"> 2</w:t>
            </w:r>
          </w:p>
        </w:tc>
        <w:tc>
          <w:tcPr>
            <w:tcW w:w="907" w:type="dxa"/>
            <w:tcBorders>
              <w:top w:val="single" w:sz="6" w:space="0" w:color="auto"/>
            </w:tcBorders>
            <w:noWrap/>
          </w:tcPr>
          <w:p w:rsidR="00A53D7D" w:rsidRPr="00D139F4" w:rsidRDefault="00A53D7D" w:rsidP="005140B4">
            <w:pPr>
              <w:pStyle w:val="OGTableofFigures"/>
              <w:rPr>
                <w:lang w:eastAsia="en-AU"/>
              </w:rPr>
            </w:pPr>
            <w:proofErr w:type="spellStart"/>
            <w:r w:rsidRPr="00D139F4">
              <w:rPr>
                <w:lang w:eastAsia="en-AU"/>
              </w:rPr>
              <w:t>na</w:t>
            </w:r>
            <w:proofErr w:type="spellEnd"/>
          </w:p>
        </w:tc>
      </w:tr>
      <w:tr w:rsidR="00A53D7D" w:rsidRPr="00E76E8E" w:rsidTr="005140B4">
        <w:trPr>
          <w:cantSplit/>
        </w:trPr>
        <w:tc>
          <w:tcPr>
            <w:tcW w:w="7776" w:type="dxa"/>
            <w:gridSpan w:val="6"/>
            <w:tcBorders>
              <w:bottom w:val="single" w:sz="6" w:space="0" w:color="auto"/>
            </w:tcBorders>
          </w:tcPr>
          <w:p w:rsidR="00A53D7D" w:rsidRPr="00D139F4" w:rsidRDefault="00A53D7D" w:rsidP="005140B4">
            <w:pPr>
              <w:pStyle w:val="OGNotes"/>
            </w:pPr>
            <w:r w:rsidRPr="00A35B07">
              <w:t>This performance measure is proposed to be discontinued as it is expected to be completed in 2013</w:t>
            </w:r>
            <w:r>
              <w:noBreakHyphen/>
            </w:r>
            <w:r w:rsidRPr="00A35B07">
              <w:t>14.</w:t>
            </w:r>
            <w:r>
              <w:t xml:space="preserve"> </w:t>
            </w:r>
          </w:p>
        </w:tc>
      </w:tr>
      <w:tr w:rsidR="00A53D7D" w:rsidRPr="00E76E8E" w:rsidTr="005140B4">
        <w:trPr>
          <w:cantSplit/>
        </w:trPr>
        <w:tc>
          <w:tcPr>
            <w:tcW w:w="3155" w:type="dxa"/>
            <w:tcBorders>
              <w:top w:val="single" w:sz="6" w:space="0" w:color="auto"/>
            </w:tcBorders>
          </w:tcPr>
          <w:p w:rsidR="00A53D7D" w:rsidRPr="00A35B07" w:rsidRDefault="00A53D7D" w:rsidP="005140B4">
            <w:pPr>
              <w:pStyle w:val="OGTabText"/>
              <w:rPr>
                <w:lang w:eastAsia="en-AU"/>
              </w:rPr>
            </w:pPr>
            <w:r w:rsidRPr="00A35B07">
              <w:rPr>
                <w:lang w:eastAsia="en-AU"/>
              </w:rPr>
              <w:t>Metropolitan Train Safety Communications System replacement: provisional system acceptance</w:t>
            </w:r>
          </w:p>
        </w:tc>
        <w:tc>
          <w:tcPr>
            <w:tcW w:w="907" w:type="dxa"/>
            <w:tcBorders>
              <w:top w:val="single" w:sz="6" w:space="0" w:color="auto"/>
            </w:tcBorders>
            <w:noWrap/>
          </w:tcPr>
          <w:p w:rsidR="00A53D7D" w:rsidRPr="00A35B07" w:rsidRDefault="00A53D7D" w:rsidP="005140B4">
            <w:pPr>
              <w:pStyle w:val="OGUoM"/>
              <w:rPr>
                <w:lang w:eastAsia="en-AU"/>
              </w:rPr>
            </w:pPr>
            <w:r w:rsidRPr="00A35B07">
              <w:rPr>
                <w:lang w:eastAsia="en-AU"/>
              </w:rPr>
              <w:t>date</w:t>
            </w:r>
          </w:p>
        </w:tc>
        <w:tc>
          <w:tcPr>
            <w:tcW w:w="907" w:type="dxa"/>
            <w:tcBorders>
              <w:top w:val="single" w:sz="6" w:space="0" w:color="auto"/>
            </w:tcBorders>
            <w:shd w:val="clear" w:color="auto" w:fill="D9D9D9"/>
            <w:noWrap/>
          </w:tcPr>
          <w:p w:rsidR="00A53D7D" w:rsidRPr="00A35B07" w:rsidRDefault="00A53D7D" w:rsidP="005140B4">
            <w:pPr>
              <w:pStyle w:val="OGTableofFigures"/>
              <w:rPr>
                <w:lang w:eastAsia="en-AU"/>
              </w:rPr>
            </w:pPr>
            <w:proofErr w:type="spellStart"/>
            <w:r>
              <w:rPr>
                <w:lang w:eastAsia="en-AU"/>
              </w:rPr>
              <w:t>na</w:t>
            </w:r>
            <w:proofErr w:type="spellEnd"/>
          </w:p>
        </w:tc>
        <w:tc>
          <w:tcPr>
            <w:tcW w:w="993" w:type="dxa"/>
            <w:tcBorders>
              <w:top w:val="single" w:sz="6" w:space="0" w:color="auto"/>
            </w:tcBorders>
            <w:noWrap/>
          </w:tcPr>
          <w:p w:rsidR="00A53D7D" w:rsidRPr="00AD50A1" w:rsidRDefault="00A53D7D" w:rsidP="005140B4">
            <w:pPr>
              <w:pStyle w:val="OGTableofFigures"/>
              <w:rPr>
                <w:lang w:eastAsia="en-AU"/>
              </w:rPr>
            </w:pPr>
            <w:proofErr w:type="spellStart"/>
            <w:r w:rsidRPr="00AD50A1">
              <w:rPr>
                <w:lang w:eastAsia="en-AU"/>
              </w:rPr>
              <w:t>qtr</w:t>
            </w:r>
            <w:proofErr w:type="spellEnd"/>
            <w:r w:rsidRPr="00AD50A1">
              <w:rPr>
                <w:lang w:eastAsia="en-AU"/>
              </w:rPr>
              <w:t xml:space="preserve"> 2</w:t>
            </w:r>
          </w:p>
        </w:tc>
        <w:tc>
          <w:tcPr>
            <w:tcW w:w="907" w:type="dxa"/>
            <w:tcBorders>
              <w:top w:val="single" w:sz="6" w:space="0" w:color="auto"/>
            </w:tcBorders>
            <w:noWrap/>
          </w:tcPr>
          <w:p w:rsidR="00A53D7D" w:rsidRPr="00AD50A1" w:rsidRDefault="00A53D7D" w:rsidP="005140B4">
            <w:pPr>
              <w:pStyle w:val="OGTableofFigures"/>
              <w:rPr>
                <w:lang w:eastAsia="en-AU"/>
              </w:rPr>
            </w:pPr>
            <w:proofErr w:type="spellStart"/>
            <w:r w:rsidRPr="00AD50A1">
              <w:rPr>
                <w:lang w:eastAsia="en-AU"/>
              </w:rPr>
              <w:t>qtr</w:t>
            </w:r>
            <w:proofErr w:type="spellEnd"/>
            <w:r w:rsidRPr="00AD50A1">
              <w:rPr>
                <w:lang w:eastAsia="en-AU"/>
              </w:rPr>
              <w:t xml:space="preserve"> 2</w:t>
            </w:r>
          </w:p>
        </w:tc>
        <w:tc>
          <w:tcPr>
            <w:tcW w:w="907" w:type="dxa"/>
            <w:tcBorders>
              <w:top w:val="single" w:sz="6" w:space="0" w:color="auto"/>
            </w:tcBorders>
            <w:noWrap/>
          </w:tcPr>
          <w:p w:rsidR="00A53D7D" w:rsidRPr="00D139F4" w:rsidRDefault="00A53D7D" w:rsidP="005140B4">
            <w:pPr>
              <w:pStyle w:val="OGTableofFigures"/>
              <w:rPr>
                <w:lang w:eastAsia="en-AU"/>
              </w:rPr>
            </w:pPr>
            <w:proofErr w:type="spellStart"/>
            <w:r w:rsidRPr="00D139F4">
              <w:rPr>
                <w:lang w:eastAsia="en-AU"/>
              </w:rPr>
              <w:t>na</w:t>
            </w:r>
            <w:proofErr w:type="spellEnd"/>
          </w:p>
        </w:tc>
      </w:tr>
      <w:tr w:rsidR="00A53D7D" w:rsidRPr="00E76E8E" w:rsidTr="005140B4">
        <w:trPr>
          <w:cantSplit/>
        </w:trPr>
        <w:tc>
          <w:tcPr>
            <w:tcW w:w="7776" w:type="dxa"/>
            <w:gridSpan w:val="6"/>
            <w:tcBorders>
              <w:bottom w:val="single" w:sz="6" w:space="0" w:color="auto"/>
            </w:tcBorders>
          </w:tcPr>
          <w:p w:rsidR="00A53D7D" w:rsidRPr="00D139F4" w:rsidRDefault="00A53D7D" w:rsidP="005140B4">
            <w:pPr>
              <w:pStyle w:val="OGNotes"/>
            </w:pPr>
            <w:r w:rsidRPr="00AD50A1">
              <w:t xml:space="preserve">This performance measure is proposed to be </w:t>
            </w:r>
            <w:r>
              <w:t xml:space="preserve">discontinued as it has been </w:t>
            </w:r>
            <w:r w:rsidRPr="00AD50A1">
              <w:t>completed in 2013</w:t>
            </w:r>
            <w:r>
              <w:noBreakHyphen/>
            </w:r>
            <w:r w:rsidRPr="00AD50A1">
              <w:t>14.</w:t>
            </w:r>
            <w:r>
              <w:t xml:space="preserve"> </w:t>
            </w:r>
          </w:p>
        </w:tc>
      </w:tr>
      <w:tr w:rsidR="00A53D7D" w:rsidRPr="00D139F4" w:rsidTr="005140B4">
        <w:trPr>
          <w:cantSplit/>
        </w:trPr>
        <w:tc>
          <w:tcPr>
            <w:tcW w:w="3155" w:type="dxa"/>
            <w:tcBorders>
              <w:top w:val="single" w:sz="6" w:space="0" w:color="auto"/>
            </w:tcBorders>
          </w:tcPr>
          <w:p w:rsidR="00A53D7D" w:rsidRPr="00D139F4" w:rsidRDefault="00A53D7D" w:rsidP="005140B4">
            <w:pPr>
              <w:pStyle w:val="OGTabText"/>
              <w:rPr>
                <w:lang w:eastAsia="en-AU"/>
              </w:rPr>
            </w:pPr>
            <w:proofErr w:type="spellStart"/>
            <w:r w:rsidRPr="00D139F4">
              <w:rPr>
                <w:lang w:eastAsia="en-AU"/>
              </w:rPr>
              <w:t>SmartBus</w:t>
            </w:r>
            <w:proofErr w:type="spellEnd"/>
            <w:r w:rsidRPr="00D139F4">
              <w:rPr>
                <w:lang w:eastAsia="en-AU"/>
              </w:rPr>
              <w:t>: Yellow Orbital Stage 2 – Ringwood to Melbourne Airport: completion of on</w:t>
            </w:r>
            <w:r>
              <w:rPr>
                <w:lang w:eastAsia="en-AU"/>
              </w:rPr>
              <w:noBreakHyphen/>
            </w:r>
            <w:r w:rsidRPr="00D139F4">
              <w:rPr>
                <w:lang w:eastAsia="en-AU"/>
              </w:rPr>
              <w:t>road bus priority treatments</w:t>
            </w:r>
          </w:p>
        </w:tc>
        <w:tc>
          <w:tcPr>
            <w:tcW w:w="907" w:type="dxa"/>
            <w:tcBorders>
              <w:top w:val="single" w:sz="6" w:space="0" w:color="auto"/>
            </w:tcBorders>
            <w:noWrap/>
          </w:tcPr>
          <w:p w:rsidR="00A53D7D" w:rsidRPr="00D139F4" w:rsidRDefault="00A53D7D" w:rsidP="005140B4">
            <w:pPr>
              <w:pStyle w:val="OGUoM"/>
              <w:rPr>
                <w:lang w:eastAsia="en-AU"/>
              </w:rPr>
            </w:pPr>
            <w:r w:rsidRPr="00D139F4">
              <w:rPr>
                <w:lang w:eastAsia="en-AU"/>
              </w:rPr>
              <w:t>date</w:t>
            </w:r>
          </w:p>
        </w:tc>
        <w:tc>
          <w:tcPr>
            <w:tcW w:w="907" w:type="dxa"/>
            <w:tcBorders>
              <w:top w:val="single" w:sz="6" w:space="0" w:color="auto"/>
            </w:tcBorders>
            <w:shd w:val="clear" w:color="auto" w:fill="D9D9D9"/>
            <w:noWrap/>
          </w:tcPr>
          <w:p w:rsidR="00A53D7D" w:rsidRPr="00AD50A1" w:rsidRDefault="00A53D7D" w:rsidP="005140B4">
            <w:pPr>
              <w:pStyle w:val="OGTableofFigures"/>
              <w:rPr>
                <w:lang w:eastAsia="en-AU"/>
              </w:rPr>
            </w:pPr>
            <w:proofErr w:type="spellStart"/>
            <w:r>
              <w:rPr>
                <w:lang w:eastAsia="en-AU"/>
              </w:rPr>
              <w:t>na</w:t>
            </w:r>
            <w:proofErr w:type="spellEnd"/>
          </w:p>
        </w:tc>
        <w:tc>
          <w:tcPr>
            <w:tcW w:w="993" w:type="dxa"/>
            <w:tcBorders>
              <w:top w:val="single" w:sz="6" w:space="0" w:color="auto"/>
            </w:tcBorders>
            <w:noWrap/>
          </w:tcPr>
          <w:p w:rsidR="00A53D7D" w:rsidRPr="00AD50A1" w:rsidRDefault="00A53D7D" w:rsidP="005140B4">
            <w:pPr>
              <w:pStyle w:val="OGTableofFigures"/>
              <w:rPr>
                <w:lang w:eastAsia="en-AU"/>
              </w:rPr>
            </w:pPr>
            <w:proofErr w:type="spellStart"/>
            <w:r w:rsidRPr="00AD50A1">
              <w:rPr>
                <w:lang w:eastAsia="en-AU"/>
              </w:rPr>
              <w:t>qtr</w:t>
            </w:r>
            <w:proofErr w:type="spellEnd"/>
            <w:r w:rsidRPr="00AD50A1">
              <w:rPr>
                <w:lang w:eastAsia="en-AU"/>
              </w:rPr>
              <w:t xml:space="preserve"> 2</w:t>
            </w:r>
          </w:p>
        </w:tc>
        <w:tc>
          <w:tcPr>
            <w:tcW w:w="907" w:type="dxa"/>
            <w:tcBorders>
              <w:top w:val="single" w:sz="6" w:space="0" w:color="auto"/>
            </w:tcBorders>
            <w:noWrap/>
          </w:tcPr>
          <w:p w:rsidR="00A53D7D" w:rsidRPr="00AD50A1" w:rsidRDefault="00A53D7D" w:rsidP="005140B4">
            <w:pPr>
              <w:pStyle w:val="OGTableofFigures"/>
              <w:rPr>
                <w:lang w:eastAsia="en-AU"/>
              </w:rPr>
            </w:pPr>
            <w:proofErr w:type="spellStart"/>
            <w:r w:rsidRPr="00AD50A1">
              <w:rPr>
                <w:lang w:eastAsia="en-AU"/>
              </w:rPr>
              <w:t>qtr</w:t>
            </w:r>
            <w:proofErr w:type="spellEnd"/>
            <w:r w:rsidRPr="00AD50A1">
              <w:rPr>
                <w:lang w:eastAsia="en-AU"/>
              </w:rPr>
              <w:t xml:space="preserve"> 2</w:t>
            </w:r>
          </w:p>
        </w:tc>
        <w:tc>
          <w:tcPr>
            <w:tcW w:w="907" w:type="dxa"/>
            <w:tcBorders>
              <w:top w:val="single" w:sz="6" w:space="0" w:color="auto"/>
            </w:tcBorders>
            <w:noWrap/>
          </w:tcPr>
          <w:p w:rsidR="00A53D7D" w:rsidRPr="00D139F4" w:rsidRDefault="00A53D7D" w:rsidP="005140B4">
            <w:pPr>
              <w:pStyle w:val="OGTableofFigures"/>
              <w:rPr>
                <w:lang w:eastAsia="en-AU"/>
              </w:rPr>
            </w:pPr>
            <w:proofErr w:type="spellStart"/>
            <w:r w:rsidRPr="00D139F4">
              <w:rPr>
                <w:lang w:eastAsia="en-AU"/>
              </w:rPr>
              <w:t>na</w:t>
            </w:r>
            <w:proofErr w:type="spellEnd"/>
          </w:p>
        </w:tc>
      </w:tr>
      <w:tr w:rsidR="00A53D7D" w:rsidRPr="00D139F4" w:rsidTr="005140B4">
        <w:trPr>
          <w:cantSplit/>
        </w:trPr>
        <w:tc>
          <w:tcPr>
            <w:tcW w:w="7776" w:type="dxa"/>
            <w:gridSpan w:val="6"/>
            <w:tcBorders>
              <w:bottom w:val="single" w:sz="6" w:space="0" w:color="auto"/>
            </w:tcBorders>
          </w:tcPr>
          <w:p w:rsidR="00A53D7D" w:rsidRPr="00D139F4" w:rsidRDefault="00A53D7D" w:rsidP="005140B4">
            <w:pPr>
              <w:pStyle w:val="OGNotes"/>
            </w:pPr>
            <w:r w:rsidRPr="00B50FC5">
              <w:t>This performance measure is proposed to be discontinued as it has been completed in 2013</w:t>
            </w:r>
            <w:r>
              <w:noBreakHyphen/>
            </w:r>
            <w:r w:rsidRPr="00B50FC5">
              <w:t>14.</w:t>
            </w:r>
            <w:r>
              <w:t xml:space="preserve"> </w:t>
            </w:r>
          </w:p>
        </w:tc>
      </w:tr>
      <w:tr w:rsidR="00A53D7D" w:rsidRPr="00D139F4" w:rsidTr="005140B4">
        <w:trPr>
          <w:cantSplit/>
        </w:trPr>
        <w:tc>
          <w:tcPr>
            <w:tcW w:w="7776" w:type="dxa"/>
            <w:gridSpan w:val="6"/>
            <w:tcBorders>
              <w:top w:val="single" w:sz="6" w:space="0" w:color="auto"/>
              <w:bottom w:val="single" w:sz="6" w:space="0" w:color="auto"/>
            </w:tcBorders>
          </w:tcPr>
          <w:p w:rsidR="00A53D7D" w:rsidRPr="00D139F4" w:rsidRDefault="00A53D7D" w:rsidP="005140B4">
            <w:pPr>
              <w:pStyle w:val="OGHeading2"/>
              <w:rPr>
                <w:lang w:eastAsia="en-AU"/>
              </w:rPr>
            </w:pPr>
            <w:r w:rsidRPr="005B30D6">
              <w:rPr>
                <w:lang w:eastAsia="en-AU"/>
              </w:rPr>
              <w:t>Road Network Improvements</w:t>
            </w:r>
          </w:p>
        </w:tc>
      </w:tr>
      <w:tr w:rsidR="00A53D7D" w:rsidRPr="00E76E8E" w:rsidTr="005140B4">
        <w:trPr>
          <w:cantSplit/>
        </w:trPr>
        <w:tc>
          <w:tcPr>
            <w:tcW w:w="3155" w:type="dxa"/>
            <w:tcBorders>
              <w:top w:val="single" w:sz="6" w:space="0" w:color="auto"/>
            </w:tcBorders>
          </w:tcPr>
          <w:p w:rsidR="00A53D7D" w:rsidRPr="00E76E8E" w:rsidRDefault="00A53D7D" w:rsidP="005140B4">
            <w:pPr>
              <w:pStyle w:val="OGTabHead"/>
              <w:rPr>
                <w:lang w:eastAsia="en-AU"/>
              </w:rPr>
            </w:pPr>
            <w:r w:rsidRPr="00627E76">
              <w:rPr>
                <w:lang w:eastAsia="en-AU"/>
              </w:rPr>
              <w:t>Quantity</w:t>
            </w:r>
          </w:p>
        </w:tc>
        <w:tc>
          <w:tcPr>
            <w:tcW w:w="907" w:type="dxa"/>
            <w:tcBorders>
              <w:top w:val="single" w:sz="6" w:space="0" w:color="auto"/>
            </w:tcBorders>
            <w:noWrap/>
          </w:tcPr>
          <w:p w:rsidR="00A53D7D" w:rsidRPr="00E76E8E" w:rsidRDefault="00A53D7D" w:rsidP="005140B4">
            <w:pPr>
              <w:pStyle w:val="OGUoM"/>
              <w:rPr>
                <w:color w:val="000000"/>
                <w:szCs w:val="20"/>
                <w:lang w:eastAsia="en-AU"/>
              </w:rPr>
            </w:pPr>
            <w:r w:rsidRPr="00E76E8E">
              <w:rPr>
                <w:color w:val="000000"/>
                <w:szCs w:val="20"/>
                <w:lang w:eastAsia="en-AU"/>
              </w:rPr>
              <w:t> </w:t>
            </w:r>
          </w:p>
        </w:tc>
        <w:tc>
          <w:tcPr>
            <w:tcW w:w="907" w:type="dxa"/>
            <w:tcBorders>
              <w:top w:val="single" w:sz="6" w:space="0" w:color="auto"/>
            </w:tcBorders>
            <w:shd w:val="clear" w:color="auto" w:fill="D9D9D9"/>
            <w:noWrap/>
          </w:tcPr>
          <w:p w:rsidR="00A53D7D" w:rsidRPr="009C61B4" w:rsidRDefault="00A53D7D" w:rsidP="005140B4">
            <w:pPr>
              <w:pStyle w:val="OGTableofFigures"/>
              <w:rPr>
                <w:szCs w:val="20"/>
                <w:lang w:eastAsia="en-AU"/>
              </w:rPr>
            </w:pPr>
            <w:r w:rsidRPr="009C61B4">
              <w:rPr>
                <w:szCs w:val="20"/>
                <w:lang w:eastAsia="en-AU"/>
              </w:rPr>
              <w:t> </w:t>
            </w:r>
          </w:p>
        </w:tc>
        <w:tc>
          <w:tcPr>
            <w:tcW w:w="993" w:type="dxa"/>
            <w:tcBorders>
              <w:top w:val="single" w:sz="6" w:space="0" w:color="auto"/>
            </w:tcBorders>
            <w:noWrap/>
          </w:tcPr>
          <w:p w:rsidR="00A53D7D" w:rsidRPr="00E76E8E" w:rsidRDefault="00A53D7D" w:rsidP="005140B4">
            <w:pPr>
              <w:pStyle w:val="OGTableofFigures"/>
              <w:rPr>
                <w:szCs w:val="20"/>
                <w:lang w:eastAsia="en-AU"/>
              </w:rPr>
            </w:pPr>
            <w:r w:rsidRPr="00E76E8E">
              <w:rPr>
                <w:szCs w:val="20"/>
                <w:lang w:eastAsia="en-AU"/>
              </w:rPr>
              <w:t> </w:t>
            </w:r>
          </w:p>
        </w:tc>
        <w:tc>
          <w:tcPr>
            <w:tcW w:w="907" w:type="dxa"/>
            <w:tcBorders>
              <w:top w:val="single" w:sz="6" w:space="0" w:color="auto"/>
            </w:tcBorders>
            <w:noWrap/>
          </w:tcPr>
          <w:p w:rsidR="00A53D7D" w:rsidRPr="00E76E8E" w:rsidRDefault="00A53D7D" w:rsidP="005140B4">
            <w:pPr>
              <w:pStyle w:val="OGTableofFigures"/>
              <w:rPr>
                <w:szCs w:val="20"/>
                <w:lang w:eastAsia="en-AU"/>
              </w:rPr>
            </w:pPr>
            <w:r w:rsidRPr="00E76E8E">
              <w:rPr>
                <w:szCs w:val="20"/>
                <w:lang w:eastAsia="en-AU"/>
              </w:rPr>
              <w:t> </w:t>
            </w:r>
          </w:p>
        </w:tc>
        <w:tc>
          <w:tcPr>
            <w:tcW w:w="907" w:type="dxa"/>
            <w:tcBorders>
              <w:top w:val="single" w:sz="6" w:space="0" w:color="auto"/>
            </w:tcBorders>
            <w:noWrap/>
          </w:tcPr>
          <w:p w:rsidR="00A53D7D" w:rsidRPr="00E76E8E" w:rsidRDefault="00A53D7D" w:rsidP="005140B4">
            <w:pPr>
              <w:pStyle w:val="OGTableofFigures"/>
              <w:rPr>
                <w:szCs w:val="20"/>
                <w:lang w:eastAsia="en-AU"/>
              </w:rPr>
            </w:pPr>
            <w:r w:rsidRPr="00E76E8E">
              <w:rPr>
                <w:szCs w:val="20"/>
                <w:lang w:eastAsia="en-AU"/>
              </w:rPr>
              <w:t> </w:t>
            </w:r>
          </w:p>
        </w:tc>
      </w:tr>
      <w:tr w:rsidR="00A53D7D" w:rsidRPr="00E76E8E" w:rsidTr="005140B4">
        <w:trPr>
          <w:cantSplit/>
        </w:trPr>
        <w:tc>
          <w:tcPr>
            <w:tcW w:w="3155" w:type="dxa"/>
          </w:tcPr>
          <w:p w:rsidR="00A53D7D" w:rsidRPr="003A3566" w:rsidRDefault="00A53D7D" w:rsidP="005140B4">
            <w:pPr>
              <w:pStyle w:val="OGTabText"/>
              <w:rPr>
                <w:lang w:eastAsia="en-AU"/>
              </w:rPr>
            </w:pPr>
            <w:r w:rsidRPr="00502440">
              <w:rPr>
                <w:lang w:eastAsia="en-AU"/>
              </w:rPr>
              <w:t xml:space="preserve">Transport access site treatments completed in compliance with the </w:t>
            </w:r>
            <w:r w:rsidRPr="006A7608">
              <w:rPr>
                <w:i/>
                <w:lang w:eastAsia="en-AU"/>
              </w:rPr>
              <w:t>Disability Discrimination Act</w:t>
            </w:r>
          </w:p>
        </w:tc>
        <w:tc>
          <w:tcPr>
            <w:tcW w:w="907" w:type="dxa"/>
            <w:noWrap/>
          </w:tcPr>
          <w:p w:rsidR="00A53D7D" w:rsidRPr="00502440" w:rsidRDefault="00A53D7D" w:rsidP="005140B4">
            <w:pPr>
              <w:pStyle w:val="OGUoM"/>
              <w:rPr>
                <w:lang w:eastAsia="en-AU"/>
              </w:rPr>
            </w:pPr>
            <w:r w:rsidRPr="00502440">
              <w:rPr>
                <w:lang w:eastAsia="en-AU"/>
              </w:rPr>
              <w:t>number</w:t>
            </w:r>
          </w:p>
        </w:tc>
        <w:tc>
          <w:tcPr>
            <w:tcW w:w="907" w:type="dxa"/>
            <w:shd w:val="clear" w:color="auto" w:fill="D9D9D9"/>
            <w:noWrap/>
          </w:tcPr>
          <w:p w:rsidR="00A53D7D" w:rsidRPr="009C61B4" w:rsidRDefault="00A53D7D" w:rsidP="005140B4">
            <w:pPr>
              <w:pStyle w:val="OGTableofFigures"/>
              <w:rPr>
                <w:lang w:eastAsia="en-AU"/>
              </w:rPr>
            </w:pPr>
            <w:proofErr w:type="spellStart"/>
            <w:r w:rsidRPr="009C61B4">
              <w:rPr>
                <w:lang w:eastAsia="en-AU"/>
              </w:rPr>
              <w:t>na</w:t>
            </w:r>
            <w:proofErr w:type="spellEnd"/>
          </w:p>
        </w:tc>
        <w:tc>
          <w:tcPr>
            <w:tcW w:w="993" w:type="dxa"/>
            <w:noWrap/>
          </w:tcPr>
          <w:p w:rsidR="00A53D7D" w:rsidRPr="003A3566" w:rsidRDefault="00A53D7D" w:rsidP="005140B4">
            <w:pPr>
              <w:pStyle w:val="OGTableofFigures"/>
              <w:rPr>
                <w:lang w:eastAsia="en-AU"/>
              </w:rPr>
            </w:pPr>
            <w:r>
              <w:rPr>
                <w:lang w:eastAsia="en-AU"/>
              </w:rPr>
              <w:t>12</w:t>
            </w:r>
          </w:p>
        </w:tc>
        <w:tc>
          <w:tcPr>
            <w:tcW w:w="907" w:type="dxa"/>
            <w:noWrap/>
          </w:tcPr>
          <w:p w:rsidR="00A53D7D" w:rsidRPr="003A3566" w:rsidRDefault="00A53D7D" w:rsidP="005140B4">
            <w:pPr>
              <w:pStyle w:val="OGTableofFigures"/>
              <w:rPr>
                <w:lang w:eastAsia="en-AU"/>
              </w:rPr>
            </w:pPr>
            <w:r>
              <w:rPr>
                <w:lang w:eastAsia="en-AU"/>
              </w:rPr>
              <w:t>8</w:t>
            </w:r>
          </w:p>
        </w:tc>
        <w:tc>
          <w:tcPr>
            <w:tcW w:w="907" w:type="dxa"/>
            <w:noWrap/>
          </w:tcPr>
          <w:p w:rsidR="00A53D7D" w:rsidRPr="003A3566" w:rsidRDefault="00A53D7D" w:rsidP="005140B4">
            <w:pPr>
              <w:pStyle w:val="OGTableofFigures"/>
              <w:rPr>
                <w:lang w:eastAsia="en-AU"/>
              </w:rPr>
            </w:pPr>
            <w:r>
              <w:rPr>
                <w:lang w:eastAsia="en-AU"/>
              </w:rPr>
              <w:t>45</w:t>
            </w:r>
          </w:p>
        </w:tc>
      </w:tr>
      <w:tr w:rsidR="00A53D7D" w:rsidRPr="00E76E8E" w:rsidTr="005140B4">
        <w:trPr>
          <w:cantSplit/>
        </w:trPr>
        <w:tc>
          <w:tcPr>
            <w:tcW w:w="7776" w:type="dxa"/>
            <w:gridSpan w:val="6"/>
            <w:tcBorders>
              <w:bottom w:val="single" w:sz="6" w:space="0" w:color="auto"/>
            </w:tcBorders>
          </w:tcPr>
          <w:p w:rsidR="00A53D7D" w:rsidRPr="009C61B4" w:rsidRDefault="00A53D7D" w:rsidP="005140B4">
            <w:pPr>
              <w:pStyle w:val="OGNotes"/>
            </w:pPr>
            <w:r w:rsidRPr="009C61B4">
              <w:t xml:space="preserve">This performance measure is proposed to be discontinued </w:t>
            </w:r>
            <w:r>
              <w:t>as this element of the program was completed in 2013</w:t>
            </w:r>
            <w:r>
              <w:noBreakHyphen/>
              <w:t>14</w:t>
            </w:r>
            <w:r w:rsidRPr="009C61B4">
              <w:t xml:space="preserve">. </w:t>
            </w:r>
          </w:p>
          <w:p w:rsidR="00A53D7D" w:rsidRDefault="00A53D7D" w:rsidP="005140B4">
            <w:pPr>
              <w:pStyle w:val="OGNotes"/>
            </w:pPr>
            <w:r w:rsidRPr="009C61B4">
              <w:t>The 2013</w:t>
            </w:r>
            <w:r>
              <w:noBreakHyphen/>
            </w:r>
            <w:r w:rsidRPr="009C61B4">
              <w:t xml:space="preserve">14 </w:t>
            </w:r>
            <w:r>
              <w:t>expected outcome</w:t>
            </w:r>
            <w:r w:rsidRPr="009C61B4">
              <w:t xml:space="preserve"> is higher than the 2013</w:t>
            </w:r>
            <w:r>
              <w:noBreakHyphen/>
            </w:r>
            <w:r w:rsidRPr="009C61B4">
              <w:t xml:space="preserve">14 </w:t>
            </w:r>
            <w:r>
              <w:t>target</w:t>
            </w:r>
            <w:r w:rsidRPr="009C61B4">
              <w:t xml:space="preserve"> due to new sites being added to the </w:t>
            </w:r>
            <w:r w:rsidRPr="00CD70AE">
              <w:rPr>
                <w:i w:val="0"/>
              </w:rPr>
              <w:t>Disability Discrimination Act</w:t>
            </w:r>
            <w:r w:rsidRPr="009C61B4">
              <w:t xml:space="preserve"> Program for 2013</w:t>
            </w:r>
            <w:r>
              <w:noBreakHyphen/>
            </w:r>
            <w:r w:rsidRPr="009C61B4">
              <w:t>14.</w:t>
            </w:r>
          </w:p>
        </w:tc>
      </w:tr>
      <w:tr w:rsidR="00A53D7D" w:rsidRPr="00E76E8E" w:rsidTr="005140B4">
        <w:trPr>
          <w:cantSplit/>
        </w:trPr>
        <w:tc>
          <w:tcPr>
            <w:tcW w:w="3155" w:type="dxa"/>
            <w:tcBorders>
              <w:top w:val="single" w:sz="6" w:space="0" w:color="auto"/>
            </w:tcBorders>
          </w:tcPr>
          <w:p w:rsidR="00A53D7D" w:rsidRPr="009C61B4" w:rsidRDefault="00A53D7D" w:rsidP="005140B4">
            <w:pPr>
              <w:pStyle w:val="OGTabHead"/>
              <w:rPr>
                <w:lang w:eastAsia="en-AU"/>
              </w:rPr>
            </w:pPr>
            <w:r w:rsidRPr="009C61B4">
              <w:rPr>
                <w:lang w:eastAsia="en-AU"/>
              </w:rPr>
              <w:t>Quality</w:t>
            </w:r>
          </w:p>
        </w:tc>
        <w:tc>
          <w:tcPr>
            <w:tcW w:w="907" w:type="dxa"/>
            <w:tcBorders>
              <w:top w:val="single" w:sz="6" w:space="0" w:color="auto"/>
            </w:tcBorders>
            <w:noWrap/>
          </w:tcPr>
          <w:p w:rsidR="00A53D7D" w:rsidRPr="009C61B4" w:rsidRDefault="00A53D7D" w:rsidP="005140B4">
            <w:pPr>
              <w:pStyle w:val="OGUoM"/>
              <w:rPr>
                <w:color w:val="000000"/>
                <w:szCs w:val="20"/>
                <w:lang w:eastAsia="en-AU"/>
              </w:rPr>
            </w:pPr>
            <w:r w:rsidRPr="009C61B4">
              <w:rPr>
                <w:color w:val="000000"/>
                <w:szCs w:val="20"/>
                <w:lang w:eastAsia="en-AU"/>
              </w:rPr>
              <w:t> </w:t>
            </w:r>
          </w:p>
        </w:tc>
        <w:tc>
          <w:tcPr>
            <w:tcW w:w="907" w:type="dxa"/>
            <w:tcBorders>
              <w:top w:val="single" w:sz="6" w:space="0" w:color="auto"/>
            </w:tcBorders>
            <w:shd w:val="clear" w:color="auto" w:fill="D9D9D9"/>
            <w:noWrap/>
          </w:tcPr>
          <w:p w:rsidR="00A53D7D" w:rsidRPr="009C61B4" w:rsidRDefault="00A53D7D" w:rsidP="005140B4">
            <w:pPr>
              <w:pStyle w:val="OGTableofFigures"/>
              <w:rPr>
                <w:szCs w:val="20"/>
                <w:lang w:eastAsia="en-AU"/>
              </w:rPr>
            </w:pPr>
            <w:r w:rsidRPr="009C61B4">
              <w:rPr>
                <w:szCs w:val="20"/>
                <w:lang w:eastAsia="en-AU"/>
              </w:rPr>
              <w:t> </w:t>
            </w:r>
          </w:p>
        </w:tc>
        <w:tc>
          <w:tcPr>
            <w:tcW w:w="993" w:type="dxa"/>
            <w:tcBorders>
              <w:top w:val="single" w:sz="6" w:space="0" w:color="auto"/>
            </w:tcBorders>
            <w:noWrap/>
          </w:tcPr>
          <w:p w:rsidR="00A53D7D" w:rsidRPr="00E76E8E" w:rsidRDefault="00A53D7D" w:rsidP="005140B4">
            <w:pPr>
              <w:pStyle w:val="OGTableofFigures"/>
              <w:rPr>
                <w:szCs w:val="20"/>
                <w:lang w:eastAsia="en-AU"/>
              </w:rPr>
            </w:pPr>
            <w:r w:rsidRPr="00E76E8E">
              <w:rPr>
                <w:szCs w:val="20"/>
                <w:lang w:eastAsia="en-AU"/>
              </w:rPr>
              <w:t> </w:t>
            </w:r>
          </w:p>
        </w:tc>
        <w:tc>
          <w:tcPr>
            <w:tcW w:w="907" w:type="dxa"/>
            <w:tcBorders>
              <w:top w:val="single" w:sz="6" w:space="0" w:color="auto"/>
            </w:tcBorders>
            <w:noWrap/>
          </w:tcPr>
          <w:p w:rsidR="00A53D7D" w:rsidRPr="00E76E8E" w:rsidRDefault="00A53D7D" w:rsidP="005140B4">
            <w:pPr>
              <w:pStyle w:val="OGTableofFigures"/>
              <w:rPr>
                <w:szCs w:val="20"/>
                <w:lang w:eastAsia="en-AU"/>
              </w:rPr>
            </w:pPr>
            <w:r w:rsidRPr="00E76E8E">
              <w:rPr>
                <w:szCs w:val="20"/>
                <w:lang w:eastAsia="en-AU"/>
              </w:rPr>
              <w:t> </w:t>
            </w:r>
          </w:p>
        </w:tc>
        <w:tc>
          <w:tcPr>
            <w:tcW w:w="907" w:type="dxa"/>
            <w:tcBorders>
              <w:top w:val="single" w:sz="6" w:space="0" w:color="auto"/>
            </w:tcBorders>
            <w:noWrap/>
          </w:tcPr>
          <w:p w:rsidR="00A53D7D" w:rsidRPr="00E76E8E" w:rsidRDefault="00A53D7D" w:rsidP="005140B4">
            <w:pPr>
              <w:pStyle w:val="OGTableofFigures"/>
              <w:rPr>
                <w:szCs w:val="20"/>
                <w:lang w:eastAsia="en-AU"/>
              </w:rPr>
            </w:pPr>
            <w:r w:rsidRPr="00E76E8E">
              <w:rPr>
                <w:szCs w:val="20"/>
                <w:lang w:eastAsia="en-AU"/>
              </w:rPr>
              <w:t> </w:t>
            </w:r>
          </w:p>
        </w:tc>
      </w:tr>
      <w:tr w:rsidR="00A53D7D" w:rsidRPr="00E76E8E" w:rsidTr="005140B4">
        <w:trPr>
          <w:cantSplit/>
        </w:trPr>
        <w:tc>
          <w:tcPr>
            <w:tcW w:w="3155" w:type="dxa"/>
          </w:tcPr>
          <w:p w:rsidR="00A53D7D" w:rsidRPr="009C61B4" w:rsidRDefault="00A53D7D" w:rsidP="005140B4">
            <w:pPr>
              <w:pStyle w:val="OGTabText"/>
              <w:rPr>
                <w:lang w:eastAsia="en-AU"/>
              </w:rPr>
            </w:pPr>
            <w:r w:rsidRPr="009C61B4">
              <w:rPr>
                <w:lang w:eastAsia="en-AU"/>
              </w:rPr>
              <w:t xml:space="preserve">Transport access site treatments completed within agreed scope and standards in compliance with the </w:t>
            </w:r>
            <w:r w:rsidRPr="009C61B4">
              <w:rPr>
                <w:i/>
                <w:lang w:eastAsia="en-AU"/>
              </w:rPr>
              <w:t>Disability Discrimination Act</w:t>
            </w:r>
          </w:p>
        </w:tc>
        <w:tc>
          <w:tcPr>
            <w:tcW w:w="907" w:type="dxa"/>
            <w:noWrap/>
          </w:tcPr>
          <w:p w:rsidR="00A53D7D" w:rsidRPr="009C61B4" w:rsidRDefault="00A53D7D" w:rsidP="005140B4">
            <w:pPr>
              <w:pStyle w:val="OGUoM"/>
              <w:rPr>
                <w:lang w:eastAsia="en-AU"/>
              </w:rPr>
            </w:pPr>
            <w:r w:rsidRPr="009C61B4">
              <w:rPr>
                <w:lang w:eastAsia="en-AU"/>
              </w:rPr>
              <w:t>per cent</w:t>
            </w:r>
          </w:p>
        </w:tc>
        <w:tc>
          <w:tcPr>
            <w:tcW w:w="907" w:type="dxa"/>
            <w:shd w:val="clear" w:color="auto" w:fill="D9D9D9"/>
            <w:noWrap/>
          </w:tcPr>
          <w:p w:rsidR="00A53D7D" w:rsidRPr="009C61B4" w:rsidRDefault="00A53D7D" w:rsidP="005140B4">
            <w:pPr>
              <w:pStyle w:val="OGTableofFigures"/>
              <w:rPr>
                <w:lang w:eastAsia="en-AU"/>
              </w:rPr>
            </w:pPr>
            <w:proofErr w:type="spellStart"/>
            <w:r w:rsidRPr="009C61B4">
              <w:rPr>
                <w:lang w:eastAsia="en-AU"/>
              </w:rPr>
              <w:t>na</w:t>
            </w:r>
            <w:proofErr w:type="spellEnd"/>
          </w:p>
        </w:tc>
        <w:tc>
          <w:tcPr>
            <w:tcW w:w="993" w:type="dxa"/>
            <w:noWrap/>
          </w:tcPr>
          <w:p w:rsidR="00A53D7D" w:rsidRPr="003A3566" w:rsidRDefault="00A53D7D" w:rsidP="005140B4">
            <w:pPr>
              <w:pStyle w:val="OGTableofFigures"/>
              <w:rPr>
                <w:lang w:eastAsia="en-AU"/>
              </w:rPr>
            </w:pPr>
            <w:r>
              <w:rPr>
                <w:lang w:eastAsia="en-AU"/>
              </w:rPr>
              <w:t>100</w:t>
            </w:r>
          </w:p>
        </w:tc>
        <w:tc>
          <w:tcPr>
            <w:tcW w:w="907" w:type="dxa"/>
            <w:noWrap/>
          </w:tcPr>
          <w:p w:rsidR="00A53D7D" w:rsidRPr="003A3566" w:rsidRDefault="00A53D7D" w:rsidP="005140B4">
            <w:pPr>
              <w:pStyle w:val="OGTableofFigures"/>
              <w:rPr>
                <w:lang w:eastAsia="en-AU"/>
              </w:rPr>
            </w:pPr>
            <w:r>
              <w:rPr>
                <w:lang w:eastAsia="en-AU"/>
              </w:rPr>
              <w:t>100</w:t>
            </w:r>
          </w:p>
        </w:tc>
        <w:tc>
          <w:tcPr>
            <w:tcW w:w="907" w:type="dxa"/>
            <w:noWrap/>
          </w:tcPr>
          <w:p w:rsidR="00A53D7D" w:rsidRPr="003A3566" w:rsidRDefault="00A53D7D" w:rsidP="005140B4">
            <w:pPr>
              <w:pStyle w:val="OGTableofFigures"/>
              <w:rPr>
                <w:lang w:eastAsia="en-AU"/>
              </w:rPr>
            </w:pPr>
            <w:r>
              <w:rPr>
                <w:lang w:eastAsia="en-AU"/>
              </w:rPr>
              <w:t>100</w:t>
            </w:r>
          </w:p>
        </w:tc>
      </w:tr>
      <w:tr w:rsidR="00A53D7D" w:rsidRPr="00E76E8E" w:rsidTr="005140B4">
        <w:trPr>
          <w:cantSplit/>
        </w:trPr>
        <w:tc>
          <w:tcPr>
            <w:tcW w:w="7776" w:type="dxa"/>
            <w:gridSpan w:val="6"/>
            <w:tcBorders>
              <w:bottom w:val="single" w:sz="6" w:space="0" w:color="auto"/>
            </w:tcBorders>
          </w:tcPr>
          <w:p w:rsidR="00A53D7D" w:rsidRDefault="00A53D7D" w:rsidP="005140B4">
            <w:pPr>
              <w:pStyle w:val="OGNotes"/>
            </w:pPr>
            <w:r w:rsidRPr="009C61B4">
              <w:t xml:space="preserve">This performance measure is proposed to be discontinued </w:t>
            </w:r>
            <w:r>
              <w:t>as this element of the program was completed in 2013</w:t>
            </w:r>
            <w:r>
              <w:noBreakHyphen/>
              <w:t>14</w:t>
            </w:r>
            <w:r w:rsidRPr="009C61B4">
              <w:t>.</w:t>
            </w:r>
          </w:p>
        </w:tc>
      </w:tr>
      <w:tr w:rsidR="00A53D7D" w:rsidRPr="00E76E8E" w:rsidTr="005140B4">
        <w:trPr>
          <w:cantSplit/>
        </w:trPr>
        <w:tc>
          <w:tcPr>
            <w:tcW w:w="3155" w:type="dxa"/>
            <w:tcBorders>
              <w:top w:val="single" w:sz="6" w:space="0" w:color="auto"/>
            </w:tcBorders>
          </w:tcPr>
          <w:p w:rsidR="00A53D7D" w:rsidRPr="00E76E8E" w:rsidRDefault="00A53D7D" w:rsidP="005140B4">
            <w:pPr>
              <w:pStyle w:val="OGTabHead"/>
              <w:rPr>
                <w:lang w:eastAsia="en-AU"/>
              </w:rPr>
            </w:pPr>
            <w:r w:rsidRPr="00627E76">
              <w:rPr>
                <w:lang w:eastAsia="en-AU"/>
              </w:rPr>
              <w:t>Timeliness</w:t>
            </w:r>
          </w:p>
        </w:tc>
        <w:tc>
          <w:tcPr>
            <w:tcW w:w="907" w:type="dxa"/>
            <w:tcBorders>
              <w:top w:val="single" w:sz="6" w:space="0" w:color="auto"/>
            </w:tcBorders>
            <w:noWrap/>
          </w:tcPr>
          <w:p w:rsidR="00A53D7D" w:rsidRPr="00E76E8E" w:rsidRDefault="00A53D7D" w:rsidP="005140B4">
            <w:pPr>
              <w:pStyle w:val="OGUoM"/>
              <w:rPr>
                <w:color w:val="000000"/>
                <w:szCs w:val="20"/>
                <w:lang w:eastAsia="en-AU"/>
              </w:rPr>
            </w:pPr>
            <w:r w:rsidRPr="00E76E8E">
              <w:rPr>
                <w:color w:val="000000"/>
                <w:szCs w:val="20"/>
                <w:lang w:eastAsia="en-AU"/>
              </w:rPr>
              <w:t> </w:t>
            </w:r>
          </w:p>
        </w:tc>
        <w:tc>
          <w:tcPr>
            <w:tcW w:w="907" w:type="dxa"/>
            <w:tcBorders>
              <w:top w:val="single" w:sz="6" w:space="0" w:color="auto"/>
            </w:tcBorders>
            <w:shd w:val="clear" w:color="auto" w:fill="D9D9D9"/>
            <w:noWrap/>
          </w:tcPr>
          <w:p w:rsidR="00A53D7D" w:rsidRPr="00692B39" w:rsidRDefault="00A53D7D" w:rsidP="005140B4">
            <w:pPr>
              <w:pStyle w:val="OGTableofFigures"/>
              <w:rPr>
                <w:szCs w:val="20"/>
                <w:lang w:eastAsia="en-AU"/>
              </w:rPr>
            </w:pPr>
            <w:r w:rsidRPr="00692B39">
              <w:rPr>
                <w:szCs w:val="20"/>
                <w:lang w:eastAsia="en-AU"/>
              </w:rPr>
              <w:t> </w:t>
            </w:r>
          </w:p>
        </w:tc>
        <w:tc>
          <w:tcPr>
            <w:tcW w:w="993" w:type="dxa"/>
            <w:tcBorders>
              <w:top w:val="single" w:sz="6" w:space="0" w:color="auto"/>
            </w:tcBorders>
            <w:noWrap/>
          </w:tcPr>
          <w:p w:rsidR="00A53D7D" w:rsidRPr="00692B39" w:rsidRDefault="00A53D7D" w:rsidP="005140B4">
            <w:pPr>
              <w:pStyle w:val="OGTableofFigures"/>
              <w:rPr>
                <w:szCs w:val="20"/>
                <w:lang w:eastAsia="en-AU"/>
              </w:rPr>
            </w:pPr>
            <w:r w:rsidRPr="00692B39">
              <w:rPr>
                <w:szCs w:val="20"/>
                <w:lang w:eastAsia="en-AU"/>
              </w:rPr>
              <w:t> </w:t>
            </w:r>
          </w:p>
        </w:tc>
        <w:tc>
          <w:tcPr>
            <w:tcW w:w="907" w:type="dxa"/>
            <w:tcBorders>
              <w:top w:val="single" w:sz="6" w:space="0" w:color="auto"/>
            </w:tcBorders>
            <w:noWrap/>
          </w:tcPr>
          <w:p w:rsidR="00A53D7D" w:rsidRPr="00692B39" w:rsidRDefault="00A53D7D" w:rsidP="005140B4">
            <w:pPr>
              <w:pStyle w:val="OGTableofFigures"/>
              <w:rPr>
                <w:szCs w:val="20"/>
                <w:lang w:eastAsia="en-AU"/>
              </w:rPr>
            </w:pPr>
            <w:r w:rsidRPr="00692B39">
              <w:rPr>
                <w:szCs w:val="20"/>
                <w:lang w:eastAsia="en-AU"/>
              </w:rPr>
              <w:t> </w:t>
            </w:r>
          </w:p>
        </w:tc>
        <w:tc>
          <w:tcPr>
            <w:tcW w:w="907" w:type="dxa"/>
            <w:tcBorders>
              <w:top w:val="single" w:sz="6" w:space="0" w:color="auto"/>
            </w:tcBorders>
            <w:noWrap/>
          </w:tcPr>
          <w:p w:rsidR="00A53D7D" w:rsidRPr="00E76E8E" w:rsidRDefault="00A53D7D" w:rsidP="005140B4">
            <w:pPr>
              <w:pStyle w:val="OGTableofFigures"/>
              <w:rPr>
                <w:szCs w:val="20"/>
                <w:lang w:eastAsia="en-AU"/>
              </w:rPr>
            </w:pPr>
            <w:r w:rsidRPr="00E76E8E">
              <w:rPr>
                <w:szCs w:val="20"/>
                <w:lang w:eastAsia="en-AU"/>
              </w:rPr>
              <w:t> </w:t>
            </w:r>
          </w:p>
        </w:tc>
      </w:tr>
      <w:tr w:rsidR="00A53D7D" w:rsidRPr="00E76E8E" w:rsidTr="005140B4">
        <w:trPr>
          <w:cantSplit/>
        </w:trPr>
        <w:tc>
          <w:tcPr>
            <w:tcW w:w="3155" w:type="dxa"/>
          </w:tcPr>
          <w:p w:rsidR="00A53D7D" w:rsidRPr="003A3566" w:rsidRDefault="00A53D7D" w:rsidP="005140B4">
            <w:pPr>
              <w:pStyle w:val="OGTabText"/>
              <w:rPr>
                <w:lang w:eastAsia="en-AU"/>
              </w:rPr>
            </w:pPr>
            <w:r w:rsidRPr="003A3566">
              <w:rPr>
                <w:lang w:eastAsia="en-AU"/>
              </w:rPr>
              <w:t>East West Link – Eastern Section: Request for proposal released</w:t>
            </w:r>
          </w:p>
        </w:tc>
        <w:tc>
          <w:tcPr>
            <w:tcW w:w="907" w:type="dxa"/>
            <w:noWrap/>
          </w:tcPr>
          <w:p w:rsidR="00A53D7D" w:rsidRPr="003A3566" w:rsidRDefault="00A53D7D" w:rsidP="005140B4">
            <w:pPr>
              <w:pStyle w:val="OGUoM"/>
              <w:rPr>
                <w:lang w:eastAsia="en-AU"/>
              </w:rPr>
            </w:pPr>
            <w:r w:rsidRPr="003A3566">
              <w:rPr>
                <w:lang w:eastAsia="en-AU"/>
              </w:rPr>
              <w:t>date</w:t>
            </w:r>
          </w:p>
        </w:tc>
        <w:tc>
          <w:tcPr>
            <w:tcW w:w="907" w:type="dxa"/>
            <w:shd w:val="clear" w:color="auto" w:fill="D9D9D9"/>
            <w:noWrap/>
          </w:tcPr>
          <w:p w:rsidR="00A53D7D" w:rsidRPr="00692B39" w:rsidRDefault="00A53D7D" w:rsidP="005140B4">
            <w:pPr>
              <w:pStyle w:val="OGTableofFigures"/>
              <w:rPr>
                <w:lang w:eastAsia="en-AU"/>
              </w:rPr>
            </w:pPr>
            <w:proofErr w:type="spellStart"/>
            <w:r w:rsidRPr="00692B39">
              <w:rPr>
                <w:lang w:eastAsia="en-AU"/>
              </w:rPr>
              <w:t>na</w:t>
            </w:r>
            <w:proofErr w:type="spellEnd"/>
          </w:p>
        </w:tc>
        <w:tc>
          <w:tcPr>
            <w:tcW w:w="993" w:type="dxa"/>
            <w:noWrap/>
          </w:tcPr>
          <w:p w:rsidR="00A53D7D" w:rsidRPr="00692B39" w:rsidRDefault="00A53D7D" w:rsidP="005140B4">
            <w:pPr>
              <w:pStyle w:val="OGTableofFigures"/>
              <w:rPr>
                <w:lang w:eastAsia="en-AU"/>
              </w:rPr>
            </w:pPr>
            <w:proofErr w:type="spellStart"/>
            <w:r w:rsidRPr="00692B39">
              <w:rPr>
                <w:lang w:eastAsia="en-AU"/>
              </w:rPr>
              <w:t>qtr</w:t>
            </w:r>
            <w:proofErr w:type="spellEnd"/>
            <w:r w:rsidRPr="00692B39">
              <w:rPr>
                <w:lang w:eastAsia="en-AU"/>
              </w:rPr>
              <w:t xml:space="preserve"> 2</w:t>
            </w:r>
          </w:p>
        </w:tc>
        <w:tc>
          <w:tcPr>
            <w:tcW w:w="907" w:type="dxa"/>
            <w:noWrap/>
          </w:tcPr>
          <w:p w:rsidR="00A53D7D" w:rsidRPr="00692B39" w:rsidRDefault="00A53D7D" w:rsidP="005140B4">
            <w:pPr>
              <w:pStyle w:val="OGTableofFigures"/>
              <w:rPr>
                <w:lang w:eastAsia="en-AU"/>
              </w:rPr>
            </w:pPr>
            <w:proofErr w:type="spellStart"/>
            <w:r w:rsidRPr="00692B39">
              <w:rPr>
                <w:lang w:eastAsia="en-AU"/>
              </w:rPr>
              <w:t>qtr</w:t>
            </w:r>
            <w:proofErr w:type="spellEnd"/>
            <w:r w:rsidRPr="00692B39">
              <w:rPr>
                <w:lang w:eastAsia="en-AU"/>
              </w:rPr>
              <w:t xml:space="preserve"> 2</w:t>
            </w:r>
          </w:p>
        </w:tc>
        <w:tc>
          <w:tcPr>
            <w:tcW w:w="907" w:type="dxa"/>
            <w:noWrap/>
          </w:tcPr>
          <w:p w:rsidR="00A53D7D" w:rsidRPr="003A3566" w:rsidRDefault="00A53D7D" w:rsidP="005140B4">
            <w:pPr>
              <w:pStyle w:val="OGTableofFigures"/>
              <w:rPr>
                <w:lang w:eastAsia="en-AU"/>
              </w:rPr>
            </w:pPr>
            <w:r w:rsidRPr="003A3566">
              <w:rPr>
                <w:lang w:eastAsia="en-AU"/>
              </w:rPr>
              <w:t>nm</w:t>
            </w:r>
          </w:p>
        </w:tc>
      </w:tr>
      <w:tr w:rsidR="00A53D7D" w:rsidRPr="00E76E8E" w:rsidTr="005140B4">
        <w:trPr>
          <w:cantSplit/>
        </w:trPr>
        <w:tc>
          <w:tcPr>
            <w:tcW w:w="7776" w:type="dxa"/>
            <w:gridSpan w:val="6"/>
            <w:tcBorders>
              <w:bottom w:val="single" w:sz="6" w:space="0" w:color="auto"/>
            </w:tcBorders>
          </w:tcPr>
          <w:p w:rsidR="00A53D7D" w:rsidRPr="003A3566" w:rsidRDefault="00A53D7D" w:rsidP="005140B4">
            <w:pPr>
              <w:pStyle w:val="OGNotes"/>
            </w:pPr>
            <w:r w:rsidRPr="00692B39">
              <w:t xml:space="preserve">This performance measure is proposed to be discontinued as it </w:t>
            </w:r>
            <w:r>
              <w:t>was</w:t>
            </w:r>
            <w:r w:rsidRPr="00692B39">
              <w:t xml:space="preserve"> completed in 2013</w:t>
            </w:r>
            <w:r>
              <w:noBreakHyphen/>
            </w:r>
            <w:r w:rsidRPr="00692B39">
              <w:t>14.</w:t>
            </w:r>
          </w:p>
        </w:tc>
      </w:tr>
      <w:tr w:rsidR="00A53D7D" w:rsidRPr="00E76E8E" w:rsidTr="005140B4">
        <w:trPr>
          <w:cantSplit/>
        </w:trPr>
        <w:tc>
          <w:tcPr>
            <w:tcW w:w="3155" w:type="dxa"/>
            <w:tcBorders>
              <w:top w:val="single" w:sz="6" w:space="0" w:color="auto"/>
            </w:tcBorders>
          </w:tcPr>
          <w:p w:rsidR="00A53D7D" w:rsidRPr="009C61B4" w:rsidRDefault="00A53D7D" w:rsidP="005140B4">
            <w:pPr>
              <w:pStyle w:val="OGTabText"/>
              <w:rPr>
                <w:lang w:eastAsia="en-AU"/>
              </w:rPr>
            </w:pPr>
            <w:r w:rsidRPr="009C61B4">
              <w:rPr>
                <w:lang w:eastAsia="en-AU"/>
              </w:rPr>
              <w:t xml:space="preserve">Programmed transport access works completed within agreed timeframes in compliance with the </w:t>
            </w:r>
            <w:r w:rsidRPr="009C61B4">
              <w:rPr>
                <w:i/>
                <w:lang w:eastAsia="en-AU"/>
              </w:rPr>
              <w:t>Disability Discrimination Act</w:t>
            </w:r>
          </w:p>
        </w:tc>
        <w:tc>
          <w:tcPr>
            <w:tcW w:w="907" w:type="dxa"/>
            <w:tcBorders>
              <w:top w:val="single" w:sz="6" w:space="0" w:color="auto"/>
            </w:tcBorders>
            <w:noWrap/>
          </w:tcPr>
          <w:p w:rsidR="00A53D7D" w:rsidRPr="003A3566" w:rsidRDefault="00A53D7D" w:rsidP="005140B4">
            <w:pPr>
              <w:pStyle w:val="OGUoM"/>
              <w:rPr>
                <w:lang w:eastAsia="en-AU"/>
              </w:rPr>
            </w:pPr>
            <w:r w:rsidRPr="00502440">
              <w:rPr>
                <w:lang w:eastAsia="en-AU"/>
              </w:rPr>
              <w:t>per cent</w:t>
            </w:r>
          </w:p>
        </w:tc>
        <w:tc>
          <w:tcPr>
            <w:tcW w:w="907" w:type="dxa"/>
            <w:tcBorders>
              <w:top w:val="single" w:sz="6" w:space="0" w:color="auto"/>
            </w:tcBorders>
            <w:shd w:val="clear" w:color="auto" w:fill="D9D9D9"/>
            <w:noWrap/>
          </w:tcPr>
          <w:p w:rsidR="00A53D7D" w:rsidRPr="009C61B4" w:rsidRDefault="00A53D7D" w:rsidP="005140B4">
            <w:pPr>
              <w:pStyle w:val="OGTableofFigures"/>
              <w:rPr>
                <w:highlight w:val="cyan"/>
                <w:lang w:eastAsia="en-AU"/>
              </w:rPr>
            </w:pPr>
            <w:proofErr w:type="spellStart"/>
            <w:r w:rsidRPr="009C61B4">
              <w:rPr>
                <w:lang w:eastAsia="en-AU"/>
              </w:rPr>
              <w:t>na</w:t>
            </w:r>
            <w:proofErr w:type="spellEnd"/>
          </w:p>
        </w:tc>
        <w:tc>
          <w:tcPr>
            <w:tcW w:w="993" w:type="dxa"/>
            <w:tcBorders>
              <w:top w:val="single" w:sz="6" w:space="0" w:color="auto"/>
            </w:tcBorders>
            <w:noWrap/>
          </w:tcPr>
          <w:p w:rsidR="00A53D7D" w:rsidRPr="003A3566" w:rsidRDefault="00A53D7D" w:rsidP="005140B4">
            <w:pPr>
              <w:pStyle w:val="OGTableofFigures"/>
              <w:rPr>
                <w:lang w:eastAsia="en-AU"/>
              </w:rPr>
            </w:pPr>
            <w:r>
              <w:rPr>
                <w:lang w:eastAsia="en-AU"/>
              </w:rPr>
              <w:t>100</w:t>
            </w:r>
          </w:p>
        </w:tc>
        <w:tc>
          <w:tcPr>
            <w:tcW w:w="907" w:type="dxa"/>
            <w:tcBorders>
              <w:top w:val="single" w:sz="6" w:space="0" w:color="auto"/>
            </w:tcBorders>
            <w:noWrap/>
          </w:tcPr>
          <w:p w:rsidR="00A53D7D" w:rsidRPr="003A3566" w:rsidRDefault="00A53D7D" w:rsidP="005140B4">
            <w:pPr>
              <w:pStyle w:val="OGTableofFigures"/>
              <w:rPr>
                <w:lang w:eastAsia="en-AU"/>
              </w:rPr>
            </w:pPr>
            <w:r>
              <w:rPr>
                <w:lang w:eastAsia="en-AU"/>
              </w:rPr>
              <w:t>100</w:t>
            </w:r>
          </w:p>
        </w:tc>
        <w:tc>
          <w:tcPr>
            <w:tcW w:w="907" w:type="dxa"/>
            <w:tcBorders>
              <w:top w:val="single" w:sz="6" w:space="0" w:color="auto"/>
            </w:tcBorders>
            <w:noWrap/>
          </w:tcPr>
          <w:p w:rsidR="00A53D7D" w:rsidRPr="003A3566" w:rsidRDefault="00A53D7D" w:rsidP="005140B4">
            <w:pPr>
              <w:pStyle w:val="OGTableofFigures"/>
              <w:rPr>
                <w:lang w:eastAsia="en-AU"/>
              </w:rPr>
            </w:pPr>
            <w:r>
              <w:rPr>
                <w:lang w:eastAsia="en-AU"/>
              </w:rPr>
              <w:t>100</w:t>
            </w:r>
          </w:p>
        </w:tc>
      </w:tr>
      <w:tr w:rsidR="00A53D7D" w:rsidRPr="00E76E8E" w:rsidTr="005140B4">
        <w:trPr>
          <w:cantSplit/>
        </w:trPr>
        <w:tc>
          <w:tcPr>
            <w:tcW w:w="7776" w:type="dxa"/>
            <w:gridSpan w:val="6"/>
            <w:tcBorders>
              <w:bottom w:val="single" w:sz="6" w:space="0" w:color="auto"/>
            </w:tcBorders>
          </w:tcPr>
          <w:p w:rsidR="00A53D7D" w:rsidRDefault="00A53D7D" w:rsidP="005140B4">
            <w:pPr>
              <w:pStyle w:val="OGNotes"/>
            </w:pPr>
            <w:r w:rsidRPr="009C61B4">
              <w:t xml:space="preserve">This performance measure is proposed to be discontinued </w:t>
            </w:r>
            <w:r>
              <w:t>as this element of the program was completed in 2013</w:t>
            </w:r>
            <w:r>
              <w:noBreakHyphen/>
              <w:t>14</w:t>
            </w:r>
            <w:r w:rsidRPr="009C61B4">
              <w:t>.</w:t>
            </w:r>
          </w:p>
        </w:tc>
      </w:tr>
      <w:tr w:rsidR="00A53D7D" w:rsidRPr="00E76E8E" w:rsidTr="005140B4">
        <w:trPr>
          <w:cantSplit/>
        </w:trPr>
        <w:tc>
          <w:tcPr>
            <w:tcW w:w="7776" w:type="dxa"/>
            <w:gridSpan w:val="6"/>
            <w:tcBorders>
              <w:top w:val="single" w:sz="6" w:space="0" w:color="auto"/>
              <w:bottom w:val="single" w:sz="6" w:space="0" w:color="auto"/>
            </w:tcBorders>
          </w:tcPr>
          <w:p w:rsidR="00A53D7D" w:rsidRDefault="00A53D7D" w:rsidP="005140B4">
            <w:pPr>
              <w:pStyle w:val="OGHeading2"/>
              <w:rPr>
                <w:lang w:eastAsia="en-AU"/>
              </w:rPr>
            </w:pPr>
            <w:r w:rsidRPr="00DB5062">
              <w:rPr>
                <w:lang w:eastAsia="en-AU"/>
              </w:rPr>
              <w:t>Ports and Freight Network Improvements and Maintenance</w:t>
            </w:r>
          </w:p>
        </w:tc>
      </w:tr>
      <w:tr w:rsidR="00A53D7D" w:rsidRPr="00E76E8E" w:rsidTr="005140B4">
        <w:trPr>
          <w:cantSplit/>
        </w:trPr>
        <w:tc>
          <w:tcPr>
            <w:tcW w:w="3155" w:type="dxa"/>
            <w:tcBorders>
              <w:top w:val="single" w:sz="6" w:space="0" w:color="auto"/>
            </w:tcBorders>
          </w:tcPr>
          <w:p w:rsidR="00A53D7D" w:rsidRPr="00DB5062" w:rsidRDefault="00A53D7D" w:rsidP="005140B4">
            <w:pPr>
              <w:pStyle w:val="OGTabHead"/>
              <w:rPr>
                <w:lang w:eastAsia="en-AU"/>
              </w:rPr>
            </w:pPr>
            <w:r w:rsidRPr="00DB5062">
              <w:rPr>
                <w:lang w:eastAsia="en-AU"/>
              </w:rPr>
              <w:t>Quantity</w:t>
            </w:r>
          </w:p>
        </w:tc>
        <w:tc>
          <w:tcPr>
            <w:tcW w:w="907" w:type="dxa"/>
            <w:tcBorders>
              <w:top w:val="single" w:sz="6" w:space="0" w:color="auto"/>
            </w:tcBorders>
            <w:noWrap/>
          </w:tcPr>
          <w:p w:rsidR="00A53D7D" w:rsidRPr="00DB5062" w:rsidRDefault="00A53D7D" w:rsidP="005140B4">
            <w:pPr>
              <w:pStyle w:val="OGUoM"/>
              <w:rPr>
                <w:color w:val="000000"/>
                <w:szCs w:val="20"/>
                <w:lang w:eastAsia="en-AU"/>
              </w:rPr>
            </w:pPr>
            <w:r w:rsidRPr="00DB5062">
              <w:rPr>
                <w:color w:val="000000"/>
                <w:szCs w:val="20"/>
                <w:lang w:eastAsia="en-AU"/>
              </w:rPr>
              <w:t> </w:t>
            </w:r>
          </w:p>
        </w:tc>
        <w:tc>
          <w:tcPr>
            <w:tcW w:w="907" w:type="dxa"/>
            <w:tcBorders>
              <w:top w:val="single" w:sz="6" w:space="0" w:color="auto"/>
            </w:tcBorders>
            <w:shd w:val="clear" w:color="auto" w:fill="D9D9D9"/>
            <w:noWrap/>
          </w:tcPr>
          <w:p w:rsidR="00A53D7D" w:rsidRPr="00DB5062" w:rsidRDefault="00A53D7D" w:rsidP="005140B4">
            <w:pPr>
              <w:pStyle w:val="OGTableofFigures"/>
              <w:rPr>
                <w:szCs w:val="20"/>
                <w:lang w:eastAsia="en-AU"/>
              </w:rPr>
            </w:pPr>
            <w:r w:rsidRPr="00DB5062">
              <w:rPr>
                <w:szCs w:val="20"/>
                <w:lang w:eastAsia="en-AU"/>
              </w:rPr>
              <w:t> </w:t>
            </w:r>
          </w:p>
        </w:tc>
        <w:tc>
          <w:tcPr>
            <w:tcW w:w="993" w:type="dxa"/>
            <w:tcBorders>
              <w:top w:val="single" w:sz="6" w:space="0" w:color="auto"/>
            </w:tcBorders>
            <w:noWrap/>
          </w:tcPr>
          <w:p w:rsidR="00A53D7D" w:rsidRPr="00E76E8E" w:rsidRDefault="00A53D7D" w:rsidP="005140B4">
            <w:pPr>
              <w:pStyle w:val="OGTableofFigures"/>
              <w:rPr>
                <w:szCs w:val="20"/>
                <w:lang w:eastAsia="en-AU"/>
              </w:rPr>
            </w:pPr>
            <w:r w:rsidRPr="00E76E8E">
              <w:rPr>
                <w:szCs w:val="20"/>
                <w:lang w:eastAsia="en-AU"/>
              </w:rPr>
              <w:t> </w:t>
            </w:r>
          </w:p>
        </w:tc>
        <w:tc>
          <w:tcPr>
            <w:tcW w:w="907" w:type="dxa"/>
            <w:tcBorders>
              <w:top w:val="single" w:sz="6" w:space="0" w:color="auto"/>
            </w:tcBorders>
            <w:noWrap/>
          </w:tcPr>
          <w:p w:rsidR="00A53D7D" w:rsidRPr="00E76E8E" w:rsidRDefault="00A53D7D" w:rsidP="005140B4">
            <w:pPr>
              <w:pStyle w:val="OGTableofFigures"/>
              <w:rPr>
                <w:szCs w:val="20"/>
                <w:lang w:eastAsia="en-AU"/>
              </w:rPr>
            </w:pPr>
            <w:r w:rsidRPr="00E76E8E">
              <w:rPr>
                <w:szCs w:val="20"/>
                <w:lang w:eastAsia="en-AU"/>
              </w:rPr>
              <w:t> </w:t>
            </w:r>
          </w:p>
        </w:tc>
        <w:tc>
          <w:tcPr>
            <w:tcW w:w="907" w:type="dxa"/>
            <w:tcBorders>
              <w:top w:val="single" w:sz="6" w:space="0" w:color="auto"/>
            </w:tcBorders>
            <w:noWrap/>
          </w:tcPr>
          <w:p w:rsidR="00A53D7D" w:rsidRPr="00E76E8E" w:rsidRDefault="00A53D7D" w:rsidP="005140B4">
            <w:pPr>
              <w:pStyle w:val="OGTableofFigures"/>
              <w:rPr>
                <w:szCs w:val="20"/>
                <w:lang w:eastAsia="en-AU"/>
              </w:rPr>
            </w:pPr>
            <w:r w:rsidRPr="00E76E8E">
              <w:rPr>
                <w:szCs w:val="20"/>
                <w:lang w:eastAsia="en-AU"/>
              </w:rPr>
              <w:t> </w:t>
            </w:r>
          </w:p>
        </w:tc>
      </w:tr>
      <w:tr w:rsidR="00A53D7D" w:rsidRPr="00E76E8E" w:rsidTr="005140B4">
        <w:trPr>
          <w:cantSplit/>
        </w:trPr>
        <w:tc>
          <w:tcPr>
            <w:tcW w:w="3155" w:type="dxa"/>
          </w:tcPr>
          <w:p w:rsidR="00A53D7D" w:rsidRPr="00DB5062" w:rsidRDefault="00A53D7D" w:rsidP="005140B4">
            <w:pPr>
              <w:pStyle w:val="OGTabText"/>
              <w:rPr>
                <w:szCs w:val="20"/>
                <w:lang w:eastAsia="en-AU"/>
              </w:rPr>
            </w:pPr>
            <w:r w:rsidRPr="00DB5062">
              <w:rPr>
                <w:szCs w:val="20"/>
                <w:lang w:eastAsia="en-AU"/>
              </w:rPr>
              <w:t>South West Passing Loop works completed</w:t>
            </w:r>
          </w:p>
        </w:tc>
        <w:tc>
          <w:tcPr>
            <w:tcW w:w="907" w:type="dxa"/>
            <w:noWrap/>
          </w:tcPr>
          <w:p w:rsidR="00A53D7D" w:rsidRPr="00DB5062" w:rsidRDefault="00A53D7D" w:rsidP="005140B4">
            <w:pPr>
              <w:pStyle w:val="OGUoM"/>
              <w:rPr>
                <w:szCs w:val="20"/>
                <w:lang w:eastAsia="en-AU"/>
              </w:rPr>
            </w:pPr>
            <w:r w:rsidRPr="00DB5062">
              <w:rPr>
                <w:szCs w:val="20"/>
                <w:lang w:eastAsia="en-AU"/>
              </w:rPr>
              <w:t>per cent</w:t>
            </w:r>
          </w:p>
        </w:tc>
        <w:tc>
          <w:tcPr>
            <w:tcW w:w="907" w:type="dxa"/>
            <w:shd w:val="clear" w:color="auto" w:fill="D9D9D9"/>
            <w:noWrap/>
          </w:tcPr>
          <w:p w:rsidR="00A53D7D" w:rsidRPr="00DB5062" w:rsidRDefault="00A53D7D" w:rsidP="005140B4">
            <w:pPr>
              <w:pStyle w:val="OGTableofFigures"/>
              <w:rPr>
                <w:szCs w:val="20"/>
                <w:lang w:eastAsia="en-AU"/>
              </w:rPr>
            </w:pPr>
            <w:proofErr w:type="spellStart"/>
            <w:r>
              <w:rPr>
                <w:szCs w:val="20"/>
                <w:lang w:eastAsia="en-AU"/>
              </w:rPr>
              <w:t>na</w:t>
            </w:r>
            <w:proofErr w:type="spellEnd"/>
          </w:p>
        </w:tc>
        <w:tc>
          <w:tcPr>
            <w:tcW w:w="993" w:type="dxa"/>
            <w:noWrap/>
          </w:tcPr>
          <w:p w:rsidR="00A53D7D" w:rsidRPr="009B731A" w:rsidRDefault="00A53D7D" w:rsidP="005140B4">
            <w:pPr>
              <w:pStyle w:val="OGTableofFigures"/>
              <w:rPr>
                <w:szCs w:val="20"/>
                <w:lang w:eastAsia="en-AU"/>
              </w:rPr>
            </w:pPr>
            <w:r w:rsidRPr="009B731A">
              <w:rPr>
                <w:szCs w:val="20"/>
                <w:lang w:eastAsia="en-AU"/>
              </w:rPr>
              <w:t>100</w:t>
            </w:r>
          </w:p>
        </w:tc>
        <w:tc>
          <w:tcPr>
            <w:tcW w:w="907" w:type="dxa"/>
            <w:noWrap/>
          </w:tcPr>
          <w:p w:rsidR="00A53D7D" w:rsidRPr="009B731A" w:rsidRDefault="00A53D7D" w:rsidP="005140B4">
            <w:pPr>
              <w:pStyle w:val="OGTableofFigures"/>
              <w:rPr>
                <w:szCs w:val="20"/>
                <w:lang w:eastAsia="en-AU"/>
              </w:rPr>
            </w:pPr>
            <w:r w:rsidRPr="009B731A">
              <w:rPr>
                <w:szCs w:val="20"/>
                <w:lang w:eastAsia="en-AU"/>
              </w:rPr>
              <w:t>100</w:t>
            </w:r>
          </w:p>
        </w:tc>
        <w:tc>
          <w:tcPr>
            <w:tcW w:w="907" w:type="dxa"/>
            <w:noWrap/>
          </w:tcPr>
          <w:p w:rsidR="00A53D7D" w:rsidRPr="009B731A" w:rsidRDefault="00A53D7D" w:rsidP="005140B4">
            <w:pPr>
              <w:pStyle w:val="OGTableofFigures"/>
              <w:rPr>
                <w:szCs w:val="20"/>
                <w:lang w:eastAsia="en-AU"/>
              </w:rPr>
            </w:pPr>
            <w:r w:rsidRPr="009B731A">
              <w:rPr>
                <w:szCs w:val="20"/>
                <w:lang w:eastAsia="en-AU"/>
              </w:rPr>
              <w:t>60</w:t>
            </w:r>
          </w:p>
        </w:tc>
      </w:tr>
      <w:tr w:rsidR="00A53D7D" w:rsidRPr="00E76E8E" w:rsidTr="005140B4">
        <w:trPr>
          <w:cantSplit/>
        </w:trPr>
        <w:tc>
          <w:tcPr>
            <w:tcW w:w="7776" w:type="dxa"/>
            <w:gridSpan w:val="6"/>
            <w:tcBorders>
              <w:bottom w:val="single" w:sz="6" w:space="0" w:color="auto"/>
            </w:tcBorders>
          </w:tcPr>
          <w:p w:rsidR="00A53D7D" w:rsidRPr="009B731A" w:rsidRDefault="00A53D7D" w:rsidP="005140B4">
            <w:pPr>
              <w:pStyle w:val="OGNotes"/>
            </w:pPr>
            <w:r w:rsidRPr="00DB5062">
              <w:t xml:space="preserve">This performance measure is proposed to be discontinued as </w:t>
            </w:r>
            <w:r w:rsidRPr="00F500AA">
              <w:t xml:space="preserve">the passing loop at Warncoort </w:t>
            </w:r>
            <w:r w:rsidRPr="00DB5062">
              <w:t>is expected to be completed in 2013</w:t>
            </w:r>
            <w:r>
              <w:noBreakHyphen/>
            </w:r>
            <w:r w:rsidRPr="00DB5062">
              <w:t>14.</w:t>
            </w:r>
          </w:p>
        </w:tc>
      </w:tr>
      <w:tr w:rsidR="00A53D7D" w:rsidRPr="00E76E8E" w:rsidTr="005140B4">
        <w:trPr>
          <w:cantSplit/>
        </w:trPr>
        <w:tc>
          <w:tcPr>
            <w:tcW w:w="7776" w:type="dxa"/>
            <w:gridSpan w:val="6"/>
            <w:tcBorders>
              <w:top w:val="single" w:sz="6" w:space="0" w:color="auto"/>
              <w:bottom w:val="single" w:sz="6" w:space="0" w:color="auto"/>
            </w:tcBorders>
          </w:tcPr>
          <w:p w:rsidR="00A53D7D" w:rsidRPr="009B731A" w:rsidRDefault="00A53D7D" w:rsidP="005140B4">
            <w:pPr>
              <w:pStyle w:val="OGHeading2"/>
              <w:rPr>
                <w:szCs w:val="20"/>
                <w:lang w:eastAsia="en-AU"/>
              </w:rPr>
            </w:pPr>
            <w:r w:rsidRPr="005B30D6">
              <w:rPr>
                <w:lang w:eastAsia="en-AU"/>
              </w:rPr>
              <w:t>Planning, Building and Heritage</w:t>
            </w:r>
          </w:p>
        </w:tc>
      </w:tr>
      <w:tr w:rsidR="00A53D7D" w:rsidRPr="00E76E8E" w:rsidTr="005140B4">
        <w:trPr>
          <w:cantSplit/>
        </w:trPr>
        <w:tc>
          <w:tcPr>
            <w:tcW w:w="3155" w:type="dxa"/>
            <w:tcBorders>
              <w:top w:val="single" w:sz="6" w:space="0" w:color="auto"/>
            </w:tcBorders>
          </w:tcPr>
          <w:p w:rsidR="00A53D7D" w:rsidRPr="00E76E8E" w:rsidRDefault="00A53D7D" w:rsidP="005140B4">
            <w:pPr>
              <w:pStyle w:val="OGTabHead"/>
              <w:rPr>
                <w:lang w:eastAsia="en-AU"/>
              </w:rPr>
            </w:pPr>
            <w:r>
              <w:rPr>
                <w:lang w:eastAsia="en-AU"/>
              </w:rPr>
              <w:t>Quality</w:t>
            </w:r>
          </w:p>
        </w:tc>
        <w:tc>
          <w:tcPr>
            <w:tcW w:w="907" w:type="dxa"/>
            <w:tcBorders>
              <w:top w:val="single" w:sz="6" w:space="0" w:color="auto"/>
            </w:tcBorders>
            <w:noWrap/>
          </w:tcPr>
          <w:p w:rsidR="00A53D7D" w:rsidRPr="00E76E8E" w:rsidRDefault="00A53D7D" w:rsidP="005140B4">
            <w:pPr>
              <w:pStyle w:val="OGUoM"/>
              <w:rPr>
                <w:color w:val="000000"/>
                <w:szCs w:val="20"/>
                <w:lang w:eastAsia="en-AU"/>
              </w:rPr>
            </w:pPr>
            <w:r w:rsidRPr="00E76E8E">
              <w:rPr>
                <w:color w:val="000000"/>
                <w:szCs w:val="20"/>
                <w:lang w:eastAsia="en-AU"/>
              </w:rPr>
              <w:t> </w:t>
            </w:r>
          </w:p>
        </w:tc>
        <w:tc>
          <w:tcPr>
            <w:tcW w:w="907" w:type="dxa"/>
            <w:tcBorders>
              <w:top w:val="single" w:sz="6" w:space="0" w:color="auto"/>
            </w:tcBorders>
            <w:shd w:val="clear" w:color="auto" w:fill="D9D9D9"/>
            <w:noWrap/>
          </w:tcPr>
          <w:p w:rsidR="00A53D7D" w:rsidRPr="005B30D6" w:rsidRDefault="00A53D7D" w:rsidP="005140B4">
            <w:pPr>
              <w:pStyle w:val="OGTableofFigures"/>
              <w:rPr>
                <w:szCs w:val="20"/>
                <w:lang w:eastAsia="en-AU"/>
              </w:rPr>
            </w:pPr>
            <w:r w:rsidRPr="005B30D6">
              <w:rPr>
                <w:szCs w:val="20"/>
                <w:lang w:eastAsia="en-AU"/>
              </w:rPr>
              <w:t> </w:t>
            </w:r>
          </w:p>
        </w:tc>
        <w:tc>
          <w:tcPr>
            <w:tcW w:w="993" w:type="dxa"/>
            <w:tcBorders>
              <w:top w:val="single" w:sz="6" w:space="0" w:color="auto"/>
            </w:tcBorders>
            <w:noWrap/>
          </w:tcPr>
          <w:p w:rsidR="00A53D7D" w:rsidRPr="005B30D6" w:rsidRDefault="00A53D7D" w:rsidP="005140B4">
            <w:pPr>
              <w:pStyle w:val="OGTableofFigures"/>
              <w:rPr>
                <w:szCs w:val="20"/>
                <w:lang w:eastAsia="en-AU"/>
              </w:rPr>
            </w:pPr>
            <w:r w:rsidRPr="005B30D6">
              <w:rPr>
                <w:szCs w:val="20"/>
                <w:lang w:eastAsia="en-AU"/>
              </w:rPr>
              <w:t> </w:t>
            </w:r>
          </w:p>
        </w:tc>
        <w:tc>
          <w:tcPr>
            <w:tcW w:w="907" w:type="dxa"/>
            <w:tcBorders>
              <w:top w:val="single" w:sz="6" w:space="0" w:color="auto"/>
            </w:tcBorders>
            <w:noWrap/>
          </w:tcPr>
          <w:p w:rsidR="00A53D7D" w:rsidRPr="00E76E8E" w:rsidRDefault="00A53D7D" w:rsidP="005140B4">
            <w:pPr>
              <w:pStyle w:val="OGTableofFigures"/>
              <w:rPr>
                <w:szCs w:val="20"/>
                <w:lang w:eastAsia="en-AU"/>
              </w:rPr>
            </w:pPr>
            <w:r w:rsidRPr="00E76E8E">
              <w:rPr>
                <w:szCs w:val="20"/>
                <w:lang w:eastAsia="en-AU"/>
              </w:rPr>
              <w:t> </w:t>
            </w:r>
          </w:p>
        </w:tc>
        <w:tc>
          <w:tcPr>
            <w:tcW w:w="907" w:type="dxa"/>
            <w:tcBorders>
              <w:top w:val="single" w:sz="6" w:space="0" w:color="auto"/>
            </w:tcBorders>
            <w:noWrap/>
          </w:tcPr>
          <w:p w:rsidR="00A53D7D" w:rsidRPr="00E76E8E" w:rsidRDefault="00A53D7D" w:rsidP="005140B4">
            <w:pPr>
              <w:pStyle w:val="OGTableofFigures"/>
              <w:rPr>
                <w:szCs w:val="20"/>
                <w:lang w:eastAsia="en-AU"/>
              </w:rPr>
            </w:pPr>
            <w:r w:rsidRPr="00E76E8E">
              <w:rPr>
                <w:szCs w:val="20"/>
                <w:lang w:eastAsia="en-AU"/>
              </w:rPr>
              <w:t> </w:t>
            </w:r>
          </w:p>
        </w:tc>
      </w:tr>
      <w:tr w:rsidR="00A53D7D" w:rsidRPr="00E76E8E" w:rsidTr="005140B4">
        <w:trPr>
          <w:cantSplit/>
        </w:trPr>
        <w:tc>
          <w:tcPr>
            <w:tcW w:w="3155" w:type="dxa"/>
          </w:tcPr>
          <w:p w:rsidR="00A53D7D" w:rsidRPr="003A3566" w:rsidRDefault="00A53D7D" w:rsidP="005140B4">
            <w:pPr>
              <w:pStyle w:val="OGTabText"/>
              <w:rPr>
                <w:lang w:eastAsia="en-AU"/>
              </w:rPr>
            </w:pPr>
            <w:r w:rsidRPr="003A3566">
              <w:rPr>
                <w:lang w:eastAsia="en-AU"/>
              </w:rPr>
              <w:t>Available funding committed to eligible projects: Community Works Program</w:t>
            </w:r>
          </w:p>
        </w:tc>
        <w:tc>
          <w:tcPr>
            <w:tcW w:w="907" w:type="dxa"/>
            <w:noWrap/>
          </w:tcPr>
          <w:p w:rsidR="00A53D7D" w:rsidRPr="003A3566" w:rsidRDefault="00A53D7D" w:rsidP="005140B4">
            <w:pPr>
              <w:pStyle w:val="OGUoM"/>
              <w:rPr>
                <w:lang w:eastAsia="en-AU"/>
              </w:rPr>
            </w:pPr>
            <w:r w:rsidRPr="003A3566">
              <w:rPr>
                <w:lang w:eastAsia="en-AU"/>
              </w:rPr>
              <w:t>per cent</w:t>
            </w:r>
          </w:p>
        </w:tc>
        <w:tc>
          <w:tcPr>
            <w:tcW w:w="907" w:type="dxa"/>
            <w:shd w:val="clear" w:color="auto" w:fill="D9D9D9"/>
            <w:noWrap/>
          </w:tcPr>
          <w:p w:rsidR="00A53D7D" w:rsidRPr="00DF55D2" w:rsidRDefault="00A53D7D" w:rsidP="005140B4">
            <w:pPr>
              <w:pStyle w:val="OGTableofFigures"/>
              <w:rPr>
                <w:lang w:eastAsia="en-AU"/>
              </w:rPr>
            </w:pPr>
            <w:r>
              <w:rPr>
                <w:lang w:eastAsia="en-AU"/>
              </w:rPr>
              <w:t>100</w:t>
            </w:r>
          </w:p>
        </w:tc>
        <w:tc>
          <w:tcPr>
            <w:tcW w:w="993" w:type="dxa"/>
            <w:noWrap/>
          </w:tcPr>
          <w:p w:rsidR="00A53D7D" w:rsidRPr="00E76E8E" w:rsidRDefault="00A53D7D" w:rsidP="005140B4">
            <w:pPr>
              <w:pStyle w:val="OGTableofFigures"/>
              <w:rPr>
                <w:szCs w:val="20"/>
                <w:lang w:eastAsia="en-AU"/>
              </w:rPr>
            </w:pPr>
            <w:r>
              <w:rPr>
                <w:szCs w:val="20"/>
                <w:lang w:eastAsia="en-AU"/>
              </w:rPr>
              <w:t>100</w:t>
            </w:r>
          </w:p>
        </w:tc>
        <w:tc>
          <w:tcPr>
            <w:tcW w:w="907" w:type="dxa"/>
            <w:noWrap/>
          </w:tcPr>
          <w:p w:rsidR="00A53D7D" w:rsidRPr="003A3566" w:rsidRDefault="00A53D7D" w:rsidP="005140B4">
            <w:pPr>
              <w:pStyle w:val="OGTableofFigures"/>
              <w:rPr>
                <w:lang w:eastAsia="en-AU"/>
              </w:rPr>
            </w:pPr>
            <w:r w:rsidRPr="003A3566">
              <w:rPr>
                <w:lang w:eastAsia="en-AU"/>
              </w:rPr>
              <w:t>100</w:t>
            </w:r>
          </w:p>
        </w:tc>
        <w:tc>
          <w:tcPr>
            <w:tcW w:w="907" w:type="dxa"/>
          </w:tcPr>
          <w:p w:rsidR="00A53D7D" w:rsidRPr="003A3566" w:rsidRDefault="00A53D7D" w:rsidP="005140B4">
            <w:pPr>
              <w:pStyle w:val="OGTableofFigures"/>
              <w:rPr>
                <w:lang w:eastAsia="en-AU"/>
              </w:rPr>
            </w:pPr>
            <w:r w:rsidRPr="003A3566">
              <w:rPr>
                <w:lang w:eastAsia="en-AU"/>
              </w:rPr>
              <w:t>nm</w:t>
            </w:r>
          </w:p>
        </w:tc>
      </w:tr>
      <w:tr w:rsidR="00A53D7D" w:rsidRPr="00E76E8E" w:rsidTr="005140B4">
        <w:trPr>
          <w:cantSplit/>
        </w:trPr>
        <w:tc>
          <w:tcPr>
            <w:tcW w:w="7776" w:type="dxa"/>
            <w:gridSpan w:val="6"/>
            <w:tcBorders>
              <w:bottom w:val="single" w:sz="6" w:space="0" w:color="auto"/>
            </w:tcBorders>
          </w:tcPr>
          <w:p w:rsidR="00A53D7D" w:rsidRPr="003A3566" w:rsidRDefault="00A53D7D" w:rsidP="005140B4">
            <w:pPr>
              <w:pStyle w:val="OGNotes"/>
            </w:pPr>
            <w:r w:rsidRPr="00DF55D2">
              <w:t>This performance measure is proposed to be discontinued as it has been replaced by the 2014</w:t>
            </w:r>
            <w:r>
              <w:noBreakHyphen/>
            </w:r>
            <w:r w:rsidRPr="00DF55D2">
              <w:t>15 performance measure ‘Community Works Program/Community Support Grant projects completed meet agreed project objectives’.</w:t>
            </w:r>
            <w:r>
              <w:t xml:space="preserve"> The target for 2014</w:t>
            </w:r>
            <w:r>
              <w:noBreakHyphen/>
              <w:t>15 is included to indicate what the target would have been had the measure been continued.</w:t>
            </w:r>
          </w:p>
        </w:tc>
      </w:tr>
      <w:tr w:rsidR="00A53D7D" w:rsidRPr="00E76E8E" w:rsidTr="005140B4">
        <w:trPr>
          <w:cantSplit/>
        </w:trPr>
        <w:tc>
          <w:tcPr>
            <w:tcW w:w="3155" w:type="dxa"/>
            <w:tcBorders>
              <w:top w:val="single" w:sz="6" w:space="0" w:color="auto"/>
            </w:tcBorders>
          </w:tcPr>
          <w:p w:rsidR="00A53D7D" w:rsidRPr="003A3566" w:rsidRDefault="00A53D7D" w:rsidP="005140B4">
            <w:pPr>
              <w:pStyle w:val="OGTabText"/>
              <w:rPr>
                <w:lang w:eastAsia="en-AU"/>
              </w:rPr>
            </w:pPr>
            <w:r w:rsidRPr="003A3566">
              <w:rPr>
                <w:lang w:eastAsia="en-AU"/>
              </w:rPr>
              <w:t>Community Support Grant projects completed meet agreed project objectives</w:t>
            </w:r>
          </w:p>
        </w:tc>
        <w:tc>
          <w:tcPr>
            <w:tcW w:w="907" w:type="dxa"/>
            <w:tcBorders>
              <w:top w:val="single" w:sz="6" w:space="0" w:color="auto"/>
            </w:tcBorders>
            <w:noWrap/>
          </w:tcPr>
          <w:p w:rsidR="00A53D7D" w:rsidRPr="003A3566" w:rsidRDefault="00A53D7D" w:rsidP="005140B4">
            <w:pPr>
              <w:pStyle w:val="OGUoM"/>
              <w:rPr>
                <w:lang w:eastAsia="en-AU"/>
              </w:rPr>
            </w:pPr>
            <w:r w:rsidRPr="003A3566">
              <w:rPr>
                <w:lang w:eastAsia="en-AU"/>
              </w:rPr>
              <w:t>per cent</w:t>
            </w:r>
          </w:p>
        </w:tc>
        <w:tc>
          <w:tcPr>
            <w:tcW w:w="907" w:type="dxa"/>
            <w:tcBorders>
              <w:top w:val="single" w:sz="6" w:space="0" w:color="auto"/>
            </w:tcBorders>
            <w:shd w:val="clear" w:color="auto" w:fill="D9D9D9"/>
            <w:noWrap/>
          </w:tcPr>
          <w:p w:rsidR="00A53D7D" w:rsidRPr="00DF55D2" w:rsidRDefault="00A53D7D" w:rsidP="005140B4">
            <w:pPr>
              <w:pStyle w:val="OGTableofFigures"/>
              <w:rPr>
                <w:lang w:eastAsia="en-AU"/>
              </w:rPr>
            </w:pPr>
            <w:r>
              <w:rPr>
                <w:lang w:eastAsia="en-AU"/>
              </w:rPr>
              <w:t>95</w:t>
            </w:r>
          </w:p>
        </w:tc>
        <w:tc>
          <w:tcPr>
            <w:tcW w:w="993" w:type="dxa"/>
            <w:tcBorders>
              <w:top w:val="single" w:sz="6" w:space="0" w:color="auto"/>
            </w:tcBorders>
            <w:noWrap/>
          </w:tcPr>
          <w:p w:rsidR="00A53D7D" w:rsidRPr="008E1592" w:rsidRDefault="00A53D7D" w:rsidP="005140B4">
            <w:pPr>
              <w:pStyle w:val="OGTableofFigures"/>
              <w:rPr>
                <w:szCs w:val="20"/>
                <w:lang w:eastAsia="en-AU"/>
              </w:rPr>
            </w:pPr>
            <w:r w:rsidRPr="008E1592">
              <w:rPr>
                <w:szCs w:val="20"/>
                <w:lang w:eastAsia="en-AU"/>
              </w:rPr>
              <w:t>100</w:t>
            </w:r>
          </w:p>
        </w:tc>
        <w:tc>
          <w:tcPr>
            <w:tcW w:w="907" w:type="dxa"/>
            <w:tcBorders>
              <w:top w:val="single" w:sz="6" w:space="0" w:color="auto"/>
            </w:tcBorders>
            <w:noWrap/>
          </w:tcPr>
          <w:p w:rsidR="00A53D7D" w:rsidRPr="007B7E78" w:rsidRDefault="00A53D7D" w:rsidP="005140B4">
            <w:pPr>
              <w:pStyle w:val="OGTableofFigures"/>
              <w:rPr>
                <w:lang w:eastAsia="en-AU"/>
              </w:rPr>
            </w:pPr>
            <w:r w:rsidRPr="008E1592">
              <w:rPr>
                <w:lang w:eastAsia="en-AU"/>
              </w:rPr>
              <w:t>95</w:t>
            </w:r>
          </w:p>
        </w:tc>
        <w:tc>
          <w:tcPr>
            <w:tcW w:w="907" w:type="dxa"/>
            <w:tcBorders>
              <w:top w:val="single" w:sz="6" w:space="0" w:color="auto"/>
            </w:tcBorders>
          </w:tcPr>
          <w:p w:rsidR="00A53D7D" w:rsidRPr="003A3566" w:rsidRDefault="00A53D7D" w:rsidP="005140B4">
            <w:pPr>
              <w:pStyle w:val="OGTableofFigures"/>
              <w:rPr>
                <w:lang w:eastAsia="en-AU"/>
              </w:rPr>
            </w:pPr>
            <w:r w:rsidRPr="003A3566">
              <w:rPr>
                <w:lang w:eastAsia="en-AU"/>
              </w:rPr>
              <w:t>9</w:t>
            </w:r>
            <w:r>
              <w:rPr>
                <w:lang w:eastAsia="en-AU"/>
              </w:rPr>
              <w:t>5</w:t>
            </w:r>
          </w:p>
        </w:tc>
      </w:tr>
      <w:tr w:rsidR="00A53D7D" w:rsidRPr="00E76E8E" w:rsidTr="005140B4">
        <w:trPr>
          <w:cantSplit/>
        </w:trPr>
        <w:tc>
          <w:tcPr>
            <w:tcW w:w="7776" w:type="dxa"/>
            <w:gridSpan w:val="6"/>
            <w:tcBorders>
              <w:bottom w:val="single" w:sz="6" w:space="0" w:color="auto"/>
            </w:tcBorders>
          </w:tcPr>
          <w:p w:rsidR="00A53D7D" w:rsidRPr="003A3566" w:rsidRDefault="00A53D7D" w:rsidP="005140B4">
            <w:pPr>
              <w:pStyle w:val="OGNotes"/>
            </w:pPr>
            <w:r w:rsidRPr="00DF55D2">
              <w:t>This performance measure is proposed to be discontinued as it has been replaced by the 2014</w:t>
            </w:r>
            <w:r>
              <w:noBreakHyphen/>
            </w:r>
            <w:r w:rsidRPr="00DF55D2">
              <w:t>15 performance measure ‘Community Works Program/Community Support Grant projects completed meet agreed project objectives’.</w:t>
            </w:r>
            <w:r>
              <w:t xml:space="preserve"> The target for 2014</w:t>
            </w:r>
            <w:r>
              <w:noBreakHyphen/>
              <w:t>15 is included to indicate what the target would have been had the measure been continued.</w:t>
            </w:r>
          </w:p>
        </w:tc>
      </w:tr>
      <w:tr w:rsidR="00A53D7D" w:rsidRPr="00E76E8E" w:rsidTr="005140B4">
        <w:trPr>
          <w:cantSplit/>
        </w:trPr>
        <w:tc>
          <w:tcPr>
            <w:tcW w:w="3155" w:type="dxa"/>
            <w:tcBorders>
              <w:top w:val="single" w:sz="6" w:space="0" w:color="auto"/>
            </w:tcBorders>
          </w:tcPr>
          <w:p w:rsidR="00A53D7D" w:rsidRPr="007E7631" w:rsidRDefault="00A53D7D" w:rsidP="005140B4">
            <w:pPr>
              <w:pStyle w:val="OGTabText"/>
              <w:rPr>
                <w:lang w:eastAsia="en-AU"/>
              </w:rPr>
            </w:pPr>
            <w:r w:rsidRPr="007E7631">
              <w:rPr>
                <w:lang w:eastAsia="en-AU"/>
              </w:rPr>
              <w:t>Critical stakeholders effectively engaged in the metropolitan planning strategy</w:t>
            </w:r>
          </w:p>
        </w:tc>
        <w:tc>
          <w:tcPr>
            <w:tcW w:w="907" w:type="dxa"/>
            <w:tcBorders>
              <w:top w:val="single" w:sz="6" w:space="0" w:color="auto"/>
            </w:tcBorders>
            <w:noWrap/>
          </w:tcPr>
          <w:p w:rsidR="00A53D7D" w:rsidRPr="009B3704" w:rsidRDefault="00A53D7D" w:rsidP="005140B4">
            <w:pPr>
              <w:pStyle w:val="OGUoM"/>
              <w:rPr>
                <w:lang w:eastAsia="en-AU"/>
              </w:rPr>
            </w:pPr>
            <w:r>
              <w:rPr>
                <w:lang w:eastAsia="en-AU"/>
              </w:rPr>
              <w:t>per cent</w:t>
            </w:r>
          </w:p>
        </w:tc>
        <w:tc>
          <w:tcPr>
            <w:tcW w:w="907" w:type="dxa"/>
            <w:tcBorders>
              <w:top w:val="single" w:sz="6" w:space="0" w:color="auto"/>
            </w:tcBorders>
            <w:shd w:val="clear" w:color="auto" w:fill="D9D9D9"/>
            <w:noWrap/>
          </w:tcPr>
          <w:p w:rsidR="00A53D7D" w:rsidRPr="008E1592" w:rsidRDefault="00A53D7D" w:rsidP="005140B4">
            <w:pPr>
              <w:pStyle w:val="OGTableofFigures"/>
              <w:rPr>
                <w:lang w:eastAsia="en-AU"/>
              </w:rPr>
            </w:pPr>
            <w:r>
              <w:rPr>
                <w:lang w:eastAsia="en-AU"/>
              </w:rPr>
              <w:t>100</w:t>
            </w:r>
          </w:p>
        </w:tc>
        <w:tc>
          <w:tcPr>
            <w:tcW w:w="993" w:type="dxa"/>
            <w:tcBorders>
              <w:top w:val="single" w:sz="6" w:space="0" w:color="auto"/>
            </w:tcBorders>
            <w:noWrap/>
          </w:tcPr>
          <w:p w:rsidR="00A53D7D" w:rsidRPr="007B7E78" w:rsidRDefault="00A53D7D" w:rsidP="005140B4">
            <w:pPr>
              <w:pStyle w:val="OGTableofFigures"/>
              <w:rPr>
                <w:lang w:eastAsia="en-AU"/>
              </w:rPr>
            </w:pPr>
            <w:r w:rsidRPr="008E1592">
              <w:rPr>
                <w:lang w:eastAsia="en-AU"/>
              </w:rPr>
              <w:t>100</w:t>
            </w:r>
          </w:p>
        </w:tc>
        <w:tc>
          <w:tcPr>
            <w:tcW w:w="907" w:type="dxa"/>
            <w:tcBorders>
              <w:top w:val="single" w:sz="6" w:space="0" w:color="auto"/>
            </w:tcBorders>
            <w:noWrap/>
          </w:tcPr>
          <w:p w:rsidR="00A53D7D" w:rsidRPr="00E22181" w:rsidRDefault="00A53D7D" w:rsidP="005140B4">
            <w:pPr>
              <w:pStyle w:val="OGTableofFigures"/>
              <w:rPr>
                <w:lang w:eastAsia="en-AU"/>
              </w:rPr>
            </w:pPr>
            <w:r w:rsidRPr="007B7E78">
              <w:rPr>
                <w:lang w:eastAsia="en-AU"/>
              </w:rPr>
              <w:t>100</w:t>
            </w:r>
          </w:p>
        </w:tc>
        <w:tc>
          <w:tcPr>
            <w:tcW w:w="907" w:type="dxa"/>
            <w:tcBorders>
              <w:top w:val="single" w:sz="6" w:space="0" w:color="auto"/>
            </w:tcBorders>
            <w:noWrap/>
          </w:tcPr>
          <w:p w:rsidR="00A53D7D" w:rsidRPr="009B3704" w:rsidRDefault="00A53D7D" w:rsidP="005140B4">
            <w:pPr>
              <w:pStyle w:val="OGTableofFigures"/>
              <w:rPr>
                <w:lang w:eastAsia="en-AU"/>
              </w:rPr>
            </w:pPr>
            <w:r w:rsidRPr="009B3704">
              <w:rPr>
                <w:lang w:eastAsia="en-AU"/>
              </w:rPr>
              <w:t>100</w:t>
            </w:r>
          </w:p>
        </w:tc>
      </w:tr>
      <w:tr w:rsidR="00A53D7D" w:rsidRPr="00E76E8E" w:rsidTr="005140B4">
        <w:trPr>
          <w:cantSplit/>
        </w:trPr>
        <w:tc>
          <w:tcPr>
            <w:tcW w:w="7776" w:type="dxa"/>
            <w:gridSpan w:val="6"/>
            <w:tcBorders>
              <w:bottom w:val="single" w:sz="6" w:space="0" w:color="auto"/>
            </w:tcBorders>
          </w:tcPr>
          <w:p w:rsidR="00A53D7D" w:rsidRPr="009B3704" w:rsidRDefault="00A53D7D" w:rsidP="005140B4">
            <w:pPr>
              <w:pStyle w:val="OGNotes"/>
            </w:pPr>
            <w:r w:rsidRPr="008E1592">
              <w:t>This performance measure is proposed to be discontinued as the metropolitan planning strategy, Plan Melbourne, is expected to be finalised and made operational in 2013</w:t>
            </w:r>
            <w:r>
              <w:noBreakHyphen/>
            </w:r>
            <w:r w:rsidRPr="008E1592">
              <w:t>14.</w:t>
            </w:r>
            <w:r>
              <w:t xml:space="preserve"> The target for 2014</w:t>
            </w:r>
            <w:r>
              <w:noBreakHyphen/>
              <w:t>15 is included in the event that the project is not completed in 2013</w:t>
            </w:r>
            <w:r>
              <w:noBreakHyphen/>
              <w:t>14.</w:t>
            </w:r>
          </w:p>
        </w:tc>
      </w:tr>
      <w:tr w:rsidR="00A53D7D" w:rsidRPr="00E76E8E" w:rsidTr="005140B4">
        <w:trPr>
          <w:cantSplit/>
        </w:trPr>
        <w:tc>
          <w:tcPr>
            <w:tcW w:w="3155" w:type="dxa"/>
            <w:tcBorders>
              <w:top w:val="single" w:sz="6" w:space="0" w:color="auto"/>
            </w:tcBorders>
          </w:tcPr>
          <w:p w:rsidR="00A53D7D" w:rsidRPr="003A3566" w:rsidRDefault="00A53D7D" w:rsidP="005140B4">
            <w:pPr>
              <w:pStyle w:val="OGTabText"/>
              <w:keepNext/>
              <w:rPr>
                <w:lang w:eastAsia="en-AU"/>
              </w:rPr>
            </w:pPr>
            <w:r w:rsidRPr="003A3566">
              <w:rPr>
                <w:lang w:eastAsia="en-AU"/>
              </w:rPr>
              <w:t>Funded Community Support Grants projects contribute to planning and delivery of community infrastructure, or improving economic development and productivity</w:t>
            </w:r>
          </w:p>
        </w:tc>
        <w:tc>
          <w:tcPr>
            <w:tcW w:w="907" w:type="dxa"/>
            <w:tcBorders>
              <w:top w:val="single" w:sz="6" w:space="0" w:color="auto"/>
            </w:tcBorders>
            <w:noWrap/>
          </w:tcPr>
          <w:p w:rsidR="00A53D7D" w:rsidRPr="003A3566" w:rsidRDefault="00A53D7D" w:rsidP="005140B4">
            <w:pPr>
              <w:pStyle w:val="OGUoM"/>
              <w:keepNext/>
              <w:rPr>
                <w:lang w:eastAsia="en-AU"/>
              </w:rPr>
            </w:pPr>
            <w:r w:rsidRPr="003A3566">
              <w:rPr>
                <w:lang w:eastAsia="en-AU"/>
              </w:rPr>
              <w:t>per cent</w:t>
            </w:r>
          </w:p>
        </w:tc>
        <w:tc>
          <w:tcPr>
            <w:tcW w:w="907" w:type="dxa"/>
            <w:tcBorders>
              <w:top w:val="single" w:sz="6" w:space="0" w:color="auto"/>
            </w:tcBorders>
            <w:shd w:val="clear" w:color="auto" w:fill="D9D9D9"/>
            <w:noWrap/>
          </w:tcPr>
          <w:p w:rsidR="00A53D7D" w:rsidRPr="00DF55D2" w:rsidRDefault="00A53D7D" w:rsidP="005140B4">
            <w:pPr>
              <w:pStyle w:val="OGTableofFigures"/>
              <w:keepNext/>
              <w:rPr>
                <w:lang w:eastAsia="en-AU"/>
              </w:rPr>
            </w:pPr>
            <w:r>
              <w:rPr>
                <w:lang w:eastAsia="en-AU"/>
              </w:rPr>
              <w:t>100</w:t>
            </w:r>
          </w:p>
        </w:tc>
        <w:tc>
          <w:tcPr>
            <w:tcW w:w="993" w:type="dxa"/>
            <w:tcBorders>
              <w:top w:val="single" w:sz="6" w:space="0" w:color="auto"/>
            </w:tcBorders>
            <w:noWrap/>
          </w:tcPr>
          <w:p w:rsidR="00A53D7D" w:rsidRPr="008E1592" w:rsidRDefault="00A53D7D" w:rsidP="005140B4">
            <w:pPr>
              <w:pStyle w:val="OGTableofFigures"/>
              <w:keepNext/>
              <w:rPr>
                <w:lang w:eastAsia="en-AU"/>
              </w:rPr>
            </w:pPr>
            <w:r w:rsidRPr="008E1592">
              <w:rPr>
                <w:lang w:eastAsia="en-AU"/>
              </w:rPr>
              <w:t>100</w:t>
            </w:r>
          </w:p>
        </w:tc>
        <w:tc>
          <w:tcPr>
            <w:tcW w:w="907" w:type="dxa"/>
            <w:tcBorders>
              <w:top w:val="single" w:sz="6" w:space="0" w:color="auto"/>
            </w:tcBorders>
            <w:noWrap/>
          </w:tcPr>
          <w:p w:rsidR="00A53D7D" w:rsidRPr="007B7E78" w:rsidRDefault="00A53D7D" w:rsidP="005140B4">
            <w:pPr>
              <w:pStyle w:val="OGTableofFigures"/>
              <w:keepNext/>
              <w:rPr>
                <w:lang w:eastAsia="en-AU"/>
              </w:rPr>
            </w:pPr>
            <w:r w:rsidRPr="008E1592">
              <w:rPr>
                <w:lang w:eastAsia="en-AU"/>
              </w:rPr>
              <w:t>100</w:t>
            </w:r>
          </w:p>
        </w:tc>
        <w:tc>
          <w:tcPr>
            <w:tcW w:w="907" w:type="dxa"/>
            <w:tcBorders>
              <w:top w:val="single" w:sz="6" w:space="0" w:color="auto"/>
            </w:tcBorders>
          </w:tcPr>
          <w:p w:rsidR="00A53D7D" w:rsidRPr="003A3566" w:rsidRDefault="00A53D7D" w:rsidP="005140B4">
            <w:pPr>
              <w:pStyle w:val="OGTableofFigures"/>
              <w:keepNext/>
              <w:rPr>
                <w:lang w:eastAsia="en-AU"/>
              </w:rPr>
            </w:pPr>
            <w:r w:rsidRPr="003A3566">
              <w:rPr>
                <w:lang w:eastAsia="en-AU"/>
              </w:rPr>
              <w:t>nm</w:t>
            </w:r>
          </w:p>
        </w:tc>
      </w:tr>
      <w:tr w:rsidR="00A53D7D" w:rsidRPr="00E76E8E" w:rsidTr="005140B4">
        <w:trPr>
          <w:cantSplit/>
        </w:trPr>
        <w:tc>
          <w:tcPr>
            <w:tcW w:w="7776" w:type="dxa"/>
            <w:gridSpan w:val="6"/>
            <w:tcBorders>
              <w:bottom w:val="single" w:sz="6" w:space="0" w:color="auto"/>
            </w:tcBorders>
          </w:tcPr>
          <w:p w:rsidR="00A53D7D" w:rsidRPr="003A3566" w:rsidRDefault="00A53D7D" w:rsidP="005140B4">
            <w:pPr>
              <w:pStyle w:val="OGNotes"/>
            </w:pPr>
            <w:r w:rsidRPr="00DF55D2">
              <w:t>This performance measure is proposed to be discontinued as it has been replaced by the 2014</w:t>
            </w:r>
            <w:r>
              <w:noBreakHyphen/>
            </w:r>
            <w:r w:rsidRPr="00DF55D2">
              <w:t>15 performance measure ‘Community Works Program/Community Support Grant projects completed meet agreed project objectives’.</w:t>
            </w:r>
            <w:r>
              <w:t xml:space="preserve"> The target for 2014</w:t>
            </w:r>
            <w:r>
              <w:noBreakHyphen/>
              <w:t>15 is included to indicate what the target would have been had the measure been continued.</w:t>
            </w:r>
          </w:p>
        </w:tc>
      </w:tr>
      <w:tr w:rsidR="00A53D7D" w:rsidRPr="00E76E8E" w:rsidTr="005140B4">
        <w:trPr>
          <w:cantSplit/>
        </w:trPr>
        <w:tc>
          <w:tcPr>
            <w:tcW w:w="3155" w:type="dxa"/>
            <w:tcBorders>
              <w:top w:val="single" w:sz="6" w:space="0" w:color="auto"/>
            </w:tcBorders>
          </w:tcPr>
          <w:p w:rsidR="00A53D7D" w:rsidRPr="007E7631" w:rsidRDefault="00A53D7D" w:rsidP="005140B4">
            <w:pPr>
              <w:pStyle w:val="OGTabText"/>
              <w:rPr>
                <w:lang w:eastAsia="en-AU"/>
              </w:rPr>
            </w:pPr>
            <w:r w:rsidRPr="007E7631">
              <w:rPr>
                <w:lang w:eastAsia="en-AU"/>
              </w:rPr>
              <w:t>Regional stakeholders effectively engaged in informing and shaping contents of Regional Growth Plans</w:t>
            </w:r>
          </w:p>
        </w:tc>
        <w:tc>
          <w:tcPr>
            <w:tcW w:w="907" w:type="dxa"/>
            <w:tcBorders>
              <w:top w:val="single" w:sz="6" w:space="0" w:color="auto"/>
            </w:tcBorders>
            <w:noWrap/>
          </w:tcPr>
          <w:p w:rsidR="00A53D7D" w:rsidRPr="009B3704" w:rsidRDefault="00A53D7D" w:rsidP="005140B4">
            <w:pPr>
              <w:pStyle w:val="OGUoM"/>
              <w:rPr>
                <w:lang w:eastAsia="en-AU"/>
              </w:rPr>
            </w:pPr>
            <w:r>
              <w:rPr>
                <w:lang w:eastAsia="en-AU"/>
              </w:rPr>
              <w:t>per cent</w:t>
            </w:r>
          </w:p>
        </w:tc>
        <w:tc>
          <w:tcPr>
            <w:tcW w:w="907" w:type="dxa"/>
            <w:tcBorders>
              <w:top w:val="single" w:sz="6" w:space="0" w:color="auto"/>
            </w:tcBorders>
            <w:shd w:val="clear" w:color="auto" w:fill="D9D9D9"/>
            <w:noWrap/>
          </w:tcPr>
          <w:p w:rsidR="00A53D7D" w:rsidRPr="008E1592" w:rsidRDefault="00A53D7D" w:rsidP="005140B4">
            <w:pPr>
              <w:pStyle w:val="OGTableofFigures"/>
              <w:rPr>
                <w:lang w:eastAsia="en-AU"/>
              </w:rPr>
            </w:pPr>
            <w:r>
              <w:rPr>
                <w:lang w:eastAsia="en-AU"/>
              </w:rPr>
              <w:t>100</w:t>
            </w:r>
          </w:p>
        </w:tc>
        <w:tc>
          <w:tcPr>
            <w:tcW w:w="993" w:type="dxa"/>
            <w:tcBorders>
              <w:top w:val="single" w:sz="6" w:space="0" w:color="auto"/>
            </w:tcBorders>
            <w:noWrap/>
          </w:tcPr>
          <w:p w:rsidR="00A53D7D" w:rsidRPr="007B7E78" w:rsidRDefault="00A53D7D" w:rsidP="005140B4">
            <w:pPr>
              <w:pStyle w:val="OGTableofFigures"/>
              <w:rPr>
                <w:lang w:eastAsia="en-AU"/>
              </w:rPr>
            </w:pPr>
            <w:r w:rsidRPr="008E1592">
              <w:rPr>
                <w:lang w:eastAsia="en-AU"/>
              </w:rPr>
              <w:t>100</w:t>
            </w:r>
          </w:p>
        </w:tc>
        <w:tc>
          <w:tcPr>
            <w:tcW w:w="907" w:type="dxa"/>
            <w:tcBorders>
              <w:top w:val="single" w:sz="6" w:space="0" w:color="auto"/>
            </w:tcBorders>
            <w:noWrap/>
          </w:tcPr>
          <w:p w:rsidR="00A53D7D" w:rsidRPr="00E22181" w:rsidRDefault="00A53D7D" w:rsidP="005140B4">
            <w:pPr>
              <w:pStyle w:val="OGTableofFigures"/>
              <w:rPr>
                <w:lang w:eastAsia="en-AU"/>
              </w:rPr>
            </w:pPr>
            <w:r w:rsidRPr="007B7E78">
              <w:rPr>
                <w:lang w:eastAsia="en-AU"/>
              </w:rPr>
              <w:t>100</w:t>
            </w:r>
          </w:p>
        </w:tc>
        <w:tc>
          <w:tcPr>
            <w:tcW w:w="907" w:type="dxa"/>
            <w:tcBorders>
              <w:top w:val="single" w:sz="6" w:space="0" w:color="auto"/>
            </w:tcBorders>
            <w:noWrap/>
          </w:tcPr>
          <w:p w:rsidR="00A53D7D" w:rsidRPr="009B3704" w:rsidRDefault="00A53D7D" w:rsidP="005140B4">
            <w:pPr>
              <w:pStyle w:val="OGTableofFigures"/>
              <w:rPr>
                <w:lang w:eastAsia="en-AU"/>
              </w:rPr>
            </w:pPr>
            <w:r>
              <w:rPr>
                <w:lang w:eastAsia="en-AU"/>
              </w:rPr>
              <w:t>100</w:t>
            </w:r>
          </w:p>
        </w:tc>
      </w:tr>
      <w:tr w:rsidR="00A53D7D" w:rsidRPr="00E76E8E" w:rsidTr="005140B4">
        <w:trPr>
          <w:cantSplit/>
        </w:trPr>
        <w:tc>
          <w:tcPr>
            <w:tcW w:w="7776" w:type="dxa"/>
            <w:gridSpan w:val="6"/>
            <w:tcBorders>
              <w:bottom w:val="single" w:sz="6" w:space="0" w:color="auto"/>
            </w:tcBorders>
          </w:tcPr>
          <w:p w:rsidR="00A53D7D" w:rsidRDefault="00A53D7D" w:rsidP="005140B4">
            <w:pPr>
              <w:pStyle w:val="OGNotes"/>
            </w:pPr>
            <w:r w:rsidRPr="008E1592">
              <w:t xml:space="preserve">This performance measure is proposed to be discontinued as Regional Growth Plans </w:t>
            </w:r>
            <w:r>
              <w:t>are</w:t>
            </w:r>
            <w:r w:rsidRPr="008E1592">
              <w:t xml:space="preserve"> expected to be completed in 2013</w:t>
            </w:r>
            <w:r>
              <w:noBreakHyphen/>
            </w:r>
            <w:r w:rsidRPr="008E1592">
              <w:t>14.</w:t>
            </w:r>
            <w:r>
              <w:t xml:space="preserve"> The target for 2014</w:t>
            </w:r>
            <w:r>
              <w:noBreakHyphen/>
              <w:t>15 is included in the event the project is not completed in 2013</w:t>
            </w:r>
            <w:r>
              <w:noBreakHyphen/>
              <w:t>14.</w:t>
            </w:r>
          </w:p>
        </w:tc>
      </w:tr>
      <w:tr w:rsidR="00A53D7D" w:rsidRPr="00E76E8E" w:rsidTr="005140B4">
        <w:trPr>
          <w:cantSplit/>
        </w:trPr>
        <w:tc>
          <w:tcPr>
            <w:tcW w:w="3155" w:type="dxa"/>
            <w:tcBorders>
              <w:top w:val="single" w:sz="6" w:space="0" w:color="auto"/>
            </w:tcBorders>
          </w:tcPr>
          <w:p w:rsidR="00A53D7D" w:rsidRPr="00E76E8E" w:rsidRDefault="00A53D7D" w:rsidP="005140B4">
            <w:pPr>
              <w:pStyle w:val="OGTabHead"/>
              <w:rPr>
                <w:lang w:eastAsia="en-AU"/>
              </w:rPr>
            </w:pPr>
            <w:r>
              <w:rPr>
                <w:lang w:eastAsia="en-AU"/>
              </w:rPr>
              <w:t>Timeliness</w:t>
            </w:r>
          </w:p>
        </w:tc>
        <w:tc>
          <w:tcPr>
            <w:tcW w:w="907" w:type="dxa"/>
            <w:tcBorders>
              <w:top w:val="single" w:sz="6" w:space="0" w:color="auto"/>
            </w:tcBorders>
            <w:noWrap/>
          </w:tcPr>
          <w:p w:rsidR="00A53D7D" w:rsidRPr="00E76E8E" w:rsidRDefault="00A53D7D" w:rsidP="005140B4">
            <w:pPr>
              <w:pStyle w:val="OGUoM"/>
              <w:rPr>
                <w:color w:val="000000"/>
                <w:szCs w:val="20"/>
                <w:lang w:eastAsia="en-AU"/>
              </w:rPr>
            </w:pPr>
          </w:p>
        </w:tc>
        <w:tc>
          <w:tcPr>
            <w:tcW w:w="907" w:type="dxa"/>
            <w:tcBorders>
              <w:top w:val="single" w:sz="6" w:space="0" w:color="auto"/>
            </w:tcBorders>
            <w:shd w:val="clear" w:color="auto" w:fill="D9D9D9"/>
            <w:noWrap/>
          </w:tcPr>
          <w:p w:rsidR="00A53D7D" w:rsidRPr="00DF55D2" w:rsidRDefault="00A53D7D" w:rsidP="005140B4">
            <w:pPr>
              <w:pStyle w:val="OGTableofFigures"/>
              <w:rPr>
                <w:szCs w:val="20"/>
                <w:lang w:eastAsia="en-AU"/>
              </w:rPr>
            </w:pPr>
          </w:p>
        </w:tc>
        <w:tc>
          <w:tcPr>
            <w:tcW w:w="993" w:type="dxa"/>
            <w:tcBorders>
              <w:top w:val="single" w:sz="6" w:space="0" w:color="auto"/>
            </w:tcBorders>
            <w:noWrap/>
          </w:tcPr>
          <w:p w:rsidR="00A53D7D" w:rsidRPr="008E1592" w:rsidRDefault="00A53D7D" w:rsidP="005140B4">
            <w:pPr>
              <w:pStyle w:val="OGTableofFigures"/>
              <w:rPr>
                <w:szCs w:val="20"/>
                <w:lang w:eastAsia="en-AU"/>
              </w:rPr>
            </w:pPr>
          </w:p>
        </w:tc>
        <w:tc>
          <w:tcPr>
            <w:tcW w:w="907" w:type="dxa"/>
            <w:tcBorders>
              <w:top w:val="single" w:sz="6" w:space="0" w:color="auto"/>
            </w:tcBorders>
            <w:noWrap/>
          </w:tcPr>
          <w:p w:rsidR="00A53D7D" w:rsidRPr="008E1592" w:rsidRDefault="00A53D7D" w:rsidP="005140B4">
            <w:pPr>
              <w:pStyle w:val="OGTableofFigures"/>
              <w:rPr>
                <w:szCs w:val="20"/>
                <w:lang w:eastAsia="en-AU"/>
              </w:rPr>
            </w:pPr>
          </w:p>
        </w:tc>
        <w:tc>
          <w:tcPr>
            <w:tcW w:w="907" w:type="dxa"/>
            <w:tcBorders>
              <w:top w:val="single" w:sz="6" w:space="0" w:color="auto"/>
            </w:tcBorders>
            <w:noWrap/>
          </w:tcPr>
          <w:p w:rsidR="00A53D7D" w:rsidRPr="00E76E8E" w:rsidRDefault="00A53D7D" w:rsidP="005140B4">
            <w:pPr>
              <w:pStyle w:val="OGTableofFigures"/>
              <w:rPr>
                <w:szCs w:val="20"/>
                <w:lang w:eastAsia="en-AU"/>
              </w:rPr>
            </w:pPr>
          </w:p>
        </w:tc>
      </w:tr>
      <w:tr w:rsidR="00A53D7D" w:rsidRPr="00E76E8E" w:rsidTr="005140B4">
        <w:trPr>
          <w:cantSplit/>
        </w:trPr>
        <w:tc>
          <w:tcPr>
            <w:tcW w:w="3155" w:type="dxa"/>
          </w:tcPr>
          <w:p w:rsidR="00A53D7D" w:rsidRPr="00E80CE6" w:rsidRDefault="00A53D7D" w:rsidP="005140B4">
            <w:pPr>
              <w:pStyle w:val="OGTabText"/>
            </w:pPr>
            <w:r w:rsidRPr="00E80CE6">
              <w:t>Community Support Grant payments made within 21 days of completion of milestones in funding agreement</w:t>
            </w:r>
          </w:p>
        </w:tc>
        <w:tc>
          <w:tcPr>
            <w:tcW w:w="907" w:type="dxa"/>
            <w:noWrap/>
          </w:tcPr>
          <w:p w:rsidR="00A53D7D" w:rsidRPr="00186DCD" w:rsidRDefault="00A53D7D" w:rsidP="005140B4">
            <w:pPr>
              <w:pStyle w:val="OGUoM"/>
              <w:rPr>
                <w:lang w:eastAsia="en-AU"/>
              </w:rPr>
            </w:pPr>
            <w:r w:rsidRPr="00186DCD">
              <w:rPr>
                <w:lang w:eastAsia="en-AU"/>
              </w:rPr>
              <w:t>per cent</w:t>
            </w:r>
          </w:p>
        </w:tc>
        <w:tc>
          <w:tcPr>
            <w:tcW w:w="907" w:type="dxa"/>
            <w:shd w:val="clear" w:color="auto" w:fill="D9D9D9"/>
            <w:noWrap/>
          </w:tcPr>
          <w:p w:rsidR="00A53D7D" w:rsidRPr="00DF55D2" w:rsidRDefault="00A53D7D" w:rsidP="005140B4">
            <w:pPr>
              <w:pStyle w:val="OGTableofFigures"/>
              <w:rPr>
                <w:lang w:eastAsia="en-AU"/>
              </w:rPr>
            </w:pPr>
            <w:r>
              <w:rPr>
                <w:lang w:eastAsia="en-AU"/>
              </w:rPr>
              <w:t>95</w:t>
            </w:r>
          </w:p>
        </w:tc>
        <w:tc>
          <w:tcPr>
            <w:tcW w:w="993" w:type="dxa"/>
            <w:noWrap/>
          </w:tcPr>
          <w:p w:rsidR="00A53D7D" w:rsidRPr="008E1592" w:rsidRDefault="00A53D7D" w:rsidP="005140B4">
            <w:pPr>
              <w:pStyle w:val="OGTableofFigures"/>
              <w:rPr>
                <w:lang w:eastAsia="en-AU"/>
              </w:rPr>
            </w:pPr>
            <w:r w:rsidRPr="008E1592">
              <w:rPr>
                <w:lang w:eastAsia="en-AU"/>
              </w:rPr>
              <w:t>100</w:t>
            </w:r>
          </w:p>
        </w:tc>
        <w:tc>
          <w:tcPr>
            <w:tcW w:w="907" w:type="dxa"/>
            <w:noWrap/>
          </w:tcPr>
          <w:p w:rsidR="00A53D7D" w:rsidRPr="007B7E78" w:rsidRDefault="00A53D7D" w:rsidP="005140B4">
            <w:pPr>
              <w:pStyle w:val="OGTableofFigures"/>
              <w:rPr>
                <w:lang w:eastAsia="en-AU"/>
              </w:rPr>
            </w:pPr>
            <w:r w:rsidRPr="008E1592">
              <w:rPr>
                <w:lang w:eastAsia="en-AU"/>
              </w:rPr>
              <w:t>95</w:t>
            </w:r>
          </w:p>
        </w:tc>
        <w:tc>
          <w:tcPr>
            <w:tcW w:w="907" w:type="dxa"/>
          </w:tcPr>
          <w:p w:rsidR="00A53D7D" w:rsidRPr="00186DCD" w:rsidRDefault="00A53D7D" w:rsidP="005140B4">
            <w:pPr>
              <w:pStyle w:val="OGTableofFigures"/>
              <w:rPr>
                <w:lang w:eastAsia="en-AU"/>
              </w:rPr>
            </w:pPr>
            <w:r w:rsidRPr="00186DCD">
              <w:rPr>
                <w:lang w:eastAsia="en-AU"/>
              </w:rPr>
              <w:t>100</w:t>
            </w:r>
          </w:p>
        </w:tc>
      </w:tr>
      <w:tr w:rsidR="00A53D7D" w:rsidRPr="00E76E8E" w:rsidTr="005140B4">
        <w:trPr>
          <w:cantSplit/>
        </w:trPr>
        <w:tc>
          <w:tcPr>
            <w:tcW w:w="7776" w:type="dxa"/>
            <w:gridSpan w:val="6"/>
            <w:tcBorders>
              <w:bottom w:val="single" w:sz="6" w:space="0" w:color="auto"/>
            </w:tcBorders>
          </w:tcPr>
          <w:p w:rsidR="00A53D7D" w:rsidRPr="00186DCD" w:rsidRDefault="00A53D7D" w:rsidP="005140B4">
            <w:pPr>
              <w:pStyle w:val="OGNotes"/>
            </w:pPr>
            <w:r w:rsidRPr="00DF55D2">
              <w:t>This performance measure is proposed to be discontinued as it has been replaced by the 2014</w:t>
            </w:r>
            <w:r>
              <w:noBreakHyphen/>
            </w:r>
            <w:r w:rsidRPr="00DF55D2">
              <w:t>15 performance measure ‘</w:t>
            </w:r>
            <w:r w:rsidRPr="00D35723">
              <w:t>Community Works/Community Support Grant payments made within 21 days of completion of agreed milestones in funding agreement</w:t>
            </w:r>
            <w:r w:rsidRPr="00DF55D2">
              <w:t>’.</w:t>
            </w:r>
            <w:r>
              <w:t xml:space="preserve"> The target for 2014</w:t>
            </w:r>
            <w:r>
              <w:noBreakHyphen/>
              <w:t>15 is included to indicate what the target would have been had the measure been continued.</w:t>
            </w:r>
          </w:p>
        </w:tc>
      </w:tr>
      <w:tr w:rsidR="00A53D7D" w:rsidRPr="00E76E8E" w:rsidTr="005140B4">
        <w:trPr>
          <w:cantSplit/>
        </w:trPr>
        <w:tc>
          <w:tcPr>
            <w:tcW w:w="3155" w:type="dxa"/>
            <w:tcBorders>
              <w:top w:val="single" w:sz="6" w:space="0" w:color="auto"/>
            </w:tcBorders>
          </w:tcPr>
          <w:p w:rsidR="00A53D7D" w:rsidRPr="00873482" w:rsidRDefault="00A53D7D" w:rsidP="005140B4">
            <w:pPr>
              <w:pStyle w:val="OGTabText"/>
              <w:rPr>
                <w:lang w:eastAsia="en-AU"/>
              </w:rPr>
            </w:pPr>
            <w:r w:rsidRPr="00873482">
              <w:rPr>
                <w:lang w:eastAsia="en-AU"/>
              </w:rPr>
              <w:t>Community Support Grants completed within agreed timeframes</w:t>
            </w:r>
          </w:p>
        </w:tc>
        <w:tc>
          <w:tcPr>
            <w:tcW w:w="907" w:type="dxa"/>
            <w:tcBorders>
              <w:top w:val="single" w:sz="6" w:space="0" w:color="auto"/>
            </w:tcBorders>
            <w:noWrap/>
          </w:tcPr>
          <w:p w:rsidR="00A53D7D" w:rsidRPr="00873482" w:rsidRDefault="00A53D7D" w:rsidP="005140B4">
            <w:pPr>
              <w:pStyle w:val="OGUoM"/>
              <w:rPr>
                <w:lang w:eastAsia="en-AU"/>
              </w:rPr>
            </w:pPr>
            <w:r w:rsidRPr="00873482">
              <w:rPr>
                <w:lang w:eastAsia="en-AU"/>
              </w:rPr>
              <w:t>per cent</w:t>
            </w:r>
          </w:p>
        </w:tc>
        <w:tc>
          <w:tcPr>
            <w:tcW w:w="907" w:type="dxa"/>
            <w:tcBorders>
              <w:top w:val="single" w:sz="6" w:space="0" w:color="auto"/>
            </w:tcBorders>
            <w:shd w:val="clear" w:color="auto" w:fill="D9D9D9"/>
            <w:noWrap/>
          </w:tcPr>
          <w:p w:rsidR="00A53D7D" w:rsidRPr="00DF55D2" w:rsidRDefault="00A53D7D" w:rsidP="005140B4">
            <w:pPr>
              <w:pStyle w:val="OGTableofFigures"/>
              <w:rPr>
                <w:lang w:eastAsia="en-AU"/>
              </w:rPr>
            </w:pPr>
            <w:r>
              <w:rPr>
                <w:lang w:eastAsia="en-AU"/>
              </w:rPr>
              <w:t>&gt; 90</w:t>
            </w:r>
          </w:p>
        </w:tc>
        <w:tc>
          <w:tcPr>
            <w:tcW w:w="993" w:type="dxa"/>
            <w:tcBorders>
              <w:top w:val="single" w:sz="6" w:space="0" w:color="auto"/>
            </w:tcBorders>
            <w:noWrap/>
          </w:tcPr>
          <w:p w:rsidR="00A53D7D" w:rsidRPr="008E1592" w:rsidRDefault="00A53D7D" w:rsidP="005140B4">
            <w:pPr>
              <w:pStyle w:val="OGTableofFigures"/>
              <w:rPr>
                <w:lang w:eastAsia="en-AU"/>
              </w:rPr>
            </w:pPr>
            <w:r w:rsidRPr="008E1592">
              <w:rPr>
                <w:lang w:eastAsia="en-AU"/>
              </w:rPr>
              <w:t>100</w:t>
            </w:r>
          </w:p>
        </w:tc>
        <w:tc>
          <w:tcPr>
            <w:tcW w:w="907" w:type="dxa"/>
            <w:tcBorders>
              <w:top w:val="single" w:sz="6" w:space="0" w:color="auto"/>
            </w:tcBorders>
            <w:noWrap/>
          </w:tcPr>
          <w:p w:rsidR="00A53D7D" w:rsidRPr="007B7E78" w:rsidRDefault="00A53D7D" w:rsidP="005140B4">
            <w:pPr>
              <w:pStyle w:val="OGTableofFigures"/>
              <w:rPr>
                <w:lang w:eastAsia="en-AU"/>
              </w:rPr>
            </w:pPr>
            <w:r w:rsidRPr="008E1592">
              <w:rPr>
                <w:lang w:eastAsia="en-AU"/>
              </w:rPr>
              <w:t>&gt;</w:t>
            </w:r>
            <w:r>
              <w:rPr>
                <w:lang w:eastAsia="en-AU"/>
              </w:rPr>
              <w:t xml:space="preserve"> </w:t>
            </w:r>
            <w:r w:rsidRPr="008E1592">
              <w:rPr>
                <w:lang w:eastAsia="en-AU"/>
              </w:rPr>
              <w:t>90</w:t>
            </w:r>
          </w:p>
        </w:tc>
        <w:tc>
          <w:tcPr>
            <w:tcW w:w="907" w:type="dxa"/>
            <w:tcBorders>
              <w:top w:val="single" w:sz="6" w:space="0" w:color="auto"/>
            </w:tcBorders>
          </w:tcPr>
          <w:p w:rsidR="00A53D7D" w:rsidRPr="00873482" w:rsidRDefault="00A53D7D" w:rsidP="005140B4">
            <w:pPr>
              <w:pStyle w:val="OGTableofFigures"/>
              <w:rPr>
                <w:lang w:eastAsia="en-AU"/>
              </w:rPr>
            </w:pPr>
            <w:r w:rsidRPr="00873482">
              <w:rPr>
                <w:lang w:eastAsia="en-AU"/>
              </w:rPr>
              <w:t>&gt;</w:t>
            </w:r>
            <w:r>
              <w:rPr>
                <w:lang w:eastAsia="en-AU"/>
              </w:rPr>
              <w:t xml:space="preserve"> </w:t>
            </w:r>
            <w:r w:rsidRPr="00873482">
              <w:rPr>
                <w:lang w:eastAsia="en-AU"/>
              </w:rPr>
              <w:t>90</w:t>
            </w:r>
          </w:p>
        </w:tc>
      </w:tr>
      <w:tr w:rsidR="00A53D7D" w:rsidRPr="00E76E8E" w:rsidTr="005140B4">
        <w:trPr>
          <w:cantSplit/>
        </w:trPr>
        <w:tc>
          <w:tcPr>
            <w:tcW w:w="7776" w:type="dxa"/>
            <w:gridSpan w:val="6"/>
            <w:tcBorders>
              <w:bottom w:val="single" w:sz="12" w:space="0" w:color="auto"/>
            </w:tcBorders>
          </w:tcPr>
          <w:p w:rsidR="00A53D7D" w:rsidRPr="00873482" w:rsidRDefault="00A53D7D" w:rsidP="005140B4">
            <w:pPr>
              <w:pStyle w:val="OGNotes"/>
            </w:pPr>
            <w:r w:rsidRPr="00DF55D2">
              <w:t>This performance measure is proposed to be discontinued as it has been replaced by the 2014</w:t>
            </w:r>
            <w:r>
              <w:noBreakHyphen/>
            </w:r>
            <w:r w:rsidRPr="00DF55D2">
              <w:t>15 performance measure ‘</w:t>
            </w:r>
            <w:r w:rsidRPr="00D35723">
              <w:t>Community Works/Community Support Grant payments made within 21 days of completion of agreed milestones in funding agreement</w:t>
            </w:r>
            <w:r w:rsidRPr="00DF55D2">
              <w:t>’.</w:t>
            </w:r>
            <w:r>
              <w:t xml:space="preserve"> The target for 2014</w:t>
            </w:r>
            <w:r>
              <w:noBreakHyphen/>
              <w:t>15 is included to indicate what the target would have been had the measure been continued.</w:t>
            </w:r>
          </w:p>
        </w:tc>
      </w:tr>
    </w:tbl>
    <w:p w:rsidR="00A53D7D" w:rsidRPr="001A765D" w:rsidRDefault="00A53D7D" w:rsidP="005140B4">
      <w:pPr>
        <w:pStyle w:val="Source"/>
      </w:pPr>
      <w:r>
        <w:t>Source: Department of Transport, Planning and Local Infrastructure</w:t>
      </w:r>
      <w:r>
        <w:fldChar w:fldCharType="begin"/>
      </w:r>
      <w:r>
        <w:instrText xml:space="preserve"> XE "</w:instrText>
      </w:r>
      <w:r w:rsidRPr="00632494">
        <w:instrText>Department of Transport, Planning and Local Infrastructure:Output performance measures for review</w:instrText>
      </w:r>
      <w:r>
        <w:instrText xml:space="preserve">" \r "AppADTPLI" </w:instrText>
      </w:r>
      <w:r>
        <w:fldChar w:fldCharType="end"/>
      </w:r>
    </w:p>
    <w:bookmarkEnd w:id="184"/>
    <w:p w:rsidR="00A53D7D" w:rsidRDefault="00A53D7D" w:rsidP="005140B4"/>
    <w:p w:rsidR="00A53D7D" w:rsidRDefault="00A53D7D" w:rsidP="00497606"/>
    <w:p w:rsidR="00A53D7D" w:rsidRDefault="00A53D7D" w:rsidP="004463C6">
      <w:pPr>
        <w:sectPr w:rsidR="00A53D7D" w:rsidSect="00CD2017">
          <w:footerReference w:type="even" r:id="rId47"/>
          <w:footerReference w:type="default" r:id="rId48"/>
          <w:type w:val="oddPage"/>
          <w:pgSz w:w="9979" w:h="14181" w:code="138"/>
          <w:pgMar w:top="1140" w:right="1140" w:bottom="1140" w:left="1140" w:header="720" w:footer="431" w:gutter="0"/>
          <w:cols w:space="708"/>
          <w:docGrid w:linePitch="360"/>
        </w:sectPr>
      </w:pPr>
    </w:p>
    <w:p w:rsidR="00A53D7D" w:rsidRDefault="00A53D7D" w:rsidP="005140B4">
      <w:pPr>
        <w:pStyle w:val="ChapterHeading"/>
      </w:pPr>
      <w:bookmarkStart w:id="186" w:name="_Toc386364091"/>
      <w:bookmarkStart w:id="187" w:name="_Toc386541236"/>
      <w:bookmarkStart w:id="188" w:name="_Toc407116928"/>
      <w:r>
        <w:t>Appendix B – Local government financial relations</w:t>
      </w:r>
      <w:bookmarkEnd w:id="186"/>
      <w:bookmarkEnd w:id="187"/>
      <w:bookmarkEnd w:id="188"/>
    </w:p>
    <w:p w:rsidR="00A53D7D" w:rsidRDefault="00A53D7D" w:rsidP="005140B4">
      <w:r w:rsidRPr="004D12E4">
        <w:t>This appendix provides an overview of the local government sector in V</w:t>
      </w:r>
      <w:r>
        <w:t xml:space="preserve">ictoria and highlights the </w:t>
      </w:r>
      <w:r w:rsidRPr="00792CDA">
        <w:rPr>
          <w:i/>
        </w:rPr>
        <w:t>2014</w:t>
      </w:r>
      <w:r>
        <w:rPr>
          <w:i/>
        </w:rPr>
        <w:noBreakHyphen/>
      </w:r>
      <w:r w:rsidRPr="00792CDA">
        <w:rPr>
          <w:i/>
        </w:rPr>
        <w:t>15 Budget</w:t>
      </w:r>
      <w:r w:rsidRPr="004D12E4">
        <w:t xml:space="preserve"> initiatives that impact on councils. </w:t>
      </w:r>
    </w:p>
    <w:p w:rsidR="00A53D7D" w:rsidRDefault="00A53D7D" w:rsidP="005140B4">
      <w:r w:rsidRPr="004D12E4">
        <w:t>Local government is a distinct and essential tier of government in Australia, enshrined in Victoria’s Constitution. Victoria has 79</w:t>
      </w:r>
      <w:r>
        <w:t> </w:t>
      </w:r>
      <w:r w:rsidRPr="004D12E4">
        <w:t>councils providing a wide range of services. Many government programs are either delivered by, or in partnership with, local government. In many cases the programs operate in a specifi</w:t>
      </w:r>
      <w:r>
        <w:t>c local government area with in</w:t>
      </w:r>
      <w:r>
        <w:noBreakHyphen/>
      </w:r>
      <w:r w:rsidRPr="004D12E4">
        <w:t>kind support from, and collaboration with, local government.</w:t>
      </w:r>
    </w:p>
    <w:p w:rsidR="00A53D7D" w:rsidRDefault="00A53D7D" w:rsidP="005140B4">
      <w:pPr>
        <w:pStyle w:val="Heading1"/>
      </w:pPr>
      <w:bookmarkStart w:id="189" w:name="_Toc386364092"/>
      <w:bookmarkStart w:id="190" w:name="_Toc386541237"/>
      <w:bookmarkStart w:id="191" w:name="_Toc407116929"/>
      <w:r>
        <w:t>Improving service delivery to local communities</w:t>
      </w:r>
      <w:bookmarkEnd w:id="189"/>
      <w:bookmarkEnd w:id="190"/>
      <w:bookmarkEnd w:id="191"/>
    </w:p>
    <w:p w:rsidR="00A53D7D" w:rsidRDefault="00A53D7D" w:rsidP="005140B4">
      <w:pPr>
        <w:spacing w:after="100"/>
      </w:pPr>
      <w:r>
        <w:fldChar w:fldCharType="begin"/>
      </w:r>
      <w:r>
        <w:instrText xml:space="preserve"> XE "</w:instrText>
      </w:r>
      <w:r w:rsidRPr="00451516">
        <w:instrText>Communities</w:instrText>
      </w:r>
      <w:r>
        <w:instrText xml:space="preserve">" </w:instrText>
      </w:r>
      <w:r>
        <w:fldChar w:fldCharType="end"/>
      </w:r>
      <w:r w:rsidRPr="000305B8">
        <w:t>The Government sees local government as a key partner in delivering responsive and tailored services. This partnership is being enhanced by opening up better communication channels between the two levels of government</w:t>
      </w:r>
      <w:r>
        <w:t>,</w:t>
      </w:r>
      <w:r w:rsidRPr="000305B8">
        <w:t xml:space="preserve"> and </w:t>
      </w:r>
      <w:r>
        <w:t>improving</w:t>
      </w:r>
      <w:r w:rsidRPr="000305B8">
        <w:t xml:space="preserve"> clarity regarding </w:t>
      </w:r>
      <w:r>
        <w:t xml:space="preserve">their </w:t>
      </w:r>
      <w:r w:rsidRPr="000305B8">
        <w:t xml:space="preserve">respective roles. This in turn will deliver services to communities in a more coordinated and efficient manner. </w:t>
      </w:r>
    </w:p>
    <w:p w:rsidR="00A53D7D" w:rsidRPr="00D478F1" w:rsidRDefault="00A53D7D" w:rsidP="005140B4">
      <w:pPr>
        <w:spacing w:after="100"/>
      </w:pPr>
      <w:r>
        <w:t>Implementation of t</w:t>
      </w:r>
      <w:r w:rsidRPr="00D478F1">
        <w:t>he Local Government Performance Reporting Framework</w:t>
      </w:r>
      <w:r>
        <w:fldChar w:fldCharType="begin"/>
      </w:r>
      <w:r>
        <w:instrText xml:space="preserve"> XE "</w:instrText>
      </w:r>
      <w:r w:rsidRPr="008F564C">
        <w:instrText>Performance Reporting Framework</w:instrText>
      </w:r>
      <w:r>
        <w:instrText xml:space="preserve">" </w:instrText>
      </w:r>
      <w:r>
        <w:fldChar w:fldCharType="end"/>
      </w:r>
      <w:r w:rsidRPr="00D478F1">
        <w:t xml:space="preserve"> (LGPRF) </w:t>
      </w:r>
      <w:r>
        <w:t>commenced</w:t>
      </w:r>
      <w:r w:rsidRPr="00D478F1">
        <w:t xml:space="preserve"> in </w:t>
      </w:r>
      <w:r>
        <w:t>2013</w:t>
      </w:r>
      <w:r>
        <w:noBreakHyphen/>
        <w:t>14</w:t>
      </w:r>
      <w:r w:rsidRPr="00D478F1">
        <w:t>.</w:t>
      </w:r>
      <w:r>
        <w:t xml:space="preserve"> Legislation to initiate the new framework was passed in late 2013. </w:t>
      </w:r>
      <w:r w:rsidRPr="00D478F1">
        <w:t xml:space="preserve">An initial set of performance indicators </w:t>
      </w:r>
      <w:r>
        <w:t xml:space="preserve">was developed with the local government sector and consolidated into regulations that were published in the </w:t>
      </w:r>
      <w:r w:rsidRPr="00E15BC5">
        <w:rPr>
          <w:i/>
        </w:rPr>
        <w:t>Government Gazette</w:t>
      </w:r>
      <w:r>
        <w:t xml:space="preserve"> in April 2014. The project has been noteworthy for the extensive local government input into its design. The framework will roll out this year with councils publically reporting on a wide suite of performance indicators. This year will see the development of a consolidated performance website, presenting a wide range of information on local government services to the public.</w:t>
      </w:r>
    </w:p>
    <w:p w:rsidR="00A53D7D" w:rsidRDefault="00A53D7D" w:rsidP="005140B4">
      <w:pPr>
        <w:spacing w:after="100"/>
      </w:pPr>
      <w:r>
        <w:t>Further work will continue on reforming business practices in asset and financial management, and working with councils in more sustainable and collaborative procurement practices. This includes supporting councils to undertake joint procurement and examine opportunities to consolidate and share some corporate support services.</w:t>
      </w:r>
    </w:p>
    <w:p w:rsidR="00A53D7D" w:rsidRDefault="00A53D7D" w:rsidP="005140B4">
      <w:pPr>
        <w:spacing w:after="100"/>
        <w:rPr>
          <w:highlight w:val="lightGray"/>
        </w:rPr>
      </w:pPr>
      <w:r w:rsidRPr="00DA3F58">
        <w:t xml:space="preserve">Local governments </w:t>
      </w:r>
      <w:r>
        <w:t xml:space="preserve">continue to </w:t>
      </w:r>
      <w:r w:rsidRPr="00DA3F58">
        <w:t xml:space="preserve">face challenges in </w:t>
      </w:r>
      <w:r w:rsidRPr="00731038">
        <w:t>managing infrastructure</w:t>
      </w:r>
      <w:r w:rsidRPr="00731038">
        <w:fldChar w:fldCharType="begin"/>
      </w:r>
      <w:r w:rsidRPr="00731038">
        <w:instrText xml:space="preserve"> XE "Infrastructure" </w:instrText>
      </w:r>
      <w:r w:rsidRPr="00731038">
        <w:fldChar w:fldCharType="end"/>
      </w:r>
      <w:r w:rsidRPr="00731038">
        <w:t xml:space="preserve"> such as roads, bridges, drains and community buildings. A number of programs have been established to address this issue. They include the Regional Growth Fund which includes the $100</w:t>
      </w:r>
      <w:r>
        <w:t> million</w:t>
      </w:r>
      <w:r w:rsidRPr="00731038">
        <w:t xml:space="preserve"> Local Government Infrastructure program to support</w:t>
      </w:r>
      <w:r w:rsidRPr="00AB6D9E">
        <w:t xml:space="preserve"> a range of council initiatives and </w:t>
      </w:r>
      <w:r w:rsidRPr="00731038">
        <w:t>community assets. So far in 2013</w:t>
      </w:r>
      <w:r>
        <w:noBreakHyphen/>
      </w:r>
      <w:r w:rsidRPr="00731038">
        <w:t>14, $17.9</w:t>
      </w:r>
      <w:r>
        <w:t> million</w:t>
      </w:r>
      <w:r w:rsidRPr="00731038">
        <w:t xml:space="preserve"> has been dispersed directly to councils from the </w:t>
      </w:r>
      <w:r>
        <w:t>f</w:t>
      </w:r>
      <w:r w:rsidRPr="00731038">
        <w:t>und. Forty rural councils have sought a share of $160</w:t>
      </w:r>
      <w:r>
        <w:t> million</w:t>
      </w:r>
      <w:r w:rsidRPr="00731038">
        <w:t xml:space="preserve"> of funding under the Country Roads</w:t>
      </w:r>
      <w:r w:rsidRPr="00731038">
        <w:fldChar w:fldCharType="begin"/>
      </w:r>
      <w:r w:rsidRPr="00731038">
        <w:instrText xml:space="preserve"> XE "Roads" </w:instrText>
      </w:r>
      <w:r w:rsidRPr="00731038">
        <w:fldChar w:fldCharType="end"/>
      </w:r>
      <w:r w:rsidRPr="00731038">
        <w:t xml:space="preserve"> and Bridges initiative which was established to ensure regional roads and bridges are renewed and maintained. At the end of 2013</w:t>
      </w:r>
      <w:r>
        <w:noBreakHyphen/>
      </w:r>
      <w:r w:rsidRPr="00731038">
        <w:t>14, an estimated $120</w:t>
      </w:r>
      <w:r>
        <w:t> million</w:t>
      </w:r>
      <w:r w:rsidRPr="00731038">
        <w:t xml:space="preserve"> will have been provided to councils, with a further $40</w:t>
      </w:r>
      <w:r>
        <w:t> million</w:t>
      </w:r>
      <w:r w:rsidRPr="00731038">
        <w:t xml:space="preserve"> to be provided in 2014</w:t>
      </w:r>
      <w:r>
        <w:noBreakHyphen/>
      </w:r>
      <w:r w:rsidRPr="00731038">
        <w:t>15.</w:t>
      </w:r>
      <w:r w:rsidRPr="00D86DAC">
        <w:t xml:space="preserve"> </w:t>
      </w:r>
    </w:p>
    <w:p w:rsidR="00A53D7D" w:rsidRDefault="00A53D7D" w:rsidP="005140B4">
      <w:pPr>
        <w:spacing w:after="100"/>
      </w:pPr>
      <w:r w:rsidRPr="005B532C">
        <w:t>The Government introduce</w:t>
      </w:r>
      <w:r>
        <w:t>d</w:t>
      </w:r>
      <w:r w:rsidRPr="005B532C">
        <w:t xml:space="preserve"> legislation</w:t>
      </w:r>
      <w:r>
        <w:t xml:space="preserve"> to Parliament</w:t>
      </w:r>
      <w:r w:rsidRPr="005B532C">
        <w:t xml:space="preserve"> in </w:t>
      </w:r>
      <w:r>
        <w:t>2013</w:t>
      </w:r>
      <w:r>
        <w:noBreakHyphen/>
        <w:t>14</w:t>
      </w:r>
      <w:r w:rsidRPr="005B532C">
        <w:t xml:space="preserve"> to address emerging issues surrounding the councillor conduct and governance system</w:t>
      </w:r>
      <w:r>
        <w:t xml:space="preserve">. </w:t>
      </w:r>
      <w:r w:rsidRPr="005B532C">
        <w:t>A public consultation period and engagement with councils follow</w:t>
      </w:r>
      <w:r>
        <w:t>ed</w:t>
      </w:r>
      <w:r w:rsidRPr="005B532C">
        <w:t xml:space="preserve"> a discussion paper that set out potential improvements to the current system.</w:t>
      </w:r>
      <w:r>
        <w:t xml:space="preserve"> </w:t>
      </w:r>
      <w:r>
        <w:fldChar w:fldCharType="begin"/>
      </w:r>
      <w:r>
        <w:instrText xml:space="preserve"> XE "</w:instrText>
      </w:r>
      <w:r w:rsidRPr="00961AF5">
        <w:instrText>Law:Law Reform</w:instrText>
      </w:r>
      <w:r>
        <w:instrText xml:space="preserve">" </w:instrText>
      </w:r>
      <w:r>
        <w:fldChar w:fldCharType="end"/>
      </w:r>
      <w:r>
        <w:t xml:space="preserve">The reforms aim to strengthen the current system by clarifying the role of councillors, and increasing accountability through standards of conduct expected of them before being sworn into office. </w:t>
      </w:r>
    </w:p>
    <w:p w:rsidR="00A53D7D" w:rsidRDefault="00A53D7D" w:rsidP="005140B4">
      <w:pPr>
        <w:spacing w:after="100"/>
      </w:pPr>
      <w:r>
        <w:t>The reformed Local Government Inspectorate will have powers to investigate and take action for breaches of conduct under the Act, including two new offences relating to breach of confidentiality and unlawful direction of council staff.</w:t>
      </w:r>
      <w:r w:rsidRPr="00C74503">
        <w:t xml:space="preserve"> </w:t>
      </w:r>
      <w:r>
        <w:t>The reforms will be rolled out in 2014</w:t>
      </w:r>
      <w:r>
        <w:noBreakHyphen/>
        <w:t>15 with a range of support materials and guidance provided to the local government sector.</w:t>
      </w:r>
    </w:p>
    <w:p w:rsidR="00A53D7D" w:rsidRDefault="00A53D7D" w:rsidP="005140B4">
      <w:pPr>
        <w:spacing w:after="100"/>
      </w:pPr>
      <w:r w:rsidRPr="003458C6">
        <w:t>In 2011 a local government Ministerial</w:t>
      </w:r>
      <w:r>
        <w:noBreakHyphen/>
      </w:r>
      <w:r w:rsidRPr="003458C6">
        <w:t>Mayors Advisory Panel was established to consult with local governments and provide high level advice on the impact of state government decisions and legislation to ensure that responsibilities are not imposed on councils without consultation. Four meetings were conducted in 2013</w:t>
      </w:r>
      <w:r>
        <w:noBreakHyphen/>
      </w:r>
      <w:r w:rsidRPr="003458C6">
        <w:t xml:space="preserve">14 and the </w:t>
      </w:r>
      <w:r>
        <w:t>p</w:t>
      </w:r>
      <w:r w:rsidRPr="003458C6">
        <w:t>anel will continue to be a key forum of engagement between the two levels of government in 2014</w:t>
      </w:r>
      <w:r>
        <w:noBreakHyphen/>
      </w:r>
      <w:r w:rsidRPr="003458C6">
        <w:t>15; with three meetings scheduled. The renegotiation of the Victorian State Local Government Agreement continued with a draft agreement released in late 2013.</w:t>
      </w:r>
      <w:r>
        <w:t xml:space="preserve"> </w:t>
      </w:r>
    </w:p>
    <w:p w:rsidR="00A53D7D" w:rsidRDefault="00A53D7D" w:rsidP="005140B4">
      <w:pPr>
        <w:spacing w:after="100"/>
      </w:pPr>
      <w:r w:rsidRPr="00451E36">
        <w:t>The Government initiated a review of the local government electoral system</w:t>
      </w:r>
      <w:r>
        <w:t xml:space="preserve"> in late 2013. The work, led by an expert panel has seen extensive public hearings and consultations, with the aim of modernising and updating the current electoral arrangements. The work is ongoing and the Government looks forward to the panel’s recommendations. </w:t>
      </w:r>
    </w:p>
    <w:p w:rsidR="00A53D7D" w:rsidRDefault="00A53D7D" w:rsidP="005140B4">
      <w:pPr>
        <w:pStyle w:val="Heading1"/>
      </w:pPr>
      <w:bookmarkStart w:id="192" w:name="_Toc386364093"/>
      <w:bookmarkStart w:id="193" w:name="_Toc386541238"/>
      <w:bookmarkStart w:id="194" w:name="_Toc407116930"/>
      <w:r>
        <w:t>Creating liveable communities</w:t>
      </w:r>
      <w:bookmarkEnd w:id="192"/>
      <w:bookmarkEnd w:id="193"/>
      <w:bookmarkEnd w:id="194"/>
    </w:p>
    <w:p w:rsidR="00A53D7D" w:rsidRDefault="00A53D7D" w:rsidP="005140B4">
      <w:r>
        <w:fldChar w:fldCharType="begin"/>
      </w:r>
      <w:r>
        <w:instrText xml:space="preserve"> XE "</w:instrText>
      </w:r>
      <w:r w:rsidRPr="00543F2B">
        <w:instrText>Communities:Public libraries</w:instrText>
      </w:r>
      <w:r>
        <w:instrText xml:space="preserve">" </w:instrText>
      </w:r>
      <w:r>
        <w:fldChar w:fldCharType="end"/>
      </w:r>
      <w:r>
        <w:t xml:space="preserve">The </w:t>
      </w:r>
      <w:r w:rsidRPr="004A55AE">
        <w:t xml:space="preserve">Ministerial Advisory Council on Public Libraries </w:t>
      </w:r>
      <w:r>
        <w:t>concluded its comprehensive review of the role of public libraries in Victoria, including services and funding. This included assessment and consideration of the services currently provided by libraries and the relevant future directions and trends that will lead to changes in the delivery of library services.</w:t>
      </w:r>
    </w:p>
    <w:p w:rsidR="00A53D7D" w:rsidRDefault="00A53D7D" w:rsidP="005140B4">
      <w:r>
        <w:t xml:space="preserve">The Review of Victorian Public Libraries Stage 2 Report was completed in November 2013 and submitted to the Government for consideration. The report recommends a proposed future strategy for library operations titled </w:t>
      </w:r>
      <w:r w:rsidRPr="006C0ADF">
        <w:rPr>
          <w:i/>
        </w:rPr>
        <w:t>The Victorian Library</w:t>
      </w:r>
      <w:r>
        <w:t>. The proposal points a way to the future funding and support of public libraries by the Government.</w:t>
      </w:r>
    </w:p>
    <w:p w:rsidR="00A53D7D" w:rsidRPr="00DA75D3" w:rsidRDefault="00A53D7D" w:rsidP="005140B4">
      <w:r>
        <w:fldChar w:fldCharType="begin"/>
      </w:r>
      <w:r>
        <w:instrText xml:space="preserve"> XE "</w:instrText>
      </w:r>
      <w:r w:rsidRPr="008F564C">
        <w:instrText>Planning</w:instrText>
      </w:r>
      <w:r>
        <w:instrText xml:space="preserve">" </w:instrText>
      </w:r>
      <w:r>
        <w:fldChar w:fldCharType="end"/>
      </w:r>
      <w:r w:rsidRPr="00B27132">
        <w:t>Local government is also a key partner in the implementation of the State</w:t>
      </w:r>
      <w:r>
        <w:t>’</w:t>
      </w:r>
      <w:r w:rsidRPr="00B27132">
        <w:t>s planning policies which shape the future growth of Melbourne and Victoria</w:t>
      </w:r>
      <w:r>
        <w:t>’</w:t>
      </w:r>
      <w:r w:rsidRPr="00B27132">
        <w:t xml:space="preserve">s regional cities. The </w:t>
      </w:r>
      <w:r w:rsidRPr="006C0ADF">
        <w:rPr>
          <w:i/>
        </w:rPr>
        <w:t>Plan Melbourne</w:t>
      </w:r>
      <w:r>
        <w:rPr>
          <w:i/>
        </w:rPr>
        <w:fldChar w:fldCharType="begin"/>
      </w:r>
      <w:r>
        <w:instrText xml:space="preserve"> XE "</w:instrText>
      </w:r>
      <w:r w:rsidRPr="001247B2">
        <w:rPr>
          <w:i/>
        </w:rPr>
        <w:instrText>Plan Melbourne</w:instrText>
      </w:r>
      <w:r>
        <w:instrText xml:space="preserve">" </w:instrText>
      </w:r>
      <w:r>
        <w:rPr>
          <w:i/>
        </w:rPr>
        <w:fldChar w:fldCharType="end"/>
      </w:r>
      <w:r w:rsidRPr="00B27132">
        <w:t xml:space="preserve"> metropolitan planning strategy </w:t>
      </w:r>
      <w:r>
        <w:t>will require the</w:t>
      </w:r>
      <w:r w:rsidRPr="00B27132">
        <w:t xml:space="preserve"> input of local governments to provide greater certainty and focus development in appropriate locations and at an appropriate scale.</w:t>
      </w:r>
      <w:r>
        <w:t xml:space="preserve"> </w:t>
      </w:r>
      <w:r w:rsidRPr="00B27132">
        <w:t>Regional Growth Plan</w:t>
      </w:r>
      <w:r>
        <w:fldChar w:fldCharType="begin"/>
      </w:r>
      <w:r>
        <w:instrText xml:space="preserve"> XE "</w:instrText>
      </w:r>
      <w:r w:rsidRPr="008F564C">
        <w:instrText>Regional Growth Plan</w:instrText>
      </w:r>
      <w:r>
        <w:instrText xml:space="preserve">" </w:instrText>
      </w:r>
      <w:r>
        <w:fldChar w:fldCharType="end"/>
      </w:r>
      <w:r w:rsidRPr="00B27132">
        <w:t xml:space="preserve">s </w:t>
      </w:r>
      <w:r>
        <w:t xml:space="preserve">are </w:t>
      </w:r>
      <w:r w:rsidRPr="00B27132">
        <w:t>also being developed to assist regional councils in planning for population and economic growth and enable long term land supply</w:t>
      </w:r>
      <w:r>
        <w:t>,</w:t>
      </w:r>
      <w:r w:rsidRPr="00B27132">
        <w:t xml:space="preserve"> help guide growth and change across rural and regional Victoria.</w:t>
      </w:r>
    </w:p>
    <w:p w:rsidR="00A53D7D" w:rsidRDefault="00A53D7D" w:rsidP="005140B4">
      <w:pPr>
        <w:pStyle w:val="Heading1"/>
      </w:pPr>
      <w:bookmarkStart w:id="195" w:name="_Toc386364094"/>
      <w:bookmarkStart w:id="196" w:name="_Toc386541239"/>
      <w:bookmarkStart w:id="197" w:name="_Toc407116931"/>
      <w:r w:rsidRPr="00BA3AB2">
        <w:t>Funding sources to local government in Victoria</w:t>
      </w:r>
      <w:bookmarkEnd w:id="195"/>
      <w:bookmarkEnd w:id="196"/>
      <w:bookmarkEnd w:id="197"/>
      <w:r>
        <w:t xml:space="preserve"> </w:t>
      </w:r>
    </w:p>
    <w:p w:rsidR="00A53D7D" w:rsidRDefault="00A53D7D" w:rsidP="005140B4">
      <w:r>
        <w:t xml:space="preserve">Victorian local governments </w:t>
      </w:r>
      <w:r w:rsidRPr="009D1D10">
        <w:t xml:space="preserve">spend </w:t>
      </w:r>
      <w:r>
        <w:t>around $7.12 billion</w:t>
      </w:r>
      <w:r w:rsidRPr="009D1D10">
        <w:t xml:space="preserve"> a year.</w:t>
      </w:r>
      <w:r w:rsidRPr="009D1D10">
        <w:rPr>
          <w:rStyle w:val="FootnoteReference"/>
        </w:rPr>
        <w:footnoteReference w:id="1"/>
      </w:r>
      <w:r w:rsidRPr="009D1D10">
        <w:t xml:space="preserve"> Councils</w:t>
      </w:r>
      <w:r>
        <w:t xml:space="preserve"> fulfil vital responsibilities which include community services, local roads, waste management, recreation and cultural activities. </w:t>
      </w:r>
    </w:p>
    <w:p w:rsidR="00A53D7D" w:rsidRDefault="00A53D7D" w:rsidP="005140B4">
      <w:r w:rsidRPr="009F5EDD">
        <w:t>In 2012</w:t>
      </w:r>
      <w:r>
        <w:noBreakHyphen/>
      </w:r>
      <w:r w:rsidRPr="009F5EDD">
        <w:t>13 around 66</w:t>
      </w:r>
      <w:r>
        <w:t> per cent</w:t>
      </w:r>
      <w:r w:rsidRPr="009F5EDD">
        <w:t xml:space="preserve"> of local government recurrent revenue was obtained from rates and charges levied by councils. Around 20</w:t>
      </w:r>
      <w:r>
        <w:t> per cent</w:t>
      </w:r>
      <w:r w:rsidRPr="009F5EDD">
        <w:t xml:space="preserve"> of council recurrent revenue was provided by gra</w:t>
      </w:r>
      <w:r>
        <w:t xml:space="preserve">nts which include Commonwealth </w:t>
      </w:r>
      <w:r w:rsidRPr="009F5EDD">
        <w:t>general purpose grants and local roads grants. The remaining 14</w:t>
      </w:r>
      <w:r>
        <w:t> per cent</w:t>
      </w:r>
      <w:r w:rsidRPr="009F5EDD">
        <w:t xml:space="preserve"> of ongoing revenue comes from Maternal Child Health</w:t>
      </w:r>
      <w:r w:rsidRPr="009F5EDD">
        <w:fldChar w:fldCharType="begin"/>
      </w:r>
      <w:r w:rsidRPr="009F5EDD">
        <w:instrText xml:space="preserve"> XE "Health:Maternal Child Health" </w:instrText>
      </w:r>
      <w:r w:rsidRPr="009F5EDD">
        <w:fldChar w:fldCharType="end"/>
      </w:r>
      <w:r w:rsidRPr="009F5EDD">
        <w:t xml:space="preserve"> (MCH) and Home and Community Care</w:t>
      </w:r>
      <w:r w:rsidRPr="009F5EDD">
        <w:fldChar w:fldCharType="begin"/>
      </w:r>
      <w:r w:rsidRPr="009F5EDD">
        <w:instrText xml:space="preserve"> XE "Home and Community Care" </w:instrText>
      </w:r>
      <w:r w:rsidRPr="009F5EDD">
        <w:fldChar w:fldCharType="end"/>
      </w:r>
      <w:r w:rsidRPr="009F5EDD">
        <w:t xml:space="preserve"> (HACC) program payments as well as revenues from interest on bank deposits and rental income from assets owned by local government.</w:t>
      </w:r>
    </w:p>
    <w:p w:rsidR="00A53D7D" w:rsidRDefault="00A53D7D" w:rsidP="005140B4">
      <w:r w:rsidRPr="009F5EDD">
        <w:t>The Government provides land and payroll tax exemptions</w:t>
      </w:r>
      <w:r w:rsidRPr="009F5EDD">
        <w:fldChar w:fldCharType="begin"/>
      </w:r>
      <w:r w:rsidRPr="009F5EDD">
        <w:instrText xml:space="preserve"> XE "Tax exemptions" </w:instrText>
      </w:r>
      <w:r w:rsidRPr="009F5EDD">
        <w:fldChar w:fldCharType="end"/>
      </w:r>
      <w:r w:rsidRPr="009F5EDD">
        <w:t xml:space="preserve"> to local government. It is estimated that these exemptions will benefit Victorian councils by nearly $300</w:t>
      </w:r>
      <w:r>
        <w:t> million</w:t>
      </w:r>
      <w:r w:rsidRPr="009F5EDD">
        <w:t xml:space="preserve"> in 2014</w:t>
      </w:r>
      <w:r>
        <w:noBreakHyphen/>
      </w:r>
      <w:r w:rsidRPr="009F5EDD">
        <w:t xml:space="preserve">15 (refer to Tables 5.2 and 5.4 in Budget Paper No. 5). </w:t>
      </w:r>
    </w:p>
    <w:p w:rsidR="00A53D7D" w:rsidRDefault="00A53D7D" w:rsidP="005140B4">
      <w:pPr>
        <w:pStyle w:val="Tableheading"/>
        <w:rPr>
          <w:rFonts w:ascii="Garamond" w:hAnsi="Garamond"/>
        </w:rPr>
      </w:pPr>
      <w:r w:rsidRPr="008D7625">
        <w:t>Table B.1: Grants and transfers to local government</w:t>
      </w:r>
    </w:p>
    <w:p w:rsidR="00A53D7D" w:rsidRPr="00B05BBE" w:rsidRDefault="00A53D7D" w:rsidP="005140B4">
      <w:pPr>
        <w:pStyle w:val="million"/>
        <w:rPr>
          <w:rFonts w:ascii="Times New Roman" w:hAnsi="Times New Roman"/>
          <w:i w:val="0"/>
          <w:sz w:val="20"/>
          <w:szCs w:val="20"/>
          <w:lang w:eastAsia="en-AU"/>
        </w:rPr>
      </w:pPr>
      <w:r>
        <w:t>($ thousand)</w:t>
      </w:r>
    </w:p>
    <w:tbl>
      <w:tblPr>
        <w:tblW w:w="7776" w:type="dxa"/>
        <w:tblInd w:w="29" w:type="dxa"/>
        <w:tblLayout w:type="fixed"/>
        <w:tblCellMar>
          <w:left w:w="43" w:type="dxa"/>
          <w:right w:w="43" w:type="dxa"/>
        </w:tblCellMar>
        <w:tblLook w:val="0000" w:firstRow="0" w:lastRow="0" w:firstColumn="0" w:lastColumn="0" w:noHBand="0" w:noVBand="0"/>
      </w:tblPr>
      <w:tblGrid>
        <w:gridCol w:w="4928"/>
        <w:gridCol w:w="949"/>
        <w:gridCol w:w="949"/>
        <w:gridCol w:w="950"/>
      </w:tblGrid>
      <w:tr w:rsidR="00A53D7D" w:rsidRPr="00B05BBE" w:rsidTr="005140B4">
        <w:tc>
          <w:tcPr>
            <w:tcW w:w="4928" w:type="dxa"/>
            <w:tcBorders>
              <w:top w:val="single" w:sz="6" w:space="0" w:color="auto"/>
              <w:left w:val="single" w:sz="6" w:space="0" w:color="auto"/>
              <w:bottom w:val="single" w:sz="6" w:space="0" w:color="auto"/>
              <w:right w:val="nil"/>
            </w:tcBorders>
            <w:shd w:val="clear" w:color="auto" w:fill="000000"/>
          </w:tcPr>
          <w:p w:rsidR="00A53D7D" w:rsidRPr="00B05BBE" w:rsidRDefault="00A53D7D" w:rsidP="005140B4">
            <w:pPr>
              <w:pStyle w:val="Tabletext"/>
              <w:rPr>
                <w:rFonts w:eastAsiaTheme="minorEastAsia"/>
                <w:lang w:eastAsia="en-AU"/>
              </w:rPr>
            </w:pPr>
          </w:p>
        </w:tc>
        <w:tc>
          <w:tcPr>
            <w:tcW w:w="949" w:type="dxa"/>
            <w:tcBorders>
              <w:top w:val="single" w:sz="6" w:space="0" w:color="auto"/>
              <w:left w:val="nil"/>
              <w:bottom w:val="single" w:sz="6" w:space="0" w:color="auto"/>
              <w:right w:val="nil"/>
            </w:tcBorders>
            <w:shd w:val="clear" w:color="auto" w:fill="000000"/>
          </w:tcPr>
          <w:p w:rsidR="00A53D7D" w:rsidRPr="00B05BBE" w:rsidRDefault="00A53D7D" w:rsidP="005140B4">
            <w:pPr>
              <w:pStyle w:val="Tabletextheading"/>
              <w:rPr>
                <w:rFonts w:eastAsiaTheme="minorEastAsia"/>
                <w:lang w:eastAsia="en-AU"/>
              </w:rPr>
            </w:pPr>
            <w:r w:rsidRPr="00B05BBE">
              <w:rPr>
                <w:rFonts w:eastAsiaTheme="minorEastAsia"/>
                <w:lang w:eastAsia="en-AU"/>
              </w:rPr>
              <w:t>2013-14 Budget</w:t>
            </w:r>
          </w:p>
        </w:tc>
        <w:tc>
          <w:tcPr>
            <w:tcW w:w="949" w:type="dxa"/>
            <w:tcBorders>
              <w:top w:val="single" w:sz="6" w:space="0" w:color="auto"/>
              <w:left w:val="nil"/>
              <w:bottom w:val="single" w:sz="6" w:space="0" w:color="auto"/>
              <w:right w:val="nil"/>
            </w:tcBorders>
            <w:shd w:val="clear" w:color="auto" w:fill="000000"/>
          </w:tcPr>
          <w:p w:rsidR="00A53D7D" w:rsidRPr="00B05BBE" w:rsidRDefault="00A53D7D" w:rsidP="005140B4">
            <w:pPr>
              <w:pStyle w:val="Tabletextheading"/>
              <w:rPr>
                <w:rFonts w:eastAsiaTheme="minorEastAsia"/>
                <w:lang w:eastAsia="en-AU"/>
              </w:rPr>
            </w:pPr>
            <w:r w:rsidRPr="00B05BBE">
              <w:rPr>
                <w:rFonts w:eastAsiaTheme="minorEastAsia"/>
                <w:lang w:eastAsia="en-AU"/>
              </w:rPr>
              <w:t>2013-14 Revised</w:t>
            </w:r>
          </w:p>
        </w:tc>
        <w:tc>
          <w:tcPr>
            <w:tcW w:w="950" w:type="dxa"/>
            <w:tcBorders>
              <w:top w:val="single" w:sz="6" w:space="0" w:color="auto"/>
              <w:left w:val="nil"/>
              <w:bottom w:val="single" w:sz="6" w:space="0" w:color="auto"/>
              <w:right w:val="single" w:sz="6" w:space="0" w:color="auto"/>
            </w:tcBorders>
            <w:shd w:val="clear" w:color="auto" w:fill="000000"/>
          </w:tcPr>
          <w:p w:rsidR="00A53D7D" w:rsidRPr="00B05BBE" w:rsidRDefault="00A53D7D" w:rsidP="005140B4">
            <w:pPr>
              <w:pStyle w:val="Tabletextheading"/>
              <w:rPr>
                <w:rFonts w:eastAsiaTheme="minorEastAsia"/>
                <w:iCs/>
                <w:lang w:eastAsia="en-AU"/>
              </w:rPr>
            </w:pPr>
            <w:r w:rsidRPr="00B05BBE">
              <w:rPr>
                <w:rFonts w:eastAsiaTheme="minorEastAsia"/>
                <w:iCs/>
                <w:lang w:eastAsia="en-AU"/>
              </w:rPr>
              <w:t>2014-15 Budget</w:t>
            </w:r>
          </w:p>
        </w:tc>
      </w:tr>
      <w:tr w:rsidR="00A53D7D" w:rsidRPr="00B05BBE" w:rsidTr="005140B4">
        <w:tc>
          <w:tcPr>
            <w:tcW w:w="4928" w:type="dxa"/>
            <w:tcBorders>
              <w:top w:val="single" w:sz="6" w:space="0" w:color="auto"/>
              <w:left w:val="nil"/>
              <w:bottom w:val="nil"/>
              <w:right w:val="nil"/>
            </w:tcBorders>
            <w:shd w:val="solid" w:color="FFFFFF" w:fill="auto"/>
          </w:tcPr>
          <w:p w:rsidR="00A53D7D" w:rsidRPr="00B05BBE" w:rsidRDefault="00A53D7D" w:rsidP="005140B4">
            <w:pPr>
              <w:pStyle w:val="Tabletext"/>
              <w:rPr>
                <w:rFonts w:eastAsiaTheme="minorEastAsia"/>
                <w:vertAlign w:val="superscript"/>
                <w:lang w:eastAsia="en-AU"/>
              </w:rPr>
            </w:pPr>
            <w:r w:rsidRPr="00B05BBE">
              <w:rPr>
                <w:rFonts w:eastAsiaTheme="minorEastAsia"/>
                <w:lang w:eastAsia="en-AU"/>
              </w:rPr>
              <w:t xml:space="preserve">Department of Education and Early Childhood Development </w:t>
            </w:r>
            <w:r w:rsidRPr="00B05BBE">
              <w:rPr>
                <w:rFonts w:eastAsiaTheme="minorEastAsia"/>
                <w:vertAlign w:val="superscript"/>
                <w:lang w:eastAsia="en-AU"/>
              </w:rPr>
              <w:t>(a)</w:t>
            </w:r>
          </w:p>
        </w:tc>
        <w:tc>
          <w:tcPr>
            <w:tcW w:w="949" w:type="dxa"/>
            <w:tcBorders>
              <w:top w:val="single" w:sz="6" w:space="0" w:color="auto"/>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7 529.2</w:t>
            </w:r>
          </w:p>
        </w:tc>
        <w:tc>
          <w:tcPr>
            <w:tcW w:w="949" w:type="dxa"/>
            <w:tcBorders>
              <w:top w:val="single" w:sz="6" w:space="0" w:color="auto"/>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42 529.2</w:t>
            </w:r>
          </w:p>
        </w:tc>
        <w:tc>
          <w:tcPr>
            <w:tcW w:w="950" w:type="dxa"/>
            <w:tcBorders>
              <w:top w:val="single" w:sz="6" w:space="0" w:color="auto"/>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 xml:space="preserve"> 546.2</w:t>
            </w:r>
          </w:p>
        </w:tc>
      </w:tr>
      <w:tr w:rsidR="00A53D7D" w:rsidRPr="00B05BBE" w:rsidTr="005140B4">
        <w:tc>
          <w:tcPr>
            <w:tcW w:w="4928" w:type="dxa"/>
            <w:tcBorders>
              <w:top w:val="nil"/>
              <w:left w:val="nil"/>
              <w:bottom w:val="nil"/>
              <w:right w:val="nil"/>
            </w:tcBorders>
          </w:tcPr>
          <w:p w:rsidR="00A53D7D" w:rsidRPr="00B05BBE" w:rsidRDefault="00A53D7D" w:rsidP="005140B4">
            <w:pPr>
              <w:pStyle w:val="Tabletext"/>
              <w:rPr>
                <w:rFonts w:eastAsiaTheme="minorEastAsia"/>
                <w:lang w:eastAsia="en-AU"/>
              </w:rPr>
            </w:pPr>
            <w:r w:rsidRPr="00B05BBE">
              <w:rPr>
                <w:rFonts w:eastAsiaTheme="minorEastAsia"/>
                <w:lang w:eastAsia="en-AU"/>
              </w:rPr>
              <w:t>Department of Environment and Primary Industries</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21 790.7</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22 134.1</w:t>
            </w:r>
          </w:p>
        </w:tc>
        <w:tc>
          <w:tcPr>
            <w:tcW w:w="950"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27 936.3</w:t>
            </w:r>
          </w:p>
        </w:tc>
      </w:tr>
      <w:tr w:rsidR="00A53D7D" w:rsidRPr="00B05BBE" w:rsidTr="005140B4">
        <w:tc>
          <w:tcPr>
            <w:tcW w:w="4928" w:type="dxa"/>
            <w:tcBorders>
              <w:top w:val="nil"/>
              <w:left w:val="nil"/>
              <w:bottom w:val="nil"/>
              <w:right w:val="nil"/>
            </w:tcBorders>
          </w:tcPr>
          <w:p w:rsidR="00A53D7D" w:rsidRPr="00B05BBE" w:rsidRDefault="00A53D7D" w:rsidP="005140B4">
            <w:pPr>
              <w:pStyle w:val="Tabletext"/>
              <w:rPr>
                <w:rFonts w:eastAsiaTheme="minorEastAsia"/>
                <w:lang w:eastAsia="en-AU"/>
              </w:rPr>
            </w:pPr>
            <w:r w:rsidRPr="00B05BBE">
              <w:rPr>
                <w:rFonts w:eastAsiaTheme="minorEastAsia"/>
                <w:lang w:eastAsia="en-AU"/>
              </w:rPr>
              <w:t xml:space="preserve">   Parks Victoria</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 xml:space="preserve"> 62.5</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 xml:space="preserve"> 13.1</w:t>
            </w:r>
          </w:p>
        </w:tc>
        <w:tc>
          <w:tcPr>
            <w:tcW w:w="950"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 xml:space="preserve"> 13.5</w:t>
            </w:r>
          </w:p>
        </w:tc>
      </w:tr>
      <w:tr w:rsidR="00A53D7D" w:rsidRPr="00B05BBE" w:rsidTr="005140B4">
        <w:tc>
          <w:tcPr>
            <w:tcW w:w="4928" w:type="dxa"/>
            <w:tcBorders>
              <w:top w:val="nil"/>
              <w:left w:val="nil"/>
              <w:bottom w:val="nil"/>
              <w:right w:val="nil"/>
            </w:tcBorders>
          </w:tcPr>
          <w:p w:rsidR="00A53D7D" w:rsidRPr="00B05BBE" w:rsidRDefault="00A53D7D" w:rsidP="005140B4">
            <w:pPr>
              <w:pStyle w:val="Tabletext"/>
              <w:rPr>
                <w:rFonts w:eastAsiaTheme="minorEastAsia"/>
                <w:lang w:eastAsia="en-AU"/>
              </w:rPr>
            </w:pPr>
            <w:r w:rsidRPr="00B05BBE">
              <w:rPr>
                <w:rFonts w:eastAsiaTheme="minorEastAsia"/>
                <w:lang w:eastAsia="en-AU"/>
              </w:rPr>
              <w:t xml:space="preserve">   Catchment Management Authorities</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 xml:space="preserve"> 765.0</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 xml:space="preserve"> 156.0</w:t>
            </w:r>
          </w:p>
        </w:tc>
        <w:tc>
          <w:tcPr>
            <w:tcW w:w="950"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 xml:space="preserve"> 153.2</w:t>
            </w:r>
          </w:p>
        </w:tc>
      </w:tr>
      <w:tr w:rsidR="00A53D7D" w:rsidRPr="00B05BBE" w:rsidTr="005140B4">
        <w:tc>
          <w:tcPr>
            <w:tcW w:w="4928" w:type="dxa"/>
            <w:tcBorders>
              <w:top w:val="nil"/>
              <w:left w:val="nil"/>
              <w:bottom w:val="nil"/>
              <w:right w:val="nil"/>
            </w:tcBorders>
          </w:tcPr>
          <w:p w:rsidR="00A53D7D" w:rsidRPr="00B05BBE" w:rsidRDefault="00A53D7D" w:rsidP="005140B4">
            <w:pPr>
              <w:pStyle w:val="Tabletext"/>
              <w:rPr>
                <w:rFonts w:eastAsiaTheme="minorEastAsia"/>
                <w:vertAlign w:val="superscript"/>
                <w:lang w:eastAsia="en-AU"/>
              </w:rPr>
            </w:pPr>
            <w:r w:rsidRPr="00B05BBE">
              <w:rPr>
                <w:rFonts w:eastAsiaTheme="minorEastAsia"/>
                <w:lang w:eastAsia="en-AU"/>
              </w:rPr>
              <w:t xml:space="preserve">Department of Health </w:t>
            </w:r>
            <w:r w:rsidRPr="00B05BBE">
              <w:rPr>
                <w:rFonts w:eastAsiaTheme="minorEastAsia"/>
                <w:vertAlign w:val="superscript"/>
                <w:lang w:eastAsia="en-AU"/>
              </w:rPr>
              <w:t>(b)</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w:t>
            </w:r>
          </w:p>
        </w:tc>
        <w:tc>
          <w:tcPr>
            <w:tcW w:w="950"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w:t>
            </w:r>
          </w:p>
        </w:tc>
      </w:tr>
      <w:tr w:rsidR="00A53D7D" w:rsidRPr="00B05BBE" w:rsidTr="005140B4">
        <w:tc>
          <w:tcPr>
            <w:tcW w:w="4928" w:type="dxa"/>
            <w:tcBorders>
              <w:top w:val="nil"/>
              <w:left w:val="nil"/>
              <w:bottom w:val="nil"/>
              <w:right w:val="nil"/>
            </w:tcBorders>
          </w:tcPr>
          <w:p w:rsidR="00A53D7D" w:rsidRPr="00B05BBE" w:rsidRDefault="00A53D7D" w:rsidP="005140B4">
            <w:pPr>
              <w:pStyle w:val="Tabletext"/>
              <w:rPr>
                <w:rFonts w:eastAsiaTheme="minorEastAsia"/>
                <w:lang w:eastAsia="en-AU"/>
              </w:rPr>
            </w:pPr>
            <w:r w:rsidRPr="00B05BBE">
              <w:rPr>
                <w:rFonts w:eastAsiaTheme="minorEastAsia"/>
                <w:lang w:eastAsia="en-AU"/>
              </w:rPr>
              <w:t>Department of Human Services</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4 006.0</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4 006.0</w:t>
            </w:r>
          </w:p>
        </w:tc>
        <w:tc>
          <w:tcPr>
            <w:tcW w:w="950"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4 106.2</w:t>
            </w:r>
          </w:p>
        </w:tc>
      </w:tr>
      <w:tr w:rsidR="00A53D7D" w:rsidRPr="00B05BBE" w:rsidTr="005140B4">
        <w:tc>
          <w:tcPr>
            <w:tcW w:w="4928" w:type="dxa"/>
            <w:tcBorders>
              <w:top w:val="nil"/>
              <w:left w:val="nil"/>
              <w:bottom w:val="nil"/>
              <w:right w:val="nil"/>
            </w:tcBorders>
          </w:tcPr>
          <w:p w:rsidR="00A53D7D" w:rsidRPr="00B05BBE" w:rsidRDefault="00A53D7D" w:rsidP="005140B4">
            <w:pPr>
              <w:pStyle w:val="Tabletext"/>
              <w:rPr>
                <w:rFonts w:eastAsiaTheme="minorEastAsia"/>
                <w:lang w:eastAsia="en-AU"/>
              </w:rPr>
            </w:pPr>
            <w:r w:rsidRPr="00B05BBE">
              <w:rPr>
                <w:rFonts w:eastAsiaTheme="minorEastAsia"/>
                <w:lang w:eastAsia="en-AU"/>
              </w:rPr>
              <w:t>Department of Justice</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6 164.4</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8 562.4</w:t>
            </w:r>
          </w:p>
        </w:tc>
        <w:tc>
          <w:tcPr>
            <w:tcW w:w="950"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11 263.6</w:t>
            </w:r>
          </w:p>
        </w:tc>
      </w:tr>
      <w:tr w:rsidR="00A53D7D" w:rsidRPr="00B05BBE" w:rsidTr="005140B4">
        <w:tc>
          <w:tcPr>
            <w:tcW w:w="4928" w:type="dxa"/>
            <w:tcBorders>
              <w:top w:val="nil"/>
              <w:left w:val="nil"/>
              <w:bottom w:val="nil"/>
              <w:right w:val="nil"/>
            </w:tcBorders>
          </w:tcPr>
          <w:p w:rsidR="00A53D7D" w:rsidRPr="00B05BBE" w:rsidRDefault="00A53D7D" w:rsidP="005140B4">
            <w:pPr>
              <w:pStyle w:val="Tabletext"/>
              <w:rPr>
                <w:rFonts w:eastAsiaTheme="minorEastAsia"/>
                <w:lang w:eastAsia="en-AU"/>
              </w:rPr>
            </w:pPr>
            <w:r w:rsidRPr="00B05BBE">
              <w:rPr>
                <w:rFonts w:eastAsiaTheme="minorEastAsia"/>
                <w:lang w:eastAsia="en-AU"/>
              </w:rPr>
              <w:t xml:space="preserve">   Country Fire Authority</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 xml:space="preserve"> 926.7</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 xml:space="preserve"> 360.9</w:t>
            </w:r>
          </w:p>
        </w:tc>
        <w:tc>
          <w:tcPr>
            <w:tcW w:w="950"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 xml:space="preserve"> 369.9</w:t>
            </w:r>
          </w:p>
        </w:tc>
      </w:tr>
      <w:tr w:rsidR="00A53D7D" w:rsidRPr="00B05BBE" w:rsidTr="005140B4">
        <w:tc>
          <w:tcPr>
            <w:tcW w:w="4928" w:type="dxa"/>
            <w:tcBorders>
              <w:top w:val="nil"/>
              <w:left w:val="nil"/>
              <w:bottom w:val="nil"/>
              <w:right w:val="nil"/>
            </w:tcBorders>
          </w:tcPr>
          <w:p w:rsidR="00A53D7D" w:rsidRPr="00B05BBE" w:rsidRDefault="00A53D7D" w:rsidP="005140B4">
            <w:pPr>
              <w:pStyle w:val="Tabletext"/>
              <w:rPr>
                <w:rFonts w:eastAsiaTheme="minorEastAsia"/>
                <w:lang w:eastAsia="en-AU"/>
              </w:rPr>
            </w:pPr>
            <w:r w:rsidRPr="00B05BBE">
              <w:rPr>
                <w:rFonts w:eastAsiaTheme="minorEastAsia"/>
                <w:lang w:eastAsia="en-AU"/>
              </w:rPr>
              <w:t>Department of Premier and Cabinet</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10 495.6</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10 557.6</w:t>
            </w:r>
          </w:p>
        </w:tc>
        <w:tc>
          <w:tcPr>
            <w:tcW w:w="950"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8 908.6</w:t>
            </w:r>
          </w:p>
        </w:tc>
      </w:tr>
      <w:tr w:rsidR="00A53D7D" w:rsidRPr="00B05BBE" w:rsidTr="005140B4">
        <w:tc>
          <w:tcPr>
            <w:tcW w:w="4928" w:type="dxa"/>
            <w:tcBorders>
              <w:top w:val="nil"/>
              <w:left w:val="nil"/>
              <w:bottom w:val="nil"/>
              <w:right w:val="nil"/>
            </w:tcBorders>
          </w:tcPr>
          <w:p w:rsidR="00A53D7D" w:rsidRPr="00B05BBE" w:rsidRDefault="00A53D7D" w:rsidP="005140B4">
            <w:pPr>
              <w:pStyle w:val="Tabletext"/>
              <w:rPr>
                <w:rFonts w:eastAsiaTheme="minorEastAsia"/>
                <w:lang w:eastAsia="en-AU"/>
              </w:rPr>
            </w:pPr>
            <w:r w:rsidRPr="00B05BBE">
              <w:rPr>
                <w:rFonts w:eastAsiaTheme="minorEastAsia"/>
                <w:lang w:eastAsia="en-AU"/>
              </w:rPr>
              <w:t>Department of State Development, Business and Innovation</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69 312.9</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88 147.0</w:t>
            </w:r>
          </w:p>
        </w:tc>
        <w:tc>
          <w:tcPr>
            <w:tcW w:w="950"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93 050.2</w:t>
            </w:r>
          </w:p>
        </w:tc>
      </w:tr>
      <w:tr w:rsidR="00A53D7D" w:rsidRPr="00B05BBE" w:rsidTr="005140B4">
        <w:tc>
          <w:tcPr>
            <w:tcW w:w="4928" w:type="dxa"/>
            <w:tcBorders>
              <w:top w:val="nil"/>
              <w:left w:val="nil"/>
              <w:bottom w:val="nil"/>
              <w:right w:val="nil"/>
            </w:tcBorders>
          </w:tcPr>
          <w:p w:rsidR="00A53D7D" w:rsidRPr="00B05BBE" w:rsidRDefault="00A53D7D" w:rsidP="005140B4">
            <w:pPr>
              <w:pStyle w:val="Tabletext"/>
              <w:rPr>
                <w:rFonts w:eastAsiaTheme="minorEastAsia"/>
                <w:lang w:eastAsia="en-AU"/>
              </w:rPr>
            </w:pPr>
            <w:r w:rsidRPr="00B05BBE">
              <w:rPr>
                <w:rFonts w:eastAsiaTheme="minorEastAsia"/>
                <w:lang w:eastAsia="en-AU"/>
              </w:rPr>
              <w:t>Department of Transport, Planning and Local Infrastructure</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723 778.2</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463 743.8</w:t>
            </w:r>
          </w:p>
        </w:tc>
        <w:tc>
          <w:tcPr>
            <w:tcW w:w="950"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734 224.8</w:t>
            </w:r>
          </w:p>
        </w:tc>
      </w:tr>
      <w:tr w:rsidR="00A53D7D" w:rsidRPr="00B05BBE" w:rsidTr="005140B4">
        <w:tc>
          <w:tcPr>
            <w:tcW w:w="4928" w:type="dxa"/>
            <w:tcBorders>
              <w:top w:val="nil"/>
              <w:left w:val="nil"/>
              <w:bottom w:val="nil"/>
              <w:right w:val="nil"/>
            </w:tcBorders>
            <w:shd w:val="solid" w:color="FFFFFF" w:fill="auto"/>
          </w:tcPr>
          <w:p w:rsidR="00A53D7D" w:rsidRPr="00B05BBE" w:rsidRDefault="00A53D7D" w:rsidP="005140B4">
            <w:pPr>
              <w:pStyle w:val="Tabletext"/>
              <w:rPr>
                <w:rFonts w:eastAsiaTheme="minorEastAsia"/>
                <w:lang w:eastAsia="en-AU"/>
              </w:rPr>
            </w:pPr>
            <w:r w:rsidRPr="00B05BBE">
              <w:rPr>
                <w:rFonts w:eastAsiaTheme="minorEastAsia"/>
                <w:lang w:eastAsia="en-AU"/>
              </w:rPr>
              <w:t>Department of Treasury and Finance</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14 704.0</w:t>
            </w:r>
          </w:p>
        </w:tc>
        <w:tc>
          <w:tcPr>
            <w:tcW w:w="949"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138 626.3</w:t>
            </w:r>
          </w:p>
        </w:tc>
        <w:tc>
          <w:tcPr>
            <w:tcW w:w="950" w:type="dxa"/>
            <w:tcBorders>
              <w:top w:val="nil"/>
              <w:left w:val="nil"/>
              <w:bottom w:val="nil"/>
              <w:right w:val="nil"/>
            </w:tcBorders>
          </w:tcPr>
          <w:p w:rsidR="00A53D7D" w:rsidRPr="00B05BBE" w:rsidRDefault="00A53D7D" w:rsidP="005140B4">
            <w:pPr>
              <w:pStyle w:val="TableofFigures"/>
              <w:rPr>
                <w:rFonts w:eastAsiaTheme="minorEastAsia"/>
                <w:lang w:eastAsia="en-AU"/>
              </w:rPr>
            </w:pPr>
            <w:r w:rsidRPr="00B05BBE">
              <w:rPr>
                <w:rFonts w:eastAsiaTheme="minorEastAsia"/>
                <w:lang w:eastAsia="en-AU"/>
              </w:rPr>
              <w:t>22 855.2</w:t>
            </w:r>
          </w:p>
        </w:tc>
      </w:tr>
      <w:tr w:rsidR="00A53D7D" w:rsidRPr="00B05BBE" w:rsidTr="005140B4">
        <w:tc>
          <w:tcPr>
            <w:tcW w:w="4928" w:type="dxa"/>
            <w:tcBorders>
              <w:top w:val="single" w:sz="6" w:space="0" w:color="auto"/>
              <w:left w:val="nil"/>
              <w:bottom w:val="single" w:sz="12" w:space="0" w:color="auto"/>
              <w:right w:val="nil"/>
            </w:tcBorders>
            <w:shd w:val="solid" w:color="FFFFFF" w:fill="auto"/>
          </w:tcPr>
          <w:p w:rsidR="00A53D7D" w:rsidRPr="00B05BBE" w:rsidRDefault="00A53D7D" w:rsidP="005140B4">
            <w:pPr>
              <w:pStyle w:val="Tabletext"/>
              <w:rPr>
                <w:rFonts w:eastAsiaTheme="minorEastAsia"/>
                <w:b/>
                <w:bCs/>
                <w:lang w:eastAsia="en-AU"/>
              </w:rPr>
            </w:pPr>
            <w:r w:rsidRPr="00B05BBE">
              <w:rPr>
                <w:rFonts w:eastAsiaTheme="minorEastAsia"/>
                <w:b/>
                <w:bCs/>
                <w:lang w:eastAsia="en-AU"/>
              </w:rPr>
              <w:t>Total grants</w:t>
            </w:r>
          </w:p>
        </w:tc>
        <w:tc>
          <w:tcPr>
            <w:tcW w:w="949" w:type="dxa"/>
            <w:tcBorders>
              <w:top w:val="single" w:sz="6" w:space="0" w:color="auto"/>
              <w:left w:val="nil"/>
              <w:bottom w:val="single" w:sz="12" w:space="0" w:color="auto"/>
              <w:right w:val="nil"/>
            </w:tcBorders>
            <w:shd w:val="solid" w:color="FFFFFF" w:fill="auto"/>
          </w:tcPr>
          <w:p w:rsidR="00A53D7D" w:rsidRPr="00B05BBE" w:rsidRDefault="00A53D7D" w:rsidP="005140B4">
            <w:pPr>
              <w:pStyle w:val="TableofFigures"/>
              <w:rPr>
                <w:rFonts w:eastAsiaTheme="minorEastAsia"/>
                <w:b/>
                <w:bCs/>
                <w:lang w:eastAsia="en-AU"/>
              </w:rPr>
            </w:pPr>
            <w:r w:rsidRPr="00B05BBE">
              <w:rPr>
                <w:rFonts w:eastAsiaTheme="minorEastAsia"/>
                <w:b/>
                <w:bCs/>
                <w:lang w:eastAsia="en-AU"/>
              </w:rPr>
              <w:t>859 535.1</w:t>
            </w:r>
          </w:p>
        </w:tc>
        <w:tc>
          <w:tcPr>
            <w:tcW w:w="949" w:type="dxa"/>
            <w:tcBorders>
              <w:top w:val="single" w:sz="6" w:space="0" w:color="auto"/>
              <w:left w:val="nil"/>
              <w:bottom w:val="single" w:sz="12" w:space="0" w:color="auto"/>
              <w:right w:val="nil"/>
            </w:tcBorders>
            <w:shd w:val="solid" w:color="FFFFFF" w:fill="auto"/>
          </w:tcPr>
          <w:p w:rsidR="00A53D7D" w:rsidRPr="00B05BBE" w:rsidRDefault="00A53D7D" w:rsidP="005140B4">
            <w:pPr>
              <w:pStyle w:val="TableofFigures"/>
              <w:rPr>
                <w:rFonts w:eastAsiaTheme="minorEastAsia"/>
                <w:b/>
                <w:bCs/>
                <w:lang w:eastAsia="en-AU"/>
              </w:rPr>
            </w:pPr>
            <w:r w:rsidRPr="00B05BBE">
              <w:rPr>
                <w:rFonts w:eastAsiaTheme="minorEastAsia"/>
                <w:b/>
                <w:bCs/>
                <w:lang w:eastAsia="en-AU"/>
              </w:rPr>
              <w:t>778 836.4</w:t>
            </w:r>
          </w:p>
        </w:tc>
        <w:tc>
          <w:tcPr>
            <w:tcW w:w="950" w:type="dxa"/>
            <w:tcBorders>
              <w:top w:val="single" w:sz="6" w:space="0" w:color="auto"/>
              <w:left w:val="nil"/>
              <w:bottom w:val="single" w:sz="12" w:space="0" w:color="auto"/>
              <w:right w:val="nil"/>
            </w:tcBorders>
            <w:shd w:val="solid" w:color="FFFFFF" w:fill="auto"/>
          </w:tcPr>
          <w:p w:rsidR="00A53D7D" w:rsidRPr="00B05BBE" w:rsidRDefault="00A53D7D" w:rsidP="005140B4">
            <w:pPr>
              <w:pStyle w:val="TableofFigures"/>
              <w:rPr>
                <w:rFonts w:eastAsiaTheme="minorEastAsia"/>
                <w:b/>
                <w:bCs/>
                <w:lang w:eastAsia="en-AU"/>
              </w:rPr>
            </w:pPr>
            <w:r w:rsidRPr="00B05BBE">
              <w:rPr>
                <w:rFonts w:eastAsiaTheme="minorEastAsia"/>
                <w:b/>
                <w:bCs/>
                <w:lang w:eastAsia="en-AU"/>
              </w:rPr>
              <w:t>903 427.7</w:t>
            </w:r>
          </w:p>
        </w:tc>
      </w:tr>
    </w:tbl>
    <w:p w:rsidR="00A53D7D" w:rsidRPr="00A9328C" w:rsidRDefault="00A53D7D" w:rsidP="005140B4">
      <w:pPr>
        <w:pStyle w:val="Source"/>
      </w:pPr>
      <w:r w:rsidRPr="00A9328C">
        <w:rPr>
          <w:rStyle w:val="SourceChar"/>
          <w:i/>
        </w:rPr>
        <w:t xml:space="preserve">Source: Department of Treasury and Finance </w:t>
      </w:r>
      <w:r w:rsidRPr="00A9328C">
        <w:fldChar w:fldCharType="begin"/>
      </w:r>
      <w:r w:rsidRPr="00A9328C">
        <w:instrText xml:space="preserve"> XE "Grants and transfers to local government" </w:instrText>
      </w:r>
      <w:r w:rsidRPr="00A9328C">
        <w:fldChar w:fldCharType="end"/>
      </w:r>
    </w:p>
    <w:p w:rsidR="00A53D7D" w:rsidRPr="00A9328C" w:rsidRDefault="00A53D7D" w:rsidP="005140B4">
      <w:pPr>
        <w:pStyle w:val="Notes"/>
      </w:pPr>
      <w:r w:rsidRPr="00A9328C">
        <w:t>Notes:</w:t>
      </w:r>
    </w:p>
    <w:p w:rsidR="00A53D7D" w:rsidRPr="00A9328C" w:rsidRDefault="00A53D7D" w:rsidP="005140B4">
      <w:pPr>
        <w:pStyle w:val="Notes"/>
      </w:pPr>
      <w:r w:rsidRPr="00A9328C">
        <w:t>(a)</w:t>
      </w:r>
      <w:r w:rsidRPr="00A9328C">
        <w:tab/>
        <w:t xml:space="preserve">Excludes funds provided to local government </w:t>
      </w:r>
      <w:r>
        <w:t>for service delivery.</w:t>
      </w:r>
    </w:p>
    <w:p w:rsidR="00A53D7D" w:rsidRDefault="00A53D7D" w:rsidP="005140B4">
      <w:pPr>
        <w:pStyle w:val="Notes"/>
      </w:pPr>
      <w:r w:rsidRPr="0021791B">
        <w:t>(b)</w:t>
      </w:r>
      <w:r w:rsidRPr="0021791B">
        <w:tab/>
        <w:t xml:space="preserve">Excludes funds provided to local government from the Home and Community Care program as this is for service delivery rather than provided as a grant. </w:t>
      </w:r>
    </w:p>
    <w:p w:rsidR="00A53D7D" w:rsidRDefault="00A53D7D">
      <w:pPr>
        <w:spacing w:after="0"/>
      </w:pPr>
    </w:p>
    <w:p w:rsidR="00A53D7D" w:rsidRDefault="00A53D7D">
      <w:pPr>
        <w:spacing w:after="0"/>
      </w:pPr>
      <w:r>
        <w:br w:type="page"/>
      </w:r>
    </w:p>
    <w:p w:rsidR="00A53D7D" w:rsidRPr="009F5EDD" w:rsidRDefault="00A53D7D" w:rsidP="005140B4">
      <w:r w:rsidRPr="009F5EDD">
        <w:t>Local Government Victoria, within the Department of Transport, Planning and Local Infrastructure, provides the majority of funds to local government. For 2014</w:t>
      </w:r>
      <w:r>
        <w:noBreakHyphen/>
      </w:r>
      <w:r w:rsidRPr="009F5EDD">
        <w:t>15 it is estimated that around $570.4</w:t>
      </w:r>
      <w:r>
        <w:t> million</w:t>
      </w:r>
      <w:r w:rsidRPr="009F5EDD">
        <w:t xml:space="preserve"> (79</w:t>
      </w:r>
      <w:r>
        <w:t> per cent</w:t>
      </w:r>
      <w:r w:rsidRPr="009F5EDD">
        <w:t xml:space="preserve">) of these grants will be Commonwealth financial assistance grants, including road and general purpose grants that are passed on to local government in their entirety. All administration costs are borne by the Department. </w:t>
      </w:r>
    </w:p>
    <w:p w:rsidR="00A53D7D" w:rsidRPr="00922E37" w:rsidRDefault="00A53D7D" w:rsidP="005140B4">
      <w:r w:rsidRPr="00922E37">
        <w:t>As shown in Table B.1, grants and transfers to local government are expected to be $778.</w:t>
      </w:r>
      <w:r>
        <w:t>8 million</w:t>
      </w:r>
      <w:r w:rsidRPr="00922E37">
        <w:t xml:space="preserve"> in 2013</w:t>
      </w:r>
      <w:r>
        <w:noBreakHyphen/>
      </w:r>
      <w:r w:rsidRPr="00922E37">
        <w:t>14. This is a decrease from the original estimate of $859.</w:t>
      </w:r>
      <w:r>
        <w:t>5 million</w:t>
      </w:r>
      <w:r w:rsidRPr="00922E37">
        <w:t xml:space="preserve"> in the </w:t>
      </w:r>
      <w:r w:rsidRPr="00922E37">
        <w:rPr>
          <w:i/>
        </w:rPr>
        <w:t>2013</w:t>
      </w:r>
      <w:r>
        <w:rPr>
          <w:i/>
        </w:rPr>
        <w:noBreakHyphen/>
      </w:r>
      <w:r w:rsidRPr="00922E37">
        <w:rPr>
          <w:i/>
        </w:rPr>
        <w:t>14 Budget</w:t>
      </w:r>
      <w:r w:rsidRPr="00922E37">
        <w:t>. The key drivers of this variance in 2013</w:t>
      </w:r>
      <w:r>
        <w:noBreakHyphen/>
      </w:r>
      <w:r w:rsidRPr="00922E37">
        <w:t xml:space="preserve">14 </w:t>
      </w:r>
      <w:r>
        <w:t>include</w:t>
      </w:r>
      <w:r w:rsidRPr="00922E37">
        <w:t xml:space="preserve">: </w:t>
      </w:r>
    </w:p>
    <w:p w:rsidR="00A53D7D" w:rsidRPr="00290802" w:rsidRDefault="00A53D7D" w:rsidP="005140B4">
      <w:pPr>
        <w:pStyle w:val="BulletText"/>
      </w:pPr>
      <w:r w:rsidRPr="00290802">
        <w:t>Department of Education and Early Childhood Development – a number of payments for 2014</w:t>
      </w:r>
      <w:r>
        <w:noBreakHyphen/>
      </w:r>
      <w:r w:rsidRPr="00290802">
        <w:t>15 were brought forward into the 2013</w:t>
      </w:r>
      <w:r>
        <w:noBreakHyphen/>
      </w:r>
      <w:r w:rsidRPr="00290802">
        <w:t xml:space="preserve">14 year. </w:t>
      </w:r>
    </w:p>
    <w:p w:rsidR="00A53D7D" w:rsidRPr="00290802" w:rsidRDefault="00A53D7D" w:rsidP="005140B4">
      <w:pPr>
        <w:pStyle w:val="BulletText"/>
      </w:pPr>
      <w:r w:rsidRPr="00290802">
        <w:t xml:space="preserve">Department of </w:t>
      </w:r>
      <w:r w:rsidRPr="00585842">
        <w:t xml:space="preserve">Transport, Planning and Local Infrastructure – subsequent to finalisation of the </w:t>
      </w:r>
      <w:r w:rsidRPr="00792CDA">
        <w:rPr>
          <w:i/>
        </w:rPr>
        <w:t>2013</w:t>
      </w:r>
      <w:r>
        <w:rPr>
          <w:i/>
        </w:rPr>
        <w:noBreakHyphen/>
      </w:r>
      <w:r w:rsidRPr="00792CDA">
        <w:rPr>
          <w:i/>
        </w:rPr>
        <w:t>14 Budget</w:t>
      </w:r>
      <w:r w:rsidRPr="00585842">
        <w:t xml:space="preserve">, the Commonwealth published in its </w:t>
      </w:r>
      <w:r w:rsidRPr="00792CDA">
        <w:t>2013</w:t>
      </w:r>
      <w:r>
        <w:noBreakHyphen/>
      </w:r>
      <w:r w:rsidRPr="00792CDA">
        <w:t xml:space="preserve">14 </w:t>
      </w:r>
      <w:r>
        <w:t>b</w:t>
      </w:r>
      <w:r w:rsidRPr="00792CDA">
        <w:t>udget</w:t>
      </w:r>
      <w:r w:rsidRPr="00585842">
        <w:t xml:space="preserve"> and mid</w:t>
      </w:r>
      <w:r>
        <w:noBreakHyphen/>
      </w:r>
      <w:r w:rsidRPr="00585842">
        <w:t>year update that Financial Assistance Grants and Identified Local Roads Grants would be reduced for the 2013</w:t>
      </w:r>
      <w:r>
        <w:noBreakHyphen/>
      </w:r>
      <w:r w:rsidRPr="00585842">
        <w:t>14 year and returned to historical levels from 2014</w:t>
      </w:r>
      <w:r>
        <w:noBreakHyphen/>
      </w:r>
      <w:r w:rsidRPr="00585842">
        <w:t>15 onwards.</w:t>
      </w:r>
      <w:r w:rsidRPr="00290802">
        <w:t xml:space="preserve"> This downwards revision was reflected in the </w:t>
      </w:r>
      <w:r w:rsidRPr="00792CDA">
        <w:rPr>
          <w:i/>
        </w:rPr>
        <w:t>2013</w:t>
      </w:r>
      <w:r>
        <w:rPr>
          <w:i/>
        </w:rPr>
        <w:noBreakHyphen/>
      </w:r>
      <w:r w:rsidRPr="00792CDA">
        <w:rPr>
          <w:i/>
        </w:rPr>
        <w:t>14 Budget Update</w:t>
      </w:r>
      <w:r w:rsidRPr="00290802">
        <w:t xml:space="preserve">. </w:t>
      </w:r>
    </w:p>
    <w:p w:rsidR="00A53D7D" w:rsidRPr="00290802" w:rsidRDefault="00A53D7D" w:rsidP="005140B4">
      <w:pPr>
        <w:pStyle w:val="BulletText"/>
      </w:pPr>
      <w:r w:rsidRPr="00290802">
        <w:t xml:space="preserve">Department of Treasury and Finance – at the time of the </w:t>
      </w:r>
      <w:r w:rsidRPr="00792CDA">
        <w:rPr>
          <w:i/>
        </w:rPr>
        <w:t>2013</w:t>
      </w:r>
      <w:r>
        <w:rPr>
          <w:i/>
        </w:rPr>
        <w:noBreakHyphen/>
      </w:r>
      <w:r w:rsidRPr="00792CDA">
        <w:rPr>
          <w:i/>
        </w:rPr>
        <w:t>14 Budget</w:t>
      </w:r>
      <w:r w:rsidRPr="00290802">
        <w:t xml:space="preserve"> it was anticipated that the majority of asset restoration works following the 2010</w:t>
      </w:r>
      <w:r>
        <w:noBreakHyphen/>
      </w:r>
      <w:r w:rsidRPr="00290802">
        <w:t>11 floods would be completed within the 2012</w:t>
      </w:r>
      <w:r>
        <w:noBreakHyphen/>
      </w:r>
      <w:r w:rsidRPr="00290802">
        <w:t>13 year. In accordance with the Natural Disaster Relief</w:t>
      </w:r>
      <w:r w:rsidRPr="00290802">
        <w:fldChar w:fldCharType="begin"/>
      </w:r>
      <w:r w:rsidRPr="00290802">
        <w:instrText xml:space="preserve"> XE "Natural Disaster Relief" </w:instrText>
      </w:r>
      <w:r w:rsidRPr="00290802">
        <w:fldChar w:fldCharType="end"/>
      </w:r>
      <w:r w:rsidRPr="00290802">
        <w:t xml:space="preserve"> and Recovery Arrangements (NDRRA), any works undertaken in 2013</w:t>
      </w:r>
      <w:r>
        <w:noBreakHyphen/>
      </w:r>
      <w:r w:rsidRPr="00290802">
        <w:t>14 for these flood events would not be reimbursed to local councils as they would fall outside of the agreed reimbursement period. In late June 2013, the Commonwealth approved an extension under the NDRRA for a number of councils to continue works in 2013</w:t>
      </w:r>
      <w:r>
        <w:noBreakHyphen/>
      </w:r>
      <w:r w:rsidRPr="00290802">
        <w:t xml:space="preserve">14 and receive reimbursement for these works. This resulted in a significant increase in the estimated value of grants payable. </w:t>
      </w:r>
    </w:p>
    <w:p w:rsidR="00A53D7D" w:rsidRDefault="00A53D7D" w:rsidP="005140B4">
      <w:r w:rsidRPr="00731038">
        <w:t xml:space="preserve">The </w:t>
      </w:r>
      <w:r w:rsidRPr="00731038">
        <w:rPr>
          <w:i/>
        </w:rPr>
        <w:t>2014</w:t>
      </w:r>
      <w:r>
        <w:rPr>
          <w:i/>
        </w:rPr>
        <w:noBreakHyphen/>
      </w:r>
      <w:r w:rsidRPr="00731038">
        <w:rPr>
          <w:i/>
        </w:rPr>
        <w:t xml:space="preserve">15 Budget </w:t>
      </w:r>
      <w:r>
        <w:t>provides an estimated $903.4 million</w:t>
      </w:r>
      <w:r w:rsidRPr="00731038">
        <w:t xml:space="preserve"> in grants and transfers to local government</w:t>
      </w:r>
      <w:r>
        <w:fldChar w:fldCharType="begin"/>
      </w:r>
      <w:r>
        <w:instrText xml:space="preserve"> XE "</w:instrText>
      </w:r>
      <w:r w:rsidRPr="008E267D">
        <w:instrText>Grants and transfers to local government</w:instrText>
      </w:r>
      <w:r>
        <w:instrText xml:space="preserve">" </w:instrText>
      </w:r>
      <w:r>
        <w:fldChar w:fldCharType="end"/>
      </w:r>
      <w:r w:rsidRPr="00731038">
        <w:t>. This represents an increase of $43.9</w:t>
      </w:r>
      <w:r>
        <w:t> million</w:t>
      </w:r>
      <w:r w:rsidRPr="00731038">
        <w:t xml:space="preserve"> from the amount estimated in the </w:t>
      </w:r>
      <w:r w:rsidRPr="00731038">
        <w:rPr>
          <w:i/>
        </w:rPr>
        <w:t>2013</w:t>
      </w:r>
      <w:r>
        <w:rPr>
          <w:i/>
        </w:rPr>
        <w:noBreakHyphen/>
      </w:r>
      <w:r w:rsidRPr="00731038">
        <w:rPr>
          <w:i/>
        </w:rPr>
        <w:t>14 Budget</w:t>
      </w:r>
      <w:r w:rsidRPr="00731038">
        <w:t>. The key driver of this difference is due to an upward revision of $23.7</w:t>
      </w:r>
      <w:r>
        <w:t> million</w:t>
      </w:r>
      <w:r w:rsidRPr="00731038">
        <w:t xml:space="preserve"> in grants and transfers to local government by the Department of State Development, Business and Innovation. The increase will be sourced from initiatives such as the Regional Growth Fund, Sustainable Small Towns program, Regional Aviation Fund, Community Support Grants, and Living Regions Living Suburbs. In addition, the value of grants and transfers made to local government by a number of departments is expected to increase due to the funding of new budget initiatives listed later in this appendix.</w:t>
      </w:r>
      <w:r w:rsidRPr="00922E37">
        <w:t xml:space="preserve"> </w:t>
      </w:r>
    </w:p>
    <w:p w:rsidR="00A53D7D" w:rsidRDefault="00A53D7D" w:rsidP="005140B4">
      <w:pPr>
        <w:pStyle w:val="Heading2"/>
      </w:pPr>
      <w:r>
        <w:t xml:space="preserve">Community Support Fund </w:t>
      </w:r>
    </w:p>
    <w:p w:rsidR="00A53D7D" w:rsidRDefault="00A53D7D" w:rsidP="005140B4">
      <w:r w:rsidRPr="00BE1174">
        <w:t>The Government funds a range of initiatives through the Community Support Fund</w:t>
      </w:r>
      <w:r>
        <w:fldChar w:fldCharType="begin"/>
      </w:r>
      <w:r>
        <w:instrText xml:space="preserve"> XE "</w:instrText>
      </w:r>
      <w:r w:rsidRPr="00A574AF">
        <w:instrText>Communities:Community Support Fund</w:instrText>
      </w:r>
      <w:r>
        <w:instrText xml:space="preserve">" </w:instrText>
      </w:r>
      <w:r>
        <w:fldChar w:fldCharType="end"/>
      </w:r>
      <w:r w:rsidRPr="00BE1174">
        <w:t xml:space="preserve"> (CSF), many of which are delivered by local government. These funds are in addition to those specified in Table B.1 (grants and transfers to local government), noting that funding to local government </w:t>
      </w:r>
      <w:proofErr w:type="spellStart"/>
      <w:r w:rsidRPr="00BE1174">
        <w:t>can not</w:t>
      </w:r>
      <w:proofErr w:type="spellEnd"/>
      <w:r w:rsidRPr="00BE1174">
        <w:t xml:space="preserve"> always be estimated until grant programs are complete.</w:t>
      </w:r>
    </w:p>
    <w:p w:rsidR="00A53D7D" w:rsidRDefault="00A53D7D">
      <w:pPr>
        <w:spacing w:after="0"/>
      </w:pPr>
      <w:r>
        <w:br w:type="page"/>
      </w:r>
    </w:p>
    <w:p w:rsidR="00A53D7D" w:rsidRPr="002F2052" w:rsidRDefault="00A53D7D" w:rsidP="005140B4">
      <w:r w:rsidRPr="00BE1174">
        <w:t>During 2013</w:t>
      </w:r>
      <w:r>
        <w:noBreakHyphen/>
      </w:r>
      <w:r w:rsidRPr="00BE1174">
        <w:t xml:space="preserve">14, local governments received funding from a number of government programs which were funded </w:t>
      </w:r>
      <w:r w:rsidRPr="002F2052">
        <w:t xml:space="preserve">from </w:t>
      </w:r>
      <w:r>
        <w:t xml:space="preserve">the </w:t>
      </w:r>
      <w:r w:rsidRPr="002F2052">
        <w:t>CSF. This included the Community Facility Funding Program which is administered by the Department of Transport, Planning and Local Infrastructure in 2013</w:t>
      </w:r>
      <w:r>
        <w:noBreakHyphen/>
      </w:r>
      <w:r w:rsidRPr="002F2052">
        <w:t>14, and provides a variety of grants towards community infrastructure and community and sporting participation activities. Funded projects delivered by local government include:</w:t>
      </w:r>
    </w:p>
    <w:p w:rsidR="00A53D7D" w:rsidRPr="002F2052" w:rsidRDefault="00A53D7D" w:rsidP="005140B4">
      <w:pPr>
        <w:pStyle w:val="BulletText"/>
      </w:pPr>
      <w:bookmarkStart w:id="198" w:name="AppBSport"/>
      <w:r w:rsidRPr="002F2052">
        <w:t>funding of $60 000 to Macedon Ranges Shire Council as part of a $90 000 project to develop a new multi</w:t>
      </w:r>
      <w:r>
        <w:noBreakHyphen/>
      </w:r>
      <w:r w:rsidRPr="002F2052">
        <w:t xml:space="preserve">use cricket facility as well as accommodating soccer and football; </w:t>
      </w:r>
    </w:p>
    <w:p w:rsidR="00A53D7D" w:rsidRPr="002F2052" w:rsidRDefault="00A53D7D" w:rsidP="005140B4">
      <w:pPr>
        <w:pStyle w:val="BulletText"/>
      </w:pPr>
      <w:r w:rsidRPr="002F2052">
        <w:t>funding of $100 000 to Moreland City Council as part of a $397 354 project to construct multi</w:t>
      </w:r>
      <w:r>
        <w:noBreakHyphen/>
      </w:r>
      <w:r w:rsidRPr="002F2052">
        <w:t>purpose courts for tennis, netball and basketball. The project will also include the installation of fencing and lighting systems which will increase the hours of use;</w:t>
      </w:r>
    </w:p>
    <w:p w:rsidR="00A53D7D" w:rsidRPr="002F2052" w:rsidRDefault="00A53D7D" w:rsidP="005140B4">
      <w:pPr>
        <w:pStyle w:val="BulletText"/>
      </w:pPr>
      <w:r w:rsidRPr="002F2052">
        <w:t>funding of $650 000 to Ararat Rural City Council as part of a $3.34</w:t>
      </w:r>
      <w:r>
        <w:t> million</w:t>
      </w:r>
      <w:r w:rsidRPr="002F2052">
        <w:t xml:space="preserve"> project to develop a new community and recreation centre catering for football, cricket, netball, umpires and match day requirements including a community multi</w:t>
      </w:r>
      <w:r>
        <w:noBreakHyphen/>
      </w:r>
      <w:r w:rsidRPr="002F2052">
        <w:t>purpose meeting space, meeting room, function space, commercial kitchen, canteen, bar and public amenities at the Alexandra Oval precinct; and</w:t>
      </w:r>
    </w:p>
    <w:p w:rsidR="00A53D7D" w:rsidRPr="002F2052" w:rsidRDefault="00A53D7D" w:rsidP="005140B4">
      <w:pPr>
        <w:pStyle w:val="BulletText"/>
      </w:pPr>
      <w:r w:rsidRPr="002F2052">
        <w:t>funding of $3</w:t>
      </w:r>
      <w:r>
        <w:t> million</w:t>
      </w:r>
      <w:r w:rsidRPr="002F2052">
        <w:t xml:space="preserve"> to Baw </w:t>
      </w:r>
      <w:proofErr w:type="spellStart"/>
      <w:r w:rsidRPr="002F2052">
        <w:t>Baw</w:t>
      </w:r>
      <w:proofErr w:type="spellEnd"/>
      <w:r w:rsidRPr="002F2052">
        <w:t xml:space="preserve"> Shire Council as part of a $14.2</w:t>
      </w:r>
      <w:r>
        <w:t> million</w:t>
      </w:r>
      <w:r w:rsidRPr="002F2052">
        <w:t xml:space="preserve"> project to undertake a first stage redevelopment of the Warragul Leisure Centre to create the Baw </w:t>
      </w:r>
      <w:proofErr w:type="spellStart"/>
      <w:r w:rsidRPr="002F2052">
        <w:t>Baw</w:t>
      </w:r>
      <w:proofErr w:type="spellEnd"/>
      <w:r w:rsidRPr="002F2052">
        <w:t xml:space="preserve"> Recreation, Aquatic and Community Centre. The project will update the aging indoor aquatic facility and provide a state</w:t>
      </w:r>
      <w:r>
        <w:noBreakHyphen/>
      </w:r>
      <w:r w:rsidRPr="002F2052">
        <w:t>of</w:t>
      </w:r>
      <w:r>
        <w:noBreakHyphen/>
      </w:r>
      <w:r w:rsidRPr="002F2052">
        <w:t>the</w:t>
      </w:r>
      <w:r>
        <w:noBreakHyphen/>
      </w:r>
      <w:r w:rsidRPr="002F2052">
        <w:t>art multi use aquatic, health and leisure facility that will meet the current and future needs of residents and visitors.</w:t>
      </w:r>
      <w:r>
        <w:fldChar w:fldCharType="begin"/>
      </w:r>
      <w:r>
        <w:instrText xml:space="preserve"> XE "</w:instrText>
      </w:r>
      <w:r w:rsidRPr="006540A2">
        <w:instrText>Sport</w:instrText>
      </w:r>
      <w:r>
        <w:instrText xml:space="preserve">" </w:instrText>
      </w:r>
      <w:r>
        <w:fldChar w:fldCharType="end"/>
      </w:r>
      <w:r w:rsidRPr="002F2052">
        <w:t xml:space="preserve"> </w:t>
      </w:r>
      <w:bookmarkEnd w:id="198"/>
    </w:p>
    <w:p w:rsidR="00A53D7D" w:rsidRDefault="00A53D7D" w:rsidP="005140B4">
      <w:pPr>
        <w:pStyle w:val="Heading2"/>
      </w:pPr>
      <w:r>
        <w:t>Flood and natural disaster response</w:t>
      </w:r>
    </w:p>
    <w:p w:rsidR="00A53D7D" w:rsidRDefault="00A53D7D" w:rsidP="005140B4">
      <w:r>
        <w:t xml:space="preserve">The Department of Treasury and Finance administers the Natural Disaster </w:t>
      </w:r>
      <w:r w:rsidRPr="00AE40F2">
        <w:t>Relief</w:t>
      </w:r>
      <w:r>
        <w:fldChar w:fldCharType="begin"/>
      </w:r>
      <w:r>
        <w:instrText xml:space="preserve"> XE "</w:instrText>
      </w:r>
      <w:r w:rsidRPr="008F564C">
        <w:instrText>Natural Disaster Relief</w:instrText>
      </w:r>
      <w:r>
        <w:instrText xml:space="preserve">" </w:instrText>
      </w:r>
      <w:r>
        <w:fldChar w:fldCharType="end"/>
      </w:r>
      <w:r w:rsidRPr="00AE40F2">
        <w:t xml:space="preserve"> and Recovery Arrangements (NDRRA), which provide</w:t>
      </w:r>
      <w:r>
        <w:t>s</w:t>
      </w:r>
      <w:r w:rsidRPr="00AE40F2">
        <w:t xml:space="preserve"> financial assistance to councils affected by natural disasters, such as bushfires, floods and severe storms. This funding is largely used to reimburse costs incurred by local councils in counter disaster and asset restoration works, providing clean up and restoration grants to small business, primary prod</w:t>
      </w:r>
      <w:r>
        <w:t>ucers and not</w:t>
      </w:r>
      <w:r>
        <w:noBreakHyphen/>
        <w:t>for</w:t>
      </w:r>
      <w:r>
        <w:noBreakHyphen/>
      </w:r>
      <w:r w:rsidRPr="00AE40F2">
        <w:t>profit organisations and personal hardship and distress grants to individuals and households.</w:t>
      </w:r>
    </w:p>
    <w:p w:rsidR="00A53D7D" w:rsidRDefault="00A53D7D" w:rsidP="005140B4">
      <w:r>
        <w:t>Actual expenditure fluctuates each year depending on the number and magnitude of natural disasters that have occurred and the funding needs of councils.</w:t>
      </w:r>
    </w:p>
    <w:p w:rsidR="00A53D7D" w:rsidRDefault="00A53D7D" w:rsidP="005140B4">
      <w:pPr>
        <w:rPr>
          <w:rFonts w:ascii="Calibri" w:hAnsi="Calibri"/>
          <w:b/>
          <w:i/>
          <w:caps/>
          <w:sz w:val="26"/>
          <w:szCs w:val="22"/>
        </w:rPr>
      </w:pPr>
      <w:r>
        <w:t>In recognition of the severity of the 2013 and 2014 bushfires, as well as smaller 2013 storm and flood events, in 2014</w:t>
      </w:r>
      <w:r>
        <w:noBreakHyphen/>
        <w:t xml:space="preserve">15 local councils will continue to receive financial assistance for the standard relief and recovery measures under the NDRRA. </w:t>
      </w:r>
    </w:p>
    <w:p w:rsidR="00A53D7D" w:rsidRDefault="00A53D7D" w:rsidP="005140B4">
      <w:pPr>
        <w:pStyle w:val="Heading1"/>
      </w:pPr>
      <w:bookmarkStart w:id="199" w:name="_Toc386364095"/>
      <w:bookmarkStart w:id="200" w:name="_Toc386541240"/>
      <w:bookmarkStart w:id="201" w:name="_Toc407116932"/>
      <w:r w:rsidRPr="004475E0">
        <w:rPr>
          <w:i/>
        </w:rPr>
        <w:t>2014</w:t>
      </w:r>
      <w:r>
        <w:rPr>
          <w:i/>
        </w:rPr>
        <w:noBreakHyphen/>
      </w:r>
      <w:r w:rsidRPr="004475E0">
        <w:rPr>
          <w:i/>
        </w:rPr>
        <w:t>15</w:t>
      </w:r>
      <w:r>
        <w:t xml:space="preserve"> </w:t>
      </w:r>
      <w:r w:rsidRPr="004921EC">
        <w:rPr>
          <w:i/>
        </w:rPr>
        <w:t>Budget</w:t>
      </w:r>
      <w:r>
        <w:t xml:space="preserve"> Initiatives</w:t>
      </w:r>
      <w:bookmarkEnd w:id="199"/>
      <w:bookmarkEnd w:id="200"/>
      <w:bookmarkEnd w:id="201"/>
    </w:p>
    <w:p w:rsidR="00A53D7D" w:rsidRDefault="00A53D7D" w:rsidP="005140B4">
      <w:r>
        <w:t xml:space="preserve">This section outlines the key </w:t>
      </w:r>
      <w:r>
        <w:rPr>
          <w:i/>
        </w:rPr>
        <w:t>2014</w:t>
      </w:r>
      <w:r>
        <w:rPr>
          <w:i/>
        </w:rPr>
        <w:noBreakHyphen/>
        <w:t xml:space="preserve">15 Budget </w:t>
      </w:r>
      <w:r>
        <w:t xml:space="preserve">initiatives by department that will be undertaken in partnership with local government. This section includes initiatives where local government is the recipient of grants and transfers and other initiatives that broadly impact on local government. Funding details for each of these initiatives are provided in Chapter 1 of this budget paper. </w:t>
      </w:r>
    </w:p>
    <w:p w:rsidR="00A53D7D" w:rsidRDefault="00A53D7D" w:rsidP="005140B4">
      <w:pPr>
        <w:pStyle w:val="Heading2"/>
      </w:pPr>
      <w:r w:rsidRPr="00922E37">
        <w:t>Department of Education and Early Childhood Development</w:t>
      </w:r>
    </w:p>
    <w:p w:rsidR="00A53D7D" w:rsidRPr="00922E37" w:rsidRDefault="00A53D7D" w:rsidP="005140B4">
      <w:r w:rsidRPr="00E1547A">
        <w:t xml:space="preserve">Local governments enter into joint use agreements with schools to enable broader use of the facilities by the community. In addition, many local governments plan, provide or facilitate kindergarten and child care services. </w:t>
      </w:r>
      <w:r w:rsidRPr="00577D17">
        <w:t xml:space="preserve">The Department of </w:t>
      </w:r>
      <w:r>
        <w:t>Education</w:t>
      </w:r>
      <w:r w:rsidRPr="00577D17">
        <w:t xml:space="preserve"> and </w:t>
      </w:r>
      <w:r>
        <w:t>Early</w:t>
      </w:r>
      <w:r w:rsidRPr="00577D17">
        <w:t xml:space="preserve"> </w:t>
      </w:r>
      <w:r w:rsidRPr="00922E37">
        <w:t xml:space="preserve">Childhood Development’s </w:t>
      </w:r>
      <w:r>
        <w:t xml:space="preserve">key </w:t>
      </w:r>
      <w:r w:rsidRPr="00922E37">
        <w:rPr>
          <w:i/>
        </w:rPr>
        <w:t>2014</w:t>
      </w:r>
      <w:r>
        <w:rPr>
          <w:i/>
        </w:rPr>
        <w:noBreakHyphen/>
      </w:r>
      <w:r w:rsidRPr="00922E37">
        <w:rPr>
          <w:i/>
        </w:rPr>
        <w:t>15 Budget</w:t>
      </w:r>
      <w:r>
        <w:t xml:space="preserve"> initiative</w:t>
      </w:r>
      <w:r w:rsidRPr="00922E37">
        <w:t xml:space="preserve"> that affect</w:t>
      </w:r>
      <w:r>
        <w:t>s</w:t>
      </w:r>
      <w:r w:rsidRPr="00922E37">
        <w:t xml:space="preserve"> local government </w:t>
      </w:r>
      <w:r>
        <w:t xml:space="preserve">is the Children’s facilities capital program. Further initiatives that affect local government are: </w:t>
      </w:r>
    </w:p>
    <w:p w:rsidR="00A53D7D" w:rsidRPr="00922E37" w:rsidRDefault="00A53D7D" w:rsidP="005140B4">
      <w:pPr>
        <w:pStyle w:val="BulletText"/>
      </w:pPr>
      <w:r w:rsidRPr="00922E37">
        <w:t xml:space="preserve">Early years strategic plan; </w:t>
      </w:r>
    </w:p>
    <w:p w:rsidR="00A53D7D" w:rsidRPr="00922E37" w:rsidRDefault="00A53D7D" w:rsidP="005140B4">
      <w:pPr>
        <w:pStyle w:val="BulletText"/>
      </w:pPr>
      <w:r w:rsidRPr="00922E37">
        <w:t xml:space="preserve">Early years workforce support; </w:t>
      </w:r>
      <w:r>
        <w:t>and</w:t>
      </w:r>
    </w:p>
    <w:p w:rsidR="00A53D7D" w:rsidRPr="00922E37" w:rsidRDefault="00A53D7D" w:rsidP="005140B4">
      <w:pPr>
        <w:pStyle w:val="BulletText"/>
      </w:pPr>
      <w:r w:rsidRPr="00922E37">
        <w:t>Maternal a</w:t>
      </w:r>
      <w:r>
        <w:t xml:space="preserve">nd child health service reform. </w:t>
      </w:r>
      <w:r w:rsidRPr="00922E37">
        <w:fldChar w:fldCharType="begin"/>
      </w:r>
      <w:r w:rsidRPr="00922E37">
        <w:instrText xml:space="preserve"> XE "Health:Maternal Child Health" </w:instrText>
      </w:r>
      <w:r w:rsidRPr="00922E37">
        <w:fldChar w:fldCharType="end"/>
      </w:r>
    </w:p>
    <w:p w:rsidR="00A53D7D" w:rsidRPr="002F2052" w:rsidRDefault="00A53D7D" w:rsidP="005140B4">
      <w:pPr>
        <w:pStyle w:val="Heading2"/>
      </w:pPr>
      <w:r w:rsidRPr="002F2052">
        <w:t>Department of Environment and Primary Industries</w:t>
      </w:r>
    </w:p>
    <w:p w:rsidR="00A53D7D" w:rsidRPr="002F2052" w:rsidRDefault="00A53D7D" w:rsidP="005140B4">
      <w:r w:rsidRPr="002F2052">
        <w:t>Many of the Department of Environment and Primary Industries’ programs are jointly managed and delivered by local government. In addition, the Department provides a range of materials and information to assist local government in undertaking its responsibilities, for example, building environmental sustainability through Victoria’s Environmental Sustainability Framework</w:t>
      </w:r>
      <w:r>
        <w:fldChar w:fldCharType="begin"/>
      </w:r>
      <w:r>
        <w:instrText xml:space="preserve"> XE "</w:instrText>
      </w:r>
      <w:r w:rsidRPr="00FF5E28">
        <w:instrText xml:space="preserve"> Environmental Sustainability Framework</w:instrText>
      </w:r>
      <w:r>
        <w:instrText xml:space="preserve">" </w:instrText>
      </w:r>
      <w:r>
        <w:fldChar w:fldCharType="end"/>
      </w:r>
      <w:r w:rsidRPr="002F2052">
        <w:t xml:space="preserve">. The Department also supports local government in areas such as emergency response, biosecurity response and recreational fishing. The Department of Environment and Primary Industries’ </w:t>
      </w:r>
      <w:r w:rsidRPr="002F2052">
        <w:rPr>
          <w:i/>
        </w:rPr>
        <w:t>2014</w:t>
      </w:r>
      <w:r>
        <w:rPr>
          <w:i/>
        </w:rPr>
        <w:noBreakHyphen/>
      </w:r>
      <w:r w:rsidRPr="002F2052">
        <w:rPr>
          <w:i/>
        </w:rPr>
        <w:t>15 Budget</w:t>
      </w:r>
      <w:r w:rsidRPr="002F2052">
        <w:t xml:space="preserve"> initiatives that affect local government are:</w:t>
      </w:r>
    </w:p>
    <w:p w:rsidR="00A53D7D" w:rsidRPr="002F2052" w:rsidRDefault="00A53D7D" w:rsidP="005140B4">
      <w:pPr>
        <w:pStyle w:val="BulletText"/>
      </w:pPr>
      <w:r>
        <w:t>Urban f</w:t>
      </w:r>
      <w:r w:rsidRPr="002F2052">
        <w:t xml:space="preserve">ringe </w:t>
      </w:r>
      <w:r>
        <w:t>weed m</w:t>
      </w:r>
      <w:r w:rsidRPr="002F2052">
        <w:t>anagement</w:t>
      </w:r>
      <w:r>
        <w:t xml:space="preserve"> i</w:t>
      </w:r>
      <w:r w:rsidRPr="002F2052">
        <w:t>nitiative</w:t>
      </w:r>
      <w:r>
        <w:fldChar w:fldCharType="begin"/>
      </w:r>
      <w:r>
        <w:instrText xml:space="preserve"> XE "</w:instrText>
      </w:r>
      <w:r w:rsidRPr="008F564C">
        <w:instrText>Urban Fringe Weed Management Initiative</w:instrText>
      </w:r>
      <w:r>
        <w:instrText xml:space="preserve">" </w:instrText>
      </w:r>
      <w:r>
        <w:fldChar w:fldCharType="end"/>
      </w:r>
      <w:r w:rsidRPr="002F2052">
        <w:t xml:space="preserve">. </w:t>
      </w:r>
    </w:p>
    <w:p w:rsidR="00A53D7D" w:rsidRPr="002F2052" w:rsidRDefault="00A53D7D" w:rsidP="005140B4">
      <w:pPr>
        <w:pStyle w:val="Heading2"/>
      </w:pPr>
      <w:r w:rsidRPr="002F2052">
        <w:t>Department of Health</w:t>
      </w:r>
    </w:p>
    <w:p w:rsidR="00A53D7D" w:rsidRPr="002F2052" w:rsidRDefault="00A53D7D" w:rsidP="005140B4">
      <w:r w:rsidRPr="002F2052">
        <w:t xml:space="preserve">The Department of Health partners with local government in delivering Home and Community Care services and assists in delivering public health services including immunisation and health education programs. The Department of Health’s </w:t>
      </w:r>
      <w:r w:rsidRPr="002F2052">
        <w:rPr>
          <w:i/>
        </w:rPr>
        <w:t>2014</w:t>
      </w:r>
      <w:r>
        <w:rPr>
          <w:i/>
        </w:rPr>
        <w:noBreakHyphen/>
      </w:r>
      <w:r w:rsidRPr="002F2052">
        <w:rPr>
          <w:i/>
        </w:rPr>
        <w:t>15 Budget</w:t>
      </w:r>
      <w:r w:rsidRPr="002F2052">
        <w:t xml:space="preserve"> initiatives that affect local government are:</w:t>
      </w:r>
    </w:p>
    <w:p w:rsidR="00A53D7D" w:rsidRPr="00BB64DD" w:rsidRDefault="00A53D7D" w:rsidP="005140B4">
      <w:pPr>
        <w:pStyle w:val="BulletText"/>
      </w:pPr>
      <w:r>
        <w:t>Delivering care in the home</w:t>
      </w:r>
      <w:r>
        <w:fldChar w:fldCharType="begin"/>
      </w:r>
      <w:r>
        <w:instrText xml:space="preserve"> XE "</w:instrText>
      </w:r>
      <w:r w:rsidRPr="008F564C">
        <w:instrText>Home and Community Care</w:instrText>
      </w:r>
      <w:r>
        <w:instrText xml:space="preserve">" </w:instrText>
      </w:r>
      <w:r>
        <w:fldChar w:fldCharType="end"/>
      </w:r>
      <w:r w:rsidRPr="00BB64DD">
        <w:t xml:space="preserve">. </w:t>
      </w:r>
    </w:p>
    <w:p w:rsidR="00A53D7D" w:rsidRDefault="00A53D7D" w:rsidP="005140B4">
      <w:pPr>
        <w:pStyle w:val="Heading2"/>
      </w:pPr>
      <w:r>
        <w:t>Department of Human Services</w:t>
      </w:r>
    </w:p>
    <w:p w:rsidR="00A53D7D" w:rsidRDefault="00A53D7D" w:rsidP="005140B4">
      <w:r>
        <w:t>The Department of Human Services works in partnership with community and local government providers to ensure that vulnerable people, including children and young people, access the range of supports required to meet their needs. Local government is amongst the key providers of community strengthening and participation programs such as youth services</w:t>
      </w:r>
      <w:r>
        <w:fldChar w:fldCharType="begin"/>
      </w:r>
      <w:r>
        <w:instrText xml:space="preserve"> XE "</w:instrText>
      </w:r>
      <w:r w:rsidRPr="00546E71">
        <w:instrText>Youth</w:instrText>
      </w:r>
      <w:r>
        <w:instrText xml:space="preserve"> Services" </w:instrText>
      </w:r>
      <w:r>
        <w:fldChar w:fldCharType="end"/>
      </w:r>
      <w:r>
        <w:t xml:space="preserve"> and neighbourhood programs funded by the Department. The Department of Human Services’ </w:t>
      </w:r>
      <w:r>
        <w:rPr>
          <w:i/>
        </w:rPr>
        <w:t>2014</w:t>
      </w:r>
      <w:r>
        <w:rPr>
          <w:i/>
        </w:rPr>
        <w:noBreakHyphen/>
        <w:t>15 Budget</w:t>
      </w:r>
      <w:r>
        <w:t xml:space="preserve"> initiative that affects local government is: </w:t>
      </w:r>
    </w:p>
    <w:p w:rsidR="00A53D7D" w:rsidRPr="00C91E16" w:rsidRDefault="00A53D7D" w:rsidP="005140B4">
      <w:pPr>
        <w:pStyle w:val="BulletText"/>
      </w:pPr>
      <w:r>
        <w:t xml:space="preserve">Strengthening Neighbourhood Houses. </w:t>
      </w:r>
    </w:p>
    <w:p w:rsidR="00A53D7D" w:rsidRDefault="00A53D7D">
      <w:pPr>
        <w:spacing w:after="0"/>
        <w:rPr>
          <w:rFonts w:ascii="Calibri" w:hAnsi="Calibri"/>
          <w:b/>
          <w:kern w:val="28"/>
          <w:sz w:val="26"/>
          <w:szCs w:val="22"/>
        </w:rPr>
      </w:pPr>
      <w:r>
        <w:br w:type="page"/>
      </w:r>
    </w:p>
    <w:p w:rsidR="00A53D7D" w:rsidRPr="002F2052" w:rsidRDefault="00A53D7D" w:rsidP="005140B4">
      <w:pPr>
        <w:pStyle w:val="Heading2"/>
      </w:pPr>
      <w:r w:rsidRPr="002F2052">
        <w:t>Department of Premier and Cabinet</w:t>
      </w:r>
    </w:p>
    <w:p w:rsidR="00A53D7D" w:rsidRPr="002F2052" w:rsidRDefault="00A53D7D" w:rsidP="005140B4">
      <w:r w:rsidRPr="002F2052">
        <w:t xml:space="preserve">The Department of Premier and Cabinet works with local government at various levels, including through Arts Victoria, the Office of Multicultural Affairs and Citizenship, and Veterans’ Affairs. The Department of Premier and Cabinet’s </w:t>
      </w:r>
      <w:r w:rsidRPr="002F2052">
        <w:rPr>
          <w:i/>
        </w:rPr>
        <w:t>2014</w:t>
      </w:r>
      <w:r>
        <w:rPr>
          <w:i/>
        </w:rPr>
        <w:noBreakHyphen/>
      </w:r>
      <w:r w:rsidRPr="002F2052">
        <w:rPr>
          <w:i/>
        </w:rPr>
        <w:t>15 Budget</w:t>
      </w:r>
      <w:r w:rsidRPr="002F2052">
        <w:t xml:space="preserve"> initiatives that affect local government are:</w:t>
      </w:r>
    </w:p>
    <w:p w:rsidR="00A53D7D" w:rsidRPr="00922E37" w:rsidRDefault="00A53D7D" w:rsidP="005140B4">
      <w:pPr>
        <w:pStyle w:val="BulletText"/>
        <w:spacing w:after="0"/>
        <w:rPr>
          <w:rFonts w:ascii="Calibri" w:hAnsi="Calibri"/>
          <w:b/>
          <w:kern w:val="28"/>
          <w:sz w:val="26"/>
          <w:szCs w:val="22"/>
        </w:rPr>
      </w:pPr>
      <w:r>
        <w:t>World War I centenary</w:t>
      </w:r>
      <w:r>
        <w:fldChar w:fldCharType="begin"/>
      </w:r>
      <w:r>
        <w:instrText xml:space="preserve"> XE "</w:instrText>
      </w:r>
      <w:r w:rsidRPr="008E267D">
        <w:instrText>World War I centenary</w:instrText>
      </w:r>
      <w:r>
        <w:instrText xml:space="preserve">" </w:instrText>
      </w:r>
      <w:r>
        <w:fldChar w:fldCharType="end"/>
      </w:r>
      <w:r>
        <w:t xml:space="preserve"> commemoration. </w:t>
      </w:r>
    </w:p>
    <w:p w:rsidR="00A53D7D" w:rsidRPr="002F2052" w:rsidRDefault="00A53D7D" w:rsidP="005140B4">
      <w:pPr>
        <w:pStyle w:val="Heading2"/>
      </w:pPr>
      <w:r w:rsidRPr="002F2052">
        <w:t>Department of Transport, Planning and Local Infrastructure</w:t>
      </w:r>
    </w:p>
    <w:p w:rsidR="00A53D7D" w:rsidRPr="002F2052" w:rsidRDefault="00A53D7D" w:rsidP="005140B4">
      <w:r w:rsidRPr="002F2052">
        <w:t xml:space="preserve">The Department of Transport, Planning and Local Infrastructure works closely with local government to deliver a broad range of initiatives including local transport infrastructure, to benefit Victorian communities. The Department delivers programs across Victoria and provides financial and in kind support to local government including grants for libraries, sporting, community assets and roads. The Department also provides policy direction to local government with regard to planning. The Department of Transport, Planning and Local Infrastructure’s </w:t>
      </w:r>
      <w:r w:rsidRPr="002F2052">
        <w:rPr>
          <w:i/>
        </w:rPr>
        <w:t>2014</w:t>
      </w:r>
      <w:r>
        <w:rPr>
          <w:i/>
        </w:rPr>
        <w:noBreakHyphen/>
      </w:r>
      <w:r w:rsidRPr="002F2052">
        <w:rPr>
          <w:i/>
        </w:rPr>
        <w:t xml:space="preserve">15 Budget </w:t>
      </w:r>
      <w:r w:rsidRPr="002F2052">
        <w:t xml:space="preserve">initiatives that affect local government are: </w:t>
      </w:r>
    </w:p>
    <w:p w:rsidR="00A53D7D" w:rsidRPr="002F2052" w:rsidRDefault="00A53D7D" w:rsidP="005140B4">
      <w:pPr>
        <w:pStyle w:val="BulletText"/>
      </w:pPr>
      <w:r>
        <w:t>Boating s</w:t>
      </w:r>
      <w:r w:rsidRPr="002F2052">
        <w:t xml:space="preserve">afety </w:t>
      </w:r>
      <w:r>
        <w:t>and</w:t>
      </w:r>
      <w:r w:rsidRPr="002F2052">
        <w:t xml:space="preserve"> </w:t>
      </w:r>
      <w:r>
        <w:t>f</w:t>
      </w:r>
      <w:r w:rsidRPr="002F2052">
        <w:t xml:space="preserve">acilities </w:t>
      </w:r>
      <w:r>
        <w:t>p</w:t>
      </w:r>
      <w:r w:rsidRPr="002F2052">
        <w:t xml:space="preserve">rogram; </w:t>
      </w:r>
    </w:p>
    <w:p w:rsidR="00A53D7D" w:rsidRPr="002F2052" w:rsidRDefault="00A53D7D" w:rsidP="005140B4">
      <w:pPr>
        <w:pStyle w:val="BulletText"/>
      </w:pPr>
      <w:r w:rsidRPr="002F2052">
        <w:t>Carrum</w:t>
      </w:r>
      <w:r>
        <w:noBreakHyphen/>
      </w:r>
      <w:r w:rsidRPr="002F2052">
        <w:t xml:space="preserve">Warburton </w:t>
      </w:r>
      <w:r>
        <w:t>b</w:t>
      </w:r>
      <w:r w:rsidRPr="002F2052">
        <w:t xml:space="preserve">ike </w:t>
      </w:r>
      <w:r>
        <w:t>t</w:t>
      </w:r>
      <w:r w:rsidRPr="002F2052">
        <w:t xml:space="preserve">rail; </w:t>
      </w:r>
    </w:p>
    <w:p w:rsidR="00A53D7D" w:rsidRPr="002F2052" w:rsidRDefault="00A53D7D" w:rsidP="005140B4">
      <w:pPr>
        <w:pStyle w:val="BulletText"/>
      </w:pPr>
      <w:r>
        <w:t>Fast track g</w:t>
      </w:r>
      <w:r w:rsidRPr="002F2052">
        <w:t xml:space="preserve">overnment </w:t>
      </w:r>
      <w:r>
        <w:t>l</w:t>
      </w:r>
      <w:r w:rsidRPr="002F2052">
        <w:t xml:space="preserve">and </w:t>
      </w:r>
      <w:r>
        <w:t>r</w:t>
      </w:r>
      <w:r w:rsidRPr="002F2052">
        <w:t xml:space="preserve">elease </w:t>
      </w:r>
      <w:r>
        <w:t>p</w:t>
      </w:r>
      <w:r w:rsidRPr="002F2052">
        <w:t>rogram</w:t>
      </w:r>
      <w:r>
        <w:fldChar w:fldCharType="begin"/>
      </w:r>
      <w:r>
        <w:instrText xml:space="preserve"> XE "</w:instrText>
      </w:r>
      <w:r w:rsidRPr="00885978">
        <w:instrText>Land Release Program</w:instrText>
      </w:r>
      <w:r>
        <w:instrText xml:space="preserve">" </w:instrText>
      </w:r>
      <w:r>
        <w:fldChar w:fldCharType="end"/>
      </w:r>
      <w:r w:rsidRPr="002F2052">
        <w:t>;</w:t>
      </w:r>
    </w:p>
    <w:p w:rsidR="00A53D7D" w:rsidRPr="002F2052" w:rsidRDefault="00A53D7D" w:rsidP="005140B4">
      <w:pPr>
        <w:pStyle w:val="BulletText"/>
      </w:pPr>
      <w:proofErr w:type="spellStart"/>
      <w:r>
        <w:t>Fishermans</w:t>
      </w:r>
      <w:proofErr w:type="spellEnd"/>
      <w:r>
        <w:t xml:space="preserve"> Bend u</w:t>
      </w:r>
      <w:r w:rsidRPr="002F2052">
        <w:t xml:space="preserve">rban </w:t>
      </w:r>
      <w:r>
        <w:t>r</w:t>
      </w:r>
      <w:r w:rsidRPr="002F2052">
        <w:t xml:space="preserve">enewal </w:t>
      </w:r>
      <w:r>
        <w:t>a</w:t>
      </w:r>
      <w:r w:rsidRPr="002F2052">
        <w:t xml:space="preserve">rea – </w:t>
      </w:r>
      <w:r>
        <w:t>p</w:t>
      </w:r>
      <w:r w:rsidRPr="002F2052">
        <w:t xml:space="preserve">hase </w:t>
      </w:r>
      <w:r>
        <w:t>o</w:t>
      </w:r>
      <w:r w:rsidRPr="002F2052">
        <w:t xml:space="preserve">ne </w:t>
      </w:r>
      <w:r>
        <w:t>i</w:t>
      </w:r>
      <w:r w:rsidRPr="002F2052">
        <w:t>nitiatives;</w:t>
      </w:r>
    </w:p>
    <w:p w:rsidR="00A53D7D" w:rsidRPr="002F2052" w:rsidRDefault="00A53D7D" w:rsidP="005140B4">
      <w:pPr>
        <w:pStyle w:val="BulletText"/>
      </w:pPr>
      <w:r w:rsidRPr="002F2052">
        <w:t>Local Government Inspectorate;</w:t>
      </w:r>
    </w:p>
    <w:p w:rsidR="00A53D7D" w:rsidRPr="002F2052" w:rsidRDefault="00A53D7D" w:rsidP="005140B4">
      <w:pPr>
        <w:pStyle w:val="BulletText"/>
      </w:pPr>
      <w:r>
        <w:t>Local Government performance r</w:t>
      </w:r>
      <w:r w:rsidRPr="002F2052">
        <w:t xml:space="preserve">eporting </w:t>
      </w:r>
      <w:r>
        <w:t>i</w:t>
      </w:r>
      <w:r w:rsidRPr="002F2052">
        <w:t>nitiative;</w:t>
      </w:r>
    </w:p>
    <w:p w:rsidR="00A53D7D" w:rsidRPr="002F2052" w:rsidRDefault="00A53D7D" w:rsidP="005140B4">
      <w:pPr>
        <w:pStyle w:val="BulletText"/>
      </w:pPr>
      <w:r>
        <w:t>Community</w:t>
      </w:r>
      <w:r w:rsidRPr="002F2052">
        <w:t xml:space="preserve"> </w:t>
      </w:r>
      <w:r>
        <w:t>s</w:t>
      </w:r>
      <w:r w:rsidRPr="002F2052">
        <w:t xml:space="preserve">ports </w:t>
      </w:r>
      <w:r>
        <w:t>f</w:t>
      </w:r>
      <w:r w:rsidRPr="002F2052">
        <w:t xml:space="preserve">acility </w:t>
      </w:r>
      <w:r>
        <w:t>p</w:t>
      </w:r>
      <w:r w:rsidRPr="002F2052">
        <w:t>rogram;</w:t>
      </w:r>
      <w:r>
        <w:fldChar w:fldCharType="begin"/>
      </w:r>
      <w:r>
        <w:instrText xml:space="preserve"> XE "</w:instrText>
      </w:r>
      <w:r w:rsidRPr="008F564C">
        <w:instrText>Sport</w:instrText>
      </w:r>
      <w:r>
        <w:instrText xml:space="preserve">" </w:instrText>
      </w:r>
      <w:r>
        <w:fldChar w:fldCharType="end"/>
      </w:r>
    </w:p>
    <w:p w:rsidR="00A53D7D" w:rsidRPr="002F2052" w:rsidRDefault="00A53D7D" w:rsidP="005140B4">
      <w:pPr>
        <w:pStyle w:val="BulletText"/>
      </w:pPr>
      <w:r w:rsidRPr="002F2052">
        <w:t>Metropolitan Planning</w:t>
      </w:r>
      <w:r>
        <w:fldChar w:fldCharType="begin"/>
      </w:r>
      <w:r>
        <w:instrText xml:space="preserve"> XE "</w:instrText>
      </w:r>
      <w:r w:rsidRPr="008F564C">
        <w:instrText>Planning</w:instrText>
      </w:r>
      <w:r>
        <w:instrText xml:space="preserve">" </w:instrText>
      </w:r>
      <w:r>
        <w:fldChar w:fldCharType="end"/>
      </w:r>
      <w:r w:rsidRPr="002F2052">
        <w:t xml:space="preserve"> Authority;</w:t>
      </w:r>
    </w:p>
    <w:p w:rsidR="00A53D7D" w:rsidRPr="002F2052" w:rsidRDefault="00A53D7D" w:rsidP="005140B4">
      <w:pPr>
        <w:pStyle w:val="BulletText"/>
      </w:pPr>
      <w:r w:rsidRPr="002F2052">
        <w:t>Rural</w:t>
      </w:r>
      <w:r>
        <w:t xml:space="preserve"> Council Planning Flying Squad</w:t>
      </w:r>
      <w:r w:rsidRPr="002F2052">
        <w:t>;</w:t>
      </w:r>
    </w:p>
    <w:p w:rsidR="00A53D7D" w:rsidRPr="00922E37" w:rsidRDefault="00A53D7D" w:rsidP="005140B4">
      <w:pPr>
        <w:pStyle w:val="BulletText"/>
      </w:pPr>
      <w:r w:rsidRPr="00922E37">
        <w:t xml:space="preserve">Strategic </w:t>
      </w:r>
      <w:r>
        <w:t>s</w:t>
      </w:r>
      <w:r w:rsidRPr="00922E37">
        <w:t xml:space="preserve">porting </w:t>
      </w:r>
      <w:r>
        <w:t>infrastructure p</w:t>
      </w:r>
      <w:r w:rsidRPr="00922E37">
        <w:t>rogram;</w:t>
      </w:r>
    </w:p>
    <w:p w:rsidR="00A53D7D" w:rsidRPr="002F2052" w:rsidRDefault="00A53D7D" w:rsidP="005140B4">
      <w:pPr>
        <w:pStyle w:val="BulletText"/>
      </w:pPr>
      <w:r w:rsidRPr="002F2052">
        <w:t>Supporting Regional Growth Plan</w:t>
      </w:r>
      <w:r>
        <w:fldChar w:fldCharType="begin"/>
      </w:r>
      <w:r>
        <w:instrText xml:space="preserve"> XE "</w:instrText>
      </w:r>
      <w:r w:rsidRPr="008F564C">
        <w:instrText>Regional Growth Plan</w:instrText>
      </w:r>
      <w:r>
        <w:instrText xml:space="preserve">" </w:instrText>
      </w:r>
      <w:r>
        <w:fldChar w:fldCharType="end"/>
      </w:r>
      <w:r w:rsidRPr="002F2052">
        <w:t xml:space="preserve"> </w:t>
      </w:r>
      <w:r>
        <w:t>d</w:t>
      </w:r>
      <w:r w:rsidRPr="002F2052">
        <w:t xml:space="preserve">elivery; </w:t>
      </w:r>
    </w:p>
    <w:p w:rsidR="00A53D7D" w:rsidRDefault="00A53D7D" w:rsidP="005140B4">
      <w:pPr>
        <w:pStyle w:val="BulletText"/>
      </w:pPr>
      <w:r>
        <w:t>Transport s</w:t>
      </w:r>
      <w:r w:rsidRPr="002F2052">
        <w:t xml:space="preserve">olutions – </w:t>
      </w:r>
      <w:r>
        <w:t>r</w:t>
      </w:r>
      <w:r w:rsidRPr="002F2052">
        <w:t xml:space="preserve">egional </w:t>
      </w:r>
      <w:r>
        <w:t>r</w:t>
      </w:r>
      <w:r w:rsidRPr="002F2052">
        <w:t>oads</w:t>
      </w:r>
      <w:r>
        <w:fldChar w:fldCharType="begin"/>
      </w:r>
      <w:r>
        <w:instrText xml:space="preserve"> XE "</w:instrText>
      </w:r>
      <w:r w:rsidRPr="008F564C">
        <w:instrText>Roads</w:instrText>
      </w:r>
      <w:r>
        <w:instrText xml:space="preserve">" </w:instrText>
      </w:r>
      <w:r>
        <w:fldChar w:fldCharType="end"/>
      </w:r>
      <w:r>
        <w:t xml:space="preserve"> package; and</w:t>
      </w:r>
    </w:p>
    <w:p w:rsidR="00A53D7D" w:rsidRDefault="00A53D7D" w:rsidP="005140B4">
      <w:pPr>
        <w:pStyle w:val="BulletText"/>
      </w:pPr>
      <w:r>
        <w:t xml:space="preserve">Implementation of </w:t>
      </w:r>
      <w:r w:rsidRPr="00450D6F">
        <w:rPr>
          <w:i/>
        </w:rPr>
        <w:t>Plan Melbourne</w:t>
      </w:r>
      <w:r>
        <w:fldChar w:fldCharType="begin"/>
      </w:r>
      <w:r>
        <w:instrText xml:space="preserve"> XE "</w:instrText>
      </w:r>
      <w:r w:rsidRPr="008E267D">
        <w:rPr>
          <w:i/>
        </w:rPr>
        <w:instrText>Plan Melbourne</w:instrText>
      </w:r>
      <w:r>
        <w:instrText xml:space="preserve">" </w:instrText>
      </w:r>
      <w:r>
        <w:fldChar w:fldCharType="end"/>
      </w:r>
      <w:r>
        <w:t xml:space="preserve">. </w:t>
      </w:r>
    </w:p>
    <w:p w:rsidR="00A53D7D" w:rsidRPr="006450E7" w:rsidRDefault="00A53D7D" w:rsidP="005140B4">
      <w:pPr>
        <w:pStyle w:val="BulletText"/>
        <w:numPr>
          <w:ilvl w:val="0"/>
          <w:numId w:val="0"/>
        </w:numPr>
        <w:ind w:left="360" w:hanging="360"/>
      </w:pPr>
    </w:p>
    <w:p w:rsidR="00A53D7D" w:rsidRDefault="00A53D7D" w:rsidP="00497606"/>
    <w:p w:rsidR="00A53D7D" w:rsidRDefault="00A53D7D" w:rsidP="004463C6">
      <w:pPr>
        <w:sectPr w:rsidR="00A53D7D" w:rsidSect="00CD2017">
          <w:footerReference w:type="even" r:id="rId49"/>
          <w:footerReference w:type="default" r:id="rId50"/>
          <w:type w:val="oddPage"/>
          <w:pgSz w:w="9979" w:h="14181" w:code="138"/>
          <w:pgMar w:top="1140" w:right="1140" w:bottom="1140" w:left="1140" w:header="720" w:footer="431" w:gutter="0"/>
          <w:cols w:space="708"/>
          <w:docGrid w:linePitch="360"/>
        </w:sectPr>
      </w:pPr>
    </w:p>
    <w:p w:rsidR="00A53D7D" w:rsidRDefault="00A53D7D" w:rsidP="005140B4">
      <w:pPr>
        <w:pStyle w:val="ChapterHeading"/>
      </w:pPr>
      <w:bookmarkStart w:id="202" w:name="_Toc386364096"/>
      <w:bookmarkStart w:id="203" w:name="_Toc386541241"/>
      <w:bookmarkStart w:id="204" w:name="_Toc407116933"/>
      <w:r>
        <w:t>Style conventions</w:t>
      </w:r>
      <w:bookmarkEnd w:id="202"/>
      <w:bookmarkEnd w:id="203"/>
      <w:bookmarkEnd w:id="204"/>
    </w:p>
    <w:p w:rsidR="00A53D7D" w:rsidRPr="0009665B" w:rsidRDefault="00A53D7D" w:rsidP="005140B4">
      <w:r w:rsidRPr="0009665B">
        <w:t>Figures in the tables and in the text have been rounded. Discrepancies in tables between totals and sums of components reflect rounding. Percentage changes in all tables are based on the underlying unrounded amounts.</w:t>
      </w:r>
    </w:p>
    <w:p w:rsidR="00A53D7D" w:rsidRPr="0009665B" w:rsidRDefault="00A53D7D" w:rsidP="005140B4">
      <w:r w:rsidRPr="0009665B">
        <w:t>The notation used in the tables and charts is as follows:</w:t>
      </w:r>
    </w:p>
    <w:p w:rsidR="00A53D7D" w:rsidRPr="0009665B" w:rsidRDefault="00A53D7D" w:rsidP="005140B4">
      <w:pPr>
        <w:ind w:left="2520" w:hanging="1800"/>
      </w:pPr>
      <w:r w:rsidRPr="0009665B">
        <w:t>LHS</w:t>
      </w:r>
      <w:r w:rsidRPr="0009665B">
        <w:tab/>
        <w:t>left</w:t>
      </w:r>
      <w:r>
        <w:noBreakHyphen/>
      </w:r>
      <w:r w:rsidRPr="0009665B">
        <w:t>hand</w:t>
      </w:r>
      <w:r>
        <w:noBreakHyphen/>
      </w:r>
      <w:r w:rsidRPr="0009665B">
        <w:t>side</w:t>
      </w:r>
    </w:p>
    <w:p w:rsidR="00A53D7D" w:rsidRPr="0009665B" w:rsidRDefault="00A53D7D" w:rsidP="005140B4">
      <w:pPr>
        <w:ind w:left="2520" w:hanging="1800"/>
      </w:pPr>
      <w:r w:rsidRPr="0009665B">
        <w:t>RHS</w:t>
      </w:r>
      <w:r w:rsidRPr="0009665B">
        <w:tab/>
        <w:t>right</w:t>
      </w:r>
      <w:r>
        <w:noBreakHyphen/>
      </w:r>
      <w:r w:rsidRPr="0009665B">
        <w:t>hand</w:t>
      </w:r>
      <w:r>
        <w:noBreakHyphen/>
      </w:r>
      <w:r w:rsidRPr="0009665B">
        <w:t>side</w:t>
      </w:r>
    </w:p>
    <w:p w:rsidR="00A53D7D" w:rsidRPr="0009665B" w:rsidRDefault="00A53D7D" w:rsidP="005140B4">
      <w:pPr>
        <w:ind w:left="2520" w:hanging="1800"/>
      </w:pPr>
      <w:proofErr w:type="spellStart"/>
      <w:r w:rsidRPr="0009665B">
        <w:t>s.a.</w:t>
      </w:r>
      <w:proofErr w:type="spellEnd"/>
      <w:r w:rsidRPr="0009665B">
        <w:tab/>
        <w:t>seasonally adjusted</w:t>
      </w:r>
    </w:p>
    <w:p w:rsidR="00A53D7D" w:rsidRPr="0009665B" w:rsidRDefault="00A53D7D" w:rsidP="005140B4">
      <w:pPr>
        <w:ind w:left="2520" w:hanging="1800"/>
      </w:pPr>
      <w:proofErr w:type="spellStart"/>
      <w:r w:rsidRPr="0009665B">
        <w:t>n.a</w:t>
      </w:r>
      <w:proofErr w:type="spellEnd"/>
      <w:r w:rsidRPr="0009665B">
        <w:t xml:space="preserve">. or </w:t>
      </w:r>
      <w:proofErr w:type="spellStart"/>
      <w:r w:rsidRPr="0009665B">
        <w:t>na</w:t>
      </w:r>
      <w:proofErr w:type="spellEnd"/>
      <w:r w:rsidRPr="0009665B">
        <w:tab/>
        <w:t>not available or not applicable</w:t>
      </w:r>
    </w:p>
    <w:p w:rsidR="00A53D7D" w:rsidRPr="0009665B" w:rsidRDefault="00A53D7D" w:rsidP="005140B4">
      <w:pPr>
        <w:ind w:left="2520" w:hanging="1800"/>
      </w:pPr>
      <w:r w:rsidRPr="0009665B">
        <w:t>Cat. No.</w:t>
      </w:r>
      <w:r w:rsidRPr="0009665B">
        <w:tab/>
        <w:t>catalogue number</w:t>
      </w:r>
    </w:p>
    <w:p w:rsidR="00A53D7D" w:rsidRPr="0009665B" w:rsidRDefault="00A53D7D" w:rsidP="005140B4">
      <w:pPr>
        <w:ind w:left="2520" w:hanging="1800"/>
      </w:pPr>
      <w:r w:rsidRPr="0009665B">
        <w:t>1</w:t>
      </w:r>
      <w:r>
        <w:t> billion</w:t>
      </w:r>
      <w:r w:rsidRPr="0009665B">
        <w:tab/>
        <w:t>1 000</w:t>
      </w:r>
      <w:r>
        <w:t> million</w:t>
      </w:r>
    </w:p>
    <w:p w:rsidR="00A53D7D" w:rsidRPr="0009665B" w:rsidRDefault="00A53D7D" w:rsidP="005140B4">
      <w:pPr>
        <w:ind w:left="2520" w:hanging="1800"/>
      </w:pPr>
      <w:r w:rsidRPr="0009665B">
        <w:t>1 basis point</w:t>
      </w:r>
      <w:r w:rsidRPr="0009665B">
        <w:tab/>
        <w:t>0.01</w:t>
      </w:r>
      <w:r>
        <w:t> per cent</w:t>
      </w:r>
    </w:p>
    <w:p w:rsidR="00A53D7D" w:rsidRPr="0009665B" w:rsidRDefault="00A53D7D" w:rsidP="005140B4">
      <w:pPr>
        <w:ind w:left="2520" w:hanging="1800"/>
      </w:pPr>
      <w:r w:rsidRPr="0009665B">
        <w:t>nm</w:t>
      </w:r>
      <w:r w:rsidRPr="0009665B">
        <w:tab/>
        <w:t>new measure</w:t>
      </w:r>
    </w:p>
    <w:p w:rsidR="00A53D7D" w:rsidRPr="0009665B" w:rsidRDefault="00A53D7D" w:rsidP="005140B4">
      <w:pPr>
        <w:ind w:left="2520" w:hanging="1800"/>
      </w:pPr>
      <w:r w:rsidRPr="0009665B">
        <w:t>..</w:t>
      </w:r>
      <w:r w:rsidRPr="0009665B">
        <w:tab/>
        <w:t>zero, or rounded to zero</w:t>
      </w:r>
    </w:p>
    <w:p w:rsidR="00A53D7D" w:rsidRPr="0009665B" w:rsidRDefault="00A53D7D" w:rsidP="005140B4">
      <w:pPr>
        <w:ind w:left="2520" w:hanging="1800"/>
      </w:pPr>
      <w:proofErr w:type="spellStart"/>
      <w:r w:rsidRPr="0009665B">
        <w:t>tba</w:t>
      </w:r>
      <w:proofErr w:type="spellEnd"/>
      <w:r w:rsidRPr="0009665B">
        <w:tab/>
        <w:t>to be advised</w:t>
      </w:r>
    </w:p>
    <w:p w:rsidR="00A53D7D" w:rsidRPr="0009665B" w:rsidRDefault="00A53D7D" w:rsidP="005140B4">
      <w:pPr>
        <w:ind w:left="2520" w:hanging="1800"/>
      </w:pPr>
      <w:proofErr w:type="spellStart"/>
      <w:r w:rsidRPr="0009665B">
        <w:t>tbd</w:t>
      </w:r>
      <w:proofErr w:type="spellEnd"/>
      <w:r w:rsidRPr="0009665B">
        <w:tab/>
        <w:t>to be determined</w:t>
      </w:r>
    </w:p>
    <w:p w:rsidR="00A53D7D" w:rsidRPr="0009665B" w:rsidRDefault="00A53D7D" w:rsidP="005140B4">
      <w:pPr>
        <w:ind w:left="2520" w:hanging="1800"/>
      </w:pPr>
      <w:r w:rsidRPr="0009665B">
        <w:t>ongoing</w:t>
      </w:r>
      <w:r w:rsidRPr="0009665B">
        <w:tab/>
        <w:t>continuing output, program, project etc.</w:t>
      </w:r>
    </w:p>
    <w:p w:rsidR="00A53D7D" w:rsidRPr="0009665B" w:rsidRDefault="00A53D7D" w:rsidP="005140B4">
      <w:pPr>
        <w:ind w:left="2520" w:hanging="1800"/>
      </w:pPr>
      <w:r w:rsidRPr="0009665B">
        <w:t>(</w:t>
      </w:r>
      <w:proofErr w:type="spellStart"/>
      <w:r w:rsidRPr="0009665B">
        <w:t>xxx.x</w:t>
      </w:r>
      <w:proofErr w:type="spellEnd"/>
      <w:r w:rsidRPr="0009665B">
        <w:t>)</w:t>
      </w:r>
      <w:r w:rsidRPr="0009665B">
        <w:tab/>
        <w:t>negative numbers</w:t>
      </w:r>
    </w:p>
    <w:p w:rsidR="00A53D7D" w:rsidRDefault="00A53D7D">
      <w:pPr>
        <w:spacing w:after="0"/>
      </w:pPr>
      <w:r>
        <w:br w:type="page"/>
      </w:r>
    </w:p>
    <w:p w:rsidR="00A53D7D" w:rsidRDefault="00A53D7D" w:rsidP="005140B4"/>
    <w:p w:rsidR="00A53D7D" w:rsidRDefault="00A53D7D" w:rsidP="004463C6">
      <w:pPr>
        <w:sectPr w:rsidR="00A53D7D" w:rsidSect="00CD2017">
          <w:footerReference w:type="even" r:id="rId51"/>
          <w:footerReference w:type="default" r:id="rId52"/>
          <w:type w:val="oddPage"/>
          <w:pgSz w:w="9979" w:h="14181" w:code="138"/>
          <w:pgMar w:top="1140" w:right="1140" w:bottom="1140" w:left="1140" w:header="720" w:footer="431" w:gutter="0"/>
          <w:cols w:space="708"/>
          <w:docGrid w:linePitch="360"/>
        </w:sectPr>
      </w:pPr>
    </w:p>
    <w:p w:rsidR="00A53D7D" w:rsidRDefault="00A53D7D" w:rsidP="005140B4">
      <w:pPr>
        <w:pStyle w:val="ChapterHeading"/>
      </w:pPr>
      <w:bookmarkStart w:id="205" w:name="_Toc386364097"/>
      <w:bookmarkStart w:id="206" w:name="_Toc386541242"/>
      <w:bookmarkStart w:id="207" w:name="_Toc407116934"/>
      <w:r>
        <w:t>Index</w:t>
      </w:r>
      <w:bookmarkEnd w:id="205"/>
      <w:bookmarkEnd w:id="206"/>
      <w:bookmarkEnd w:id="207"/>
    </w:p>
    <w:p w:rsidR="003A4363" w:rsidRDefault="00A53D7D" w:rsidP="00497606">
      <w:pPr>
        <w:rPr>
          <w:rFonts w:ascii="Calibri" w:hAnsi="Calibri"/>
          <w:b/>
          <w:caps/>
          <w:noProof/>
          <w:sz w:val="26"/>
          <w:szCs w:val="22"/>
        </w:rPr>
        <w:sectPr w:rsidR="003A4363" w:rsidSect="003A4363">
          <w:footerReference w:type="even" r:id="rId53"/>
          <w:footerReference w:type="default" r:id="rId54"/>
          <w:type w:val="oddPage"/>
          <w:pgSz w:w="9979" w:h="14181" w:code="34"/>
          <w:pgMar w:top="1140" w:right="1140" w:bottom="1140" w:left="1140" w:header="720" w:footer="431" w:gutter="0"/>
          <w:cols w:space="708"/>
          <w:docGrid w:linePitch="360"/>
        </w:sectPr>
      </w:pPr>
      <w:r>
        <w:rPr>
          <w:rFonts w:ascii="Calibri" w:hAnsi="Calibri"/>
          <w:b/>
          <w:caps/>
          <w:sz w:val="26"/>
          <w:szCs w:val="22"/>
        </w:rPr>
        <w:fldChar w:fldCharType="begin"/>
      </w:r>
      <w:r>
        <w:instrText xml:space="preserve"> INDEX \h "A" \c "2" \z "3081" </w:instrText>
      </w:r>
      <w:r>
        <w:rPr>
          <w:rFonts w:ascii="Calibri" w:hAnsi="Calibri"/>
          <w:b/>
          <w:caps/>
          <w:sz w:val="26"/>
          <w:szCs w:val="22"/>
        </w:rPr>
        <w:fldChar w:fldCharType="separate"/>
      </w:r>
    </w:p>
    <w:p w:rsidR="003A4363" w:rsidRDefault="003A4363">
      <w:pPr>
        <w:pStyle w:val="IndexHeading"/>
        <w:keepNext/>
        <w:tabs>
          <w:tab w:val="right" w:leader="dot" w:pos="3479"/>
        </w:tabs>
        <w:rPr>
          <w:rFonts w:eastAsiaTheme="minorEastAsia" w:cstheme="minorBidi"/>
          <w:b w:val="0"/>
          <w:bCs w:val="0"/>
          <w:noProof/>
        </w:rPr>
      </w:pPr>
      <w:r>
        <w:rPr>
          <w:noProof/>
        </w:rPr>
        <w:t>A</w:t>
      </w:r>
    </w:p>
    <w:p w:rsidR="003A4363" w:rsidRDefault="003A4363">
      <w:pPr>
        <w:pStyle w:val="Index1"/>
        <w:rPr>
          <w:noProof/>
        </w:rPr>
      </w:pPr>
      <w:r>
        <w:rPr>
          <w:noProof/>
        </w:rPr>
        <w:t>Aboriginal Affairs, 218</w:t>
      </w:r>
    </w:p>
    <w:p w:rsidR="003A4363" w:rsidRDefault="003A4363">
      <w:pPr>
        <w:pStyle w:val="Index1"/>
        <w:rPr>
          <w:noProof/>
        </w:rPr>
      </w:pPr>
      <w:r>
        <w:rPr>
          <w:noProof/>
        </w:rPr>
        <w:t>Aboriginal cultural heritage strategy, 44</w:t>
      </w:r>
    </w:p>
    <w:p w:rsidR="003A4363" w:rsidRDefault="003A4363">
      <w:pPr>
        <w:pStyle w:val="Index1"/>
        <w:rPr>
          <w:noProof/>
        </w:rPr>
      </w:pPr>
      <w:r>
        <w:rPr>
          <w:noProof/>
        </w:rPr>
        <w:t>Aboriginal Economic Strategy, 44</w:t>
      </w:r>
    </w:p>
    <w:p w:rsidR="003A4363" w:rsidRDefault="003A4363">
      <w:pPr>
        <w:pStyle w:val="Index1"/>
        <w:rPr>
          <w:noProof/>
        </w:rPr>
      </w:pPr>
      <w:r>
        <w:rPr>
          <w:noProof/>
        </w:rPr>
        <w:t>Aboriginal kinship care, 30</w:t>
      </w:r>
    </w:p>
    <w:p w:rsidR="003A4363" w:rsidRDefault="003A4363">
      <w:pPr>
        <w:pStyle w:val="Index1"/>
        <w:rPr>
          <w:noProof/>
        </w:rPr>
      </w:pPr>
      <w:r>
        <w:rPr>
          <w:noProof/>
        </w:rPr>
        <w:t>Aboriginal Trust, 44</w:t>
      </w:r>
    </w:p>
    <w:p w:rsidR="003A4363" w:rsidRDefault="003A4363">
      <w:pPr>
        <w:pStyle w:val="Index1"/>
        <w:rPr>
          <w:noProof/>
        </w:rPr>
      </w:pPr>
      <w:r>
        <w:rPr>
          <w:noProof/>
          <w:lang w:eastAsia="en-AU"/>
        </w:rPr>
        <w:t>Acute Health Services</w:t>
      </w:r>
      <w:r>
        <w:rPr>
          <w:noProof/>
        </w:rPr>
        <w:t>, 135–40</w:t>
      </w:r>
    </w:p>
    <w:p w:rsidR="003A4363" w:rsidRDefault="003A4363">
      <w:pPr>
        <w:pStyle w:val="Index1"/>
        <w:rPr>
          <w:noProof/>
        </w:rPr>
      </w:pPr>
      <w:r>
        <w:rPr>
          <w:noProof/>
          <w:lang w:eastAsia="en-AU"/>
        </w:rPr>
        <w:t>Ageing, Aged and Home Care</w:t>
      </w:r>
      <w:r>
        <w:rPr>
          <w:noProof/>
        </w:rPr>
        <w:t>, 146–49</w:t>
      </w:r>
    </w:p>
    <w:p w:rsidR="003A4363" w:rsidRDefault="003A4363">
      <w:pPr>
        <w:pStyle w:val="Index1"/>
        <w:rPr>
          <w:noProof/>
        </w:rPr>
      </w:pPr>
      <w:r>
        <w:rPr>
          <w:noProof/>
          <w:lang w:eastAsia="en-AU"/>
        </w:rPr>
        <w:t>Ambulance Services</w:t>
      </w:r>
      <w:r>
        <w:rPr>
          <w:noProof/>
        </w:rPr>
        <w:t>, 141–43</w:t>
      </w:r>
    </w:p>
    <w:p w:rsidR="003A4363" w:rsidRDefault="003A4363">
      <w:pPr>
        <w:pStyle w:val="Index1"/>
        <w:rPr>
          <w:noProof/>
        </w:rPr>
      </w:pPr>
      <w:r>
        <w:rPr>
          <w:noProof/>
        </w:rPr>
        <w:t>Arts and Cultural Development, 3, 43, 46, 212–16</w:t>
      </w:r>
    </w:p>
    <w:p w:rsidR="003A4363" w:rsidRDefault="003A4363">
      <w:pPr>
        <w:pStyle w:val="IndexHeading"/>
        <w:keepNext/>
        <w:tabs>
          <w:tab w:val="right" w:leader="dot" w:pos="3479"/>
        </w:tabs>
        <w:rPr>
          <w:rFonts w:eastAsiaTheme="minorEastAsia" w:cstheme="minorBidi"/>
          <w:b w:val="0"/>
          <w:bCs w:val="0"/>
          <w:noProof/>
        </w:rPr>
      </w:pPr>
      <w:r>
        <w:rPr>
          <w:noProof/>
        </w:rPr>
        <w:t>B</w:t>
      </w:r>
    </w:p>
    <w:p w:rsidR="003A4363" w:rsidRDefault="003A4363">
      <w:pPr>
        <w:pStyle w:val="Index1"/>
        <w:rPr>
          <w:noProof/>
        </w:rPr>
      </w:pPr>
      <w:r>
        <w:rPr>
          <w:noProof/>
        </w:rPr>
        <w:t>Ballarat West Emergency Services Precinct, 3, 37, 40</w:t>
      </w:r>
    </w:p>
    <w:p w:rsidR="003A4363" w:rsidRDefault="003A4363">
      <w:pPr>
        <w:pStyle w:val="Index1"/>
        <w:rPr>
          <w:noProof/>
        </w:rPr>
      </w:pPr>
      <w:r>
        <w:rPr>
          <w:noProof/>
          <w:lang w:eastAsia="en-AU"/>
        </w:rPr>
        <w:t>Boort Hospital redevelopment</w:t>
      </w:r>
      <w:r>
        <w:rPr>
          <w:noProof/>
        </w:rPr>
        <w:t>, 27</w:t>
      </w:r>
    </w:p>
    <w:p w:rsidR="003A4363" w:rsidRDefault="003A4363">
      <w:pPr>
        <w:pStyle w:val="Index1"/>
        <w:rPr>
          <w:noProof/>
        </w:rPr>
      </w:pPr>
      <w:r>
        <w:rPr>
          <w:noProof/>
        </w:rPr>
        <w:t>Bushfire recovery package</w:t>
      </w:r>
    </w:p>
    <w:p w:rsidR="003A4363" w:rsidRDefault="003A4363">
      <w:pPr>
        <w:pStyle w:val="Index2"/>
        <w:tabs>
          <w:tab w:val="right" w:leader="dot" w:pos="3479"/>
        </w:tabs>
        <w:rPr>
          <w:noProof/>
        </w:rPr>
      </w:pPr>
      <w:r>
        <w:rPr>
          <w:noProof/>
        </w:rPr>
        <w:t>Asset initiatives, 7</w:t>
      </w:r>
    </w:p>
    <w:p w:rsidR="003A4363" w:rsidRDefault="003A4363">
      <w:pPr>
        <w:pStyle w:val="Index2"/>
        <w:tabs>
          <w:tab w:val="right" w:leader="dot" w:pos="3479"/>
        </w:tabs>
        <w:rPr>
          <w:noProof/>
        </w:rPr>
      </w:pPr>
      <w:r>
        <w:rPr>
          <w:noProof/>
        </w:rPr>
        <w:t>Output initiatives, 4</w:t>
      </w:r>
    </w:p>
    <w:p w:rsidR="003A4363" w:rsidRDefault="003A4363">
      <w:pPr>
        <w:pStyle w:val="Index1"/>
        <w:rPr>
          <w:noProof/>
        </w:rPr>
      </w:pPr>
      <w:r>
        <w:rPr>
          <w:noProof/>
        </w:rPr>
        <w:t xml:space="preserve">Business and industry. </w:t>
      </w:r>
      <w:r w:rsidRPr="005D20AC">
        <w:rPr>
          <w:i/>
          <w:noProof/>
        </w:rPr>
        <w:t>See</w:t>
      </w:r>
      <w:r>
        <w:rPr>
          <w:noProof/>
        </w:rPr>
        <w:t xml:space="preserve"> Department of State Development, Business and Innovation</w:t>
      </w:r>
    </w:p>
    <w:p w:rsidR="003A4363" w:rsidRDefault="003A4363">
      <w:pPr>
        <w:pStyle w:val="Index1"/>
        <w:rPr>
          <w:noProof/>
        </w:rPr>
      </w:pPr>
      <w:r>
        <w:rPr>
          <w:noProof/>
          <w:lang w:eastAsia="en-AU"/>
        </w:rPr>
        <w:t>Business and Innovation</w:t>
      </w:r>
      <w:r>
        <w:rPr>
          <w:noProof/>
        </w:rPr>
        <w:t>, 230–40</w:t>
      </w:r>
    </w:p>
    <w:p w:rsidR="003A4363" w:rsidRDefault="003A4363">
      <w:pPr>
        <w:pStyle w:val="IndexHeading"/>
        <w:keepNext/>
        <w:tabs>
          <w:tab w:val="right" w:leader="dot" w:pos="3479"/>
        </w:tabs>
        <w:rPr>
          <w:rFonts w:eastAsiaTheme="minorEastAsia" w:cstheme="minorBidi"/>
          <w:b w:val="0"/>
          <w:bCs w:val="0"/>
          <w:noProof/>
        </w:rPr>
      </w:pPr>
      <w:r>
        <w:rPr>
          <w:noProof/>
        </w:rPr>
        <w:t>C</w:t>
      </w:r>
    </w:p>
    <w:p w:rsidR="003A4363" w:rsidRDefault="003A4363">
      <w:pPr>
        <w:pStyle w:val="Index1"/>
        <w:rPr>
          <w:noProof/>
        </w:rPr>
      </w:pPr>
      <w:r>
        <w:rPr>
          <w:noProof/>
          <w:lang w:eastAsia="en-AU"/>
        </w:rPr>
        <w:t>Child Protection and Family Services</w:t>
      </w:r>
      <w:r>
        <w:rPr>
          <w:noProof/>
        </w:rPr>
        <w:t>, 167–69</w:t>
      </w:r>
    </w:p>
    <w:p w:rsidR="003A4363" w:rsidRDefault="003A4363">
      <w:pPr>
        <w:pStyle w:val="Index1"/>
        <w:rPr>
          <w:noProof/>
        </w:rPr>
      </w:pPr>
      <w:r>
        <w:rPr>
          <w:noProof/>
        </w:rPr>
        <w:t>CityLink – Tulla widening, 2, 67</w:t>
      </w:r>
    </w:p>
    <w:p w:rsidR="003A4363" w:rsidRDefault="003A4363">
      <w:pPr>
        <w:pStyle w:val="Index1"/>
        <w:rPr>
          <w:noProof/>
        </w:rPr>
      </w:pPr>
      <w:r>
        <w:rPr>
          <w:noProof/>
          <w:lang w:eastAsia="en-AU"/>
        </w:rPr>
        <w:t>Communities</w:t>
      </w:r>
      <w:r>
        <w:rPr>
          <w:noProof/>
        </w:rPr>
        <w:t>, 329</w:t>
      </w:r>
    </w:p>
    <w:p w:rsidR="003A4363" w:rsidRDefault="003A4363">
      <w:pPr>
        <w:pStyle w:val="Index2"/>
        <w:tabs>
          <w:tab w:val="right" w:leader="dot" w:pos="3479"/>
        </w:tabs>
        <w:rPr>
          <w:noProof/>
        </w:rPr>
      </w:pPr>
      <w:r>
        <w:rPr>
          <w:noProof/>
        </w:rPr>
        <w:t>Community Support Fund, 332</w:t>
      </w:r>
    </w:p>
    <w:p w:rsidR="003A4363" w:rsidRDefault="003A4363">
      <w:pPr>
        <w:pStyle w:val="Index2"/>
        <w:tabs>
          <w:tab w:val="right" w:leader="dot" w:pos="3479"/>
        </w:tabs>
        <w:rPr>
          <w:noProof/>
        </w:rPr>
      </w:pPr>
      <w:r>
        <w:rPr>
          <w:noProof/>
        </w:rPr>
        <w:t>Empowering Individuals and Communities, 177–80</w:t>
      </w:r>
    </w:p>
    <w:p w:rsidR="003A4363" w:rsidRDefault="003A4363">
      <w:pPr>
        <w:pStyle w:val="Index2"/>
        <w:tabs>
          <w:tab w:val="right" w:leader="dot" w:pos="3479"/>
        </w:tabs>
        <w:rPr>
          <w:noProof/>
        </w:rPr>
      </w:pPr>
      <w:r>
        <w:rPr>
          <w:noProof/>
        </w:rPr>
        <w:t>Infringements and Enhancing Community Safety, 187–88</w:t>
      </w:r>
    </w:p>
    <w:p w:rsidR="003A4363" w:rsidRDefault="003A4363">
      <w:pPr>
        <w:pStyle w:val="Index2"/>
        <w:tabs>
          <w:tab w:val="right" w:leader="dot" w:pos="3479"/>
        </w:tabs>
        <w:rPr>
          <w:noProof/>
        </w:rPr>
      </w:pPr>
      <w:r>
        <w:rPr>
          <w:noProof/>
        </w:rPr>
        <w:t>Public libraries, 330</w:t>
      </w:r>
    </w:p>
    <w:p w:rsidR="003A4363" w:rsidRDefault="003A4363">
      <w:pPr>
        <w:pStyle w:val="Index2"/>
        <w:tabs>
          <w:tab w:val="right" w:leader="dot" w:pos="3479"/>
        </w:tabs>
        <w:rPr>
          <w:noProof/>
        </w:rPr>
      </w:pPr>
      <w:r>
        <w:rPr>
          <w:noProof/>
        </w:rPr>
        <w:t>Supporting and Strengthening Communities, 217–21</w:t>
      </w:r>
    </w:p>
    <w:p w:rsidR="003A4363" w:rsidRDefault="003A4363">
      <w:pPr>
        <w:pStyle w:val="Index1"/>
        <w:rPr>
          <w:noProof/>
        </w:rPr>
      </w:pPr>
      <w:r>
        <w:rPr>
          <w:noProof/>
          <w:lang w:eastAsia="en-AU"/>
        </w:rPr>
        <w:t>Community benefits from effective management of Victoria's land assets</w:t>
      </w:r>
      <w:r>
        <w:rPr>
          <w:noProof/>
        </w:rPr>
        <w:t>, 128–30</w:t>
      </w:r>
    </w:p>
    <w:p w:rsidR="003A4363" w:rsidRDefault="003A4363">
      <w:pPr>
        <w:pStyle w:val="Index1"/>
        <w:rPr>
          <w:noProof/>
        </w:rPr>
      </w:pPr>
      <w:r>
        <w:rPr>
          <w:noProof/>
          <w:lang w:eastAsia="en-AU"/>
        </w:rPr>
        <w:t>Concessions to Pensioners and Beneficiaries</w:t>
      </w:r>
      <w:r>
        <w:rPr>
          <w:noProof/>
        </w:rPr>
        <w:t>, 172–73</w:t>
      </w:r>
    </w:p>
    <w:p w:rsidR="003A4363" w:rsidRDefault="003A4363">
      <w:pPr>
        <w:pStyle w:val="Index1"/>
        <w:rPr>
          <w:noProof/>
        </w:rPr>
      </w:pPr>
      <w:r>
        <w:rPr>
          <w:noProof/>
        </w:rPr>
        <w:t xml:space="preserve">Courts. </w:t>
      </w:r>
      <w:r w:rsidRPr="005D20AC">
        <w:rPr>
          <w:i/>
          <w:noProof/>
        </w:rPr>
        <w:t>See also</w:t>
      </w:r>
      <w:r>
        <w:rPr>
          <w:noProof/>
        </w:rPr>
        <w:t xml:space="preserve"> Budget Paper No. 5</w:t>
      </w:r>
    </w:p>
    <w:p w:rsidR="003A4363" w:rsidRDefault="003A4363">
      <w:pPr>
        <w:pStyle w:val="Index2"/>
        <w:tabs>
          <w:tab w:val="right" w:leader="dot" w:pos="3479"/>
        </w:tabs>
        <w:rPr>
          <w:noProof/>
        </w:rPr>
      </w:pPr>
      <w:r>
        <w:rPr>
          <w:noProof/>
        </w:rPr>
        <w:t>Asset initiatives, 77</w:t>
      </w:r>
    </w:p>
    <w:p w:rsidR="003A4363" w:rsidRDefault="003A4363">
      <w:pPr>
        <w:pStyle w:val="Index2"/>
        <w:tabs>
          <w:tab w:val="right" w:leader="dot" w:pos="3479"/>
        </w:tabs>
        <w:rPr>
          <w:noProof/>
        </w:rPr>
      </w:pPr>
      <w:r>
        <w:rPr>
          <w:noProof/>
        </w:rPr>
        <w:t>Court Services, 76, 77, 304–6</w:t>
      </w:r>
    </w:p>
    <w:p w:rsidR="003A4363" w:rsidRDefault="003A4363">
      <w:pPr>
        <w:pStyle w:val="Index2"/>
        <w:tabs>
          <w:tab w:val="right" w:leader="dot" w:pos="3479"/>
        </w:tabs>
        <w:rPr>
          <w:noProof/>
        </w:rPr>
      </w:pPr>
      <w:r>
        <w:rPr>
          <w:noProof/>
        </w:rPr>
        <w:t>Income from transactions, 303</w:t>
      </w:r>
    </w:p>
    <w:p w:rsidR="003A4363" w:rsidRDefault="003A4363">
      <w:pPr>
        <w:pStyle w:val="Index2"/>
        <w:tabs>
          <w:tab w:val="right" w:leader="dot" w:pos="3479"/>
        </w:tabs>
        <w:rPr>
          <w:noProof/>
        </w:rPr>
      </w:pPr>
      <w:r>
        <w:rPr>
          <w:noProof/>
        </w:rPr>
        <w:t>Output initiatives, 76</w:t>
      </w:r>
    </w:p>
    <w:p w:rsidR="003A4363" w:rsidRDefault="003A4363">
      <w:pPr>
        <w:pStyle w:val="Index2"/>
        <w:tabs>
          <w:tab w:val="right" w:leader="dot" w:pos="3479"/>
        </w:tabs>
        <w:rPr>
          <w:noProof/>
        </w:rPr>
      </w:pPr>
      <w:r>
        <w:rPr>
          <w:noProof/>
        </w:rPr>
        <w:t>Output summary, 302</w:t>
      </w:r>
    </w:p>
    <w:p w:rsidR="003A4363" w:rsidRDefault="003A4363">
      <w:pPr>
        <w:pStyle w:val="Index2"/>
        <w:tabs>
          <w:tab w:val="right" w:leader="dot" w:pos="3479"/>
        </w:tabs>
        <w:rPr>
          <w:noProof/>
        </w:rPr>
      </w:pPr>
      <w:r>
        <w:rPr>
          <w:noProof/>
        </w:rPr>
        <w:t>Parliamentary authority for resources, 303</w:t>
      </w:r>
    </w:p>
    <w:p w:rsidR="003A4363" w:rsidRDefault="003A4363">
      <w:pPr>
        <w:pStyle w:val="Index1"/>
        <w:rPr>
          <w:noProof/>
        </w:rPr>
      </w:pPr>
      <w:r>
        <w:rPr>
          <w:noProof/>
        </w:rPr>
        <w:t>Cranbourne</w:t>
      </w:r>
      <w:r>
        <w:rPr>
          <w:noProof/>
        </w:rPr>
        <w:noBreakHyphen/>
        <w:t>Pakenham Rail Corridor project, 67, 80</w:t>
      </w:r>
    </w:p>
    <w:p w:rsidR="003A4363" w:rsidRDefault="003A4363">
      <w:pPr>
        <w:pStyle w:val="Index1"/>
        <w:rPr>
          <w:noProof/>
        </w:rPr>
      </w:pPr>
      <w:r>
        <w:rPr>
          <w:noProof/>
        </w:rPr>
        <w:t>Create productive and competitive agricultural industries, 111–15</w:t>
      </w:r>
    </w:p>
    <w:p w:rsidR="003A4363" w:rsidRDefault="003A4363">
      <w:pPr>
        <w:pStyle w:val="IndexHeading"/>
        <w:keepNext/>
        <w:tabs>
          <w:tab w:val="right" w:leader="dot" w:pos="3479"/>
        </w:tabs>
        <w:rPr>
          <w:rFonts w:eastAsiaTheme="minorEastAsia" w:cstheme="minorBidi"/>
          <w:b w:val="0"/>
          <w:bCs w:val="0"/>
          <w:noProof/>
        </w:rPr>
      </w:pPr>
      <w:r>
        <w:rPr>
          <w:noProof/>
        </w:rPr>
        <w:t>D</w:t>
      </w:r>
    </w:p>
    <w:p w:rsidR="003A4363" w:rsidRDefault="003A4363">
      <w:pPr>
        <w:pStyle w:val="Index1"/>
        <w:rPr>
          <w:noProof/>
        </w:rPr>
      </w:pPr>
      <w:r>
        <w:rPr>
          <w:noProof/>
        </w:rPr>
        <w:t xml:space="preserve">Dental Health, 150–51, </w:t>
      </w:r>
      <w:r w:rsidRPr="005D20AC">
        <w:rPr>
          <w:i/>
          <w:noProof/>
        </w:rPr>
        <w:t>See</w:t>
      </w:r>
      <w:r>
        <w:rPr>
          <w:noProof/>
        </w:rPr>
        <w:t xml:space="preserve"> Health</w:t>
      </w:r>
    </w:p>
    <w:p w:rsidR="003A4363" w:rsidRDefault="003A4363">
      <w:pPr>
        <w:pStyle w:val="Index1"/>
        <w:rPr>
          <w:noProof/>
        </w:rPr>
      </w:pPr>
      <w:r>
        <w:rPr>
          <w:noProof/>
        </w:rPr>
        <w:t xml:space="preserve">Department of Education and Early Childhood Development. </w:t>
      </w:r>
      <w:r w:rsidRPr="005D20AC">
        <w:rPr>
          <w:i/>
          <w:noProof/>
        </w:rPr>
        <w:t>See also</w:t>
      </w:r>
      <w:r>
        <w:rPr>
          <w:noProof/>
        </w:rPr>
        <w:t xml:space="preserve"> Budget Paper No. 5</w:t>
      </w:r>
    </w:p>
    <w:p w:rsidR="003A4363" w:rsidRDefault="003A4363">
      <w:pPr>
        <w:pStyle w:val="Index2"/>
        <w:tabs>
          <w:tab w:val="right" w:leader="dot" w:pos="3479"/>
        </w:tabs>
        <w:rPr>
          <w:noProof/>
        </w:rPr>
      </w:pPr>
      <w:r>
        <w:rPr>
          <w:noProof/>
        </w:rPr>
        <w:t>Asset initiatives, 12</w:t>
      </w:r>
    </w:p>
    <w:p w:rsidR="003A4363" w:rsidRDefault="003A4363">
      <w:pPr>
        <w:pStyle w:val="Index2"/>
        <w:tabs>
          <w:tab w:val="right" w:leader="dot" w:pos="3479"/>
        </w:tabs>
        <w:rPr>
          <w:noProof/>
        </w:rPr>
      </w:pPr>
      <w:r>
        <w:rPr>
          <w:noProof/>
        </w:rPr>
        <w:t>Early Childhood Development, 9, 90–91</w:t>
      </w:r>
    </w:p>
    <w:p w:rsidR="003A4363" w:rsidRDefault="003A4363">
      <w:pPr>
        <w:pStyle w:val="Index2"/>
        <w:tabs>
          <w:tab w:val="right" w:leader="dot" w:pos="3479"/>
        </w:tabs>
        <w:rPr>
          <w:noProof/>
        </w:rPr>
      </w:pPr>
      <w:r>
        <w:rPr>
          <w:noProof/>
        </w:rPr>
        <w:t>Higher Education and Skills, 10, 100–102</w:t>
      </w:r>
    </w:p>
    <w:p w:rsidR="003A4363" w:rsidRDefault="003A4363">
      <w:pPr>
        <w:pStyle w:val="Index2"/>
        <w:tabs>
          <w:tab w:val="right" w:leader="dot" w:pos="3479"/>
        </w:tabs>
        <w:rPr>
          <w:noProof/>
        </w:rPr>
      </w:pPr>
      <w:r>
        <w:rPr>
          <w:noProof/>
        </w:rPr>
        <w:t>Income from transactions, 88</w:t>
      </w:r>
    </w:p>
    <w:p w:rsidR="003A4363" w:rsidRDefault="003A4363">
      <w:pPr>
        <w:pStyle w:val="Index2"/>
        <w:tabs>
          <w:tab w:val="right" w:leader="dot" w:pos="3479"/>
        </w:tabs>
        <w:rPr>
          <w:noProof/>
        </w:rPr>
      </w:pPr>
      <w:r>
        <w:rPr>
          <w:noProof/>
        </w:rPr>
        <w:t>Output initiatives, 8</w:t>
      </w:r>
    </w:p>
    <w:p w:rsidR="003A4363" w:rsidRDefault="003A4363">
      <w:pPr>
        <w:pStyle w:val="Index2"/>
        <w:tabs>
          <w:tab w:val="right" w:leader="dot" w:pos="3479"/>
        </w:tabs>
        <w:rPr>
          <w:noProof/>
        </w:rPr>
      </w:pPr>
      <w:r>
        <w:rPr>
          <w:noProof/>
        </w:rPr>
        <w:t>Output performance measures for review, 308</w:t>
      </w:r>
    </w:p>
    <w:p w:rsidR="003A4363" w:rsidRDefault="003A4363">
      <w:pPr>
        <w:pStyle w:val="Index2"/>
        <w:tabs>
          <w:tab w:val="right" w:leader="dot" w:pos="3479"/>
        </w:tabs>
        <w:rPr>
          <w:noProof/>
        </w:rPr>
      </w:pPr>
      <w:r>
        <w:rPr>
          <w:noProof/>
        </w:rPr>
        <w:t>Output summary, 87</w:t>
      </w:r>
    </w:p>
    <w:p w:rsidR="003A4363" w:rsidRDefault="003A4363">
      <w:pPr>
        <w:pStyle w:val="Index2"/>
        <w:tabs>
          <w:tab w:val="right" w:leader="dot" w:pos="3479"/>
        </w:tabs>
        <w:rPr>
          <w:noProof/>
        </w:rPr>
      </w:pPr>
      <w:r>
        <w:rPr>
          <w:noProof/>
        </w:rPr>
        <w:t>Parliamentary authority for resources, 88</w:t>
      </w:r>
    </w:p>
    <w:p w:rsidR="003A4363" w:rsidRDefault="003A4363">
      <w:pPr>
        <w:pStyle w:val="Index2"/>
        <w:tabs>
          <w:tab w:val="right" w:leader="dot" w:pos="3479"/>
        </w:tabs>
        <w:rPr>
          <w:noProof/>
        </w:rPr>
      </w:pPr>
      <w:r>
        <w:rPr>
          <w:noProof/>
        </w:rPr>
        <w:t>School Education, 11, 92–99</w:t>
      </w:r>
    </w:p>
    <w:p w:rsidR="003A4363" w:rsidRDefault="003A4363">
      <w:pPr>
        <w:pStyle w:val="Index2"/>
        <w:tabs>
          <w:tab w:val="right" w:leader="dot" w:pos="3479"/>
        </w:tabs>
        <w:rPr>
          <w:noProof/>
        </w:rPr>
      </w:pPr>
      <w:r>
        <w:rPr>
          <w:noProof/>
        </w:rPr>
        <w:t>Strategy, review and regulation, 89</w:t>
      </w:r>
    </w:p>
    <w:p w:rsidR="003A4363" w:rsidRDefault="003A4363">
      <w:pPr>
        <w:pStyle w:val="Index2"/>
        <w:tabs>
          <w:tab w:val="right" w:leader="dot" w:pos="3479"/>
        </w:tabs>
        <w:rPr>
          <w:noProof/>
        </w:rPr>
      </w:pPr>
      <w:r>
        <w:rPr>
          <w:noProof/>
        </w:rPr>
        <w:t>Support for Students with Disabilities, 12, 105</w:t>
      </w:r>
    </w:p>
    <w:p w:rsidR="003A4363" w:rsidRDefault="003A4363">
      <w:pPr>
        <w:pStyle w:val="Index2"/>
        <w:tabs>
          <w:tab w:val="right" w:leader="dot" w:pos="3479"/>
        </w:tabs>
        <w:rPr>
          <w:noProof/>
        </w:rPr>
      </w:pPr>
      <w:r>
        <w:rPr>
          <w:noProof/>
        </w:rPr>
        <w:t>Support Services Delivery, 103–4</w:t>
      </w:r>
    </w:p>
    <w:p w:rsidR="003A4363" w:rsidRDefault="003A4363">
      <w:pPr>
        <w:pStyle w:val="Index1"/>
        <w:rPr>
          <w:noProof/>
        </w:rPr>
      </w:pPr>
      <w:r>
        <w:rPr>
          <w:noProof/>
        </w:rPr>
        <w:t xml:space="preserve">Department of Environment and Primary Industries. </w:t>
      </w:r>
      <w:r w:rsidRPr="005D20AC">
        <w:rPr>
          <w:i/>
          <w:noProof/>
        </w:rPr>
        <w:t>See also</w:t>
      </w:r>
      <w:r>
        <w:rPr>
          <w:noProof/>
        </w:rPr>
        <w:t xml:space="preserve"> Budget Paper No. 5</w:t>
      </w:r>
    </w:p>
    <w:p w:rsidR="003A4363" w:rsidRDefault="003A4363">
      <w:pPr>
        <w:pStyle w:val="Index2"/>
        <w:tabs>
          <w:tab w:val="right" w:leader="dot" w:pos="3479"/>
        </w:tabs>
        <w:rPr>
          <w:noProof/>
        </w:rPr>
      </w:pPr>
      <w:r>
        <w:rPr>
          <w:noProof/>
        </w:rPr>
        <w:t>Asset initiatives, 17</w:t>
      </w:r>
    </w:p>
    <w:p w:rsidR="003A4363" w:rsidRDefault="003A4363">
      <w:pPr>
        <w:pStyle w:val="Index2"/>
        <w:tabs>
          <w:tab w:val="right" w:leader="dot" w:pos="3479"/>
        </w:tabs>
        <w:rPr>
          <w:noProof/>
        </w:rPr>
      </w:pPr>
      <w:r>
        <w:rPr>
          <w:noProof/>
        </w:rPr>
        <w:t>Create productive and competitive agricultural industries, 111–15</w:t>
      </w:r>
    </w:p>
    <w:p w:rsidR="003A4363" w:rsidRDefault="003A4363">
      <w:pPr>
        <w:pStyle w:val="Index2"/>
        <w:tabs>
          <w:tab w:val="right" w:leader="dot" w:pos="3479"/>
        </w:tabs>
        <w:rPr>
          <w:noProof/>
        </w:rPr>
      </w:pPr>
      <w:r>
        <w:rPr>
          <w:noProof/>
        </w:rPr>
        <w:t>Effective environmental and adaptation policy, investment and regulations, 116–19</w:t>
      </w:r>
    </w:p>
    <w:p w:rsidR="003A4363" w:rsidRDefault="003A4363">
      <w:pPr>
        <w:pStyle w:val="Index2"/>
        <w:tabs>
          <w:tab w:val="right" w:leader="dot" w:pos="3479"/>
        </w:tabs>
        <w:rPr>
          <w:noProof/>
        </w:rPr>
      </w:pPr>
      <w:r>
        <w:rPr>
          <w:noProof/>
        </w:rPr>
        <w:t>Effective Management of Victoria’s Land Assets, 17</w:t>
      </w:r>
    </w:p>
    <w:p w:rsidR="003A4363" w:rsidRDefault="003A4363">
      <w:pPr>
        <w:pStyle w:val="Index2"/>
        <w:tabs>
          <w:tab w:val="right" w:leader="dot" w:pos="3479"/>
        </w:tabs>
        <w:rPr>
          <w:noProof/>
        </w:rPr>
      </w:pPr>
      <w:r>
        <w:rPr>
          <w:noProof/>
        </w:rPr>
        <w:t>Effective management of water resources to meet future urban, rural and environmental needs, 120–22</w:t>
      </w:r>
    </w:p>
    <w:p w:rsidR="003A4363" w:rsidRDefault="003A4363">
      <w:pPr>
        <w:pStyle w:val="Index2"/>
        <w:tabs>
          <w:tab w:val="right" w:leader="dot" w:pos="3479"/>
        </w:tabs>
        <w:rPr>
          <w:noProof/>
        </w:rPr>
      </w:pPr>
      <w:r>
        <w:rPr>
          <w:noProof/>
        </w:rPr>
        <w:t>Effective Water Resources, 16</w:t>
      </w:r>
    </w:p>
    <w:p w:rsidR="003A4363" w:rsidRDefault="003A4363">
      <w:pPr>
        <w:pStyle w:val="Index2"/>
        <w:tabs>
          <w:tab w:val="right" w:leader="dot" w:pos="3479"/>
        </w:tabs>
        <w:rPr>
          <w:noProof/>
        </w:rPr>
      </w:pPr>
      <w:r>
        <w:rPr>
          <w:noProof/>
        </w:rPr>
        <w:t>Environmental and Adaptation Policy, Investment and Regulation, 15</w:t>
      </w:r>
    </w:p>
    <w:p w:rsidR="003A4363" w:rsidRDefault="003A4363">
      <w:pPr>
        <w:pStyle w:val="Index2"/>
        <w:tabs>
          <w:tab w:val="right" w:leader="dot" w:pos="3479"/>
        </w:tabs>
        <w:rPr>
          <w:noProof/>
        </w:rPr>
      </w:pPr>
      <w:r>
        <w:rPr>
          <w:noProof/>
        </w:rPr>
        <w:t>Income from transactions, 110</w:t>
      </w:r>
    </w:p>
    <w:p w:rsidR="003A4363" w:rsidRDefault="003A4363">
      <w:pPr>
        <w:pStyle w:val="Index2"/>
        <w:tabs>
          <w:tab w:val="right" w:leader="dot" w:pos="3479"/>
        </w:tabs>
        <w:rPr>
          <w:noProof/>
        </w:rPr>
      </w:pPr>
      <w:r>
        <w:rPr>
          <w:noProof/>
        </w:rPr>
        <w:t>Output initiatives, 14</w:t>
      </w:r>
    </w:p>
    <w:p w:rsidR="003A4363" w:rsidRDefault="003A4363">
      <w:pPr>
        <w:pStyle w:val="Index2"/>
        <w:tabs>
          <w:tab w:val="right" w:leader="dot" w:pos="3479"/>
        </w:tabs>
        <w:rPr>
          <w:noProof/>
        </w:rPr>
      </w:pPr>
      <w:r>
        <w:rPr>
          <w:noProof/>
        </w:rPr>
        <w:t>Output performance measures for review, 309–11</w:t>
      </w:r>
    </w:p>
    <w:p w:rsidR="003A4363" w:rsidRDefault="003A4363">
      <w:pPr>
        <w:pStyle w:val="Index2"/>
        <w:tabs>
          <w:tab w:val="right" w:leader="dot" w:pos="3479"/>
        </w:tabs>
        <w:rPr>
          <w:noProof/>
        </w:rPr>
      </w:pPr>
      <w:r>
        <w:rPr>
          <w:noProof/>
        </w:rPr>
        <w:t>Output summary, 109</w:t>
      </w:r>
    </w:p>
    <w:p w:rsidR="003A4363" w:rsidRDefault="003A4363">
      <w:pPr>
        <w:pStyle w:val="Index2"/>
        <w:tabs>
          <w:tab w:val="right" w:leader="dot" w:pos="3479"/>
        </w:tabs>
        <w:rPr>
          <w:noProof/>
        </w:rPr>
      </w:pPr>
      <w:r>
        <w:rPr>
          <w:noProof/>
        </w:rPr>
        <w:t>Parliamentary authority for resources, 110</w:t>
      </w:r>
    </w:p>
    <w:p w:rsidR="003A4363" w:rsidRDefault="003A4363">
      <w:pPr>
        <w:pStyle w:val="Index2"/>
        <w:tabs>
          <w:tab w:val="right" w:leader="dot" w:pos="3479"/>
        </w:tabs>
        <w:rPr>
          <w:noProof/>
        </w:rPr>
      </w:pPr>
      <w:r>
        <w:rPr>
          <w:noProof/>
        </w:rPr>
        <w:t>Productive and Competitive Agricultural Industries, 15</w:t>
      </w:r>
    </w:p>
    <w:p w:rsidR="003A4363" w:rsidRDefault="003A4363">
      <w:pPr>
        <w:pStyle w:val="Index2"/>
        <w:tabs>
          <w:tab w:val="right" w:leader="dot" w:pos="3479"/>
        </w:tabs>
        <w:rPr>
          <w:noProof/>
        </w:rPr>
      </w:pPr>
      <w:r>
        <w:rPr>
          <w:noProof/>
        </w:rPr>
        <w:t>Reduced Impact of Major Bushfires and other Emergencies, 16</w:t>
      </w:r>
    </w:p>
    <w:p w:rsidR="003A4363" w:rsidRDefault="003A4363">
      <w:pPr>
        <w:pStyle w:val="Index2"/>
        <w:tabs>
          <w:tab w:val="right" w:leader="dot" w:pos="3479"/>
        </w:tabs>
        <w:rPr>
          <w:noProof/>
        </w:rPr>
      </w:pPr>
      <w:r>
        <w:rPr>
          <w:noProof/>
        </w:rPr>
        <w:t>Reduced impact of major bushfires and other emergencies on people, infrastructure and the environment, 123–25</w:t>
      </w:r>
    </w:p>
    <w:p w:rsidR="003A4363" w:rsidRDefault="003A4363">
      <w:pPr>
        <w:pStyle w:val="Index2"/>
        <w:tabs>
          <w:tab w:val="right" w:leader="dot" w:pos="3479"/>
        </w:tabs>
        <w:rPr>
          <w:noProof/>
        </w:rPr>
      </w:pPr>
      <w:r>
        <w:rPr>
          <w:noProof/>
        </w:rPr>
        <w:t>Sustainably manage fish and forest resources, 126–27</w:t>
      </w:r>
    </w:p>
    <w:p w:rsidR="003A4363" w:rsidRDefault="003A4363">
      <w:pPr>
        <w:pStyle w:val="Index2"/>
        <w:tabs>
          <w:tab w:val="right" w:leader="dot" w:pos="3479"/>
        </w:tabs>
        <w:rPr>
          <w:noProof/>
        </w:rPr>
      </w:pPr>
      <w:r>
        <w:rPr>
          <w:noProof/>
        </w:rPr>
        <w:t>The community benefits from effective management of Victoria's land assets, 128–30</w:t>
      </w:r>
    </w:p>
    <w:p w:rsidR="003A4363" w:rsidRDefault="003A4363">
      <w:pPr>
        <w:pStyle w:val="Index1"/>
        <w:rPr>
          <w:noProof/>
        </w:rPr>
      </w:pPr>
      <w:r>
        <w:rPr>
          <w:noProof/>
        </w:rPr>
        <w:t xml:space="preserve">Department of Health. </w:t>
      </w:r>
      <w:r w:rsidRPr="005D20AC">
        <w:rPr>
          <w:i/>
          <w:noProof/>
        </w:rPr>
        <w:t>See also</w:t>
      </w:r>
      <w:r>
        <w:rPr>
          <w:noProof/>
        </w:rPr>
        <w:t xml:space="preserve"> Budget Paper No. 5</w:t>
      </w:r>
    </w:p>
    <w:p w:rsidR="003A4363" w:rsidRDefault="003A4363">
      <w:pPr>
        <w:pStyle w:val="Index2"/>
        <w:tabs>
          <w:tab w:val="right" w:leader="dot" w:pos="3479"/>
        </w:tabs>
        <w:rPr>
          <w:noProof/>
        </w:rPr>
      </w:pPr>
      <w:r>
        <w:rPr>
          <w:noProof/>
        </w:rPr>
        <w:t>Acute Health Services, 21, 25, 135–40</w:t>
      </w:r>
    </w:p>
    <w:p w:rsidR="003A4363" w:rsidRDefault="003A4363">
      <w:pPr>
        <w:pStyle w:val="Index2"/>
        <w:tabs>
          <w:tab w:val="right" w:leader="dot" w:pos="3479"/>
        </w:tabs>
        <w:rPr>
          <w:noProof/>
        </w:rPr>
      </w:pPr>
      <w:r>
        <w:rPr>
          <w:noProof/>
        </w:rPr>
        <w:t>Ageing, Aged and Home Care, 21, 146–49</w:t>
      </w:r>
    </w:p>
    <w:p w:rsidR="003A4363" w:rsidRDefault="003A4363">
      <w:pPr>
        <w:pStyle w:val="Index2"/>
        <w:tabs>
          <w:tab w:val="right" w:leader="dot" w:pos="3479"/>
        </w:tabs>
        <w:rPr>
          <w:noProof/>
        </w:rPr>
      </w:pPr>
      <w:r>
        <w:rPr>
          <w:noProof/>
        </w:rPr>
        <w:t>Ambulance Services, 22, 141–43</w:t>
      </w:r>
    </w:p>
    <w:p w:rsidR="003A4363" w:rsidRDefault="003A4363">
      <w:pPr>
        <w:pStyle w:val="Index2"/>
        <w:tabs>
          <w:tab w:val="right" w:leader="dot" w:pos="3479"/>
        </w:tabs>
        <w:rPr>
          <w:noProof/>
        </w:rPr>
      </w:pPr>
      <w:r>
        <w:rPr>
          <w:noProof/>
        </w:rPr>
        <w:t>Asset initiatives, 24</w:t>
      </w:r>
    </w:p>
    <w:p w:rsidR="003A4363" w:rsidRDefault="003A4363">
      <w:pPr>
        <w:pStyle w:val="Index2"/>
        <w:tabs>
          <w:tab w:val="right" w:leader="dot" w:pos="3479"/>
        </w:tabs>
        <w:rPr>
          <w:noProof/>
        </w:rPr>
      </w:pPr>
      <w:r>
        <w:rPr>
          <w:noProof/>
        </w:rPr>
        <w:t>Drug Services, 23, 26, 158–60</w:t>
      </w:r>
    </w:p>
    <w:p w:rsidR="003A4363" w:rsidRDefault="003A4363">
      <w:pPr>
        <w:pStyle w:val="Index2"/>
        <w:tabs>
          <w:tab w:val="right" w:leader="dot" w:pos="3479"/>
        </w:tabs>
        <w:rPr>
          <w:noProof/>
        </w:rPr>
      </w:pPr>
      <w:r>
        <w:rPr>
          <w:noProof/>
        </w:rPr>
        <w:t>Income from transactions, 134</w:t>
      </w:r>
    </w:p>
    <w:p w:rsidR="003A4363" w:rsidRDefault="003A4363">
      <w:pPr>
        <w:pStyle w:val="Index2"/>
        <w:tabs>
          <w:tab w:val="right" w:leader="dot" w:pos="3479"/>
        </w:tabs>
        <w:rPr>
          <w:noProof/>
        </w:rPr>
      </w:pPr>
      <w:r>
        <w:rPr>
          <w:noProof/>
        </w:rPr>
        <w:t>Mental Health, 22, 26, 144–45</w:t>
      </w:r>
    </w:p>
    <w:p w:rsidR="003A4363" w:rsidRDefault="003A4363">
      <w:pPr>
        <w:pStyle w:val="Index2"/>
        <w:tabs>
          <w:tab w:val="right" w:leader="dot" w:pos="3479"/>
        </w:tabs>
        <w:rPr>
          <w:noProof/>
        </w:rPr>
      </w:pPr>
      <w:r>
        <w:rPr>
          <w:noProof/>
        </w:rPr>
        <w:t>Output initiatives, 20</w:t>
      </w:r>
    </w:p>
    <w:p w:rsidR="003A4363" w:rsidRDefault="003A4363">
      <w:pPr>
        <w:pStyle w:val="Index2"/>
        <w:tabs>
          <w:tab w:val="right" w:leader="dot" w:pos="3479"/>
        </w:tabs>
        <w:rPr>
          <w:noProof/>
        </w:rPr>
      </w:pPr>
      <w:r>
        <w:rPr>
          <w:noProof/>
        </w:rPr>
        <w:t>Output performance measures for review, 312</w:t>
      </w:r>
    </w:p>
    <w:p w:rsidR="003A4363" w:rsidRDefault="003A4363">
      <w:pPr>
        <w:pStyle w:val="Index2"/>
        <w:tabs>
          <w:tab w:val="right" w:leader="dot" w:pos="3479"/>
        </w:tabs>
        <w:rPr>
          <w:noProof/>
        </w:rPr>
      </w:pPr>
      <w:r>
        <w:rPr>
          <w:noProof/>
        </w:rPr>
        <w:t>Output summary, 133</w:t>
      </w:r>
    </w:p>
    <w:p w:rsidR="003A4363" w:rsidRDefault="003A4363">
      <w:pPr>
        <w:pStyle w:val="Index2"/>
        <w:tabs>
          <w:tab w:val="right" w:leader="dot" w:pos="3479"/>
        </w:tabs>
        <w:rPr>
          <w:noProof/>
        </w:rPr>
      </w:pPr>
      <w:r>
        <w:rPr>
          <w:noProof/>
        </w:rPr>
        <w:t>Parliamentary authority for resources, 134</w:t>
      </w:r>
    </w:p>
    <w:p w:rsidR="003A4363" w:rsidRDefault="003A4363">
      <w:pPr>
        <w:pStyle w:val="Index2"/>
        <w:tabs>
          <w:tab w:val="right" w:leader="dot" w:pos="3479"/>
        </w:tabs>
        <w:rPr>
          <w:noProof/>
        </w:rPr>
      </w:pPr>
      <w:r>
        <w:rPr>
          <w:noProof/>
        </w:rPr>
        <w:t>Primary, Community and Dental Health, 22, 26, 150–51</w:t>
      </w:r>
    </w:p>
    <w:p w:rsidR="003A4363" w:rsidRDefault="003A4363">
      <w:pPr>
        <w:pStyle w:val="Index2"/>
        <w:tabs>
          <w:tab w:val="right" w:leader="dot" w:pos="3479"/>
        </w:tabs>
        <w:rPr>
          <w:noProof/>
        </w:rPr>
      </w:pPr>
      <w:r>
        <w:rPr>
          <w:noProof/>
        </w:rPr>
        <w:t>Public Health, 155–57</w:t>
      </w:r>
    </w:p>
    <w:p w:rsidR="003A4363" w:rsidRDefault="003A4363">
      <w:pPr>
        <w:pStyle w:val="Index2"/>
        <w:tabs>
          <w:tab w:val="right" w:leader="dot" w:pos="3479"/>
        </w:tabs>
        <w:rPr>
          <w:noProof/>
        </w:rPr>
      </w:pPr>
      <w:r>
        <w:rPr>
          <w:noProof/>
        </w:rPr>
        <w:t>Small Rural Services, 27, 152–54</w:t>
      </w:r>
    </w:p>
    <w:p w:rsidR="003A4363" w:rsidRDefault="003A4363">
      <w:pPr>
        <w:pStyle w:val="Index1"/>
        <w:rPr>
          <w:noProof/>
        </w:rPr>
      </w:pPr>
      <w:r>
        <w:rPr>
          <w:noProof/>
        </w:rPr>
        <w:t xml:space="preserve">Department of Human Services. </w:t>
      </w:r>
      <w:r w:rsidRPr="005D20AC">
        <w:rPr>
          <w:i/>
          <w:noProof/>
        </w:rPr>
        <w:t>See also</w:t>
      </w:r>
      <w:r>
        <w:rPr>
          <w:noProof/>
        </w:rPr>
        <w:t xml:space="preserve"> Budget Paper No. 5</w:t>
      </w:r>
    </w:p>
    <w:p w:rsidR="003A4363" w:rsidRDefault="003A4363">
      <w:pPr>
        <w:pStyle w:val="Index2"/>
        <w:tabs>
          <w:tab w:val="right" w:leader="dot" w:pos="3479"/>
        </w:tabs>
        <w:rPr>
          <w:noProof/>
        </w:rPr>
      </w:pPr>
      <w:r>
        <w:rPr>
          <w:noProof/>
        </w:rPr>
        <w:t>Asset initiatives, 33</w:t>
      </w:r>
    </w:p>
    <w:p w:rsidR="003A4363" w:rsidRDefault="003A4363">
      <w:pPr>
        <w:pStyle w:val="Index2"/>
        <w:tabs>
          <w:tab w:val="right" w:leader="dot" w:pos="3479"/>
        </w:tabs>
        <w:rPr>
          <w:noProof/>
        </w:rPr>
      </w:pPr>
      <w:r>
        <w:rPr>
          <w:noProof/>
        </w:rPr>
        <w:t>Child Protection and Family Services, 30, 34, 167–69</w:t>
      </w:r>
    </w:p>
    <w:p w:rsidR="003A4363" w:rsidRDefault="003A4363">
      <w:pPr>
        <w:pStyle w:val="Index2"/>
        <w:tabs>
          <w:tab w:val="right" w:leader="dot" w:pos="3479"/>
        </w:tabs>
        <w:rPr>
          <w:noProof/>
        </w:rPr>
      </w:pPr>
      <w:r>
        <w:rPr>
          <w:noProof/>
        </w:rPr>
        <w:t>Concessions to Pensioners and Beneficiaries, 30, 172–73</w:t>
      </w:r>
    </w:p>
    <w:p w:rsidR="003A4363" w:rsidRDefault="003A4363">
      <w:pPr>
        <w:pStyle w:val="Index2"/>
        <w:tabs>
          <w:tab w:val="right" w:leader="dot" w:pos="3479"/>
        </w:tabs>
        <w:rPr>
          <w:noProof/>
        </w:rPr>
      </w:pPr>
      <w:r>
        <w:rPr>
          <w:noProof/>
        </w:rPr>
        <w:t>Disability Services, 31, 34, 164–66</w:t>
      </w:r>
    </w:p>
    <w:p w:rsidR="003A4363" w:rsidRDefault="003A4363">
      <w:pPr>
        <w:pStyle w:val="Index2"/>
        <w:tabs>
          <w:tab w:val="right" w:leader="dot" w:pos="3479"/>
        </w:tabs>
        <w:rPr>
          <w:noProof/>
        </w:rPr>
      </w:pPr>
      <w:r>
        <w:rPr>
          <w:noProof/>
        </w:rPr>
        <w:t>Empowering Individuals and Communities, 32, 177–80</w:t>
      </w:r>
    </w:p>
    <w:p w:rsidR="003A4363" w:rsidRDefault="003A4363">
      <w:pPr>
        <w:pStyle w:val="Index2"/>
        <w:tabs>
          <w:tab w:val="right" w:leader="dot" w:pos="3479"/>
        </w:tabs>
        <w:rPr>
          <w:noProof/>
        </w:rPr>
      </w:pPr>
      <w:r>
        <w:rPr>
          <w:noProof/>
        </w:rPr>
        <w:t>Housing Assistance, 31, 34, 174–76</w:t>
      </w:r>
    </w:p>
    <w:p w:rsidR="003A4363" w:rsidRDefault="003A4363">
      <w:pPr>
        <w:pStyle w:val="Index2"/>
        <w:tabs>
          <w:tab w:val="right" w:leader="dot" w:pos="3479"/>
        </w:tabs>
        <w:rPr>
          <w:noProof/>
        </w:rPr>
      </w:pPr>
      <w:r>
        <w:rPr>
          <w:noProof/>
        </w:rPr>
        <w:t>Income from transactions, 163</w:t>
      </w:r>
    </w:p>
    <w:p w:rsidR="003A4363" w:rsidRDefault="003A4363">
      <w:pPr>
        <w:pStyle w:val="Index2"/>
        <w:tabs>
          <w:tab w:val="right" w:leader="dot" w:pos="3479"/>
        </w:tabs>
        <w:rPr>
          <w:noProof/>
        </w:rPr>
      </w:pPr>
      <w:r>
        <w:rPr>
          <w:noProof/>
        </w:rPr>
        <w:t>Output initiatives, 29</w:t>
      </w:r>
    </w:p>
    <w:p w:rsidR="003A4363" w:rsidRDefault="003A4363">
      <w:pPr>
        <w:pStyle w:val="Index2"/>
        <w:tabs>
          <w:tab w:val="right" w:leader="dot" w:pos="3479"/>
        </w:tabs>
        <w:rPr>
          <w:noProof/>
        </w:rPr>
      </w:pPr>
      <w:r>
        <w:rPr>
          <w:noProof/>
        </w:rPr>
        <w:t>Output performance measures for review, 313</w:t>
      </w:r>
    </w:p>
    <w:p w:rsidR="003A4363" w:rsidRDefault="003A4363">
      <w:pPr>
        <w:pStyle w:val="Index2"/>
        <w:tabs>
          <w:tab w:val="right" w:leader="dot" w:pos="3479"/>
        </w:tabs>
        <w:rPr>
          <w:noProof/>
        </w:rPr>
      </w:pPr>
      <w:r>
        <w:rPr>
          <w:noProof/>
        </w:rPr>
        <w:t>Output summary, 162</w:t>
      </w:r>
    </w:p>
    <w:p w:rsidR="003A4363" w:rsidRDefault="003A4363">
      <w:pPr>
        <w:pStyle w:val="Index2"/>
        <w:tabs>
          <w:tab w:val="right" w:leader="dot" w:pos="3479"/>
        </w:tabs>
        <w:rPr>
          <w:noProof/>
        </w:rPr>
      </w:pPr>
      <w:r>
        <w:rPr>
          <w:noProof/>
        </w:rPr>
        <w:t>Parliamentary authority for resources, 163</w:t>
      </w:r>
    </w:p>
    <w:p w:rsidR="003A4363" w:rsidRDefault="003A4363">
      <w:pPr>
        <w:pStyle w:val="Index2"/>
        <w:tabs>
          <w:tab w:val="right" w:leader="dot" w:pos="3479"/>
        </w:tabs>
        <w:rPr>
          <w:noProof/>
        </w:rPr>
      </w:pPr>
      <w:r>
        <w:rPr>
          <w:noProof/>
        </w:rPr>
        <w:t>Youth Services and Youth Justice, 32, 170–71</w:t>
      </w:r>
    </w:p>
    <w:p w:rsidR="003A4363" w:rsidRDefault="003A4363">
      <w:pPr>
        <w:pStyle w:val="Index1"/>
        <w:rPr>
          <w:noProof/>
        </w:rPr>
      </w:pPr>
      <w:r>
        <w:rPr>
          <w:noProof/>
        </w:rPr>
        <w:t xml:space="preserve">Department of Justice. </w:t>
      </w:r>
      <w:r w:rsidRPr="005D20AC">
        <w:rPr>
          <w:i/>
          <w:noProof/>
        </w:rPr>
        <w:t>See also</w:t>
      </w:r>
      <w:r>
        <w:rPr>
          <w:noProof/>
        </w:rPr>
        <w:t xml:space="preserve"> Budget Paper No. 5</w:t>
      </w:r>
    </w:p>
    <w:p w:rsidR="003A4363" w:rsidRDefault="003A4363">
      <w:pPr>
        <w:pStyle w:val="Index2"/>
        <w:tabs>
          <w:tab w:val="right" w:leader="dot" w:pos="3479"/>
        </w:tabs>
        <w:rPr>
          <w:noProof/>
        </w:rPr>
      </w:pPr>
      <w:r>
        <w:rPr>
          <w:noProof/>
        </w:rPr>
        <w:t>Asset initiatives, 39</w:t>
      </w:r>
    </w:p>
    <w:p w:rsidR="003A4363" w:rsidRDefault="003A4363">
      <w:pPr>
        <w:pStyle w:val="Index2"/>
        <w:tabs>
          <w:tab w:val="right" w:leader="dot" w:pos="3479"/>
        </w:tabs>
        <w:rPr>
          <w:noProof/>
        </w:rPr>
      </w:pPr>
      <w:r>
        <w:rPr>
          <w:noProof/>
        </w:rPr>
        <w:t>Enforcing and Managing Correctional Orders, 36, 40, 196–97</w:t>
      </w:r>
    </w:p>
    <w:p w:rsidR="003A4363" w:rsidRDefault="003A4363">
      <w:pPr>
        <w:pStyle w:val="Index2"/>
        <w:tabs>
          <w:tab w:val="right" w:leader="dot" w:pos="3479"/>
        </w:tabs>
        <w:rPr>
          <w:noProof/>
        </w:rPr>
      </w:pPr>
      <w:r>
        <w:rPr>
          <w:noProof/>
        </w:rPr>
        <w:t>Income from transactions, 183</w:t>
      </w:r>
    </w:p>
    <w:p w:rsidR="003A4363" w:rsidRDefault="003A4363">
      <w:pPr>
        <w:pStyle w:val="Index2"/>
        <w:tabs>
          <w:tab w:val="right" w:leader="dot" w:pos="3479"/>
        </w:tabs>
        <w:rPr>
          <w:noProof/>
        </w:rPr>
      </w:pPr>
      <w:r>
        <w:rPr>
          <w:noProof/>
        </w:rPr>
        <w:t>Industry Regulation and Support, 200–202</w:t>
      </w:r>
    </w:p>
    <w:p w:rsidR="003A4363" w:rsidRDefault="003A4363">
      <w:pPr>
        <w:pStyle w:val="Index2"/>
        <w:tabs>
          <w:tab w:val="right" w:leader="dot" w:pos="3479"/>
        </w:tabs>
        <w:rPr>
          <w:noProof/>
        </w:rPr>
      </w:pPr>
      <w:r>
        <w:rPr>
          <w:noProof/>
        </w:rPr>
        <w:t>Infringements and Enhancing Community Safety, 187–88</w:t>
      </w:r>
    </w:p>
    <w:p w:rsidR="003A4363" w:rsidRDefault="003A4363">
      <w:pPr>
        <w:pStyle w:val="Index2"/>
        <w:tabs>
          <w:tab w:val="right" w:leader="dot" w:pos="3479"/>
        </w:tabs>
        <w:rPr>
          <w:noProof/>
        </w:rPr>
      </w:pPr>
      <w:r>
        <w:rPr>
          <w:noProof/>
        </w:rPr>
        <w:t>Output initiatives, 35</w:t>
      </w:r>
    </w:p>
    <w:p w:rsidR="003A4363" w:rsidRDefault="003A4363">
      <w:pPr>
        <w:pStyle w:val="Index2"/>
        <w:tabs>
          <w:tab w:val="right" w:leader="dot" w:pos="3479"/>
        </w:tabs>
        <w:rPr>
          <w:noProof/>
        </w:rPr>
      </w:pPr>
      <w:r>
        <w:rPr>
          <w:noProof/>
        </w:rPr>
        <w:t>Output performance measures for review, 314</w:t>
      </w:r>
    </w:p>
    <w:p w:rsidR="003A4363" w:rsidRDefault="003A4363">
      <w:pPr>
        <w:pStyle w:val="Index2"/>
        <w:tabs>
          <w:tab w:val="right" w:leader="dot" w:pos="3479"/>
        </w:tabs>
        <w:rPr>
          <w:noProof/>
        </w:rPr>
      </w:pPr>
      <w:r>
        <w:rPr>
          <w:noProof/>
        </w:rPr>
        <w:t>Output summary, 183</w:t>
      </w:r>
    </w:p>
    <w:p w:rsidR="003A4363" w:rsidRDefault="003A4363">
      <w:pPr>
        <w:pStyle w:val="Index2"/>
        <w:tabs>
          <w:tab w:val="right" w:leader="dot" w:pos="3479"/>
        </w:tabs>
        <w:rPr>
          <w:noProof/>
        </w:rPr>
      </w:pPr>
      <w:r>
        <w:rPr>
          <w:noProof/>
        </w:rPr>
        <w:t>Parliamentary authority for resources, 184</w:t>
      </w:r>
    </w:p>
    <w:p w:rsidR="003A4363" w:rsidRDefault="003A4363">
      <w:pPr>
        <w:pStyle w:val="Index2"/>
        <w:tabs>
          <w:tab w:val="right" w:leader="dot" w:pos="3479"/>
        </w:tabs>
        <w:rPr>
          <w:noProof/>
        </w:rPr>
      </w:pPr>
      <w:r>
        <w:rPr>
          <w:noProof/>
        </w:rPr>
        <w:t>Personal Identity, Individual Rights and Participation in Civic Life, 193–95</w:t>
      </w:r>
    </w:p>
    <w:p w:rsidR="003A4363" w:rsidRDefault="003A4363">
      <w:pPr>
        <w:pStyle w:val="Index2"/>
        <w:tabs>
          <w:tab w:val="right" w:leader="dot" w:pos="3479"/>
        </w:tabs>
        <w:rPr>
          <w:noProof/>
        </w:rPr>
      </w:pPr>
      <w:r>
        <w:rPr>
          <w:noProof/>
        </w:rPr>
        <w:t>Policing, 36, 40, 185–86</w:t>
      </w:r>
    </w:p>
    <w:p w:rsidR="003A4363" w:rsidRDefault="003A4363">
      <w:pPr>
        <w:pStyle w:val="Index2"/>
        <w:tabs>
          <w:tab w:val="right" w:leader="dot" w:pos="3479"/>
        </w:tabs>
        <w:rPr>
          <w:noProof/>
        </w:rPr>
      </w:pPr>
      <w:r>
        <w:rPr>
          <w:noProof/>
        </w:rPr>
        <w:t>Public Sector Integrity, 203–5</w:t>
      </w:r>
    </w:p>
    <w:p w:rsidR="003A4363" w:rsidRDefault="003A4363">
      <w:pPr>
        <w:pStyle w:val="Index2"/>
        <w:tabs>
          <w:tab w:val="right" w:leader="dot" w:pos="3479"/>
        </w:tabs>
        <w:rPr>
          <w:noProof/>
        </w:rPr>
      </w:pPr>
      <w:r>
        <w:rPr>
          <w:noProof/>
        </w:rPr>
        <w:t>Supporting Legal Processes and Law Reform, 37, 40, 189–92</w:t>
      </w:r>
    </w:p>
    <w:p w:rsidR="003A4363" w:rsidRDefault="003A4363">
      <w:pPr>
        <w:pStyle w:val="Index2"/>
        <w:tabs>
          <w:tab w:val="right" w:leader="dot" w:pos="3479"/>
        </w:tabs>
        <w:rPr>
          <w:noProof/>
        </w:rPr>
      </w:pPr>
      <w:r>
        <w:rPr>
          <w:noProof/>
        </w:rPr>
        <w:t>Supporting the State’s Fire and Emergency Services, 38, 41, 198–99</w:t>
      </w:r>
    </w:p>
    <w:p w:rsidR="003A4363" w:rsidRDefault="003A4363">
      <w:pPr>
        <w:pStyle w:val="Index1"/>
        <w:rPr>
          <w:noProof/>
        </w:rPr>
      </w:pPr>
      <w:r>
        <w:rPr>
          <w:noProof/>
        </w:rPr>
        <w:t xml:space="preserve">Department of Premier and Cabinet. </w:t>
      </w:r>
      <w:r w:rsidRPr="005D20AC">
        <w:rPr>
          <w:i/>
          <w:noProof/>
        </w:rPr>
        <w:t>See also</w:t>
      </w:r>
      <w:r>
        <w:rPr>
          <w:noProof/>
        </w:rPr>
        <w:t xml:space="preserve"> Budget Paper No. 5</w:t>
      </w:r>
    </w:p>
    <w:p w:rsidR="003A4363" w:rsidRDefault="003A4363">
      <w:pPr>
        <w:pStyle w:val="Index2"/>
        <w:tabs>
          <w:tab w:val="right" w:leader="dot" w:pos="3479"/>
        </w:tabs>
        <w:rPr>
          <w:noProof/>
        </w:rPr>
      </w:pPr>
      <w:r>
        <w:rPr>
          <w:noProof/>
        </w:rPr>
        <w:t>Arts and Cultural Development, 43, 46, 212–16</w:t>
      </w:r>
    </w:p>
    <w:p w:rsidR="003A4363" w:rsidRDefault="003A4363">
      <w:pPr>
        <w:pStyle w:val="Index2"/>
        <w:tabs>
          <w:tab w:val="right" w:leader="dot" w:pos="3479"/>
        </w:tabs>
        <w:rPr>
          <w:noProof/>
        </w:rPr>
      </w:pPr>
      <w:r>
        <w:rPr>
          <w:noProof/>
        </w:rPr>
        <w:t>Asset initiatives, 46</w:t>
      </w:r>
    </w:p>
    <w:p w:rsidR="003A4363" w:rsidRDefault="003A4363">
      <w:pPr>
        <w:pStyle w:val="Index2"/>
        <w:tabs>
          <w:tab w:val="right" w:leader="dot" w:pos="3479"/>
        </w:tabs>
        <w:rPr>
          <w:noProof/>
        </w:rPr>
      </w:pPr>
      <w:r>
        <w:rPr>
          <w:noProof/>
        </w:rPr>
        <w:t>Income from transactions, 208</w:t>
      </w:r>
    </w:p>
    <w:p w:rsidR="003A4363" w:rsidRDefault="003A4363">
      <w:pPr>
        <w:pStyle w:val="Index2"/>
        <w:tabs>
          <w:tab w:val="right" w:leader="dot" w:pos="3479"/>
        </w:tabs>
        <w:rPr>
          <w:noProof/>
        </w:rPr>
      </w:pPr>
      <w:r>
        <w:rPr>
          <w:noProof/>
        </w:rPr>
        <w:t>Output initiatives, 42</w:t>
      </w:r>
    </w:p>
    <w:p w:rsidR="003A4363" w:rsidRDefault="003A4363">
      <w:pPr>
        <w:pStyle w:val="Index2"/>
        <w:tabs>
          <w:tab w:val="right" w:leader="dot" w:pos="3479"/>
        </w:tabs>
        <w:rPr>
          <w:noProof/>
        </w:rPr>
      </w:pPr>
      <w:r>
        <w:rPr>
          <w:noProof/>
        </w:rPr>
        <w:t>Output performance measures for review, 315–18</w:t>
      </w:r>
    </w:p>
    <w:p w:rsidR="003A4363" w:rsidRDefault="003A4363">
      <w:pPr>
        <w:pStyle w:val="Index2"/>
        <w:tabs>
          <w:tab w:val="right" w:leader="dot" w:pos="3479"/>
        </w:tabs>
        <w:rPr>
          <w:noProof/>
        </w:rPr>
      </w:pPr>
      <w:r>
        <w:rPr>
          <w:noProof/>
        </w:rPr>
        <w:t>Output summary, 208</w:t>
      </w:r>
    </w:p>
    <w:p w:rsidR="003A4363" w:rsidRDefault="003A4363">
      <w:pPr>
        <w:pStyle w:val="Index2"/>
        <w:tabs>
          <w:tab w:val="right" w:leader="dot" w:pos="3479"/>
        </w:tabs>
        <w:rPr>
          <w:noProof/>
        </w:rPr>
      </w:pPr>
      <w:r>
        <w:rPr>
          <w:noProof/>
        </w:rPr>
        <w:t>Parliamentary authority for resources, 209</w:t>
      </w:r>
    </w:p>
    <w:p w:rsidR="003A4363" w:rsidRDefault="003A4363">
      <w:pPr>
        <w:pStyle w:val="Index2"/>
        <w:tabs>
          <w:tab w:val="right" w:leader="dot" w:pos="3479"/>
        </w:tabs>
        <w:rPr>
          <w:noProof/>
        </w:rPr>
      </w:pPr>
      <w:r>
        <w:rPr>
          <w:noProof/>
        </w:rPr>
        <w:t>Public Sector Management, Governance and Support, 45, 222–25</w:t>
      </w:r>
    </w:p>
    <w:p w:rsidR="003A4363" w:rsidRDefault="003A4363">
      <w:pPr>
        <w:pStyle w:val="Index2"/>
        <w:tabs>
          <w:tab w:val="right" w:leader="dot" w:pos="3479"/>
        </w:tabs>
        <w:rPr>
          <w:noProof/>
        </w:rPr>
      </w:pPr>
      <w:r>
        <w:rPr>
          <w:noProof/>
        </w:rPr>
        <w:t>Strategic Advice and Support, 210–11</w:t>
      </w:r>
    </w:p>
    <w:p w:rsidR="003A4363" w:rsidRDefault="003A4363">
      <w:pPr>
        <w:pStyle w:val="Index2"/>
        <w:tabs>
          <w:tab w:val="right" w:leader="dot" w:pos="3479"/>
        </w:tabs>
        <w:rPr>
          <w:noProof/>
        </w:rPr>
      </w:pPr>
      <w:r>
        <w:rPr>
          <w:noProof/>
        </w:rPr>
        <w:t>Supporting and Strengthening Communities, 43, 217–21</w:t>
      </w:r>
    </w:p>
    <w:p w:rsidR="003A4363" w:rsidRDefault="003A4363">
      <w:pPr>
        <w:pStyle w:val="Index1"/>
        <w:rPr>
          <w:noProof/>
        </w:rPr>
      </w:pPr>
      <w:r>
        <w:rPr>
          <w:noProof/>
        </w:rPr>
        <w:t xml:space="preserve">Department of State Development, Business and Innovation. </w:t>
      </w:r>
      <w:r w:rsidRPr="005D20AC">
        <w:rPr>
          <w:i/>
          <w:noProof/>
        </w:rPr>
        <w:t>See also</w:t>
      </w:r>
      <w:r>
        <w:rPr>
          <w:noProof/>
        </w:rPr>
        <w:t xml:space="preserve"> Budget Paper No. 5</w:t>
      </w:r>
    </w:p>
    <w:p w:rsidR="003A4363" w:rsidRDefault="003A4363">
      <w:pPr>
        <w:pStyle w:val="Index2"/>
        <w:tabs>
          <w:tab w:val="right" w:leader="dot" w:pos="3479"/>
        </w:tabs>
        <w:rPr>
          <w:noProof/>
        </w:rPr>
      </w:pPr>
      <w:r>
        <w:rPr>
          <w:noProof/>
        </w:rPr>
        <w:t>Asset initiatives, 54</w:t>
      </w:r>
    </w:p>
    <w:p w:rsidR="003A4363" w:rsidRDefault="003A4363">
      <w:pPr>
        <w:pStyle w:val="Index2"/>
        <w:tabs>
          <w:tab w:val="right" w:leader="dot" w:pos="3479"/>
        </w:tabs>
        <w:rPr>
          <w:noProof/>
        </w:rPr>
      </w:pPr>
      <w:r>
        <w:rPr>
          <w:noProof/>
        </w:rPr>
        <w:t>Developing Business and Innovation, 230–40</w:t>
      </w:r>
    </w:p>
    <w:p w:rsidR="003A4363" w:rsidRDefault="003A4363">
      <w:pPr>
        <w:pStyle w:val="Index2"/>
        <w:tabs>
          <w:tab w:val="right" w:leader="dot" w:pos="3479"/>
        </w:tabs>
        <w:rPr>
          <w:noProof/>
        </w:rPr>
      </w:pPr>
      <w:r>
        <w:rPr>
          <w:noProof/>
        </w:rPr>
        <w:t>Energy and Resources, 49</w:t>
      </w:r>
    </w:p>
    <w:p w:rsidR="003A4363" w:rsidRDefault="003A4363">
      <w:pPr>
        <w:pStyle w:val="Index2"/>
        <w:tabs>
          <w:tab w:val="right" w:leader="dot" w:pos="3479"/>
        </w:tabs>
        <w:rPr>
          <w:noProof/>
        </w:rPr>
      </w:pPr>
      <w:r>
        <w:rPr>
          <w:noProof/>
        </w:rPr>
        <w:t>Income from transactions, 228</w:t>
      </w:r>
    </w:p>
    <w:p w:rsidR="003A4363" w:rsidRDefault="003A4363">
      <w:pPr>
        <w:pStyle w:val="Index2"/>
        <w:tabs>
          <w:tab w:val="right" w:leader="dot" w:pos="3479"/>
        </w:tabs>
        <w:rPr>
          <w:noProof/>
        </w:rPr>
      </w:pPr>
      <w:r>
        <w:rPr>
          <w:noProof/>
        </w:rPr>
        <w:t>Innovation and Technology, 50, 54</w:t>
      </w:r>
    </w:p>
    <w:p w:rsidR="003A4363" w:rsidRDefault="003A4363">
      <w:pPr>
        <w:pStyle w:val="Index2"/>
        <w:tabs>
          <w:tab w:val="right" w:leader="dot" w:pos="3479"/>
        </w:tabs>
        <w:rPr>
          <w:noProof/>
        </w:rPr>
      </w:pPr>
      <w:r>
        <w:rPr>
          <w:noProof/>
        </w:rPr>
        <w:t>Investment Attraction, Facilitation and Major Projects, 51, 54</w:t>
      </w:r>
    </w:p>
    <w:p w:rsidR="003A4363" w:rsidRDefault="003A4363">
      <w:pPr>
        <w:pStyle w:val="Index2"/>
        <w:tabs>
          <w:tab w:val="right" w:leader="dot" w:pos="3479"/>
        </w:tabs>
        <w:rPr>
          <w:noProof/>
        </w:rPr>
      </w:pPr>
      <w:r>
        <w:rPr>
          <w:noProof/>
        </w:rPr>
        <w:t>Output initiatives, 49</w:t>
      </w:r>
    </w:p>
    <w:p w:rsidR="003A4363" w:rsidRDefault="003A4363">
      <w:pPr>
        <w:pStyle w:val="Index2"/>
        <w:tabs>
          <w:tab w:val="right" w:leader="dot" w:pos="3479"/>
        </w:tabs>
        <w:rPr>
          <w:noProof/>
        </w:rPr>
      </w:pPr>
      <w:r>
        <w:rPr>
          <w:noProof/>
        </w:rPr>
        <w:t>Output performance measures for review, 319–23</w:t>
      </w:r>
    </w:p>
    <w:p w:rsidR="003A4363" w:rsidRDefault="003A4363">
      <w:pPr>
        <w:pStyle w:val="Index2"/>
        <w:tabs>
          <w:tab w:val="right" w:leader="dot" w:pos="3479"/>
        </w:tabs>
        <w:rPr>
          <w:noProof/>
        </w:rPr>
      </w:pPr>
      <w:r>
        <w:rPr>
          <w:noProof/>
        </w:rPr>
        <w:t>Output summary, 227</w:t>
      </w:r>
    </w:p>
    <w:p w:rsidR="003A4363" w:rsidRDefault="003A4363">
      <w:pPr>
        <w:pStyle w:val="Index2"/>
        <w:tabs>
          <w:tab w:val="right" w:leader="dot" w:pos="3479"/>
        </w:tabs>
        <w:rPr>
          <w:noProof/>
        </w:rPr>
      </w:pPr>
      <w:r>
        <w:rPr>
          <w:noProof/>
        </w:rPr>
        <w:t>Parliamentary authority for resources, 229</w:t>
      </w:r>
    </w:p>
    <w:p w:rsidR="003A4363" w:rsidRDefault="003A4363">
      <w:pPr>
        <w:pStyle w:val="Index2"/>
        <w:tabs>
          <w:tab w:val="right" w:leader="dot" w:pos="3479"/>
        </w:tabs>
        <w:rPr>
          <w:noProof/>
        </w:rPr>
      </w:pPr>
      <w:r>
        <w:rPr>
          <w:noProof/>
        </w:rPr>
        <w:t>Regional Development and Regional Cities, 54</w:t>
      </w:r>
    </w:p>
    <w:p w:rsidR="003A4363" w:rsidRDefault="003A4363">
      <w:pPr>
        <w:pStyle w:val="Index2"/>
        <w:tabs>
          <w:tab w:val="right" w:leader="dot" w:pos="3479"/>
        </w:tabs>
        <w:rPr>
          <w:noProof/>
        </w:rPr>
      </w:pPr>
      <w:r>
        <w:rPr>
          <w:noProof/>
        </w:rPr>
        <w:t>Small Business Assistance, 52</w:t>
      </w:r>
    </w:p>
    <w:p w:rsidR="003A4363" w:rsidRDefault="003A4363">
      <w:pPr>
        <w:pStyle w:val="Index2"/>
        <w:tabs>
          <w:tab w:val="right" w:leader="dot" w:pos="3479"/>
        </w:tabs>
        <w:rPr>
          <w:noProof/>
        </w:rPr>
      </w:pPr>
      <w:r>
        <w:rPr>
          <w:noProof/>
        </w:rPr>
        <w:t>Tourism and Marketing, 52</w:t>
      </w:r>
    </w:p>
    <w:p w:rsidR="003A4363" w:rsidRDefault="003A4363">
      <w:pPr>
        <w:pStyle w:val="Index2"/>
        <w:tabs>
          <w:tab w:val="right" w:leader="dot" w:pos="3479"/>
        </w:tabs>
        <w:rPr>
          <w:noProof/>
        </w:rPr>
      </w:pPr>
      <w:r>
        <w:rPr>
          <w:noProof/>
        </w:rPr>
        <w:t>Trade and Export Facilitation, 53</w:t>
      </w:r>
    </w:p>
    <w:p w:rsidR="003A4363" w:rsidRDefault="003A4363">
      <w:pPr>
        <w:pStyle w:val="Index1"/>
        <w:rPr>
          <w:noProof/>
        </w:rPr>
      </w:pPr>
      <w:r>
        <w:rPr>
          <w:noProof/>
        </w:rPr>
        <w:t xml:space="preserve">Department of Transport, Planning and Local Infrastructure. </w:t>
      </w:r>
      <w:r w:rsidRPr="005D20AC">
        <w:rPr>
          <w:i/>
          <w:noProof/>
        </w:rPr>
        <w:t>See also</w:t>
      </w:r>
      <w:r>
        <w:rPr>
          <w:noProof/>
        </w:rPr>
        <w:t xml:space="preserve"> Budget Paper No. 5</w:t>
      </w:r>
    </w:p>
    <w:p w:rsidR="003A4363" w:rsidRDefault="003A4363">
      <w:pPr>
        <w:pStyle w:val="Index2"/>
        <w:tabs>
          <w:tab w:val="right" w:leader="dot" w:pos="3479"/>
        </w:tabs>
        <w:rPr>
          <w:noProof/>
        </w:rPr>
      </w:pPr>
      <w:r>
        <w:rPr>
          <w:noProof/>
        </w:rPr>
        <w:t>Asset initiatives, 65</w:t>
      </w:r>
    </w:p>
    <w:p w:rsidR="003A4363" w:rsidRDefault="003A4363">
      <w:pPr>
        <w:pStyle w:val="Index2"/>
        <w:tabs>
          <w:tab w:val="right" w:leader="dot" w:pos="3479"/>
        </w:tabs>
        <w:rPr>
          <w:noProof/>
        </w:rPr>
      </w:pPr>
      <w:r>
        <w:rPr>
          <w:noProof/>
        </w:rPr>
        <w:t>Income from transactions, 245</w:t>
      </w:r>
    </w:p>
    <w:p w:rsidR="003A4363" w:rsidRDefault="003A4363">
      <w:pPr>
        <w:pStyle w:val="Index2"/>
        <w:tabs>
          <w:tab w:val="right" w:leader="dot" w:pos="3479"/>
        </w:tabs>
        <w:rPr>
          <w:noProof/>
        </w:rPr>
      </w:pPr>
      <w:r>
        <w:rPr>
          <w:noProof/>
        </w:rPr>
        <w:t>Integrated Transport Services, 245–49</w:t>
      </w:r>
    </w:p>
    <w:p w:rsidR="003A4363" w:rsidRDefault="003A4363">
      <w:pPr>
        <w:pStyle w:val="Index2"/>
        <w:tabs>
          <w:tab w:val="right" w:leader="dot" w:pos="3479"/>
        </w:tabs>
        <w:rPr>
          <w:noProof/>
        </w:rPr>
      </w:pPr>
      <w:r>
        <w:rPr>
          <w:noProof/>
        </w:rPr>
        <w:t>Investing in Local Infrastructure, 250–52</w:t>
      </w:r>
    </w:p>
    <w:p w:rsidR="003A4363" w:rsidRDefault="003A4363">
      <w:pPr>
        <w:pStyle w:val="Index2"/>
        <w:tabs>
          <w:tab w:val="right" w:leader="dot" w:pos="3479"/>
        </w:tabs>
        <w:rPr>
          <w:noProof/>
        </w:rPr>
      </w:pPr>
      <w:r>
        <w:rPr>
          <w:noProof/>
        </w:rPr>
        <w:t>Land Administration, 253</w:t>
      </w:r>
    </w:p>
    <w:p w:rsidR="003A4363" w:rsidRDefault="003A4363">
      <w:pPr>
        <w:pStyle w:val="Index2"/>
        <w:tabs>
          <w:tab w:val="right" w:leader="dot" w:pos="3479"/>
        </w:tabs>
        <w:rPr>
          <w:noProof/>
        </w:rPr>
      </w:pPr>
      <w:r>
        <w:rPr>
          <w:noProof/>
        </w:rPr>
        <w:t>Metropolitan and Regional Planning and Development, 254–56</w:t>
      </w:r>
    </w:p>
    <w:p w:rsidR="003A4363" w:rsidRDefault="003A4363">
      <w:pPr>
        <w:pStyle w:val="Index2"/>
        <w:tabs>
          <w:tab w:val="right" w:leader="dot" w:pos="3479"/>
        </w:tabs>
        <w:rPr>
          <w:noProof/>
        </w:rPr>
      </w:pPr>
      <w:r>
        <w:rPr>
          <w:noProof/>
        </w:rPr>
        <w:t>Output initiatives, 56</w:t>
      </w:r>
    </w:p>
    <w:p w:rsidR="003A4363" w:rsidRDefault="003A4363">
      <w:pPr>
        <w:pStyle w:val="Index2"/>
        <w:tabs>
          <w:tab w:val="right" w:leader="dot" w:pos="3479"/>
        </w:tabs>
        <w:rPr>
          <w:noProof/>
        </w:rPr>
      </w:pPr>
      <w:r>
        <w:rPr>
          <w:noProof/>
        </w:rPr>
        <w:t>Output performance measures for review, 324–27</w:t>
      </w:r>
    </w:p>
    <w:p w:rsidR="003A4363" w:rsidRDefault="003A4363">
      <w:pPr>
        <w:pStyle w:val="Index2"/>
        <w:tabs>
          <w:tab w:val="right" w:leader="dot" w:pos="3479"/>
        </w:tabs>
        <w:rPr>
          <w:noProof/>
        </w:rPr>
      </w:pPr>
      <w:r>
        <w:rPr>
          <w:noProof/>
        </w:rPr>
        <w:t>Output summary, 244</w:t>
      </w:r>
    </w:p>
    <w:p w:rsidR="003A4363" w:rsidRDefault="003A4363">
      <w:pPr>
        <w:pStyle w:val="Index2"/>
        <w:tabs>
          <w:tab w:val="right" w:leader="dot" w:pos="3479"/>
        </w:tabs>
        <w:rPr>
          <w:noProof/>
        </w:rPr>
      </w:pPr>
      <w:r>
        <w:rPr>
          <w:noProof/>
        </w:rPr>
        <w:t>Parliamentary authority for resources, 245</w:t>
      </w:r>
    </w:p>
    <w:p w:rsidR="003A4363" w:rsidRDefault="003A4363">
      <w:pPr>
        <w:pStyle w:val="Index2"/>
        <w:tabs>
          <w:tab w:val="right" w:leader="dot" w:pos="3479"/>
        </w:tabs>
        <w:rPr>
          <w:noProof/>
        </w:rPr>
      </w:pPr>
      <w:r>
        <w:rPr>
          <w:noProof/>
        </w:rPr>
        <w:t>Planning, Building and Heritage, 63</w:t>
      </w:r>
    </w:p>
    <w:p w:rsidR="003A4363" w:rsidRDefault="003A4363">
      <w:pPr>
        <w:pStyle w:val="Index2"/>
        <w:tabs>
          <w:tab w:val="right" w:leader="dot" w:pos="3479"/>
        </w:tabs>
        <w:rPr>
          <w:noProof/>
        </w:rPr>
      </w:pPr>
      <w:r>
        <w:rPr>
          <w:noProof/>
        </w:rPr>
        <w:t>Public Transport Network Improvements and Maintenance, 60, 66</w:t>
      </w:r>
    </w:p>
    <w:p w:rsidR="003A4363" w:rsidRDefault="003A4363">
      <w:pPr>
        <w:pStyle w:val="Index2"/>
        <w:tabs>
          <w:tab w:val="right" w:leader="dot" w:pos="3479"/>
        </w:tabs>
        <w:rPr>
          <w:noProof/>
        </w:rPr>
      </w:pPr>
      <w:r>
        <w:rPr>
          <w:noProof/>
        </w:rPr>
        <w:t>Transport Safety and Security, 257–63</w:t>
      </w:r>
    </w:p>
    <w:p w:rsidR="003A4363" w:rsidRDefault="003A4363">
      <w:pPr>
        <w:pStyle w:val="Index2"/>
        <w:tabs>
          <w:tab w:val="right" w:leader="dot" w:pos="3479"/>
        </w:tabs>
        <w:rPr>
          <w:noProof/>
        </w:rPr>
      </w:pPr>
      <w:r>
        <w:rPr>
          <w:noProof/>
        </w:rPr>
        <w:t>Transport System Development and Maintenance, 264–70</w:t>
      </w:r>
    </w:p>
    <w:p w:rsidR="003A4363" w:rsidRDefault="003A4363">
      <w:pPr>
        <w:pStyle w:val="Index1"/>
        <w:rPr>
          <w:noProof/>
        </w:rPr>
      </w:pPr>
      <w:r>
        <w:rPr>
          <w:noProof/>
        </w:rPr>
        <w:t xml:space="preserve">Department of Treasury and Finance. </w:t>
      </w:r>
      <w:r w:rsidRPr="005D20AC">
        <w:rPr>
          <w:i/>
          <w:noProof/>
        </w:rPr>
        <w:t>See also</w:t>
      </w:r>
      <w:r>
        <w:rPr>
          <w:noProof/>
        </w:rPr>
        <w:t xml:space="preserve"> Budget Paper No. 5</w:t>
      </w:r>
    </w:p>
    <w:p w:rsidR="003A4363" w:rsidRDefault="003A4363">
      <w:pPr>
        <w:pStyle w:val="Index2"/>
        <w:tabs>
          <w:tab w:val="right" w:leader="dot" w:pos="3479"/>
        </w:tabs>
        <w:rPr>
          <w:noProof/>
        </w:rPr>
      </w:pPr>
      <w:r>
        <w:rPr>
          <w:noProof/>
        </w:rPr>
        <w:t>Asset initiatives, 73</w:t>
      </w:r>
    </w:p>
    <w:p w:rsidR="003A4363" w:rsidRDefault="003A4363">
      <w:pPr>
        <w:pStyle w:val="Index2"/>
        <w:tabs>
          <w:tab w:val="right" w:leader="dot" w:pos="3479"/>
        </w:tabs>
        <w:rPr>
          <w:noProof/>
        </w:rPr>
      </w:pPr>
      <w:r>
        <w:rPr>
          <w:noProof/>
        </w:rPr>
        <w:t>Financial Management Services, 275–78</w:t>
      </w:r>
    </w:p>
    <w:p w:rsidR="003A4363" w:rsidRDefault="003A4363">
      <w:pPr>
        <w:pStyle w:val="Index2"/>
        <w:tabs>
          <w:tab w:val="right" w:leader="dot" w:pos="3479"/>
        </w:tabs>
        <w:rPr>
          <w:noProof/>
        </w:rPr>
      </w:pPr>
      <w:r>
        <w:rPr>
          <w:noProof/>
        </w:rPr>
        <w:t>Income from transactions, 273</w:t>
      </w:r>
    </w:p>
    <w:p w:rsidR="003A4363" w:rsidRDefault="003A4363">
      <w:pPr>
        <w:pStyle w:val="Index2"/>
        <w:tabs>
          <w:tab w:val="right" w:leader="dot" w:pos="3479"/>
        </w:tabs>
        <w:rPr>
          <w:noProof/>
        </w:rPr>
      </w:pPr>
      <w:r>
        <w:rPr>
          <w:noProof/>
        </w:rPr>
        <w:t>Output initiatives, 73</w:t>
      </w:r>
    </w:p>
    <w:p w:rsidR="003A4363" w:rsidRDefault="003A4363">
      <w:pPr>
        <w:pStyle w:val="Index2"/>
        <w:tabs>
          <w:tab w:val="right" w:leader="dot" w:pos="3479"/>
        </w:tabs>
        <w:rPr>
          <w:noProof/>
        </w:rPr>
      </w:pPr>
      <w:r>
        <w:rPr>
          <w:noProof/>
        </w:rPr>
        <w:t>Output summary, 273</w:t>
      </w:r>
    </w:p>
    <w:p w:rsidR="003A4363" w:rsidRDefault="003A4363">
      <w:pPr>
        <w:pStyle w:val="Index2"/>
        <w:tabs>
          <w:tab w:val="right" w:leader="dot" w:pos="3479"/>
        </w:tabs>
        <w:rPr>
          <w:noProof/>
        </w:rPr>
      </w:pPr>
      <w:r>
        <w:rPr>
          <w:noProof/>
        </w:rPr>
        <w:t>Parliamentary authority for resources, 274</w:t>
      </w:r>
    </w:p>
    <w:p w:rsidR="003A4363" w:rsidRDefault="003A4363">
      <w:pPr>
        <w:pStyle w:val="Index2"/>
        <w:tabs>
          <w:tab w:val="right" w:leader="dot" w:pos="3479"/>
        </w:tabs>
        <w:rPr>
          <w:noProof/>
        </w:rPr>
      </w:pPr>
      <w:r>
        <w:rPr>
          <w:noProof/>
        </w:rPr>
        <w:t>Regulatory Services, 73, 279–81</w:t>
      </w:r>
    </w:p>
    <w:p w:rsidR="003A4363" w:rsidRDefault="003A4363">
      <w:pPr>
        <w:pStyle w:val="Index2"/>
        <w:tabs>
          <w:tab w:val="right" w:leader="dot" w:pos="3479"/>
        </w:tabs>
        <w:rPr>
          <w:noProof/>
        </w:rPr>
      </w:pPr>
      <w:r>
        <w:rPr>
          <w:noProof/>
        </w:rPr>
        <w:t>Resource Management Services, 282–83</w:t>
      </w:r>
    </w:p>
    <w:p w:rsidR="003A4363" w:rsidRDefault="003A4363">
      <w:pPr>
        <w:pStyle w:val="Index2"/>
        <w:tabs>
          <w:tab w:val="right" w:leader="dot" w:pos="3479"/>
        </w:tabs>
        <w:rPr>
          <w:noProof/>
        </w:rPr>
      </w:pPr>
      <w:r>
        <w:rPr>
          <w:noProof/>
        </w:rPr>
        <w:t>Revenue Management Services, 74, 284–85</w:t>
      </w:r>
    </w:p>
    <w:p w:rsidR="003A4363" w:rsidRDefault="003A4363">
      <w:pPr>
        <w:pStyle w:val="Index2"/>
        <w:tabs>
          <w:tab w:val="right" w:leader="dot" w:pos="3479"/>
        </w:tabs>
        <w:rPr>
          <w:noProof/>
        </w:rPr>
      </w:pPr>
      <w:r>
        <w:rPr>
          <w:noProof/>
        </w:rPr>
        <w:t>Risk Management Services, 286–87</w:t>
      </w:r>
    </w:p>
    <w:p w:rsidR="003A4363" w:rsidRDefault="003A4363">
      <w:pPr>
        <w:pStyle w:val="Index2"/>
        <w:tabs>
          <w:tab w:val="right" w:leader="dot" w:pos="3479"/>
        </w:tabs>
        <w:rPr>
          <w:noProof/>
        </w:rPr>
      </w:pPr>
      <w:r>
        <w:rPr>
          <w:noProof/>
        </w:rPr>
        <w:t>Strategic Policy Advice, 288–92</w:t>
      </w:r>
    </w:p>
    <w:p w:rsidR="003A4363" w:rsidRDefault="003A4363">
      <w:pPr>
        <w:pStyle w:val="Index1"/>
        <w:rPr>
          <w:noProof/>
        </w:rPr>
      </w:pPr>
      <w:r>
        <w:rPr>
          <w:noProof/>
        </w:rPr>
        <w:t>Disability</w:t>
      </w:r>
    </w:p>
    <w:p w:rsidR="003A4363" w:rsidRDefault="003A4363">
      <w:pPr>
        <w:pStyle w:val="Index2"/>
        <w:tabs>
          <w:tab w:val="right" w:leader="dot" w:pos="3479"/>
        </w:tabs>
        <w:rPr>
          <w:noProof/>
        </w:rPr>
      </w:pPr>
      <w:r>
        <w:rPr>
          <w:noProof/>
        </w:rPr>
        <w:t>Disability Services, 164–66</w:t>
      </w:r>
    </w:p>
    <w:p w:rsidR="003A4363" w:rsidRDefault="003A4363">
      <w:pPr>
        <w:pStyle w:val="Index2"/>
        <w:tabs>
          <w:tab w:val="right" w:leader="dot" w:pos="3479"/>
        </w:tabs>
        <w:rPr>
          <w:noProof/>
        </w:rPr>
      </w:pPr>
      <w:r>
        <w:rPr>
          <w:noProof/>
        </w:rPr>
        <w:t>Support for Students with Disabilities, 105</w:t>
      </w:r>
    </w:p>
    <w:p w:rsidR="003A4363" w:rsidRDefault="003A4363">
      <w:pPr>
        <w:pStyle w:val="Index1"/>
        <w:rPr>
          <w:noProof/>
        </w:rPr>
      </w:pPr>
      <w:r>
        <w:rPr>
          <w:noProof/>
        </w:rPr>
        <w:t>Drug Services, 158–60</w:t>
      </w:r>
    </w:p>
    <w:p w:rsidR="003A4363" w:rsidRDefault="003A4363">
      <w:pPr>
        <w:pStyle w:val="IndexHeading"/>
        <w:keepNext/>
        <w:tabs>
          <w:tab w:val="right" w:leader="dot" w:pos="3479"/>
        </w:tabs>
        <w:rPr>
          <w:rFonts w:eastAsiaTheme="minorEastAsia" w:cstheme="minorBidi"/>
          <w:b w:val="0"/>
          <w:bCs w:val="0"/>
          <w:noProof/>
        </w:rPr>
      </w:pPr>
      <w:r>
        <w:rPr>
          <w:noProof/>
        </w:rPr>
        <w:t>E</w:t>
      </w:r>
    </w:p>
    <w:p w:rsidR="003A4363" w:rsidRDefault="003A4363">
      <w:pPr>
        <w:pStyle w:val="Index1"/>
        <w:rPr>
          <w:noProof/>
        </w:rPr>
      </w:pPr>
      <w:r>
        <w:rPr>
          <w:noProof/>
        </w:rPr>
        <w:t>Early Childhood Development, 9–10, 90–91</w:t>
      </w:r>
    </w:p>
    <w:p w:rsidR="003A4363" w:rsidRDefault="003A4363">
      <w:pPr>
        <w:pStyle w:val="Index1"/>
        <w:rPr>
          <w:noProof/>
        </w:rPr>
      </w:pPr>
      <w:r>
        <w:rPr>
          <w:noProof/>
        </w:rPr>
        <w:t>East West Link – Western Section, 2, 67</w:t>
      </w:r>
    </w:p>
    <w:p w:rsidR="003A4363" w:rsidRDefault="003A4363">
      <w:pPr>
        <w:pStyle w:val="Index1"/>
        <w:rPr>
          <w:noProof/>
        </w:rPr>
      </w:pPr>
      <w:r>
        <w:rPr>
          <w:noProof/>
        </w:rPr>
        <w:t xml:space="preserve">Education. </w:t>
      </w:r>
      <w:r w:rsidRPr="005D20AC">
        <w:rPr>
          <w:i/>
          <w:noProof/>
        </w:rPr>
        <w:t xml:space="preserve">See </w:t>
      </w:r>
      <w:r>
        <w:rPr>
          <w:noProof/>
        </w:rPr>
        <w:t>Department of Education and Early Childhood Development</w:t>
      </w:r>
    </w:p>
    <w:p w:rsidR="003A4363" w:rsidRDefault="003A4363">
      <w:pPr>
        <w:pStyle w:val="Index1"/>
        <w:rPr>
          <w:noProof/>
        </w:rPr>
      </w:pPr>
      <w:r>
        <w:rPr>
          <w:noProof/>
          <w:lang w:eastAsia="en-AU"/>
        </w:rPr>
        <w:t>Effective environmental and adaptation policy, investment and regulations</w:t>
      </w:r>
      <w:r>
        <w:rPr>
          <w:noProof/>
        </w:rPr>
        <w:t>, 116–19</w:t>
      </w:r>
    </w:p>
    <w:p w:rsidR="003A4363" w:rsidRDefault="003A4363">
      <w:pPr>
        <w:pStyle w:val="Index1"/>
        <w:rPr>
          <w:noProof/>
        </w:rPr>
      </w:pPr>
      <w:r>
        <w:rPr>
          <w:noProof/>
          <w:lang w:eastAsia="en-AU"/>
        </w:rPr>
        <w:t>Effective management of water resources to meet future urban, rural and environmental needs</w:t>
      </w:r>
      <w:r>
        <w:rPr>
          <w:noProof/>
        </w:rPr>
        <w:t>, 120–22</w:t>
      </w:r>
    </w:p>
    <w:p w:rsidR="003A4363" w:rsidRDefault="003A4363">
      <w:pPr>
        <w:pStyle w:val="Index1"/>
        <w:rPr>
          <w:noProof/>
        </w:rPr>
      </w:pPr>
      <w:r>
        <w:rPr>
          <w:noProof/>
        </w:rPr>
        <w:t>Efficiency and expenditure reduction measures, 79</w:t>
      </w:r>
    </w:p>
    <w:p w:rsidR="003A4363" w:rsidRDefault="003A4363">
      <w:pPr>
        <w:pStyle w:val="Index1"/>
        <w:rPr>
          <w:noProof/>
        </w:rPr>
      </w:pPr>
      <w:r>
        <w:rPr>
          <w:noProof/>
          <w:lang w:eastAsia="en-AU"/>
        </w:rPr>
        <w:t>Emergency Services</w:t>
      </w:r>
      <w:r>
        <w:rPr>
          <w:noProof/>
        </w:rPr>
        <w:t>, 141–43, 198–99</w:t>
      </w:r>
    </w:p>
    <w:p w:rsidR="003A4363" w:rsidRDefault="003A4363">
      <w:pPr>
        <w:pStyle w:val="Index1"/>
        <w:rPr>
          <w:noProof/>
        </w:rPr>
      </w:pPr>
      <w:r>
        <w:rPr>
          <w:noProof/>
        </w:rPr>
        <w:t>Environmental and Adaptation Policy, Investment and Regulation, 16</w:t>
      </w:r>
    </w:p>
    <w:p w:rsidR="003A4363" w:rsidRDefault="003A4363">
      <w:pPr>
        <w:pStyle w:val="Index1"/>
        <w:rPr>
          <w:noProof/>
        </w:rPr>
      </w:pPr>
      <w:r>
        <w:rPr>
          <w:noProof/>
        </w:rPr>
        <w:t>Environmental Sustainability Framework, 334</w:t>
      </w:r>
    </w:p>
    <w:p w:rsidR="003A4363" w:rsidRDefault="003A4363">
      <w:pPr>
        <w:pStyle w:val="IndexHeading"/>
        <w:keepNext/>
        <w:tabs>
          <w:tab w:val="right" w:leader="dot" w:pos="3479"/>
        </w:tabs>
        <w:rPr>
          <w:rFonts w:eastAsiaTheme="minorEastAsia" w:cstheme="minorBidi"/>
          <w:b w:val="0"/>
          <w:bCs w:val="0"/>
          <w:noProof/>
        </w:rPr>
      </w:pPr>
      <w:r>
        <w:rPr>
          <w:noProof/>
        </w:rPr>
        <w:t>F</w:t>
      </w:r>
    </w:p>
    <w:p w:rsidR="003A4363" w:rsidRDefault="003A4363">
      <w:pPr>
        <w:pStyle w:val="Index1"/>
        <w:rPr>
          <w:noProof/>
        </w:rPr>
      </w:pPr>
      <w:r>
        <w:rPr>
          <w:noProof/>
          <w:lang w:eastAsia="en-AU"/>
        </w:rPr>
        <w:t>Financial Management Services</w:t>
      </w:r>
      <w:r>
        <w:rPr>
          <w:noProof/>
        </w:rPr>
        <w:t>, 275–78</w:t>
      </w:r>
    </w:p>
    <w:p w:rsidR="003A4363" w:rsidRDefault="003A4363">
      <w:pPr>
        <w:pStyle w:val="Index1"/>
        <w:rPr>
          <w:noProof/>
        </w:rPr>
      </w:pPr>
      <w:r w:rsidRPr="005D20AC">
        <w:rPr>
          <w:i/>
          <w:noProof/>
        </w:rPr>
        <w:t>Food and Agriculture into Asia</w:t>
      </w:r>
      <w:r>
        <w:rPr>
          <w:noProof/>
        </w:rPr>
        <w:t>, 15, 112</w:t>
      </w:r>
    </w:p>
    <w:p w:rsidR="003A4363" w:rsidRDefault="003A4363">
      <w:pPr>
        <w:pStyle w:val="IndexHeading"/>
        <w:keepNext/>
        <w:tabs>
          <w:tab w:val="right" w:leader="dot" w:pos="3479"/>
        </w:tabs>
        <w:rPr>
          <w:rFonts w:eastAsiaTheme="minorEastAsia" w:cstheme="minorBidi"/>
          <w:b w:val="0"/>
          <w:bCs w:val="0"/>
          <w:noProof/>
        </w:rPr>
      </w:pPr>
      <w:r>
        <w:rPr>
          <w:noProof/>
        </w:rPr>
        <w:t>G</w:t>
      </w:r>
    </w:p>
    <w:p w:rsidR="003A4363" w:rsidRDefault="003A4363">
      <w:pPr>
        <w:pStyle w:val="Index1"/>
        <w:rPr>
          <w:noProof/>
        </w:rPr>
      </w:pPr>
      <w:r w:rsidRPr="005D20AC">
        <w:rPr>
          <w:i/>
          <w:noProof/>
        </w:rPr>
        <w:t>Global Health Melbourne Plan</w:t>
      </w:r>
      <w:r>
        <w:rPr>
          <w:noProof/>
        </w:rPr>
        <w:t>, 53</w:t>
      </w:r>
    </w:p>
    <w:p w:rsidR="003A4363" w:rsidRDefault="003A4363">
      <w:pPr>
        <w:pStyle w:val="Index1"/>
        <w:rPr>
          <w:noProof/>
        </w:rPr>
      </w:pPr>
      <w:r>
        <w:rPr>
          <w:noProof/>
        </w:rPr>
        <w:t>Grants and transfers to local government, 331, 332</w:t>
      </w:r>
    </w:p>
    <w:p w:rsidR="003A4363" w:rsidRDefault="003A4363">
      <w:pPr>
        <w:pStyle w:val="IndexHeading"/>
        <w:keepNext/>
        <w:tabs>
          <w:tab w:val="right" w:leader="dot" w:pos="3479"/>
        </w:tabs>
        <w:rPr>
          <w:rFonts w:eastAsiaTheme="minorEastAsia" w:cstheme="minorBidi"/>
          <w:b w:val="0"/>
          <w:bCs w:val="0"/>
          <w:noProof/>
        </w:rPr>
      </w:pPr>
      <w:r>
        <w:rPr>
          <w:noProof/>
        </w:rPr>
        <w:t>H</w:t>
      </w:r>
    </w:p>
    <w:p w:rsidR="003A4363" w:rsidRDefault="003A4363">
      <w:pPr>
        <w:pStyle w:val="Index1"/>
        <w:rPr>
          <w:noProof/>
        </w:rPr>
      </w:pPr>
      <w:r>
        <w:rPr>
          <w:noProof/>
        </w:rPr>
        <w:t xml:space="preserve">Health. </w:t>
      </w:r>
      <w:r w:rsidRPr="005D20AC">
        <w:rPr>
          <w:i/>
          <w:noProof/>
        </w:rPr>
        <w:t>See also</w:t>
      </w:r>
      <w:r>
        <w:rPr>
          <w:noProof/>
        </w:rPr>
        <w:t xml:space="preserve"> Department of Health</w:t>
      </w:r>
    </w:p>
    <w:p w:rsidR="003A4363" w:rsidRDefault="003A4363">
      <w:pPr>
        <w:pStyle w:val="Index2"/>
        <w:tabs>
          <w:tab w:val="right" w:leader="dot" w:pos="3479"/>
        </w:tabs>
        <w:rPr>
          <w:noProof/>
        </w:rPr>
      </w:pPr>
      <w:r>
        <w:rPr>
          <w:noProof/>
        </w:rPr>
        <w:t>Maternal Child Health, 331, 334</w:t>
      </w:r>
    </w:p>
    <w:p w:rsidR="003A4363" w:rsidRDefault="003A4363">
      <w:pPr>
        <w:pStyle w:val="Index2"/>
        <w:tabs>
          <w:tab w:val="right" w:leader="dot" w:pos="3479"/>
        </w:tabs>
        <w:rPr>
          <w:noProof/>
        </w:rPr>
      </w:pPr>
      <w:r>
        <w:rPr>
          <w:noProof/>
        </w:rPr>
        <w:t>Small Rural Services, 152–54</w:t>
      </w:r>
    </w:p>
    <w:p w:rsidR="003A4363" w:rsidRDefault="003A4363">
      <w:pPr>
        <w:pStyle w:val="Index1"/>
        <w:rPr>
          <w:noProof/>
        </w:rPr>
      </w:pPr>
      <w:r>
        <w:rPr>
          <w:noProof/>
        </w:rPr>
        <w:t>Higher Education and Skills, 10, 100–102</w:t>
      </w:r>
    </w:p>
    <w:p w:rsidR="003A4363" w:rsidRDefault="003A4363">
      <w:pPr>
        <w:pStyle w:val="Index1"/>
        <w:rPr>
          <w:noProof/>
        </w:rPr>
      </w:pPr>
      <w:r>
        <w:rPr>
          <w:noProof/>
        </w:rPr>
        <w:t>Home and Community Care, 331, 334</w:t>
      </w:r>
    </w:p>
    <w:p w:rsidR="003A4363" w:rsidRDefault="003A4363">
      <w:pPr>
        <w:pStyle w:val="Index1"/>
        <w:rPr>
          <w:noProof/>
        </w:rPr>
      </w:pPr>
      <w:r>
        <w:rPr>
          <w:noProof/>
          <w:lang w:eastAsia="en-AU"/>
        </w:rPr>
        <w:t>Housing Assistance</w:t>
      </w:r>
      <w:r>
        <w:rPr>
          <w:noProof/>
        </w:rPr>
        <w:t>, 174–76</w:t>
      </w:r>
    </w:p>
    <w:p w:rsidR="003A4363" w:rsidRDefault="003A4363">
      <w:pPr>
        <w:pStyle w:val="IndexHeading"/>
        <w:keepNext/>
        <w:tabs>
          <w:tab w:val="right" w:leader="dot" w:pos="3479"/>
        </w:tabs>
        <w:rPr>
          <w:rFonts w:eastAsiaTheme="minorEastAsia" w:cstheme="minorBidi"/>
          <w:b w:val="0"/>
          <w:bCs w:val="0"/>
          <w:noProof/>
        </w:rPr>
      </w:pPr>
      <w:r>
        <w:rPr>
          <w:noProof/>
        </w:rPr>
        <w:t>I</w:t>
      </w:r>
    </w:p>
    <w:p w:rsidR="003A4363" w:rsidRDefault="003A4363">
      <w:pPr>
        <w:pStyle w:val="Index1"/>
        <w:rPr>
          <w:noProof/>
        </w:rPr>
      </w:pPr>
      <w:r>
        <w:rPr>
          <w:noProof/>
        </w:rPr>
        <w:t>Industry regulation, 200–202</w:t>
      </w:r>
    </w:p>
    <w:p w:rsidR="003A4363" w:rsidRDefault="003A4363">
      <w:pPr>
        <w:pStyle w:val="Index1"/>
        <w:rPr>
          <w:noProof/>
        </w:rPr>
      </w:pPr>
      <w:r>
        <w:rPr>
          <w:noProof/>
          <w:lang w:eastAsia="en-AU"/>
        </w:rPr>
        <w:t>Infrastructure</w:t>
      </w:r>
      <w:r>
        <w:rPr>
          <w:noProof/>
        </w:rPr>
        <w:t>, 329</w:t>
      </w:r>
    </w:p>
    <w:p w:rsidR="003A4363" w:rsidRDefault="003A4363">
      <w:pPr>
        <w:pStyle w:val="Index2"/>
        <w:tabs>
          <w:tab w:val="right" w:leader="dot" w:pos="3479"/>
        </w:tabs>
        <w:rPr>
          <w:noProof/>
        </w:rPr>
      </w:pPr>
      <w:r>
        <w:rPr>
          <w:noProof/>
        </w:rPr>
        <w:t>Investing in Local Infrastructure, 250–52</w:t>
      </w:r>
    </w:p>
    <w:p w:rsidR="003A4363" w:rsidRDefault="003A4363">
      <w:pPr>
        <w:pStyle w:val="IndexHeading"/>
        <w:keepNext/>
        <w:tabs>
          <w:tab w:val="right" w:leader="dot" w:pos="3479"/>
        </w:tabs>
        <w:rPr>
          <w:rFonts w:eastAsiaTheme="minorEastAsia" w:cstheme="minorBidi"/>
          <w:b w:val="0"/>
          <w:bCs w:val="0"/>
          <w:noProof/>
        </w:rPr>
      </w:pPr>
      <w:r>
        <w:rPr>
          <w:noProof/>
        </w:rPr>
        <w:t>J</w:t>
      </w:r>
    </w:p>
    <w:p w:rsidR="003A4363" w:rsidRDefault="003A4363">
      <w:pPr>
        <w:pStyle w:val="Index1"/>
        <w:rPr>
          <w:noProof/>
        </w:rPr>
      </w:pPr>
      <w:r>
        <w:rPr>
          <w:noProof/>
        </w:rPr>
        <w:t xml:space="preserve">Justice. </w:t>
      </w:r>
      <w:r w:rsidRPr="005D20AC">
        <w:rPr>
          <w:i/>
          <w:noProof/>
        </w:rPr>
        <w:t>See</w:t>
      </w:r>
      <w:r>
        <w:rPr>
          <w:noProof/>
        </w:rPr>
        <w:t xml:space="preserve"> Department of Justice</w:t>
      </w:r>
    </w:p>
    <w:p w:rsidR="003A4363" w:rsidRDefault="003A4363">
      <w:pPr>
        <w:pStyle w:val="IndexHeading"/>
        <w:keepNext/>
        <w:tabs>
          <w:tab w:val="right" w:leader="dot" w:pos="3479"/>
        </w:tabs>
        <w:rPr>
          <w:rFonts w:eastAsiaTheme="minorEastAsia" w:cstheme="minorBidi"/>
          <w:b w:val="0"/>
          <w:bCs w:val="0"/>
          <w:noProof/>
        </w:rPr>
      </w:pPr>
      <w:r>
        <w:rPr>
          <w:noProof/>
        </w:rPr>
        <w:t>L</w:t>
      </w:r>
    </w:p>
    <w:p w:rsidR="003A4363" w:rsidRDefault="003A4363">
      <w:pPr>
        <w:pStyle w:val="Index1"/>
        <w:rPr>
          <w:noProof/>
        </w:rPr>
      </w:pPr>
      <w:r>
        <w:rPr>
          <w:noProof/>
        </w:rPr>
        <w:t>Land Administration, 253</w:t>
      </w:r>
    </w:p>
    <w:p w:rsidR="003A4363" w:rsidRDefault="003A4363">
      <w:pPr>
        <w:pStyle w:val="Index1"/>
        <w:rPr>
          <w:noProof/>
        </w:rPr>
      </w:pPr>
      <w:r>
        <w:rPr>
          <w:noProof/>
        </w:rPr>
        <w:t>Land Release Program, 335</w:t>
      </w:r>
    </w:p>
    <w:p w:rsidR="003A4363" w:rsidRDefault="003A4363">
      <w:pPr>
        <w:pStyle w:val="Index1"/>
        <w:rPr>
          <w:noProof/>
        </w:rPr>
      </w:pPr>
      <w:r>
        <w:rPr>
          <w:noProof/>
          <w:lang w:eastAsia="en-AU"/>
        </w:rPr>
        <w:t>Law</w:t>
      </w:r>
    </w:p>
    <w:p w:rsidR="003A4363" w:rsidRDefault="003A4363">
      <w:pPr>
        <w:pStyle w:val="Index2"/>
        <w:tabs>
          <w:tab w:val="right" w:leader="dot" w:pos="3479"/>
        </w:tabs>
        <w:rPr>
          <w:noProof/>
        </w:rPr>
      </w:pPr>
      <w:r>
        <w:rPr>
          <w:noProof/>
        </w:rPr>
        <w:t>Enforcing and Managing Correctional Orders, 196–97</w:t>
      </w:r>
    </w:p>
    <w:p w:rsidR="003A4363" w:rsidRDefault="003A4363">
      <w:pPr>
        <w:pStyle w:val="Index2"/>
        <w:tabs>
          <w:tab w:val="right" w:leader="dot" w:pos="3479"/>
        </w:tabs>
        <w:rPr>
          <w:noProof/>
        </w:rPr>
      </w:pPr>
      <w:r>
        <w:rPr>
          <w:noProof/>
        </w:rPr>
        <w:t>Infringements and Enhancing Community Safety, 187–88</w:t>
      </w:r>
    </w:p>
    <w:p w:rsidR="003A4363" w:rsidRDefault="003A4363">
      <w:pPr>
        <w:pStyle w:val="Index2"/>
        <w:tabs>
          <w:tab w:val="right" w:leader="dot" w:pos="3479"/>
        </w:tabs>
        <w:rPr>
          <w:noProof/>
        </w:rPr>
      </w:pPr>
      <w:r>
        <w:rPr>
          <w:noProof/>
        </w:rPr>
        <w:t>Law Reform, 330</w:t>
      </w:r>
    </w:p>
    <w:p w:rsidR="003A4363" w:rsidRDefault="003A4363">
      <w:pPr>
        <w:pStyle w:val="Index2"/>
        <w:tabs>
          <w:tab w:val="right" w:leader="dot" w:pos="3479"/>
        </w:tabs>
        <w:rPr>
          <w:noProof/>
        </w:rPr>
      </w:pPr>
      <w:r>
        <w:rPr>
          <w:noProof/>
        </w:rPr>
        <w:t>Personal Identity, Individual Rights and Participation in Civic Life, 193–95</w:t>
      </w:r>
    </w:p>
    <w:p w:rsidR="003A4363" w:rsidRDefault="003A4363">
      <w:pPr>
        <w:pStyle w:val="Index2"/>
        <w:tabs>
          <w:tab w:val="right" w:leader="dot" w:pos="3479"/>
        </w:tabs>
        <w:rPr>
          <w:noProof/>
        </w:rPr>
      </w:pPr>
      <w:r>
        <w:rPr>
          <w:noProof/>
        </w:rPr>
        <w:t>Supporting Legal Processes and Law Reform, 189–92</w:t>
      </w:r>
    </w:p>
    <w:p w:rsidR="003A4363" w:rsidRDefault="003A4363">
      <w:pPr>
        <w:pStyle w:val="Index1"/>
        <w:rPr>
          <w:noProof/>
        </w:rPr>
      </w:pPr>
      <w:r>
        <w:rPr>
          <w:noProof/>
        </w:rPr>
        <w:t>Legislative Assembly, 296</w:t>
      </w:r>
    </w:p>
    <w:p w:rsidR="003A4363" w:rsidRDefault="003A4363">
      <w:pPr>
        <w:pStyle w:val="Index1"/>
        <w:rPr>
          <w:noProof/>
        </w:rPr>
      </w:pPr>
      <w:r>
        <w:rPr>
          <w:noProof/>
          <w:lang w:eastAsia="en-AU"/>
        </w:rPr>
        <w:t>Legislative Council</w:t>
      </w:r>
      <w:r>
        <w:rPr>
          <w:noProof/>
        </w:rPr>
        <w:t>, 297</w:t>
      </w:r>
    </w:p>
    <w:p w:rsidR="003A4363" w:rsidRDefault="003A4363">
      <w:pPr>
        <w:pStyle w:val="IndexHeading"/>
        <w:keepNext/>
        <w:tabs>
          <w:tab w:val="right" w:leader="dot" w:pos="3479"/>
        </w:tabs>
        <w:rPr>
          <w:rFonts w:eastAsiaTheme="minorEastAsia" w:cstheme="minorBidi"/>
          <w:b w:val="0"/>
          <w:bCs w:val="0"/>
          <w:noProof/>
        </w:rPr>
      </w:pPr>
      <w:r>
        <w:rPr>
          <w:noProof/>
        </w:rPr>
        <w:t>M</w:t>
      </w:r>
    </w:p>
    <w:p w:rsidR="003A4363" w:rsidRDefault="003A4363">
      <w:pPr>
        <w:pStyle w:val="Index1"/>
        <w:rPr>
          <w:noProof/>
        </w:rPr>
      </w:pPr>
      <w:r>
        <w:rPr>
          <w:noProof/>
        </w:rPr>
        <w:t>Melbourne Rail Link, 66</w:t>
      </w:r>
    </w:p>
    <w:p w:rsidR="003A4363" w:rsidRDefault="003A4363">
      <w:pPr>
        <w:pStyle w:val="Index1"/>
        <w:rPr>
          <w:noProof/>
        </w:rPr>
      </w:pPr>
      <w:r>
        <w:rPr>
          <w:noProof/>
          <w:lang w:eastAsia="en-AU"/>
        </w:rPr>
        <w:t>Mental Health</w:t>
      </w:r>
      <w:r>
        <w:rPr>
          <w:noProof/>
        </w:rPr>
        <w:t>, 144–45</w:t>
      </w:r>
    </w:p>
    <w:p w:rsidR="003A4363" w:rsidRDefault="003A4363">
      <w:pPr>
        <w:pStyle w:val="Index1"/>
        <w:rPr>
          <w:noProof/>
        </w:rPr>
      </w:pPr>
      <w:r>
        <w:rPr>
          <w:noProof/>
        </w:rPr>
        <w:t>Metro Level Crossing Blitz, 59, 68, 69</w:t>
      </w:r>
    </w:p>
    <w:p w:rsidR="003A4363" w:rsidRDefault="003A4363">
      <w:pPr>
        <w:pStyle w:val="Index1"/>
        <w:rPr>
          <w:noProof/>
        </w:rPr>
      </w:pPr>
      <w:r>
        <w:rPr>
          <w:noProof/>
        </w:rPr>
        <w:t>Murray Basin Rail project, 2</w:t>
      </w:r>
    </w:p>
    <w:p w:rsidR="003A4363" w:rsidRDefault="003A4363">
      <w:pPr>
        <w:pStyle w:val="Index1"/>
        <w:rPr>
          <w:noProof/>
        </w:rPr>
      </w:pPr>
      <w:r w:rsidRPr="005D20AC">
        <w:rPr>
          <w:rFonts w:cs="Garamond"/>
          <w:noProof/>
          <w:color w:val="000000"/>
          <w:lang w:eastAsia="en-AU"/>
        </w:rPr>
        <w:t>Murray Basin Rail Project</w:t>
      </w:r>
      <w:r>
        <w:rPr>
          <w:noProof/>
        </w:rPr>
        <w:t>, 69</w:t>
      </w:r>
    </w:p>
    <w:p w:rsidR="003A4363" w:rsidRDefault="003A4363">
      <w:pPr>
        <w:pStyle w:val="IndexHeading"/>
        <w:keepNext/>
        <w:tabs>
          <w:tab w:val="right" w:leader="dot" w:pos="3479"/>
        </w:tabs>
        <w:rPr>
          <w:rFonts w:eastAsiaTheme="minorEastAsia" w:cstheme="minorBidi"/>
          <w:b w:val="0"/>
          <w:bCs w:val="0"/>
          <w:noProof/>
        </w:rPr>
      </w:pPr>
      <w:r>
        <w:rPr>
          <w:noProof/>
        </w:rPr>
        <w:t>N</w:t>
      </w:r>
    </w:p>
    <w:p w:rsidR="003A4363" w:rsidRDefault="003A4363">
      <w:pPr>
        <w:pStyle w:val="Index1"/>
        <w:rPr>
          <w:noProof/>
        </w:rPr>
      </w:pPr>
      <w:r>
        <w:rPr>
          <w:noProof/>
        </w:rPr>
        <w:t>Natural Disaster Relief, 4, 332, 333</w:t>
      </w:r>
    </w:p>
    <w:p w:rsidR="003A4363" w:rsidRDefault="003A4363">
      <w:pPr>
        <w:pStyle w:val="IndexHeading"/>
        <w:keepNext/>
        <w:tabs>
          <w:tab w:val="right" w:leader="dot" w:pos="3479"/>
        </w:tabs>
        <w:rPr>
          <w:rFonts w:eastAsiaTheme="minorEastAsia" w:cstheme="minorBidi"/>
          <w:b w:val="0"/>
          <w:bCs w:val="0"/>
          <w:noProof/>
        </w:rPr>
      </w:pPr>
      <w:r>
        <w:rPr>
          <w:noProof/>
        </w:rPr>
        <w:t>P</w:t>
      </w:r>
    </w:p>
    <w:p w:rsidR="003A4363" w:rsidRDefault="003A4363">
      <w:pPr>
        <w:pStyle w:val="Index1"/>
        <w:rPr>
          <w:noProof/>
        </w:rPr>
      </w:pPr>
      <w:r>
        <w:rPr>
          <w:noProof/>
        </w:rPr>
        <w:t xml:space="preserve">Parliament. </w:t>
      </w:r>
      <w:r w:rsidRPr="005D20AC">
        <w:rPr>
          <w:i/>
          <w:noProof/>
        </w:rPr>
        <w:t>See also</w:t>
      </w:r>
      <w:r>
        <w:rPr>
          <w:noProof/>
        </w:rPr>
        <w:t xml:space="preserve"> Budget Paper No. 5</w:t>
      </w:r>
    </w:p>
    <w:p w:rsidR="003A4363" w:rsidRDefault="003A4363">
      <w:pPr>
        <w:pStyle w:val="Index2"/>
        <w:tabs>
          <w:tab w:val="right" w:leader="dot" w:pos="3479"/>
        </w:tabs>
        <w:rPr>
          <w:noProof/>
        </w:rPr>
      </w:pPr>
      <w:r>
        <w:rPr>
          <w:noProof/>
        </w:rPr>
        <w:t>Income from transactions, 295</w:t>
      </w:r>
    </w:p>
    <w:p w:rsidR="003A4363" w:rsidRDefault="003A4363">
      <w:pPr>
        <w:pStyle w:val="Index2"/>
        <w:tabs>
          <w:tab w:val="right" w:leader="dot" w:pos="3479"/>
        </w:tabs>
        <w:rPr>
          <w:noProof/>
        </w:rPr>
      </w:pPr>
      <w:r>
        <w:rPr>
          <w:noProof/>
        </w:rPr>
        <w:t>Legislative Assembly, 296</w:t>
      </w:r>
    </w:p>
    <w:p w:rsidR="003A4363" w:rsidRDefault="003A4363">
      <w:pPr>
        <w:pStyle w:val="Index2"/>
        <w:tabs>
          <w:tab w:val="right" w:leader="dot" w:pos="3479"/>
        </w:tabs>
        <w:rPr>
          <w:noProof/>
        </w:rPr>
      </w:pPr>
      <w:r>
        <w:rPr>
          <w:noProof/>
        </w:rPr>
        <w:t>Legislative Council, 297</w:t>
      </w:r>
    </w:p>
    <w:p w:rsidR="003A4363" w:rsidRDefault="003A4363">
      <w:pPr>
        <w:pStyle w:val="Index2"/>
        <w:tabs>
          <w:tab w:val="right" w:leader="dot" w:pos="3479"/>
        </w:tabs>
        <w:rPr>
          <w:noProof/>
        </w:rPr>
      </w:pPr>
      <w:r>
        <w:rPr>
          <w:noProof/>
        </w:rPr>
        <w:t>Output initiatives, 75</w:t>
      </w:r>
    </w:p>
    <w:p w:rsidR="003A4363" w:rsidRDefault="003A4363">
      <w:pPr>
        <w:pStyle w:val="Index2"/>
        <w:tabs>
          <w:tab w:val="right" w:leader="dot" w:pos="3479"/>
        </w:tabs>
        <w:rPr>
          <w:noProof/>
        </w:rPr>
      </w:pPr>
      <w:r>
        <w:rPr>
          <w:noProof/>
        </w:rPr>
        <w:t>Output summary, 294</w:t>
      </w:r>
    </w:p>
    <w:p w:rsidR="003A4363" w:rsidRDefault="003A4363">
      <w:pPr>
        <w:pStyle w:val="Index2"/>
        <w:tabs>
          <w:tab w:val="right" w:leader="dot" w:pos="3479"/>
        </w:tabs>
        <w:rPr>
          <w:noProof/>
        </w:rPr>
      </w:pPr>
      <w:r>
        <w:rPr>
          <w:noProof/>
        </w:rPr>
        <w:t>Parliamentary authority for resources, 295</w:t>
      </w:r>
    </w:p>
    <w:p w:rsidR="003A4363" w:rsidRDefault="003A4363">
      <w:pPr>
        <w:pStyle w:val="Index2"/>
        <w:tabs>
          <w:tab w:val="right" w:leader="dot" w:pos="3479"/>
        </w:tabs>
        <w:rPr>
          <w:noProof/>
        </w:rPr>
      </w:pPr>
      <w:r>
        <w:rPr>
          <w:noProof/>
        </w:rPr>
        <w:t>Parliamentary Investigatory Committees, 75, 298</w:t>
      </w:r>
    </w:p>
    <w:p w:rsidR="003A4363" w:rsidRDefault="003A4363">
      <w:pPr>
        <w:pStyle w:val="Index2"/>
        <w:tabs>
          <w:tab w:val="right" w:leader="dot" w:pos="3479"/>
        </w:tabs>
        <w:rPr>
          <w:noProof/>
        </w:rPr>
      </w:pPr>
      <w:r>
        <w:rPr>
          <w:noProof/>
        </w:rPr>
        <w:t>Parliamentary Services, 299</w:t>
      </w:r>
    </w:p>
    <w:p w:rsidR="003A4363" w:rsidRDefault="003A4363">
      <w:pPr>
        <w:pStyle w:val="Index2"/>
        <w:tabs>
          <w:tab w:val="right" w:leader="dot" w:pos="3479"/>
        </w:tabs>
        <w:rPr>
          <w:noProof/>
        </w:rPr>
      </w:pPr>
      <w:r>
        <w:rPr>
          <w:noProof/>
        </w:rPr>
        <w:t>Victorian Auditor</w:t>
      </w:r>
      <w:r>
        <w:rPr>
          <w:noProof/>
        </w:rPr>
        <w:noBreakHyphen/>
        <w:t>General's Office, 300–301</w:t>
      </w:r>
    </w:p>
    <w:p w:rsidR="003A4363" w:rsidRDefault="003A4363">
      <w:pPr>
        <w:pStyle w:val="Index1"/>
        <w:rPr>
          <w:noProof/>
        </w:rPr>
      </w:pPr>
      <w:r>
        <w:rPr>
          <w:noProof/>
          <w:lang w:eastAsia="en-AU"/>
        </w:rPr>
        <w:t>Parliamentary Investigatory Committees</w:t>
      </w:r>
      <w:r>
        <w:rPr>
          <w:noProof/>
        </w:rPr>
        <w:t>, 298</w:t>
      </w:r>
    </w:p>
    <w:p w:rsidR="003A4363" w:rsidRDefault="003A4363">
      <w:pPr>
        <w:pStyle w:val="Index1"/>
        <w:rPr>
          <w:noProof/>
        </w:rPr>
      </w:pPr>
      <w:r>
        <w:rPr>
          <w:noProof/>
          <w:lang w:eastAsia="en-AU"/>
        </w:rPr>
        <w:t>Parliamentary Services</w:t>
      </w:r>
      <w:r>
        <w:rPr>
          <w:noProof/>
        </w:rPr>
        <w:t>, 299</w:t>
      </w:r>
    </w:p>
    <w:p w:rsidR="003A4363" w:rsidRDefault="003A4363">
      <w:pPr>
        <w:pStyle w:val="Index1"/>
        <w:rPr>
          <w:noProof/>
        </w:rPr>
      </w:pPr>
      <w:r>
        <w:rPr>
          <w:noProof/>
        </w:rPr>
        <w:t>Performance Reporting Framework, 329</w:t>
      </w:r>
    </w:p>
    <w:p w:rsidR="003A4363" w:rsidRDefault="003A4363">
      <w:pPr>
        <w:pStyle w:val="Index1"/>
        <w:rPr>
          <w:noProof/>
        </w:rPr>
      </w:pPr>
      <w:r w:rsidRPr="005D20AC">
        <w:rPr>
          <w:i/>
          <w:noProof/>
        </w:rPr>
        <w:t>Plan Melbourne</w:t>
      </w:r>
      <w:r>
        <w:rPr>
          <w:noProof/>
        </w:rPr>
        <w:t>, 330, 335</w:t>
      </w:r>
    </w:p>
    <w:p w:rsidR="003A4363" w:rsidRDefault="003A4363">
      <w:pPr>
        <w:pStyle w:val="Index1"/>
        <w:rPr>
          <w:noProof/>
        </w:rPr>
      </w:pPr>
      <w:r>
        <w:rPr>
          <w:noProof/>
          <w:lang w:eastAsia="en-AU"/>
        </w:rPr>
        <w:t>Planning</w:t>
      </w:r>
      <w:r>
        <w:rPr>
          <w:noProof/>
        </w:rPr>
        <w:t>, 330, 335</w:t>
      </w:r>
    </w:p>
    <w:p w:rsidR="003A4363" w:rsidRDefault="003A4363">
      <w:pPr>
        <w:pStyle w:val="Index2"/>
        <w:tabs>
          <w:tab w:val="right" w:leader="dot" w:pos="3479"/>
        </w:tabs>
        <w:rPr>
          <w:noProof/>
        </w:rPr>
      </w:pPr>
      <w:r>
        <w:rPr>
          <w:noProof/>
        </w:rPr>
        <w:t>Metropolitan and Regional Planning and Development, 254–56</w:t>
      </w:r>
    </w:p>
    <w:p w:rsidR="003A4363" w:rsidRDefault="003A4363">
      <w:pPr>
        <w:pStyle w:val="Index1"/>
        <w:rPr>
          <w:noProof/>
        </w:rPr>
      </w:pPr>
      <w:r>
        <w:rPr>
          <w:noProof/>
        </w:rPr>
        <w:t>Policing, 3, 37, 185–86, 187</w:t>
      </w:r>
    </w:p>
    <w:p w:rsidR="003A4363" w:rsidRDefault="003A4363">
      <w:pPr>
        <w:pStyle w:val="Index1"/>
        <w:rPr>
          <w:noProof/>
        </w:rPr>
      </w:pPr>
      <w:r>
        <w:rPr>
          <w:noProof/>
          <w:lang w:eastAsia="en-AU"/>
        </w:rPr>
        <w:t>Policy Advice</w:t>
      </w:r>
      <w:r>
        <w:rPr>
          <w:noProof/>
        </w:rPr>
        <w:t>, 288–92</w:t>
      </w:r>
    </w:p>
    <w:p w:rsidR="003A4363" w:rsidRDefault="003A4363">
      <w:pPr>
        <w:pStyle w:val="Index1"/>
        <w:rPr>
          <w:noProof/>
        </w:rPr>
      </w:pPr>
      <w:r>
        <w:rPr>
          <w:noProof/>
        </w:rPr>
        <w:t>Port of Melbourne, 69</w:t>
      </w:r>
    </w:p>
    <w:p w:rsidR="003A4363" w:rsidRDefault="003A4363">
      <w:pPr>
        <w:pStyle w:val="Index1"/>
        <w:rPr>
          <w:noProof/>
        </w:rPr>
      </w:pPr>
      <w:r>
        <w:rPr>
          <w:noProof/>
        </w:rPr>
        <w:t>Princes Highway East, 60, 70</w:t>
      </w:r>
    </w:p>
    <w:p w:rsidR="003A4363" w:rsidRDefault="003A4363">
      <w:pPr>
        <w:pStyle w:val="Index1"/>
        <w:rPr>
          <w:noProof/>
        </w:rPr>
      </w:pPr>
      <w:r>
        <w:rPr>
          <w:noProof/>
        </w:rPr>
        <w:t>Princes Highway West duplication project, 2, 60, 70</w:t>
      </w:r>
    </w:p>
    <w:p w:rsidR="003A4363" w:rsidRDefault="003A4363">
      <w:pPr>
        <w:pStyle w:val="Index1"/>
        <w:rPr>
          <w:noProof/>
        </w:rPr>
      </w:pPr>
      <w:r>
        <w:rPr>
          <w:noProof/>
        </w:rPr>
        <w:t>Public Health, 155–57</w:t>
      </w:r>
    </w:p>
    <w:p w:rsidR="003A4363" w:rsidRDefault="003A4363">
      <w:pPr>
        <w:pStyle w:val="Index1"/>
        <w:rPr>
          <w:noProof/>
        </w:rPr>
      </w:pPr>
      <w:r w:rsidRPr="005D20AC">
        <w:rPr>
          <w:noProof/>
          <w:lang w:val="x-none" w:eastAsia="en-AU"/>
        </w:rPr>
        <w:t>Public Sector Integrity</w:t>
      </w:r>
      <w:r>
        <w:rPr>
          <w:noProof/>
        </w:rPr>
        <w:t>, 203–5</w:t>
      </w:r>
    </w:p>
    <w:p w:rsidR="003A4363" w:rsidRDefault="003A4363">
      <w:pPr>
        <w:pStyle w:val="Index1"/>
        <w:rPr>
          <w:noProof/>
        </w:rPr>
      </w:pPr>
      <w:r>
        <w:rPr>
          <w:noProof/>
        </w:rPr>
        <w:t>Public S</w:t>
      </w:r>
      <w:r w:rsidRPr="005D20AC">
        <w:rPr>
          <w:b/>
          <w:noProof/>
        </w:rPr>
        <w:t>e</w:t>
      </w:r>
      <w:r>
        <w:rPr>
          <w:noProof/>
        </w:rPr>
        <w:t>ctor Management, Governance and Support, 222–25</w:t>
      </w:r>
    </w:p>
    <w:p w:rsidR="003A4363" w:rsidRDefault="003A4363">
      <w:pPr>
        <w:pStyle w:val="IndexHeading"/>
        <w:keepNext/>
        <w:tabs>
          <w:tab w:val="right" w:leader="dot" w:pos="3479"/>
        </w:tabs>
        <w:rPr>
          <w:rFonts w:eastAsiaTheme="minorEastAsia" w:cstheme="minorBidi"/>
          <w:b w:val="0"/>
          <w:bCs w:val="0"/>
          <w:noProof/>
        </w:rPr>
      </w:pPr>
      <w:r>
        <w:rPr>
          <w:noProof/>
        </w:rPr>
        <w:t>R</w:t>
      </w:r>
    </w:p>
    <w:p w:rsidR="003A4363" w:rsidRDefault="003A4363">
      <w:pPr>
        <w:pStyle w:val="Index1"/>
        <w:rPr>
          <w:noProof/>
        </w:rPr>
      </w:pPr>
      <w:r>
        <w:rPr>
          <w:noProof/>
          <w:lang w:eastAsia="en-AU"/>
        </w:rPr>
        <w:t>Reduced impact of major bushfires and other emergencies on people, infrastructure and the environment</w:t>
      </w:r>
      <w:r>
        <w:rPr>
          <w:noProof/>
        </w:rPr>
        <w:t>, 123–25</w:t>
      </w:r>
    </w:p>
    <w:p w:rsidR="003A4363" w:rsidRDefault="003A4363">
      <w:pPr>
        <w:pStyle w:val="Index1"/>
        <w:rPr>
          <w:noProof/>
        </w:rPr>
      </w:pPr>
      <w:r>
        <w:rPr>
          <w:noProof/>
        </w:rPr>
        <w:t>Regional Growth Plan, 61, 330, 335</w:t>
      </w:r>
    </w:p>
    <w:p w:rsidR="003A4363" w:rsidRDefault="003A4363">
      <w:pPr>
        <w:pStyle w:val="Index1"/>
        <w:rPr>
          <w:noProof/>
        </w:rPr>
      </w:pPr>
      <w:r>
        <w:rPr>
          <w:noProof/>
        </w:rPr>
        <w:t>Regional Rail Link, 57</w:t>
      </w:r>
    </w:p>
    <w:p w:rsidR="003A4363" w:rsidRDefault="003A4363">
      <w:pPr>
        <w:pStyle w:val="Index1"/>
        <w:rPr>
          <w:noProof/>
        </w:rPr>
      </w:pPr>
      <w:r>
        <w:rPr>
          <w:noProof/>
          <w:lang w:eastAsia="en-AU"/>
        </w:rPr>
        <w:t>Regulatory Services</w:t>
      </w:r>
      <w:r>
        <w:rPr>
          <w:noProof/>
        </w:rPr>
        <w:t>, 279–81</w:t>
      </w:r>
    </w:p>
    <w:p w:rsidR="003A4363" w:rsidRDefault="003A4363">
      <w:pPr>
        <w:pStyle w:val="Index1"/>
        <w:rPr>
          <w:noProof/>
        </w:rPr>
      </w:pPr>
      <w:r>
        <w:rPr>
          <w:noProof/>
          <w:lang w:eastAsia="en-AU"/>
        </w:rPr>
        <w:t>Resource Management Services</w:t>
      </w:r>
      <w:r>
        <w:rPr>
          <w:noProof/>
        </w:rPr>
        <w:t>, 282–83</w:t>
      </w:r>
    </w:p>
    <w:p w:rsidR="003A4363" w:rsidRDefault="003A4363">
      <w:pPr>
        <w:pStyle w:val="Index1"/>
        <w:rPr>
          <w:noProof/>
        </w:rPr>
      </w:pPr>
      <w:r>
        <w:rPr>
          <w:noProof/>
          <w:lang w:eastAsia="en-AU"/>
        </w:rPr>
        <w:t>Revenue Management Services</w:t>
      </w:r>
      <w:r>
        <w:rPr>
          <w:noProof/>
        </w:rPr>
        <w:t>, 284–85</w:t>
      </w:r>
    </w:p>
    <w:p w:rsidR="003A4363" w:rsidRDefault="003A4363">
      <w:pPr>
        <w:pStyle w:val="Index1"/>
        <w:rPr>
          <w:noProof/>
        </w:rPr>
      </w:pPr>
      <w:r>
        <w:rPr>
          <w:noProof/>
        </w:rPr>
        <w:t>Revenue measures, 78</w:t>
      </w:r>
    </w:p>
    <w:p w:rsidR="003A4363" w:rsidRDefault="003A4363">
      <w:pPr>
        <w:pStyle w:val="Index1"/>
        <w:rPr>
          <w:noProof/>
        </w:rPr>
      </w:pPr>
      <w:r>
        <w:rPr>
          <w:noProof/>
          <w:lang w:eastAsia="en-AU"/>
        </w:rPr>
        <w:t>Risk Management Services</w:t>
      </w:r>
      <w:r>
        <w:rPr>
          <w:noProof/>
        </w:rPr>
        <w:t>, 286–87</w:t>
      </w:r>
    </w:p>
    <w:p w:rsidR="003A4363" w:rsidRDefault="003A4363">
      <w:pPr>
        <w:pStyle w:val="Index1"/>
        <w:rPr>
          <w:noProof/>
        </w:rPr>
      </w:pPr>
      <w:r>
        <w:rPr>
          <w:noProof/>
        </w:rPr>
        <w:t>Roads, 329, 335</w:t>
      </w:r>
    </w:p>
    <w:p w:rsidR="003A4363" w:rsidRDefault="003A4363">
      <w:pPr>
        <w:pStyle w:val="IndexHeading"/>
        <w:keepNext/>
        <w:tabs>
          <w:tab w:val="right" w:leader="dot" w:pos="3479"/>
        </w:tabs>
        <w:rPr>
          <w:rFonts w:eastAsiaTheme="minorEastAsia" w:cstheme="minorBidi"/>
          <w:b w:val="0"/>
          <w:bCs w:val="0"/>
          <w:noProof/>
        </w:rPr>
      </w:pPr>
      <w:r>
        <w:rPr>
          <w:noProof/>
        </w:rPr>
        <w:t>S</w:t>
      </w:r>
    </w:p>
    <w:p w:rsidR="003A4363" w:rsidRDefault="003A4363">
      <w:pPr>
        <w:pStyle w:val="Index1"/>
        <w:rPr>
          <w:noProof/>
        </w:rPr>
      </w:pPr>
      <w:r>
        <w:rPr>
          <w:noProof/>
        </w:rPr>
        <w:t>School capital program, 11, 13</w:t>
      </w:r>
    </w:p>
    <w:p w:rsidR="003A4363" w:rsidRDefault="003A4363">
      <w:pPr>
        <w:pStyle w:val="Index1"/>
        <w:rPr>
          <w:noProof/>
        </w:rPr>
      </w:pPr>
      <w:r>
        <w:rPr>
          <w:noProof/>
        </w:rPr>
        <w:t>School Education, 92–99, 103–4</w:t>
      </w:r>
    </w:p>
    <w:p w:rsidR="003A4363" w:rsidRDefault="003A4363">
      <w:pPr>
        <w:pStyle w:val="Index1"/>
        <w:rPr>
          <w:noProof/>
        </w:rPr>
      </w:pPr>
      <w:r>
        <w:rPr>
          <w:noProof/>
        </w:rPr>
        <w:t>Services Connect, 29, 33</w:t>
      </w:r>
    </w:p>
    <w:p w:rsidR="003A4363" w:rsidRDefault="003A4363">
      <w:pPr>
        <w:pStyle w:val="Index1"/>
        <w:rPr>
          <w:noProof/>
        </w:rPr>
      </w:pPr>
      <w:r>
        <w:rPr>
          <w:noProof/>
        </w:rPr>
        <w:t>Southern Cross Station, 2, 68</w:t>
      </w:r>
    </w:p>
    <w:p w:rsidR="003A4363" w:rsidRDefault="003A4363">
      <w:pPr>
        <w:pStyle w:val="Index1"/>
        <w:rPr>
          <w:noProof/>
        </w:rPr>
      </w:pPr>
      <w:r>
        <w:rPr>
          <w:noProof/>
        </w:rPr>
        <w:t>Sport, 333, 335</w:t>
      </w:r>
    </w:p>
    <w:p w:rsidR="003A4363" w:rsidRDefault="003A4363">
      <w:pPr>
        <w:pStyle w:val="Index1"/>
        <w:rPr>
          <w:noProof/>
        </w:rPr>
      </w:pPr>
      <w:r>
        <w:rPr>
          <w:noProof/>
        </w:rPr>
        <w:t>Student Resource Package, 11</w:t>
      </w:r>
    </w:p>
    <w:p w:rsidR="003A4363" w:rsidRDefault="003A4363">
      <w:pPr>
        <w:pStyle w:val="Index1"/>
        <w:rPr>
          <w:noProof/>
        </w:rPr>
      </w:pPr>
      <w:r>
        <w:rPr>
          <w:noProof/>
        </w:rPr>
        <w:t>Summary of progress against Government election commitments, 80</w:t>
      </w:r>
    </w:p>
    <w:p w:rsidR="003A4363" w:rsidRDefault="003A4363">
      <w:pPr>
        <w:pStyle w:val="Index1"/>
        <w:rPr>
          <w:noProof/>
        </w:rPr>
      </w:pPr>
      <w:r>
        <w:rPr>
          <w:noProof/>
        </w:rPr>
        <w:t>Support for Students with Disabilities, 12</w:t>
      </w:r>
    </w:p>
    <w:p w:rsidR="003A4363" w:rsidRDefault="003A4363">
      <w:pPr>
        <w:pStyle w:val="Index1"/>
        <w:rPr>
          <w:noProof/>
        </w:rPr>
      </w:pPr>
      <w:r>
        <w:rPr>
          <w:noProof/>
          <w:lang w:eastAsia="en-AU"/>
        </w:rPr>
        <w:t>Sustainably manage fish and forest resources</w:t>
      </w:r>
      <w:r>
        <w:rPr>
          <w:noProof/>
        </w:rPr>
        <w:t>, 126–27</w:t>
      </w:r>
    </w:p>
    <w:p w:rsidR="003A4363" w:rsidRDefault="003A4363">
      <w:pPr>
        <w:pStyle w:val="IndexHeading"/>
        <w:keepNext/>
        <w:tabs>
          <w:tab w:val="right" w:leader="dot" w:pos="3479"/>
        </w:tabs>
        <w:rPr>
          <w:rFonts w:eastAsiaTheme="minorEastAsia" w:cstheme="minorBidi"/>
          <w:b w:val="0"/>
          <w:bCs w:val="0"/>
          <w:noProof/>
        </w:rPr>
      </w:pPr>
      <w:r>
        <w:rPr>
          <w:noProof/>
        </w:rPr>
        <w:t>T</w:t>
      </w:r>
    </w:p>
    <w:p w:rsidR="003A4363" w:rsidRDefault="003A4363">
      <w:pPr>
        <w:pStyle w:val="Index1"/>
        <w:rPr>
          <w:noProof/>
        </w:rPr>
      </w:pPr>
      <w:r>
        <w:rPr>
          <w:noProof/>
        </w:rPr>
        <w:t>Tax exemptions, 331</w:t>
      </w:r>
    </w:p>
    <w:p w:rsidR="003A4363" w:rsidRDefault="003A4363">
      <w:pPr>
        <w:pStyle w:val="Index1"/>
        <w:rPr>
          <w:noProof/>
        </w:rPr>
      </w:pPr>
      <w:r>
        <w:rPr>
          <w:noProof/>
        </w:rPr>
        <w:t xml:space="preserve">Transport. </w:t>
      </w:r>
      <w:r w:rsidRPr="005D20AC">
        <w:rPr>
          <w:i/>
          <w:noProof/>
        </w:rPr>
        <w:t>See also</w:t>
      </w:r>
      <w:r>
        <w:rPr>
          <w:noProof/>
        </w:rPr>
        <w:t xml:space="preserve"> Department of Transport, Planning and Local Infrastructure</w:t>
      </w:r>
    </w:p>
    <w:p w:rsidR="003A4363" w:rsidRDefault="003A4363">
      <w:pPr>
        <w:pStyle w:val="Index2"/>
        <w:tabs>
          <w:tab w:val="right" w:leader="dot" w:pos="3479"/>
        </w:tabs>
        <w:rPr>
          <w:noProof/>
        </w:rPr>
      </w:pPr>
      <w:r>
        <w:rPr>
          <w:noProof/>
        </w:rPr>
        <w:t>Integrated Transport Services, 245–49</w:t>
      </w:r>
    </w:p>
    <w:p w:rsidR="003A4363" w:rsidRDefault="003A4363">
      <w:pPr>
        <w:pStyle w:val="Index2"/>
        <w:tabs>
          <w:tab w:val="right" w:leader="dot" w:pos="3479"/>
        </w:tabs>
        <w:rPr>
          <w:noProof/>
        </w:rPr>
      </w:pPr>
      <w:r>
        <w:rPr>
          <w:noProof/>
        </w:rPr>
        <w:t>Transport Safety and Security, 257–63</w:t>
      </w:r>
    </w:p>
    <w:p w:rsidR="003A4363" w:rsidRDefault="003A4363">
      <w:pPr>
        <w:pStyle w:val="Index2"/>
        <w:tabs>
          <w:tab w:val="right" w:leader="dot" w:pos="3479"/>
        </w:tabs>
        <w:rPr>
          <w:noProof/>
        </w:rPr>
      </w:pPr>
      <w:r>
        <w:rPr>
          <w:noProof/>
        </w:rPr>
        <w:t>Transport System Development and Maintenance, 264–70</w:t>
      </w:r>
    </w:p>
    <w:p w:rsidR="003A4363" w:rsidRDefault="003A4363">
      <w:pPr>
        <w:pStyle w:val="IndexHeading"/>
        <w:keepNext/>
        <w:tabs>
          <w:tab w:val="right" w:leader="dot" w:pos="3479"/>
        </w:tabs>
        <w:rPr>
          <w:rFonts w:eastAsiaTheme="minorEastAsia" w:cstheme="minorBidi"/>
          <w:b w:val="0"/>
          <w:bCs w:val="0"/>
          <w:noProof/>
        </w:rPr>
      </w:pPr>
      <w:r>
        <w:rPr>
          <w:noProof/>
        </w:rPr>
        <w:t>U</w:t>
      </w:r>
    </w:p>
    <w:p w:rsidR="003A4363" w:rsidRDefault="003A4363">
      <w:pPr>
        <w:pStyle w:val="Index1"/>
        <w:rPr>
          <w:noProof/>
        </w:rPr>
      </w:pPr>
      <w:r>
        <w:rPr>
          <w:noProof/>
        </w:rPr>
        <w:t>Urban Fringe Weed Management Initiative, 334</w:t>
      </w:r>
    </w:p>
    <w:p w:rsidR="003A4363" w:rsidRDefault="003A4363">
      <w:pPr>
        <w:pStyle w:val="IndexHeading"/>
        <w:keepNext/>
        <w:tabs>
          <w:tab w:val="right" w:leader="dot" w:pos="3479"/>
        </w:tabs>
        <w:rPr>
          <w:rFonts w:eastAsiaTheme="minorEastAsia" w:cstheme="minorBidi"/>
          <w:b w:val="0"/>
          <w:bCs w:val="0"/>
          <w:noProof/>
        </w:rPr>
      </w:pPr>
      <w:r>
        <w:rPr>
          <w:noProof/>
        </w:rPr>
        <w:t>V</w:t>
      </w:r>
    </w:p>
    <w:p w:rsidR="003A4363" w:rsidRDefault="003A4363">
      <w:pPr>
        <w:pStyle w:val="Index1"/>
        <w:rPr>
          <w:noProof/>
        </w:rPr>
      </w:pPr>
      <w:r>
        <w:rPr>
          <w:noProof/>
        </w:rPr>
        <w:t xml:space="preserve">Victoria Police. </w:t>
      </w:r>
      <w:r w:rsidRPr="005D20AC">
        <w:rPr>
          <w:i/>
          <w:noProof/>
        </w:rPr>
        <w:t>See</w:t>
      </w:r>
      <w:r>
        <w:rPr>
          <w:noProof/>
        </w:rPr>
        <w:t xml:space="preserve"> Policing</w:t>
      </w:r>
    </w:p>
    <w:p w:rsidR="003A4363" w:rsidRDefault="003A4363">
      <w:pPr>
        <w:pStyle w:val="Index1"/>
        <w:rPr>
          <w:noProof/>
        </w:rPr>
      </w:pPr>
      <w:r>
        <w:rPr>
          <w:noProof/>
          <w:lang w:eastAsia="en-AU"/>
        </w:rPr>
        <w:t>Victorian Auditor</w:t>
      </w:r>
      <w:r>
        <w:rPr>
          <w:noProof/>
          <w:lang w:eastAsia="en-AU"/>
        </w:rPr>
        <w:noBreakHyphen/>
        <w:t>General's Office</w:t>
      </w:r>
      <w:r>
        <w:rPr>
          <w:noProof/>
        </w:rPr>
        <w:t>, 300–301</w:t>
      </w:r>
    </w:p>
    <w:p w:rsidR="003A4363" w:rsidRDefault="003A4363">
      <w:pPr>
        <w:pStyle w:val="IndexHeading"/>
        <w:keepNext/>
        <w:tabs>
          <w:tab w:val="right" w:leader="dot" w:pos="3479"/>
        </w:tabs>
        <w:rPr>
          <w:rFonts w:eastAsiaTheme="minorEastAsia" w:cstheme="minorBidi"/>
          <w:b w:val="0"/>
          <w:bCs w:val="0"/>
          <w:noProof/>
        </w:rPr>
      </w:pPr>
      <w:r>
        <w:rPr>
          <w:noProof/>
        </w:rPr>
        <w:t>W</w:t>
      </w:r>
    </w:p>
    <w:p w:rsidR="003A4363" w:rsidRDefault="003A4363">
      <w:pPr>
        <w:pStyle w:val="Index1"/>
        <w:rPr>
          <w:noProof/>
        </w:rPr>
      </w:pPr>
      <w:r>
        <w:rPr>
          <w:noProof/>
        </w:rPr>
        <w:t>World War I centenary, 23, 45, 335</w:t>
      </w:r>
    </w:p>
    <w:p w:rsidR="003A4363" w:rsidRDefault="003A4363">
      <w:pPr>
        <w:pStyle w:val="IndexHeading"/>
        <w:keepNext/>
        <w:tabs>
          <w:tab w:val="right" w:leader="dot" w:pos="3479"/>
        </w:tabs>
        <w:rPr>
          <w:rFonts w:eastAsiaTheme="minorEastAsia" w:cstheme="minorBidi"/>
          <w:b w:val="0"/>
          <w:bCs w:val="0"/>
          <w:noProof/>
        </w:rPr>
      </w:pPr>
      <w:r>
        <w:rPr>
          <w:noProof/>
        </w:rPr>
        <w:t>Y</w:t>
      </w:r>
    </w:p>
    <w:p w:rsidR="003A4363" w:rsidRDefault="003A4363">
      <w:pPr>
        <w:pStyle w:val="Index1"/>
        <w:rPr>
          <w:noProof/>
        </w:rPr>
      </w:pPr>
      <w:r>
        <w:rPr>
          <w:noProof/>
        </w:rPr>
        <w:t>Youth Services, 32, 170–71, 334</w:t>
      </w:r>
    </w:p>
    <w:p w:rsidR="003A4363" w:rsidRDefault="003A4363" w:rsidP="00497606">
      <w:pPr>
        <w:rPr>
          <w:rFonts w:ascii="Calibri" w:hAnsi="Calibri"/>
          <w:b/>
          <w:caps/>
          <w:noProof/>
          <w:sz w:val="26"/>
          <w:szCs w:val="22"/>
        </w:rPr>
        <w:sectPr w:rsidR="003A4363" w:rsidSect="003A4363">
          <w:type w:val="continuous"/>
          <w:pgSz w:w="9979" w:h="14181" w:code="34"/>
          <w:pgMar w:top="1140" w:right="1140" w:bottom="1140" w:left="1140" w:header="720" w:footer="431" w:gutter="0"/>
          <w:cols w:num="2" w:space="720"/>
          <w:docGrid w:linePitch="360"/>
        </w:sectPr>
      </w:pPr>
    </w:p>
    <w:p w:rsidR="00A53D7D" w:rsidRDefault="00A53D7D" w:rsidP="00497606">
      <w:r>
        <w:fldChar w:fldCharType="end"/>
      </w:r>
    </w:p>
    <w:p w:rsidR="00A53D7D" w:rsidRDefault="00A53D7D" w:rsidP="00497606"/>
    <w:sectPr w:rsidR="00A53D7D" w:rsidSect="003A4363">
      <w:type w:val="continuous"/>
      <w:pgSz w:w="9979" w:h="14181" w:code="34"/>
      <w:pgMar w:top="1140" w:right="1140" w:bottom="1140" w:left="1140" w:header="720"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B4" w:rsidRDefault="005140B4" w:rsidP="00A53D7D">
      <w:pPr>
        <w:spacing w:after="0"/>
      </w:pPr>
      <w:r>
        <w:separator/>
      </w:r>
    </w:p>
  </w:endnote>
  <w:endnote w:type="continuationSeparator" w:id="0">
    <w:p w:rsidR="005140B4" w:rsidRDefault="005140B4" w:rsidP="00A53D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vantGarde Bk BT">
    <w:altName w:val="Arial"/>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Pr="00E1736C" w:rsidRDefault="005140B4" w:rsidP="00E1736C">
    <w:pPr>
      <w:pStyle w:val="Footer"/>
      <w:pBdr>
        <w:top w:val="none" w:sz="0" w:space="0" w:color="auto"/>
      </w:pBd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104</w:t>
    </w:r>
    <w:r>
      <w:rPr>
        <w:rStyle w:val="PageNumber"/>
      </w:rPr>
      <w:fldChar w:fldCharType="end"/>
    </w:r>
    <w:r>
      <w:tab/>
      <w:t>Education and Early Childhood Development</w:t>
    </w:r>
    <w:r>
      <w:tab/>
      <w:t>2014</w:t>
    </w:r>
    <w:r>
      <w:rPr>
        <w:rStyle w:val="PageNumber"/>
      </w:rPr>
      <w:noBreakHyphen/>
      <w:t>15</w:t>
    </w:r>
    <w:r>
      <w:t xml:space="preserve"> Service Delivery</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w:t>
    </w:r>
    <w:r>
      <w:rPr>
        <w:rStyle w:val="PageNumber"/>
      </w:rPr>
      <w:noBreakHyphen/>
      <w:t>15</w:t>
    </w:r>
    <w:r>
      <w:t xml:space="preserve"> Service Delivery</w:t>
    </w:r>
    <w:r>
      <w:tab/>
      <w:t>Education and Early Childhood Development</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105</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130</w:t>
    </w:r>
    <w:r>
      <w:rPr>
        <w:rStyle w:val="PageNumber"/>
      </w:rPr>
      <w:fldChar w:fldCharType="end"/>
    </w:r>
    <w:r>
      <w:tab/>
      <w:t>Environment and Primary Industries</w:t>
    </w:r>
    <w:r>
      <w:tab/>
      <w:t>2014</w:t>
    </w:r>
    <w:r>
      <w:rPr>
        <w:rStyle w:val="PageNumber"/>
      </w:rPr>
      <w:noBreakHyphen/>
      <w:t>15</w:t>
    </w:r>
    <w:r>
      <w:t xml:space="preserve"> Service Delivery</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w:t>
    </w:r>
    <w:r>
      <w:rPr>
        <w:rStyle w:val="PageNumber"/>
      </w:rPr>
      <w:noBreakHyphen/>
      <w:t>15</w:t>
    </w:r>
    <w:r>
      <w:t xml:space="preserve"> Service Delivery</w:t>
    </w:r>
    <w:r>
      <w:tab/>
      <w:t>Environment and Primary Industries</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129</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160</w:t>
    </w:r>
    <w:r>
      <w:rPr>
        <w:rStyle w:val="PageNumber"/>
      </w:rPr>
      <w:fldChar w:fldCharType="end"/>
    </w:r>
    <w:r>
      <w:tab/>
      <w:t>Health</w:t>
    </w:r>
    <w:r>
      <w:tab/>
      <w:t>2014</w:t>
    </w:r>
    <w:r>
      <w:rPr>
        <w:rStyle w:val="PageNumber"/>
      </w:rPr>
      <w:noBreakHyphen/>
      <w:t>15</w:t>
    </w:r>
    <w:r>
      <w:t xml:space="preserve"> Service Delivery</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w:t>
    </w:r>
    <w:r>
      <w:rPr>
        <w:rStyle w:val="PageNumber"/>
      </w:rPr>
      <w:noBreakHyphen/>
      <w:t>15</w:t>
    </w:r>
    <w:r>
      <w:t xml:space="preserve"> Service Delivery</w:t>
    </w:r>
    <w:r>
      <w:tab/>
      <w:t>Health</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159</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180</w:t>
    </w:r>
    <w:r>
      <w:rPr>
        <w:rStyle w:val="PageNumber"/>
      </w:rPr>
      <w:fldChar w:fldCharType="end"/>
    </w:r>
    <w:r>
      <w:tab/>
      <w:t>Human Services</w:t>
    </w:r>
    <w:r>
      <w:tab/>
      <w:t>2014</w:t>
    </w:r>
    <w:r>
      <w:rPr>
        <w:rStyle w:val="PageNumber"/>
      </w:rPr>
      <w:noBreakHyphen/>
      <w:t>15</w:t>
    </w:r>
    <w:r>
      <w:t xml:space="preserve"> Service Delivery</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w:t>
    </w:r>
    <w:r>
      <w:rPr>
        <w:rStyle w:val="PageNumber"/>
      </w:rPr>
      <w:noBreakHyphen/>
      <w:t>15</w:t>
    </w:r>
    <w:r>
      <w:t xml:space="preserve"> Service Delivery</w:t>
    </w:r>
    <w:r>
      <w:tab/>
      <w:t>Human Services</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179</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204</w:t>
    </w:r>
    <w:r>
      <w:rPr>
        <w:rStyle w:val="PageNumber"/>
      </w:rPr>
      <w:fldChar w:fldCharType="end"/>
    </w:r>
    <w:r>
      <w:tab/>
      <w:t>Justice</w:t>
    </w:r>
    <w:r>
      <w:tab/>
      <w:t>2014</w:t>
    </w:r>
    <w:r>
      <w:rPr>
        <w:rStyle w:val="PageNumber"/>
      </w:rPr>
      <w:noBreakHyphen/>
      <w:t>15</w:t>
    </w:r>
    <w:r>
      <w:t xml:space="preserve"> Service Delivery</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w:t>
    </w:r>
    <w:r>
      <w:rPr>
        <w:rStyle w:val="PageNumber"/>
      </w:rPr>
      <w:noBreakHyphen/>
      <w:t>15</w:t>
    </w:r>
    <w:r>
      <w:t xml:space="preserve"> Service Delivery</w:t>
    </w:r>
    <w:r>
      <w:tab/>
      <w:t>Justice</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205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Pr="00E1736C" w:rsidRDefault="005140B4" w:rsidP="00E1736C">
    <w:pPr>
      <w:pStyle w:val="Footer"/>
      <w:pBdr>
        <w:top w:val="none" w:sz="0" w:space="0" w:color="auto"/>
      </w:pBdr>
      <w:rPr>
        <w:rStyle w:val="PageNumbe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224</w:t>
    </w:r>
    <w:r>
      <w:rPr>
        <w:rStyle w:val="PageNumber"/>
      </w:rPr>
      <w:fldChar w:fldCharType="end"/>
    </w:r>
    <w:r>
      <w:tab/>
      <w:t>Premier and Cabinet</w:t>
    </w:r>
    <w:r>
      <w:tab/>
      <w:t>2014</w:t>
    </w:r>
    <w:r>
      <w:rPr>
        <w:rStyle w:val="PageNumber"/>
      </w:rPr>
      <w:noBreakHyphen/>
      <w:t>15</w:t>
    </w:r>
    <w:r>
      <w:t xml:space="preserve"> Service Delivery</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w:t>
    </w:r>
    <w:r>
      <w:rPr>
        <w:rStyle w:val="PageNumber"/>
      </w:rPr>
      <w:noBreakHyphen/>
      <w:t>15</w:t>
    </w:r>
    <w:r>
      <w:t xml:space="preserve"> Service Delivery</w:t>
    </w:r>
    <w:r>
      <w:tab/>
      <w:t>Premier and Cabinet</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225</w:t>
    </w:r>
    <w:r>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240</w:t>
    </w:r>
    <w:r>
      <w:rPr>
        <w:rStyle w:val="PageNumber"/>
      </w:rPr>
      <w:fldChar w:fldCharType="end"/>
    </w:r>
    <w:r>
      <w:tab/>
      <w:t>State Development, Business and Innovation</w:t>
    </w:r>
    <w:r>
      <w:tab/>
      <w:t>2014</w:t>
    </w:r>
    <w:r>
      <w:rPr>
        <w:rStyle w:val="PageNumber"/>
      </w:rPr>
      <w:t>-15</w:t>
    </w:r>
    <w:r>
      <w:t xml:space="preserve"> Service Delivery</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2014-15</w:t>
    </w:r>
    <w:r>
      <w:t xml:space="preserve"> Service Delivery</w:t>
    </w:r>
    <w:r>
      <w:tab/>
      <w:t>State Development, Business and Innovation</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239</w:t>
    </w:r>
    <w:r>
      <w:rPr>
        <w:rStyle w:val="PageNumber"/>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1219C9">
      <w:rPr>
        <w:rStyle w:val="PageNumber"/>
        <w:noProof/>
      </w:rPr>
      <w:t>260</w:t>
    </w:r>
    <w:r>
      <w:rPr>
        <w:rStyle w:val="PageNumber"/>
      </w:rPr>
      <w:fldChar w:fldCharType="end"/>
    </w:r>
    <w:r>
      <w:tab/>
      <w:t>Transport, Planning and Local Infrastructure</w:t>
    </w:r>
    <w:r>
      <w:tab/>
      <w:t>2014</w:t>
    </w:r>
    <w:r>
      <w:rPr>
        <w:rStyle w:val="PageNumber"/>
      </w:rPr>
      <w:t>-15</w:t>
    </w:r>
    <w:r>
      <w:t xml:space="preserve"> Service Delivery</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w:t>
    </w:r>
    <w:r>
      <w:rPr>
        <w:rStyle w:val="PageNumber"/>
      </w:rPr>
      <w:noBreakHyphen/>
      <w:t>15</w:t>
    </w:r>
    <w:r>
      <w:t xml:space="preserve"> Service Delivery</w:t>
    </w:r>
    <w:r>
      <w:tab/>
      <w:t>Transport, Planning and Local Infrastructure</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269</w:t>
    </w:r>
    <w:r>
      <w:rPr>
        <w:rStyle w:val="PageNumber"/>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292</w:t>
    </w:r>
    <w:r>
      <w:rPr>
        <w:rStyle w:val="PageNumber"/>
      </w:rPr>
      <w:fldChar w:fldCharType="end"/>
    </w:r>
    <w:r>
      <w:tab/>
      <w:t>Treasury and Finance</w:t>
    </w:r>
    <w:r>
      <w:tab/>
      <w:t>2014</w:t>
    </w:r>
    <w:r>
      <w:rPr>
        <w:rStyle w:val="PageNumber"/>
      </w:rPr>
      <w:noBreakHyphen/>
      <w:t>15</w:t>
    </w:r>
    <w:r>
      <w:t xml:space="preserve"> Service Delivery</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w:t>
    </w:r>
    <w:r>
      <w:rPr>
        <w:rStyle w:val="PageNumber"/>
      </w:rPr>
      <w:noBreakHyphen/>
      <w:t>15</w:t>
    </w:r>
    <w:r>
      <w:t xml:space="preserve"> Service Delivery</w:t>
    </w:r>
    <w:r>
      <w:tab/>
      <w:t>Treasury and Finance</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291</w:t>
    </w:r>
    <w:r>
      <w:rPr>
        <w:rStyle w:val="PageNumber"/>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Pr="00623845" w:rsidRDefault="005140B4" w:rsidP="005140B4">
    <w:pPr>
      <w:pStyle w:val="OGTabHead"/>
      <w:pBdr>
        <w:top w:val="single" w:sz="6" w:space="1" w:color="auto"/>
      </w:pBdr>
      <w:tabs>
        <w:tab w:val="center" w:pos="3119"/>
        <w:tab w:val="right" w:pos="7655"/>
      </w:tabs>
      <w:rPr>
        <w:i w:val="0"/>
      </w:rPr>
    </w:pPr>
    <w:r w:rsidRPr="00623845">
      <w:rPr>
        <w:rStyle w:val="PageNumber"/>
        <w:i w:val="0"/>
      </w:rPr>
      <w:fldChar w:fldCharType="begin"/>
    </w:r>
    <w:r w:rsidRPr="00623845">
      <w:rPr>
        <w:rStyle w:val="PageNumber"/>
        <w:i w:val="0"/>
      </w:rPr>
      <w:instrText xml:space="preserve"> PAGE </w:instrText>
    </w:r>
    <w:r w:rsidRPr="00623845">
      <w:rPr>
        <w:rStyle w:val="PageNumber"/>
        <w:i w:val="0"/>
      </w:rPr>
      <w:fldChar w:fldCharType="separate"/>
    </w:r>
    <w:r w:rsidR="003A4363">
      <w:rPr>
        <w:rStyle w:val="PageNumber"/>
        <w:i w:val="0"/>
        <w:noProof/>
      </w:rPr>
      <w:t>300</w:t>
    </w:r>
    <w:r w:rsidRPr="00623845">
      <w:rPr>
        <w:rStyle w:val="PageNumber"/>
        <w:i w:val="0"/>
      </w:rPr>
      <w:fldChar w:fldCharType="end"/>
    </w:r>
    <w:r w:rsidRPr="00623845">
      <w:rPr>
        <w:i w:val="0"/>
      </w:rPr>
      <w:tab/>
      <w:t>Parliament</w:t>
    </w:r>
    <w:r w:rsidRPr="00623845">
      <w:rPr>
        <w:i w:val="0"/>
      </w:rPr>
      <w:tab/>
      <w:t>2014</w:t>
    </w:r>
    <w:r w:rsidRPr="00623845">
      <w:rPr>
        <w:rStyle w:val="PageNumber"/>
        <w:i w:val="0"/>
      </w:rPr>
      <w:noBreakHyphen/>
      <w:t>15</w:t>
    </w:r>
    <w:r w:rsidRPr="00623845">
      <w:rPr>
        <w:i w:val="0"/>
      </w:rPr>
      <w:t xml:space="preserve"> Service Delivery</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Pr="00623845" w:rsidRDefault="005140B4" w:rsidP="005140B4">
    <w:pPr>
      <w:pStyle w:val="OGTabHead"/>
      <w:pBdr>
        <w:top w:val="single" w:sz="6" w:space="1" w:color="auto"/>
      </w:pBdr>
      <w:tabs>
        <w:tab w:val="center" w:pos="4820"/>
        <w:tab w:val="right" w:pos="7655"/>
      </w:tabs>
      <w:rPr>
        <w:rStyle w:val="PageNumber"/>
        <w:i w:val="0"/>
      </w:rPr>
    </w:pPr>
    <w:r w:rsidRPr="00623845">
      <w:rPr>
        <w:rStyle w:val="PageNumber"/>
        <w:i w:val="0"/>
      </w:rPr>
      <w:t>2014</w:t>
    </w:r>
    <w:r w:rsidRPr="00623845">
      <w:rPr>
        <w:rStyle w:val="PageNumber"/>
        <w:i w:val="0"/>
      </w:rPr>
      <w:noBreakHyphen/>
      <w:t>15</w:t>
    </w:r>
    <w:r w:rsidRPr="00623845">
      <w:rPr>
        <w:i w:val="0"/>
      </w:rPr>
      <w:t xml:space="preserve"> Service Delivery</w:t>
    </w:r>
    <w:r w:rsidRPr="00623845">
      <w:rPr>
        <w:i w:val="0"/>
      </w:rPr>
      <w:tab/>
      <w:t>Parliament</w:t>
    </w:r>
    <w:r w:rsidRPr="00623845">
      <w:rPr>
        <w:i w:val="0"/>
      </w:rPr>
      <w:tab/>
    </w:r>
    <w:r w:rsidRPr="00623845">
      <w:rPr>
        <w:rStyle w:val="PageNumber"/>
        <w:i w:val="0"/>
      </w:rPr>
      <w:fldChar w:fldCharType="begin"/>
    </w:r>
    <w:r w:rsidRPr="00623845">
      <w:rPr>
        <w:rStyle w:val="PageNumber"/>
        <w:i w:val="0"/>
      </w:rPr>
      <w:instrText xml:space="preserve"> PAGE </w:instrText>
    </w:r>
    <w:r w:rsidRPr="00623845">
      <w:rPr>
        <w:rStyle w:val="PageNumber"/>
        <w:i w:val="0"/>
      </w:rPr>
      <w:fldChar w:fldCharType="separate"/>
    </w:r>
    <w:r w:rsidR="003A4363">
      <w:rPr>
        <w:rStyle w:val="PageNumber"/>
        <w:i w:val="0"/>
        <w:noProof/>
      </w:rPr>
      <w:t>301</w:t>
    </w:r>
    <w:r w:rsidRPr="00623845">
      <w:rPr>
        <w:rStyle w:val="PageNumber"/>
        <w:i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Pr="00623845" w:rsidRDefault="005140B4" w:rsidP="005140B4">
    <w:pPr>
      <w:pStyle w:val="OGTabHead"/>
      <w:pBdr>
        <w:top w:val="single" w:sz="6" w:space="1" w:color="auto"/>
      </w:pBdr>
      <w:tabs>
        <w:tab w:val="center" w:pos="3119"/>
        <w:tab w:val="right" w:pos="7655"/>
      </w:tabs>
      <w:rPr>
        <w:i w:val="0"/>
      </w:rPr>
    </w:pPr>
    <w:r w:rsidRPr="00623845">
      <w:rPr>
        <w:rStyle w:val="PageNumber"/>
        <w:i w:val="0"/>
      </w:rPr>
      <w:fldChar w:fldCharType="begin"/>
    </w:r>
    <w:r w:rsidRPr="00623845">
      <w:rPr>
        <w:rStyle w:val="PageNumber"/>
        <w:i w:val="0"/>
      </w:rPr>
      <w:instrText xml:space="preserve"> PAGE </w:instrText>
    </w:r>
    <w:r w:rsidRPr="00623845">
      <w:rPr>
        <w:rStyle w:val="PageNumber"/>
        <w:i w:val="0"/>
      </w:rPr>
      <w:fldChar w:fldCharType="separate"/>
    </w:r>
    <w:r w:rsidR="003A4363">
      <w:rPr>
        <w:rStyle w:val="PageNumber"/>
        <w:i w:val="0"/>
        <w:noProof/>
      </w:rPr>
      <w:t>306</w:t>
    </w:r>
    <w:r w:rsidRPr="00623845">
      <w:rPr>
        <w:rStyle w:val="PageNumber"/>
        <w:i w:val="0"/>
      </w:rPr>
      <w:fldChar w:fldCharType="end"/>
    </w:r>
    <w:r w:rsidRPr="00623845">
      <w:rPr>
        <w:i w:val="0"/>
      </w:rPr>
      <w:tab/>
    </w:r>
    <w:r>
      <w:rPr>
        <w:i w:val="0"/>
      </w:rPr>
      <w:t>Courts</w:t>
    </w:r>
    <w:r w:rsidRPr="00623845">
      <w:rPr>
        <w:i w:val="0"/>
      </w:rPr>
      <w:tab/>
      <w:t>2014</w:t>
    </w:r>
    <w:r w:rsidRPr="00623845">
      <w:rPr>
        <w:rStyle w:val="PageNumber"/>
        <w:i w:val="0"/>
      </w:rPr>
      <w:noBreakHyphen/>
      <w:t>15</w:t>
    </w:r>
    <w:r w:rsidRPr="00623845">
      <w:rPr>
        <w:i w:val="0"/>
      </w:rPr>
      <w:t xml:space="preserve"> Service Delivery</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Pr="00623845" w:rsidRDefault="005140B4" w:rsidP="005140B4">
    <w:pPr>
      <w:pStyle w:val="OGTabHead"/>
      <w:pBdr>
        <w:top w:val="single" w:sz="6" w:space="1" w:color="auto"/>
      </w:pBdr>
      <w:tabs>
        <w:tab w:val="center" w:pos="4820"/>
        <w:tab w:val="right" w:pos="7655"/>
      </w:tabs>
      <w:rPr>
        <w:rStyle w:val="PageNumber"/>
        <w:i w:val="0"/>
      </w:rPr>
    </w:pPr>
    <w:r w:rsidRPr="00623845">
      <w:rPr>
        <w:rStyle w:val="PageNumber"/>
        <w:i w:val="0"/>
      </w:rPr>
      <w:t>2014</w:t>
    </w:r>
    <w:r w:rsidRPr="00623845">
      <w:rPr>
        <w:rStyle w:val="PageNumber"/>
        <w:i w:val="0"/>
      </w:rPr>
      <w:noBreakHyphen/>
      <w:t>15</w:t>
    </w:r>
    <w:r w:rsidRPr="00623845">
      <w:rPr>
        <w:i w:val="0"/>
      </w:rPr>
      <w:t xml:space="preserve"> Service Delivery</w:t>
    </w:r>
    <w:r w:rsidRPr="00623845">
      <w:rPr>
        <w:i w:val="0"/>
      </w:rPr>
      <w:tab/>
    </w:r>
    <w:r>
      <w:rPr>
        <w:i w:val="0"/>
      </w:rPr>
      <w:t>Courts</w:t>
    </w:r>
    <w:r w:rsidRPr="00623845">
      <w:rPr>
        <w:i w:val="0"/>
      </w:rPr>
      <w:tab/>
    </w:r>
    <w:r w:rsidRPr="00623845">
      <w:rPr>
        <w:rStyle w:val="PageNumber"/>
        <w:i w:val="0"/>
      </w:rPr>
      <w:fldChar w:fldCharType="begin"/>
    </w:r>
    <w:r w:rsidRPr="00623845">
      <w:rPr>
        <w:rStyle w:val="PageNumber"/>
        <w:i w:val="0"/>
      </w:rPr>
      <w:instrText xml:space="preserve"> PAGE </w:instrText>
    </w:r>
    <w:r w:rsidRPr="00623845">
      <w:rPr>
        <w:rStyle w:val="PageNumber"/>
        <w:i w:val="0"/>
      </w:rPr>
      <w:fldChar w:fldCharType="separate"/>
    </w:r>
    <w:r w:rsidR="003A4363">
      <w:rPr>
        <w:rStyle w:val="PageNumber"/>
        <w:i w:val="0"/>
        <w:noProof/>
      </w:rPr>
      <w:t>305</w:t>
    </w:r>
    <w:r w:rsidRPr="00623845">
      <w:rPr>
        <w:rStyle w:val="PageNumber"/>
        <w:i w:val="0"/>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326</w:t>
    </w:r>
    <w:r>
      <w:rPr>
        <w:rStyle w:val="PageNumber"/>
      </w:rPr>
      <w:fldChar w:fldCharType="end"/>
    </w:r>
    <w:r>
      <w:tab/>
      <w:t>Appendix A</w:t>
    </w:r>
    <w:r>
      <w:tab/>
      <w:t>2014</w:t>
    </w:r>
    <w:r>
      <w:rPr>
        <w:rStyle w:val="PageNumber"/>
      </w:rPr>
      <w:noBreakHyphen/>
      <w:t>15</w:t>
    </w:r>
    <w:r>
      <w:t xml:space="preserve"> Service Delivery</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w:t>
    </w:r>
    <w:r>
      <w:rPr>
        <w:rStyle w:val="PageNumber"/>
      </w:rPr>
      <w:noBreakHyphen/>
      <w:t>15</w:t>
    </w:r>
    <w:r>
      <w:t xml:space="preserve"> Service Delivery</w:t>
    </w:r>
    <w:r>
      <w:tab/>
      <w:t>Appendix A</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327</w:t>
    </w:r>
    <w:r>
      <w:rPr>
        <w:rStyle w:val="PageNumber"/>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334</w:t>
    </w:r>
    <w:r>
      <w:rPr>
        <w:rStyle w:val="PageNumber"/>
      </w:rPr>
      <w:fldChar w:fldCharType="end"/>
    </w:r>
    <w:r>
      <w:tab/>
      <w:t>Appendix B</w:t>
    </w:r>
    <w:r>
      <w:tab/>
      <w:t>2014</w:t>
    </w:r>
    <w:r>
      <w:rPr>
        <w:rStyle w:val="PageNumber"/>
      </w:rPr>
      <w:noBreakHyphen/>
      <w:t>15</w:t>
    </w:r>
    <w:r>
      <w:t xml:space="preserve"> Service Delivery</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w:t>
    </w:r>
    <w:r>
      <w:rPr>
        <w:rStyle w:val="PageNumber"/>
      </w:rPr>
      <w:noBreakHyphen/>
      <w:t>15</w:t>
    </w:r>
    <w:r>
      <w:t xml:space="preserve"> Service Delivery</w:t>
    </w:r>
    <w:r>
      <w:tab/>
      <w:t>Appendix B</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335</w:t>
    </w:r>
    <w:r>
      <w:rPr>
        <w:rStyle w:val="PageNumber"/>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338</w:t>
    </w:r>
    <w:r>
      <w:rPr>
        <w:rStyle w:val="PageNumber"/>
      </w:rPr>
      <w:fldChar w:fldCharType="end"/>
    </w:r>
    <w:r>
      <w:tab/>
      <w:t>Style conventions</w:t>
    </w:r>
    <w:r>
      <w:tab/>
      <w:t>2014</w:t>
    </w:r>
    <w:r>
      <w:rPr>
        <w:rStyle w:val="PageNumber"/>
      </w:rPr>
      <w:t>-15</w:t>
    </w:r>
    <w:r>
      <w:t xml:space="preserve"> Service Delivery</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2014-15</w:t>
    </w:r>
    <w:r>
      <w:t xml:space="preserve"> Service Delivery</w:t>
    </w:r>
    <w:r>
      <w:tab/>
      <w:t>Style conventions</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337</w:t>
    </w:r>
    <w:r>
      <w:rPr>
        <w:rStyle w:val="PageNumber"/>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342</w:t>
    </w:r>
    <w:r>
      <w:rPr>
        <w:rStyle w:val="PageNumber"/>
      </w:rPr>
      <w:fldChar w:fldCharType="end"/>
    </w:r>
    <w:r>
      <w:tab/>
      <w:t>Index</w:t>
    </w:r>
    <w:r>
      <w:tab/>
      <w:t>2014</w:t>
    </w:r>
    <w:r>
      <w:rPr>
        <w:rStyle w:val="PageNumber"/>
      </w:rPr>
      <w:t>-15</w:t>
    </w:r>
    <w:r>
      <w:t xml:space="preserve"> Service Delivery</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2014-15</w:t>
    </w:r>
    <w:r>
      <w:t xml:space="preserve"> Service Delivery</w:t>
    </w:r>
    <w:r>
      <w:tab/>
      <w:t>Index</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343</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E1736C">
    <w:pPr>
      <w:pStyle w:val="Footer"/>
      <w:pBdr>
        <w:top w:val="none" w:sz="0" w:space="0" w:color="auto"/>
      </w:pBd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Pr="00CD2017" w:rsidRDefault="005140B4" w:rsidP="00CD2017">
    <w:pPr>
      <w:pStyle w:val="Footer"/>
      <w:pBdr>
        <w:top w:val="none" w:sz="0" w:space="0" w:color="auto"/>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80</w:t>
    </w:r>
    <w:r>
      <w:rPr>
        <w:rStyle w:val="PageNumber"/>
      </w:rPr>
      <w:fldChar w:fldCharType="end"/>
    </w:r>
    <w:r>
      <w:tab/>
      <w:t>Chapter 1</w:t>
    </w:r>
    <w:r>
      <w:tab/>
      <w:t>2014</w:t>
    </w:r>
    <w:r>
      <w:rPr>
        <w:rStyle w:val="PageNumber"/>
      </w:rPr>
      <w:noBreakHyphen/>
      <w:t>15</w:t>
    </w:r>
    <w:r>
      <w:t xml:space="preserve"> Service Delivery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C97E08">
    <w:pPr>
      <w:pStyle w:val="Footer"/>
      <w:tabs>
        <w:tab w:val="clear" w:pos="7085"/>
        <w:tab w:val="center" w:pos="4820"/>
        <w:tab w:val="right" w:pos="7655"/>
      </w:tabs>
      <w:spacing w:after="0"/>
      <w:rPr>
        <w:rStyle w:val="PageNumber"/>
      </w:rPr>
    </w:pPr>
    <w:r>
      <w:t>2014</w:t>
    </w:r>
    <w:r>
      <w:rPr>
        <w:rStyle w:val="PageNumber"/>
      </w:rPr>
      <w:noBreakHyphen/>
      <w:t xml:space="preserve">15 </w:t>
    </w:r>
    <w:r>
      <w:t>Service Delivery</w:t>
    </w:r>
    <w:r>
      <w:tab/>
      <w:t>Chapter 1</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79</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82</w:t>
    </w:r>
    <w:r>
      <w:rPr>
        <w:rStyle w:val="PageNumber"/>
      </w:rPr>
      <w:fldChar w:fldCharType="end"/>
    </w:r>
    <w:r>
      <w:tab/>
      <w:t>Chapter 2</w:t>
    </w:r>
    <w:r>
      <w:tab/>
      <w:t>2014</w:t>
    </w:r>
    <w:r>
      <w:rPr>
        <w:rStyle w:val="PageNumber"/>
      </w:rPr>
      <w:noBreakHyphen/>
      <w:t>15</w:t>
    </w:r>
    <w:r>
      <w:t xml:space="preserve"> Service Delivery</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rsidP="005140B4">
    <w:pPr>
      <w:pStyle w:val="Footer"/>
      <w:tabs>
        <w:tab w:val="clear" w:pos="7085"/>
        <w:tab w:val="center" w:pos="4820"/>
        <w:tab w:val="right" w:pos="7655"/>
      </w:tabs>
      <w:spacing w:after="0"/>
      <w:rPr>
        <w:rStyle w:val="PageNumber"/>
      </w:rPr>
    </w:pPr>
    <w:r>
      <w:rPr>
        <w:rStyle w:val="PageNumber"/>
      </w:rPr>
      <w:t>2014</w:t>
    </w:r>
    <w:r>
      <w:rPr>
        <w:rStyle w:val="PageNumber"/>
      </w:rPr>
      <w:noBreakHyphen/>
      <w:t>15</w:t>
    </w:r>
    <w:r>
      <w:t xml:space="preserve"> Service Delivery</w:t>
    </w:r>
    <w:r>
      <w:tab/>
      <w:t>Chapter 2</w:t>
    </w:r>
    <w:r>
      <w:tab/>
    </w:r>
    <w:r>
      <w:rPr>
        <w:rStyle w:val="PageNumber"/>
      </w:rPr>
      <w:fldChar w:fldCharType="begin"/>
    </w:r>
    <w:r>
      <w:rPr>
        <w:rStyle w:val="PageNumber"/>
      </w:rPr>
      <w:instrText xml:space="preserve"> PAGE </w:instrText>
    </w:r>
    <w:r>
      <w:rPr>
        <w:rStyle w:val="PageNumber"/>
      </w:rPr>
      <w:fldChar w:fldCharType="separate"/>
    </w:r>
    <w:r w:rsidR="003A4363">
      <w:rPr>
        <w:rStyle w:val="PageNumber"/>
        <w:noProof/>
      </w:rPr>
      <w:t>83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B4" w:rsidRDefault="005140B4" w:rsidP="00A53D7D">
      <w:pPr>
        <w:spacing w:after="0"/>
      </w:pPr>
      <w:r>
        <w:separator/>
      </w:r>
    </w:p>
  </w:footnote>
  <w:footnote w:type="continuationSeparator" w:id="0">
    <w:p w:rsidR="005140B4" w:rsidRDefault="005140B4" w:rsidP="00A53D7D">
      <w:pPr>
        <w:spacing w:after="0"/>
      </w:pPr>
      <w:r>
        <w:continuationSeparator/>
      </w:r>
    </w:p>
  </w:footnote>
  <w:footnote w:id="1">
    <w:p w:rsidR="005140B4" w:rsidRPr="00001EF9" w:rsidRDefault="005140B4">
      <w:pPr>
        <w:pStyle w:val="FootnoteText"/>
        <w:rPr>
          <w:i/>
        </w:rPr>
      </w:pPr>
      <w:r>
        <w:rPr>
          <w:rStyle w:val="FootnoteReference"/>
        </w:rPr>
        <w:footnoteRef/>
      </w:r>
      <w:r>
        <w:t xml:space="preserve"> </w:t>
      </w:r>
      <w:r>
        <w:rPr>
          <w:i/>
        </w:rPr>
        <w:t>Victorian Auditor</w:t>
      </w:r>
      <w:r>
        <w:rPr>
          <w:i/>
        </w:rPr>
        <w:noBreakHyphen/>
        <w:t>General’s Audit of Local Government 2012</w:t>
      </w:r>
      <w:r>
        <w:rPr>
          <w:i/>
        </w:rPr>
        <w:noBreakHyphen/>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4" w:rsidRDefault="00514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F24D71C"/>
    <w:lvl w:ilvl="0">
      <w:numFmt w:val="bullet"/>
      <w:lvlText w:val="*"/>
      <w:lvlJc w:val="left"/>
    </w:lvl>
  </w:abstractNum>
  <w:abstractNum w:abstractNumId="11">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2">
    <w:nsid w:val="095B1453"/>
    <w:multiLevelType w:val="multilevel"/>
    <w:tmpl w:val="DF4CEE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C0F5193"/>
    <w:multiLevelType w:val="hybridMultilevel"/>
    <w:tmpl w:val="9754ED10"/>
    <w:lvl w:ilvl="0" w:tplc="909E6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C8B709E"/>
    <w:multiLevelType w:val="multilevel"/>
    <w:tmpl w:val="6088D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553383F"/>
    <w:multiLevelType w:val="hybridMultilevel"/>
    <w:tmpl w:val="1AB84FBC"/>
    <w:lvl w:ilvl="0" w:tplc="BC2A32BE">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C8B4670"/>
    <w:multiLevelType w:val="multilevel"/>
    <w:tmpl w:val="E884C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6">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nsid w:val="2A257826"/>
    <w:multiLevelType w:val="hybridMultilevel"/>
    <w:tmpl w:val="3A567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5FB1626"/>
    <w:multiLevelType w:val="hybridMultilevel"/>
    <w:tmpl w:val="A852B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8497CFC"/>
    <w:multiLevelType w:val="hybridMultilevel"/>
    <w:tmpl w:val="F95CC856"/>
    <w:lvl w:ilvl="0" w:tplc="7B946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3F235BC0"/>
    <w:multiLevelType w:val="hybridMultilevel"/>
    <w:tmpl w:val="D2209052"/>
    <w:lvl w:ilvl="0" w:tplc="0C090001">
      <w:start w:val="1"/>
      <w:numFmt w:val="bullet"/>
      <w:lvlText w:val=""/>
      <w:lvlJc w:val="left"/>
      <w:pPr>
        <w:tabs>
          <w:tab w:val="num" w:pos="864"/>
        </w:tabs>
        <w:ind w:left="864" w:hanging="360"/>
      </w:pPr>
      <w:rPr>
        <w:rFonts w:ascii="Symbol" w:hAnsi="Symbol" w:hint="default"/>
      </w:rPr>
    </w:lvl>
    <w:lvl w:ilvl="1" w:tplc="0C090003" w:tentative="1">
      <w:start w:val="1"/>
      <w:numFmt w:val="bullet"/>
      <w:lvlText w:val="o"/>
      <w:lvlJc w:val="left"/>
      <w:pPr>
        <w:tabs>
          <w:tab w:val="num" w:pos="1584"/>
        </w:tabs>
        <w:ind w:left="1584" w:hanging="360"/>
      </w:pPr>
      <w:rPr>
        <w:rFonts w:ascii="Courier New" w:hAnsi="Courier New" w:cs="Courier New" w:hint="default"/>
      </w:rPr>
    </w:lvl>
    <w:lvl w:ilvl="2" w:tplc="0C090005" w:tentative="1">
      <w:start w:val="1"/>
      <w:numFmt w:val="bullet"/>
      <w:lvlText w:val=""/>
      <w:lvlJc w:val="left"/>
      <w:pPr>
        <w:tabs>
          <w:tab w:val="num" w:pos="2304"/>
        </w:tabs>
        <w:ind w:left="2304" w:hanging="360"/>
      </w:pPr>
      <w:rPr>
        <w:rFonts w:ascii="Wingdings" w:hAnsi="Wingdings" w:hint="default"/>
      </w:rPr>
    </w:lvl>
    <w:lvl w:ilvl="3" w:tplc="0C090001" w:tentative="1">
      <w:start w:val="1"/>
      <w:numFmt w:val="bullet"/>
      <w:lvlText w:val=""/>
      <w:lvlJc w:val="left"/>
      <w:pPr>
        <w:tabs>
          <w:tab w:val="num" w:pos="3024"/>
        </w:tabs>
        <w:ind w:left="3024" w:hanging="360"/>
      </w:pPr>
      <w:rPr>
        <w:rFonts w:ascii="Symbol" w:hAnsi="Symbol" w:hint="default"/>
      </w:rPr>
    </w:lvl>
    <w:lvl w:ilvl="4" w:tplc="0C090003" w:tentative="1">
      <w:start w:val="1"/>
      <w:numFmt w:val="bullet"/>
      <w:lvlText w:val="o"/>
      <w:lvlJc w:val="left"/>
      <w:pPr>
        <w:tabs>
          <w:tab w:val="num" w:pos="3744"/>
        </w:tabs>
        <w:ind w:left="3744" w:hanging="360"/>
      </w:pPr>
      <w:rPr>
        <w:rFonts w:ascii="Courier New" w:hAnsi="Courier New" w:cs="Courier New" w:hint="default"/>
      </w:rPr>
    </w:lvl>
    <w:lvl w:ilvl="5" w:tplc="0C090005" w:tentative="1">
      <w:start w:val="1"/>
      <w:numFmt w:val="bullet"/>
      <w:lvlText w:val=""/>
      <w:lvlJc w:val="left"/>
      <w:pPr>
        <w:tabs>
          <w:tab w:val="num" w:pos="4464"/>
        </w:tabs>
        <w:ind w:left="4464" w:hanging="360"/>
      </w:pPr>
      <w:rPr>
        <w:rFonts w:ascii="Wingdings" w:hAnsi="Wingdings" w:hint="default"/>
      </w:rPr>
    </w:lvl>
    <w:lvl w:ilvl="6" w:tplc="0C090001" w:tentative="1">
      <w:start w:val="1"/>
      <w:numFmt w:val="bullet"/>
      <w:lvlText w:val=""/>
      <w:lvlJc w:val="left"/>
      <w:pPr>
        <w:tabs>
          <w:tab w:val="num" w:pos="5184"/>
        </w:tabs>
        <w:ind w:left="5184" w:hanging="360"/>
      </w:pPr>
      <w:rPr>
        <w:rFonts w:ascii="Symbol" w:hAnsi="Symbol" w:hint="default"/>
      </w:rPr>
    </w:lvl>
    <w:lvl w:ilvl="7" w:tplc="0C090003" w:tentative="1">
      <w:start w:val="1"/>
      <w:numFmt w:val="bullet"/>
      <w:lvlText w:val="o"/>
      <w:lvlJc w:val="left"/>
      <w:pPr>
        <w:tabs>
          <w:tab w:val="num" w:pos="5904"/>
        </w:tabs>
        <w:ind w:left="5904" w:hanging="360"/>
      </w:pPr>
      <w:rPr>
        <w:rFonts w:ascii="Courier New" w:hAnsi="Courier New" w:cs="Courier New" w:hint="default"/>
      </w:rPr>
    </w:lvl>
    <w:lvl w:ilvl="8" w:tplc="0C090005" w:tentative="1">
      <w:start w:val="1"/>
      <w:numFmt w:val="bullet"/>
      <w:lvlText w:val=""/>
      <w:lvlJc w:val="left"/>
      <w:pPr>
        <w:tabs>
          <w:tab w:val="num" w:pos="6624"/>
        </w:tabs>
        <w:ind w:left="6624" w:hanging="360"/>
      </w:pPr>
      <w:rPr>
        <w:rFonts w:ascii="Wingdings" w:hAnsi="Wingdings" w:hint="default"/>
      </w:rPr>
    </w:lvl>
  </w:abstractNum>
  <w:abstractNum w:abstractNumId="34">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50830342"/>
    <w:multiLevelType w:val="hybridMultilevel"/>
    <w:tmpl w:val="DFE86BC8"/>
    <w:lvl w:ilvl="0" w:tplc="40FA46C2">
      <w:start w:val="1"/>
      <w:numFmt w:val="bullet"/>
      <w:pStyle w:val="Table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3CD32DE"/>
    <w:multiLevelType w:val="multilevel"/>
    <w:tmpl w:val="6CB00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41">
    <w:nsid w:val="6221582E"/>
    <w:multiLevelType w:val="hybridMultilevel"/>
    <w:tmpl w:val="1E8C6C60"/>
    <w:lvl w:ilvl="0" w:tplc="8FAC26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BBD7C65"/>
    <w:multiLevelType w:val="hybridMultilevel"/>
    <w:tmpl w:val="F4FE5884"/>
    <w:lvl w:ilvl="0" w:tplc="585889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C5F4A0B"/>
    <w:multiLevelType w:val="hybridMultilevel"/>
    <w:tmpl w:val="D060B02C"/>
    <w:lvl w:ilvl="0" w:tplc="499A1472">
      <w:start w:val="1"/>
      <w:numFmt w:val="lowerLetter"/>
      <w:lvlText w:val="(%1)"/>
      <w:lvlJc w:val="left"/>
      <w:pPr>
        <w:ind w:left="810" w:hanging="45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45">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783D1068"/>
    <w:multiLevelType w:val="multilevel"/>
    <w:tmpl w:val="2D9884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1"/>
  </w:num>
  <w:num w:numId="2">
    <w:abstractNumId w:val="40"/>
  </w:num>
  <w:num w:numId="3">
    <w:abstractNumId w:val="45"/>
  </w:num>
  <w:num w:numId="4">
    <w:abstractNumId w:val="27"/>
  </w:num>
  <w:num w:numId="5">
    <w:abstractNumId w:val="32"/>
  </w:num>
  <w:num w:numId="6">
    <w:abstractNumId w:val="26"/>
  </w:num>
  <w:num w:numId="7">
    <w:abstractNumId w:val="37"/>
  </w:num>
  <w:num w:numId="8">
    <w:abstractNumId w:val="9"/>
  </w:num>
  <w:num w:numId="9">
    <w:abstractNumId w:val="33"/>
  </w:num>
  <w:num w:numId="10">
    <w:abstractNumId w:val="25"/>
  </w:num>
  <w:num w:numId="11">
    <w:abstractNumId w:val="4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44"/>
  </w:num>
  <w:num w:numId="22">
    <w:abstractNumId w:val="21"/>
  </w:num>
  <w:num w:numId="23">
    <w:abstractNumId w:val="36"/>
  </w:num>
  <w:num w:numId="24">
    <w:abstractNumId w:val="13"/>
  </w:num>
  <w:num w:numId="25">
    <w:abstractNumId w:val="23"/>
  </w:num>
  <w:num w:numId="26">
    <w:abstractNumId w:val="46"/>
  </w:num>
  <w:num w:numId="27">
    <w:abstractNumId w:val="16"/>
  </w:num>
  <w:num w:numId="28">
    <w:abstractNumId w:val="48"/>
  </w:num>
  <w:num w:numId="29">
    <w:abstractNumId w:val="24"/>
  </w:num>
  <w:num w:numId="30">
    <w:abstractNumId w:val="22"/>
  </w:num>
  <w:num w:numId="31">
    <w:abstractNumId w:val="34"/>
  </w:num>
  <w:num w:numId="32">
    <w:abstractNumId w:val="17"/>
  </w:num>
  <w:num w:numId="33">
    <w:abstractNumId w:val="35"/>
  </w:num>
  <w:num w:numId="34">
    <w:abstractNumId w:val="39"/>
  </w:num>
  <w:num w:numId="35">
    <w:abstractNumId w:val="30"/>
  </w:num>
  <w:num w:numId="36">
    <w:abstractNumId w:val="19"/>
  </w:num>
  <w:num w:numId="37">
    <w:abstractNumId w:val="18"/>
  </w:num>
  <w:num w:numId="38">
    <w:abstractNumId w:val="41"/>
  </w:num>
  <w:num w:numId="39">
    <w:abstractNumId w:val="10"/>
    <w:lvlOverride w:ilvl="0">
      <w:lvl w:ilvl="0">
        <w:numFmt w:val="bullet"/>
        <w:lvlText w:val=""/>
        <w:legacy w:legacy="1" w:legacySpace="0" w:legacyIndent="0"/>
        <w:lvlJc w:val="left"/>
        <w:rPr>
          <w:rFonts w:ascii="Symbol" w:hAnsi="Symbol" w:hint="default"/>
          <w:sz w:val="22"/>
        </w:rPr>
      </w:lvl>
    </w:lvlOverride>
  </w:num>
  <w:num w:numId="40">
    <w:abstractNumId w:val="42"/>
  </w:num>
  <w:num w:numId="41">
    <w:abstractNumId w:val="15"/>
  </w:num>
  <w:num w:numId="42">
    <w:abstractNumId w:val="47"/>
  </w:num>
  <w:num w:numId="43">
    <w:abstractNumId w:val="28"/>
  </w:num>
  <w:num w:numId="44">
    <w:abstractNumId w:val="29"/>
  </w:num>
  <w:num w:numId="45">
    <w:abstractNumId w:val="20"/>
  </w:num>
  <w:num w:numId="46">
    <w:abstractNumId w:val="12"/>
  </w:num>
  <w:num w:numId="47">
    <w:abstractNumId w:val="38"/>
  </w:num>
  <w:num w:numId="48">
    <w:abstractNumId w:val="31"/>
  </w:num>
  <w:num w:numId="49">
    <w:abstractNumId w:val="43"/>
  </w:num>
  <w:num w:numId="5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36C"/>
    <w:rsid w:val="00000DBA"/>
    <w:rsid w:val="00002E26"/>
    <w:rsid w:val="00006F06"/>
    <w:rsid w:val="00020E91"/>
    <w:rsid w:val="00021CE5"/>
    <w:rsid w:val="000221B3"/>
    <w:rsid w:val="00031488"/>
    <w:rsid w:val="00032552"/>
    <w:rsid w:val="00035582"/>
    <w:rsid w:val="00035734"/>
    <w:rsid w:val="000362EA"/>
    <w:rsid w:val="00041292"/>
    <w:rsid w:val="000422CC"/>
    <w:rsid w:val="00043F9F"/>
    <w:rsid w:val="000451B1"/>
    <w:rsid w:val="00050885"/>
    <w:rsid w:val="00056F1F"/>
    <w:rsid w:val="00060942"/>
    <w:rsid w:val="00061F50"/>
    <w:rsid w:val="00064FD8"/>
    <w:rsid w:val="00072A00"/>
    <w:rsid w:val="000771C1"/>
    <w:rsid w:val="000804F8"/>
    <w:rsid w:val="000868E5"/>
    <w:rsid w:val="000925EA"/>
    <w:rsid w:val="00093898"/>
    <w:rsid w:val="000A2ED2"/>
    <w:rsid w:val="000A5321"/>
    <w:rsid w:val="000B1105"/>
    <w:rsid w:val="000B12EE"/>
    <w:rsid w:val="000B1B53"/>
    <w:rsid w:val="000B2895"/>
    <w:rsid w:val="000C1027"/>
    <w:rsid w:val="000C18E1"/>
    <w:rsid w:val="000C44FF"/>
    <w:rsid w:val="000D3FBA"/>
    <w:rsid w:val="000D4515"/>
    <w:rsid w:val="000D652A"/>
    <w:rsid w:val="000E725D"/>
    <w:rsid w:val="00100FCC"/>
    <w:rsid w:val="001150B8"/>
    <w:rsid w:val="001219C9"/>
    <w:rsid w:val="00130570"/>
    <w:rsid w:val="001368DE"/>
    <w:rsid w:val="00140C5B"/>
    <w:rsid w:val="00150C34"/>
    <w:rsid w:val="00153F59"/>
    <w:rsid w:val="00154535"/>
    <w:rsid w:val="0015668D"/>
    <w:rsid w:val="0016459F"/>
    <w:rsid w:val="00170A52"/>
    <w:rsid w:val="00176CD6"/>
    <w:rsid w:val="0017767A"/>
    <w:rsid w:val="00185277"/>
    <w:rsid w:val="001856DE"/>
    <w:rsid w:val="001C0D0F"/>
    <w:rsid w:val="001C1EAD"/>
    <w:rsid w:val="001C2F60"/>
    <w:rsid w:val="001C6D0D"/>
    <w:rsid w:val="001D18E7"/>
    <w:rsid w:val="001E15F3"/>
    <w:rsid w:val="001F3DDD"/>
    <w:rsid w:val="001F4F89"/>
    <w:rsid w:val="0020013B"/>
    <w:rsid w:val="0020764E"/>
    <w:rsid w:val="002242FA"/>
    <w:rsid w:val="00225DCD"/>
    <w:rsid w:val="0023358D"/>
    <w:rsid w:val="00240744"/>
    <w:rsid w:val="002411D9"/>
    <w:rsid w:val="00244562"/>
    <w:rsid w:val="00245DCF"/>
    <w:rsid w:val="0025606D"/>
    <w:rsid w:val="002733B3"/>
    <w:rsid w:val="00282839"/>
    <w:rsid w:val="002864CD"/>
    <w:rsid w:val="002B15CD"/>
    <w:rsid w:val="002B5189"/>
    <w:rsid w:val="002C04C2"/>
    <w:rsid w:val="002C1C0D"/>
    <w:rsid w:val="002D0C50"/>
    <w:rsid w:val="002D2C26"/>
    <w:rsid w:val="002D4189"/>
    <w:rsid w:val="002D7692"/>
    <w:rsid w:val="002E0D69"/>
    <w:rsid w:val="002E31A2"/>
    <w:rsid w:val="002E5C62"/>
    <w:rsid w:val="002F3CB5"/>
    <w:rsid w:val="003010A2"/>
    <w:rsid w:val="00302525"/>
    <w:rsid w:val="00322573"/>
    <w:rsid w:val="00322DD7"/>
    <w:rsid w:val="003233E0"/>
    <w:rsid w:val="003259E9"/>
    <w:rsid w:val="0032698D"/>
    <w:rsid w:val="0033005B"/>
    <w:rsid w:val="003352CE"/>
    <w:rsid w:val="00341734"/>
    <w:rsid w:val="00341E1B"/>
    <w:rsid w:val="00342ECD"/>
    <w:rsid w:val="00346956"/>
    <w:rsid w:val="00346AFE"/>
    <w:rsid w:val="003511F8"/>
    <w:rsid w:val="00353A89"/>
    <w:rsid w:val="003553FF"/>
    <w:rsid w:val="00362085"/>
    <w:rsid w:val="00364C8B"/>
    <w:rsid w:val="0036725D"/>
    <w:rsid w:val="003752D9"/>
    <w:rsid w:val="003819A4"/>
    <w:rsid w:val="00382704"/>
    <w:rsid w:val="00382EC5"/>
    <w:rsid w:val="003926C8"/>
    <w:rsid w:val="0039472C"/>
    <w:rsid w:val="0039576F"/>
    <w:rsid w:val="00397F02"/>
    <w:rsid w:val="003A4363"/>
    <w:rsid w:val="003A72EE"/>
    <w:rsid w:val="003C0422"/>
    <w:rsid w:val="003C2F48"/>
    <w:rsid w:val="003C3AAE"/>
    <w:rsid w:val="003E042A"/>
    <w:rsid w:val="003E2EE8"/>
    <w:rsid w:val="003E31E5"/>
    <w:rsid w:val="003E5374"/>
    <w:rsid w:val="003E5F71"/>
    <w:rsid w:val="003F15E2"/>
    <w:rsid w:val="003F15E7"/>
    <w:rsid w:val="003F4955"/>
    <w:rsid w:val="00402B50"/>
    <w:rsid w:val="004046AE"/>
    <w:rsid w:val="00406F75"/>
    <w:rsid w:val="00411AEE"/>
    <w:rsid w:val="00412BC0"/>
    <w:rsid w:val="004141EB"/>
    <w:rsid w:val="004201DA"/>
    <w:rsid w:val="004274F6"/>
    <w:rsid w:val="00437861"/>
    <w:rsid w:val="004463C6"/>
    <w:rsid w:val="00446F20"/>
    <w:rsid w:val="00455F51"/>
    <w:rsid w:val="00465985"/>
    <w:rsid w:val="0046648A"/>
    <w:rsid w:val="0046774A"/>
    <w:rsid w:val="00472150"/>
    <w:rsid w:val="0047243E"/>
    <w:rsid w:val="004746F3"/>
    <w:rsid w:val="00480ADD"/>
    <w:rsid w:val="004828FB"/>
    <w:rsid w:val="00485CB3"/>
    <w:rsid w:val="00492D93"/>
    <w:rsid w:val="00497606"/>
    <w:rsid w:val="004A1F13"/>
    <w:rsid w:val="004B2120"/>
    <w:rsid w:val="004C08B1"/>
    <w:rsid w:val="004C3F0D"/>
    <w:rsid w:val="004C4B47"/>
    <w:rsid w:val="004C5182"/>
    <w:rsid w:val="004C654C"/>
    <w:rsid w:val="004C767D"/>
    <w:rsid w:val="004D2300"/>
    <w:rsid w:val="004D392F"/>
    <w:rsid w:val="004D3DE7"/>
    <w:rsid w:val="004E7A50"/>
    <w:rsid w:val="004F0906"/>
    <w:rsid w:val="004F1592"/>
    <w:rsid w:val="004F6EFF"/>
    <w:rsid w:val="004F779D"/>
    <w:rsid w:val="00503A10"/>
    <w:rsid w:val="005040D7"/>
    <w:rsid w:val="0050487A"/>
    <w:rsid w:val="0050690B"/>
    <w:rsid w:val="0051195C"/>
    <w:rsid w:val="005140B4"/>
    <w:rsid w:val="005142C4"/>
    <w:rsid w:val="00515C51"/>
    <w:rsid w:val="00516DF2"/>
    <w:rsid w:val="00517239"/>
    <w:rsid w:val="00521ADF"/>
    <w:rsid w:val="00522994"/>
    <w:rsid w:val="0052308F"/>
    <w:rsid w:val="00531A3D"/>
    <w:rsid w:val="00533108"/>
    <w:rsid w:val="005429ED"/>
    <w:rsid w:val="00545CA0"/>
    <w:rsid w:val="00547E3B"/>
    <w:rsid w:val="005510B1"/>
    <w:rsid w:val="005552E0"/>
    <w:rsid w:val="00560216"/>
    <w:rsid w:val="00561253"/>
    <w:rsid w:val="005659B1"/>
    <w:rsid w:val="00571E1E"/>
    <w:rsid w:val="00572DD3"/>
    <w:rsid w:val="00576FDF"/>
    <w:rsid w:val="0058080C"/>
    <w:rsid w:val="00595530"/>
    <w:rsid w:val="0059636A"/>
    <w:rsid w:val="00597626"/>
    <w:rsid w:val="005A0574"/>
    <w:rsid w:val="005A6362"/>
    <w:rsid w:val="005A6BE2"/>
    <w:rsid w:val="005A6FB4"/>
    <w:rsid w:val="005B2863"/>
    <w:rsid w:val="005B2F28"/>
    <w:rsid w:val="005B41A8"/>
    <w:rsid w:val="005B54F2"/>
    <w:rsid w:val="005B6A5E"/>
    <w:rsid w:val="005C1363"/>
    <w:rsid w:val="005C361B"/>
    <w:rsid w:val="005C7712"/>
    <w:rsid w:val="005D61C9"/>
    <w:rsid w:val="005D65C9"/>
    <w:rsid w:val="005D67FF"/>
    <w:rsid w:val="005D76F8"/>
    <w:rsid w:val="005D78C9"/>
    <w:rsid w:val="005E0AA3"/>
    <w:rsid w:val="005E13AD"/>
    <w:rsid w:val="005E17AB"/>
    <w:rsid w:val="005E4492"/>
    <w:rsid w:val="005E5FCA"/>
    <w:rsid w:val="00602BDF"/>
    <w:rsid w:val="00602BE7"/>
    <w:rsid w:val="00605F2A"/>
    <w:rsid w:val="0060685C"/>
    <w:rsid w:val="00606A43"/>
    <w:rsid w:val="00617E25"/>
    <w:rsid w:val="0062697C"/>
    <w:rsid w:val="006306E9"/>
    <w:rsid w:val="00635546"/>
    <w:rsid w:val="00641E21"/>
    <w:rsid w:val="00642BF1"/>
    <w:rsid w:val="00643DF9"/>
    <w:rsid w:val="0065004D"/>
    <w:rsid w:val="00654E77"/>
    <w:rsid w:val="006568CD"/>
    <w:rsid w:val="00666CB7"/>
    <w:rsid w:val="00667796"/>
    <w:rsid w:val="00674B54"/>
    <w:rsid w:val="006757E3"/>
    <w:rsid w:val="00677E49"/>
    <w:rsid w:val="0068185C"/>
    <w:rsid w:val="006841B2"/>
    <w:rsid w:val="00686543"/>
    <w:rsid w:val="0068681D"/>
    <w:rsid w:val="006A01B4"/>
    <w:rsid w:val="006A6CEB"/>
    <w:rsid w:val="006A7B84"/>
    <w:rsid w:val="006B4753"/>
    <w:rsid w:val="006C5EC5"/>
    <w:rsid w:val="006D1E53"/>
    <w:rsid w:val="006E40E9"/>
    <w:rsid w:val="006F055E"/>
    <w:rsid w:val="00701445"/>
    <w:rsid w:val="00713230"/>
    <w:rsid w:val="00715BF1"/>
    <w:rsid w:val="00716164"/>
    <w:rsid w:val="007161C5"/>
    <w:rsid w:val="0071751D"/>
    <w:rsid w:val="00720DDE"/>
    <w:rsid w:val="00723CCF"/>
    <w:rsid w:val="00734F62"/>
    <w:rsid w:val="007465D1"/>
    <w:rsid w:val="0076041D"/>
    <w:rsid w:val="00762943"/>
    <w:rsid w:val="007641DC"/>
    <w:rsid w:val="007703C5"/>
    <w:rsid w:val="00771E34"/>
    <w:rsid w:val="00784E79"/>
    <w:rsid w:val="00784F64"/>
    <w:rsid w:val="00792BFB"/>
    <w:rsid w:val="00793367"/>
    <w:rsid w:val="007A1057"/>
    <w:rsid w:val="007B0A6E"/>
    <w:rsid w:val="007B4258"/>
    <w:rsid w:val="007F39AE"/>
    <w:rsid w:val="007F63CF"/>
    <w:rsid w:val="008004EA"/>
    <w:rsid w:val="008047B2"/>
    <w:rsid w:val="0081669E"/>
    <w:rsid w:val="00817BD7"/>
    <w:rsid w:val="00825389"/>
    <w:rsid w:val="0082652B"/>
    <w:rsid w:val="0084045D"/>
    <w:rsid w:val="0084378E"/>
    <w:rsid w:val="00853954"/>
    <w:rsid w:val="00863D40"/>
    <w:rsid w:val="008659CB"/>
    <w:rsid w:val="0086685D"/>
    <w:rsid w:val="00867B50"/>
    <w:rsid w:val="00873D18"/>
    <w:rsid w:val="00875125"/>
    <w:rsid w:val="00880B83"/>
    <w:rsid w:val="008827CA"/>
    <w:rsid w:val="00882953"/>
    <w:rsid w:val="008858A3"/>
    <w:rsid w:val="008871F8"/>
    <w:rsid w:val="00887B0B"/>
    <w:rsid w:val="00887F89"/>
    <w:rsid w:val="00891D05"/>
    <w:rsid w:val="008A0DCD"/>
    <w:rsid w:val="008A5FE9"/>
    <w:rsid w:val="008B0FFC"/>
    <w:rsid w:val="008C197D"/>
    <w:rsid w:val="008C5612"/>
    <w:rsid w:val="008E20C7"/>
    <w:rsid w:val="008E4C65"/>
    <w:rsid w:val="008E5024"/>
    <w:rsid w:val="008E7DA2"/>
    <w:rsid w:val="008F0F55"/>
    <w:rsid w:val="008F60AE"/>
    <w:rsid w:val="00902A9D"/>
    <w:rsid w:val="00904A16"/>
    <w:rsid w:val="00910D2B"/>
    <w:rsid w:val="0091115C"/>
    <w:rsid w:val="00911ABD"/>
    <w:rsid w:val="009200FD"/>
    <w:rsid w:val="009331F3"/>
    <w:rsid w:val="00937281"/>
    <w:rsid w:val="00937B02"/>
    <w:rsid w:val="00946EF0"/>
    <w:rsid w:val="00950D83"/>
    <w:rsid w:val="00957917"/>
    <w:rsid w:val="0096304A"/>
    <w:rsid w:val="0097206F"/>
    <w:rsid w:val="009738E6"/>
    <w:rsid w:val="00973A41"/>
    <w:rsid w:val="0097680B"/>
    <w:rsid w:val="0098552F"/>
    <w:rsid w:val="00985D99"/>
    <w:rsid w:val="00992E7A"/>
    <w:rsid w:val="00995570"/>
    <w:rsid w:val="009A2BC2"/>
    <w:rsid w:val="009A3179"/>
    <w:rsid w:val="009A751C"/>
    <w:rsid w:val="009B25A6"/>
    <w:rsid w:val="009B7C82"/>
    <w:rsid w:val="009C05DD"/>
    <w:rsid w:val="009C5731"/>
    <w:rsid w:val="009D183F"/>
    <w:rsid w:val="009E4089"/>
    <w:rsid w:val="009E5D93"/>
    <w:rsid w:val="009F0A3E"/>
    <w:rsid w:val="009F0F12"/>
    <w:rsid w:val="00A01CEA"/>
    <w:rsid w:val="00A02FA8"/>
    <w:rsid w:val="00A03729"/>
    <w:rsid w:val="00A047EF"/>
    <w:rsid w:val="00A06FE0"/>
    <w:rsid w:val="00A1268C"/>
    <w:rsid w:val="00A14E0E"/>
    <w:rsid w:val="00A16285"/>
    <w:rsid w:val="00A16406"/>
    <w:rsid w:val="00A21AF5"/>
    <w:rsid w:val="00A2357F"/>
    <w:rsid w:val="00A251B1"/>
    <w:rsid w:val="00A42C8E"/>
    <w:rsid w:val="00A47723"/>
    <w:rsid w:val="00A53D7D"/>
    <w:rsid w:val="00A56CBA"/>
    <w:rsid w:val="00A576F6"/>
    <w:rsid w:val="00A57B48"/>
    <w:rsid w:val="00A6384E"/>
    <w:rsid w:val="00A67D2E"/>
    <w:rsid w:val="00A71163"/>
    <w:rsid w:val="00A7429E"/>
    <w:rsid w:val="00A74AB1"/>
    <w:rsid w:val="00A74D09"/>
    <w:rsid w:val="00A759FE"/>
    <w:rsid w:val="00A805CA"/>
    <w:rsid w:val="00A831CC"/>
    <w:rsid w:val="00A90D85"/>
    <w:rsid w:val="00A93F82"/>
    <w:rsid w:val="00A96824"/>
    <w:rsid w:val="00AA1AEA"/>
    <w:rsid w:val="00AA5AD3"/>
    <w:rsid w:val="00AB125D"/>
    <w:rsid w:val="00AB2018"/>
    <w:rsid w:val="00AB2CC7"/>
    <w:rsid w:val="00AD673A"/>
    <w:rsid w:val="00AD7110"/>
    <w:rsid w:val="00B022A5"/>
    <w:rsid w:val="00B0624D"/>
    <w:rsid w:val="00B14F51"/>
    <w:rsid w:val="00B21FEB"/>
    <w:rsid w:val="00B27537"/>
    <w:rsid w:val="00B27782"/>
    <w:rsid w:val="00B31CF5"/>
    <w:rsid w:val="00B37863"/>
    <w:rsid w:val="00B5132D"/>
    <w:rsid w:val="00B527F0"/>
    <w:rsid w:val="00B55816"/>
    <w:rsid w:val="00B56AF7"/>
    <w:rsid w:val="00B64A6A"/>
    <w:rsid w:val="00B66895"/>
    <w:rsid w:val="00B72182"/>
    <w:rsid w:val="00B72576"/>
    <w:rsid w:val="00B73926"/>
    <w:rsid w:val="00B742AA"/>
    <w:rsid w:val="00B76343"/>
    <w:rsid w:val="00B8040D"/>
    <w:rsid w:val="00B82D32"/>
    <w:rsid w:val="00B83B9F"/>
    <w:rsid w:val="00B847DA"/>
    <w:rsid w:val="00BA1DB2"/>
    <w:rsid w:val="00BA2418"/>
    <w:rsid w:val="00BB534C"/>
    <w:rsid w:val="00BC61E2"/>
    <w:rsid w:val="00BD0A5C"/>
    <w:rsid w:val="00BD364F"/>
    <w:rsid w:val="00BD466B"/>
    <w:rsid w:val="00BD7B65"/>
    <w:rsid w:val="00BE4F6F"/>
    <w:rsid w:val="00BE6922"/>
    <w:rsid w:val="00BF2190"/>
    <w:rsid w:val="00BF3DAE"/>
    <w:rsid w:val="00BF5D25"/>
    <w:rsid w:val="00BF6AF3"/>
    <w:rsid w:val="00BF7248"/>
    <w:rsid w:val="00C0011A"/>
    <w:rsid w:val="00C04DD7"/>
    <w:rsid w:val="00C05D16"/>
    <w:rsid w:val="00C05DC9"/>
    <w:rsid w:val="00C14A3C"/>
    <w:rsid w:val="00C156AB"/>
    <w:rsid w:val="00C179B3"/>
    <w:rsid w:val="00C179F2"/>
    <w:rsid w:val="00C17EB8"/>
    <w:rsid w:val="00C20AF9"/>
    <w:rsid w:val="00C24EC3"/>
    <w:rsid w:val="00C25A06"/>
    <w:rsid w:val="00C278C3"/>
    <w:rsid w:val="00C30146"/>
    <w:rsid w:val="00C35791"/>
    <w:rsid w:val="00C419DE"/>
    <w:rsid w:val="00C46316"/>
    <w:rsid w:val="00C46C0C"/>
    <w:rsid w:val="00C4789A"/>
    <w:rsid w:val="00C50E7D"/>
    <w:rsid w:val="00C52998"/>
    <w:rsid w:val="00C529A0"/>
    <w:rsid w:val="00C550BF"/>
    <w:rsid w:val="00C63B4E"/>
    <w:rsid w:val="00C72AF4"/>
    <w:rsid w:val="00C756E9"/>
    <w:rsid w:val="00C75B91"/>
    <w:rsid w:val="00C75D0E"/>
    <w:rsid w:val="00C7678A"/>
    <w:rsid w:val="00C80EA0"/>
    <w:rsid w:val="00C9591C"/>
    <w:rsid w:val="00C97E08"/>
    <w:rsid w:val="00CB3778"/>
    <w:rsid w:val="00CB3C8A"/>
    <w:rsid w:val="00CB69A6"/>
    <w:rsid w:val="00CB74FE"/>
    <w:rsid w:val="00CC2049"/>
    <w:rsid w:val="00CC3A34"/>
    <w:rsid w:val="00CC69F7"/>
    <w:rsid w:val="00CC73D9"/>
    <w:rsid w:val="00CD0577"/>
    <w:rsid w:val="00CD2017"/>
    <w:rsid w:val="00CF0F98"/>
    <w:rsid w:val="00CF132C"/>
    <w:rsid w:val="00CF25B1"/>
    <w:rsid w:val="00CF5FE1"/>
    <w:rsid w:val="00CF6838"/>
    <w:rsid w:val="00CF6AB4"/>
    <w:rsid w:val="00D0607A"/>
    <w:rsid w:val="00D06634"/>
    <w:rsid w:val="00D10578"/>
    <w:rsid w:val="00D12B44"/>
    <w:rsid w:val="00D1521C"/>
    <w:rsid w:val="00D22688"/>
    <w:rsid w:val="00D24C1E"/>
    <w:rsid w:val="00D24E4D"/>
    <w:rsid w:val="00D2588E"/>
    <w:rsid w:val="00D26C08"/>
    <w:rsid w:val="00D418A8"/>
    <w:rsid w:val="00D52B3F"/>
    <w:rsid w:val="00D5615F"/>
    <w:rsid w:val="00D56B84"/>
    <w:rsid w:val="00D646A9"/>
    <w:rsid w:val="00D67950"/>
    <w:rsid w:val="00D95D7D"/>
    <w:rsid w:val="00DA0931"/>
    <w:rsid w:val="00DA4D63"/>
    <w:rsid w:val="00DA6CAB"/>
    <w:rsid w:val="00DB33FA"/>
    <w:rsid w:val="00DB3AF6"/>
    <w:rsid w:val="00DB716A"/>
    <w:rsid w:val="00DD79E9"/>
    <w:rsid w:val="00DE1D28"/>
    <w:rsid w:val="00DE3B1B"/>
    <w:rsid w:val="00DF5321"/>
    <w:rsid w:val="00E06647"/>
    <w:rsid w:val="00E1736C"/>
    <w:rsid w:val="00E232F8"/>
    <w:rsid w:val="00E24DAF"/>
    <w:rsid w:val="00E275B1"/>
    <w:rsid w:val="00E279C9"/>
    <w:rsid w:val="00E338A0"/>
    <w:rsid w:val="00E3413C"/>
    <w:rsid w:val="00E35F1A"/>
    <w:rsid w:val="00E37D79"/>
    <w:rsid w:val="00E43FB1"/>
    <w:rsid w:val="00E4642D"/>
    <w:rsid w:val="00E50341"/>
    <w:rsid w:val="00E646BF"/>
    <w:rsid w:val="00E72552"/>
    <w:rsid w:val="00E7552F"/>
    <w:rsid w:val="00E76C60"/>
    <w:rsid w:val="00E76F2A"/>
    <w:rsid w:val="00E811BC"/>
    <w:rsid w:val="00E84842"/>
    <w:rsid w:val="00E87460"/>
    <w:rsid w:val="00E90550"/>
    <w:rsid w:val="00E97B8E"/>
    <w:rsid w:val="00EA3A5B"/>
    <w:rsid w:val="00EA40E6"/>
    <w:rsid w:val="00EB1400"/>
    <w:rsid w:val="00EB1FD8"/>
    <w:rsid w:val="00EB6069"/>
    <w:rsid w:val="00EB6BA8"/>
    <w:rsid w:val="00EB7221"/>
    <w:rsid w:val="00EB7A3E"/>
    <w:rsid w:val="00EB7A7B"/>
    <w:rsid w:val="00EC096E"/>
    <w:rsid w:val="00EC2ADF"/>
    <w:rsid w:val="00EC5292"/>
    <w:rsid w:val="00EC5C3B"/>
    <w:rsid w:val="00ED0B29"/>
    <w:rsid w:val="00ED7575"/>
    <w:rsid w:val="00EF4C87"/>
    <w:rsid w:val="00EF6BFD"/>
    <w:rsid w:val="00F06BEE"/>
    <w:rsid w:val="00F135C4"/>
    <w:rsid w:val="00F13D93"/>
    <w:rsid w:val="00F14A31"/>
    <w:rsid w:val="00F17676"/>
    <w:rsid w:val="00F2013A"/>
    <w:rsid w:val="00F208A1"/>
    <w:rsid w:val="00F21979"/>
    <w:rsid w:val="00F22CBF"/>
    <w:rsid w:val="00F25DFE"/>
    <w:rsid w:val="00F27375"/>
    <w:rsid w:val="00F302FC"/>
    <w:rsid w:val="00F312E6"/>
    <w:rsid w:val="00F35817"/>
    <w:rsid w:val="00F3640E"/>
    <w:rsid w:val="00F4248C"/>
    <w:rsid w:val="00F46717"/>
    <w:rsid w:val="00F6397C"/>
    <w:rsid w:val="00F63E44"/>
    <w:rsid w:val="00F640AC"/>
    <w:rsid w:val="00F6691A"/>
    <w:rsid w:val="00F67E7B"/>
    <w:rsid w:val="00F773CE"/>
    <w:rsid w:val="00F80542"/>
    <w:rsid w:val="00F820F9"/>
    <w:rsid w:val="00F87345"/>
    <w:rsid w:val="00F96FDC"/>
    <w:rsid w:val="00FA5495"/>
    <w:rsid w:val="00FA5CC9"/>
    <w:rsid w:val="00FB5BB7"/>
    <w:rsid w:val="00FB5CEA"/>
    <w:rsid w:val="00FB6608"/>
    <w:rsid w:val="00FC2781"/>
    <w:rsid w:val="00FC62B6"/>
    <w:rsid w:val="00FC7DAC"/>
    <w:rsid w:val="00FD2818"/>
    <w:rsid w:val="00FE2B63"/>
    <w:rsid w:val="00FF010C"/>
    <w:rsid w:val="00FF01C0"/>
    <w:rsid w:val="00FF1527"/>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811BC"/>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1"/>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4"/>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link w:val="FooterChar1"/>
    <w:rsid w:val="00185277"/>
    <w:pPr>
      <w:pBdr>
        <w:top w:val="single" w:sz="6" w:space="1" w:color="auto"/>
      </w:pBdr>
      <w:tabs>
        <w:tab w:val="right" w:pos="7085"/>
      </w:tabs>
    </w:pPr>
    <w:rPr>
      <w:rFonts w:ascii="Calibri" w:hAnsi="Calibri"/>
      <w:sz w:val="20"/>
      <w:szCs w:val="18"/>
    </w:rPr>
  </w:style>
  <w:style w:type="paragraph" w:styleId="Header">
    <w:name w:val="header"/>
    <w:basedOn w:val="Footer"/>
    <w:link w:val="HeaderChar1"/>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1"/>
      </w:numPr>
    </w:pPr>
    <w:rPr>
      <w:rFonts w:ascii="Calibri" w:hAnsi="Calibri"/>
      <w:sz w:val="20"/>
      <w:szCs w:val="18"/>
    </w:rPr>
  </w:style>
  <w:style w:type="paragraph" w:customStyle="1" w:styleId="OGHeading1">
    <w:name w:val="OGHeading1"/>
    <w:basedOn w:val="Normal"/>
    <w:link w:val="OGHeading1Char"/>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3"/>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4"/>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5"/>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6"/>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rsid w:val="00E811BC"/>
    <w:pPr>
      <w:tabs>
        <w:tab w:val="right" w:leader="dot" w:pos="3479"/>
      </w:tabs>
      <w:spacing w:before="20" w:after="0"/>
      <w:ind w:left="216" w:hanging="216"/>
    </w:pPr>
    <w:rPr>
      <w:rFonts w:asciiTheme="minorHAnsi" w:hAnsiTheme="minorHAnsi" w:cstheme="minorHAnsi"/>
      <w:sz w:val="18"/>
      <w:szCs w:val="18"/>
    </w:rPr>
  </w:style>
  <w:style w:type="paragraph" w:customStyle="1" w:styleId="OGNotes">
    <w:name w:val="OGNotes"/>
    <w:basedOn w:val="NotesIndent"/>
    <w:link w:val="OGNotesChar"/>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cs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cstheme="minorHAnsi"/>
      <w:b/>
      <w:bCs/>
      <w:sz w:val="26"/>
      <w:szCs w:val="26"/>
    </w:rPr>
  </w:style>
  <w:style w:type="paragraph" w:customStyle="1" w:styleId="HighlightBoxHeading">
    <w:name w:val="Highlight Box Heading"/>
    <w:basedOn w:val="HighlightBoxText"/>
    <w:qFormat/>
    <w:rsid w:val="002411D9"/>
    <w:rPr>
      <w:rFonts w:ascii="Calibri" w:hAnsi="Calibri"/>
      <w:i/>
      <w:sz w:val="21"/>
    </w:r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styleId="Hyperlink">
    <w:name w:val="Hyperlink"/>
    <w:uiPriority w:val="99"/>
    <w:unhideWhenUsed/>
    <w:locked/>
    <w:rsid w:val="00E1736C"/>
    <w:rPr>
      <w:color w:val="0000FF"/>
      <w:u w:val="single"/>
    </w:rPr>
  </w:style>
  <w:style w:type="paragraph" w:styleId="BalloonText">
    <w:name w:val="Balloon Text"/>
    <w:basedOn w:val="Normal"/>
    <w:link w:val="BalloonTextChar"/>
    <w:locked/>
    <w:rsid w:val="004463C6"/>
    <w:pPr>
      <w:spacing w:after="0"/>
    </w:pPr>
    <w:rPr>
      <w:rFonts w:ascii="Tahoma" w:hAnsi="Tahoma" w:cs="Tahoma"/>
      <w:sz w:val="16"/>
      <w:szCs w:val="16"/>
    </w:rPr>
  </w:style>
  <w:style w:type="character" w:customStyle="1" w:styleId="BalloonTextChar">
    <w:name w:val="Balloon Text Char"/>
    <w:basedOn w:val="DefaultParagraphFont"/>
    <w:link w:val="BalloonText"/>
    <w:rsid w:val="004463C6"/>
    <w:rPr>
      <w:rFonts w:ascii="Tahoma" w:hAnsi="Tahoma" w:cs="Tahoma"/>
      <w:sz w:val="16"/>
      <w:szCs w:val="16"/>
      <w:lang w:eastAsia="en-US"/>
    </w:rPr>
  </w:style>
  <w:style w:type="character" w:customStyle="1" w:styleId="Heading5Char">
    <w:name w:val="Heading 5 Char"/>
    <w:basedOn w:val="DefaultParagraphFont"/>
    <w:link w:val="Heading5"/>
    <w:rsid w:val="004463C6"/>
    <w:rPr>
      <w:rFonts w:ascii="Calibri" w:hAnsi="Calibri"/>
      <w:b/>
      <w:sz w:val="22"/>
      <w:lang w:eastAsia="en-US"/>
    </w:rPr>
  </w:style>
  <w:style w:type="character" w:customStyle="1" w:styleId="Heading1Char">
    <w:name w:val="Heading 1 Char"/>
    <w:basedOn w:val="DefaultParagraphFont"/>
    <w:link w:val="Heading1"/>
    <w:rsid w:val="004463C6"/>
    <w:rPr>
      <w:rFonts w:ascii="Calibri" w:hAnsi="Calibri"/>
      <w:b/>
      <w:caps/>
      <w:sz w:val="26"/>
      <w:szCs w:val="22"/>
      <w:lang w:eastAsia="en-US"/>
    </w:rPr>
  </w:style>
  <w:style w:type="character" w:customStyle="1" w:styleId="Heading3Char">
    <w:name w:val="Heading 3 Char"/>
    <w:basedOn w:val="DefaultParagraphFont"/>
    <w:link w:val="Heading3"/>
    <w:rsid w:val="004463C6"/>
    <w:rPr>
      <w:rFonts w:ascii="Calibri" w:hAnsi="Calibri"/>
      <w:b/>
      <w:i/>
      <w:kern w:val="28"/>
      <w:sz w:val="24"/>
      <w:szCs w:val="22"/>
      <w:lang w:eastAsia="en-US"/>
    </w:rPr>
  </w:style>
  <w:style w:type="paragraph" w:styleId="ListParagraph">
    <w:name w:val="List Paragraph"/>
    <w:basedOn w:val="Normal"/>
    <w:uiPriority w:val="34"/>
    <w:qFormat/>
    <w:rsid w:val="004463C6"/>
    <w:pPr>
      <w:spacing w:after="0"/>
      <w:ind w:left="720"/>
      <w:contextualSpacing/>
    </w:pPr>
    <w:rPr>
      <w:rFonts w:ascii="Times New Roman" w:hAnsi="Times New Roman"/>
      <w:sz w:val="20"/>
    </w:rPr>
  </w:style>
  <w:style w:type="character" w:styleId="CommentReference">
    <w:name w:val="annotation reference"/>
    <w:basedOn w:val="DefaultParagraphFont"/>
    <w:uiPriority w:val="99"/>
    <w:locked/>
    <w:rsid w:val="004463C6"/>
    <w:rPr>
      <w:sz w:val="16"/>
      <w:szCs w:val="16"/>
    </w:rPr>
  </w:style>
  <w:style w:type="character" w:customStyle="1" w:styleId="TableheadingChar">
    <w:name w:val="Table heading Char"/>
    <w:link w:val="Tableheading"/>
    <w:locked/>
    <w:rsid w:val="004463C6"/>
    <w:rPr>
      <w:rFonts w:ascii="Calibri" w:hAnsi="Calibri"/>
      <w:b/>
      <w:sz w:val="22"/>
      <w:lang w:eastAsia="en-US"/>
    </w:rPr>
  </w:style>
  <w:style w:type="character" w:customStyle="1" w:styleId="NotesChar">
    <w:name w:val="Notes Char"/>
    <w:link w:val="Notes"/>
    <w:locked/>
    <w:rsid w:val="004463C6"/>
    <w:rPr>
      <w:rFonts w:ascii="Calibri" w:hAnsi="Calibri"/>
      <w:i/>
      <w:sz w:val="15"/>
      <w:lang w:eastAsia="en-US"/>
    </w:rPr>
  </w:style>
  <w:style w:type="paragraph" w:customStyle="1" w:styleId="BERCReporting">
    <w:name w:val="BERCReporting"/>
    <w:rsid w:val="004463C6"/>
    <w:pPr>
      <w:spacing w:line="280" w:lineRule="exact"/>
    </w:pPr>
    <w:rPr>
      <w:rFonts w:ascii="Calibri" w:eastAsia="Calibri" w:hAnsi="Calibri" w:cs="Calibri"/>
      <w:sz w:val="19"/>
      <w:szCs w:val="19"/>
      <w:lang w:eastAsia="en-US"/>
    </w:rPr>
  </w:style>
  <w:style w:type="character" w:customStyle="1" w:styleId="TabletextChar">
    <w:name w:val="Table text Char"/>
    <w:link w:val="Tabletext"/>
    <w:rsid w:val="004463C6"/>
    <w:rPr>
      <w:rFonts w:ascii="Calibri" w:hAnsi="Calibri"/>
      <w:szCs w:val="18"/>
      <w:lang w:eastAsia="en-US"/>
    </w:rPr>
  </w:style>
  <w:style w:type="paragraph" w:customStyle="1" w:styleId="Tabletextnoindent">
    <w:name w:val="Table text no indent"/>
    <w:basedOn w:val="Tabletext"/>
    <w:qFormat/>
    <w:rsid w:val="004463C6"/>
    <w:pPr>
      <w:spacing w:after="80"/>
      <w:ind w:left="0" w:firstLine="0"/>
    </w:pPr>
  </w:style>
  <w:style w:type="character" w:customStyle="1" w:styleId="OGHeading1Char">
    <w:name w:val="OGHeading1 Char"/>
    <w:link w:val="OGHeading1"/>
    <w:rsid w:val="004463C6"/>
    <w:rPr>
      <w:rFonts w:ascii="Calibri" w:hAnsi="Calibri"/>
      <w:b/>
      <w:sz w:val="32"/>
      <w:szCs w:val="28"/>
      <w:lang w:eastAsia="en-US"/>
    </w:rPr>
  </w:style>
  <w:style w:type="character" w:customStyle="1" w:styleId="OGNotesChar">
    <w:name w:val="OGNotes Char"/>
    <w:link w:val="OGNotes"/>
    <w:rsid w:val="004463C6"/>
    <w:rPr>
      <w:rFonts w:ascii="Calibri" w:hAnsi="Calibri"/>
      <w:i/>
      <w:sz w:val="15"/>
    </w:rPr>
  </w:style>
  <w:style w:type="paragraph" w:customStyle="1" w:styleId="TabletextheadingLeft0">
    <w:name w:val="Table text heading Left"/>
    <w:basedOn w:val="Normal"/>
    <w:rsid w:val="004463C6"/>
    <w:pPr>
      <w:spacing w:after="0"/>
    </w:pPr>
    <w:rPr>
      <w:rFonts w:ascii="Calibri" w:hAnsi="Calibri"/>
      <w:i/>
      <w:sz w:val="20"/>
      <w:szCs w:val="18"/>
    </w:rPr>
  </w:style>
  <w:style w:type="character" w:customStyle="1" w:styleId="Heading2Char">
    <w:name w:val="Heading 2 Char"/>
    <w:basedOn w:val="DefaultParagraphFont"/>
    <w:link w:val="Heading2"/>
    <w:rsid w:val="004463C6"/>
    <w:rPr>
      <w:rFonts w:ascii="Calibri" w:hAnsi="Calibri"/>
      <w:b/>
      <w:kern w:val="28"/>
      <w:sz w:val="26"/>
      <w:szCs w:val="22"/>
      <w:lang w:eastAsia="en-US"/>
    </w:rPr>
  </w:style>
  <w:style w:type="character" w:customStyle="1" w:styleId="Heading4Char">
    <w:name w:val="Heading 4 Char"/>
    <w:basedOn w:val="DefaultParagraphFont"/>
    <w:semiHidden/>
    <w:rsid w:val="004463C6"/>
    <w:rPr>
      <w:rFonts w:asciiTheme="majorHAnsi" w:eastAsiaTheme="majorEastAsia" w:hAnsiTheme="majorHAnsi" w:cstheme="majorBidi"/>
      <w:b/>
      <w:bCs/>
      <w:i/>
      <w:iCs/>
      <w:color w:val="4F81BD" w:themeColor="accent1"/>
      <w:sz w:val="22"/>
      <w:lang w:eastAsia="en-US"/>
    </w:rPr>
  </w:style>
  <w:style w:type="character" w:customStyle="1" w:styleId="Heading1Char1">
    <w:name w:val="Heading 1 Char1"/>
    <w:locked/>
    <w:rsid w:val="004463C6"/>
    <w:rPr>
      <w:rFonts w:ascii="Calibri" w:hAnsi="Calibri"/>
      <w:b/>
      <w:caps/>
      <w:sz w:val="26"/>
      <w:szCs w:val="22"/>
      <w:lang w:eastAsia="en-US"/>
    </w:rPr>
  </w:style>
  <w:style w:type="character" w:customStyle="1" w:styleId="Heading2Char1">
    <w:name w:val="Heading 2 Char1"/>
    <w:locked/>
    <w:rsid w:val="004463C6"/>
    <w:rPr>
      <w:rFonts w:ascii="Calibri" w:hAnsi="Calibri"/>
      <w:b/>
      <w:kern w:val="28"/>
      <w:sz w:val="26"/>
      <w:szCs w:val="22"/>
      <w:lang w:eastAsia="en-US"/>
    </w:rPr>
  </w:style>
  <w:style w:type="character" w:customStyle="1" w:styleId="Heading3Char1">
    <w:name w:val="Heading 3 Char1"/>
    <w:locked/>
    <w:rsid w:val="004463C6"/>
    <w:rPr>
      <w:rFonts w:ascii="Calibri" w:hAnsi="Calibri"/>
      <w:b/>
      <w:i/>
      <w:kern w:val="28"/>
      <w:sz w:val="24"/>
      <w:szCs w:val="22"/>
      <w:lang w:eastAsia="en-US"/>
    </w:rPr>
  </w:style>
  <w:style w:type="character" w:customStyle="1" w:styleId="Heading4Char1">
    <w:name w:val="Heading 4 Char1"/>
    <w:link w:val="Heading4"/>
    <w:locked/>
    <w:rsid w:val="004463C6"/>
    <w:rPr>
      <w:rFonts w:ascii="Calibri" w:hAnsi="Calibri"/>
      <w:i/>
      <w:sz w:val="24"/>
      <w:szCs w:val="22"/>
      <w:lang w:eastAsia="en-US"/>
    </w:rPr>
  </w:style>
  <w:style w:type="character" w:customStyle="1" w:styleId="Heading5Char1">
    <w:name w:val="Heading 5 Char1"/>
    <w:locked/>
    <w:rsid w:val="004463C6"/>
    <w:rPr>
      <w:rFonts w:ascii="Calibri" w:hAnsi="Calibri"/>
      <w:b/>
      <w:sz w:val="22"/>
      <w:lang w:eastAsia="en-US"/>
    </w:rPr>
  </w:style>
  <w:style w:type="character" w:customStyle="1" w:styleId="TableofFiguresChar1">
    <w:name w:val="Table of Figures Char1"/>
    <w:locked/>
    <w:rsid w:val="004463C6"/>
    <w:rPr>
      <w:rFonts w:ascii="Calibri" w:hAnsi="Calibri"/>
      <w:sz w:val="18"/>
      <w:lang w:eastAsia="en-US"/>
    </w:rPr>
  </w:style>
  <w:style w:type="character" w:customStyle="1" w:styleId="FooterChar">
    <w:name w:val="Footer Char"/>
    <w:basedOn w:val="DefaultParagraphFont"/>
    <w:rsid w:val="004463C6"/>
    <w:rPr>
      <w:rFonts w:ascii="Garamond" w:hAnsi="Garamond"/>
      <w:sz w:val="22"/>
      <w:lang w:eastAsia="en-US"/>
    </w:rPr>
  </w:style>
  <w:style w:type="character" w:customStyle="1" w:styleId="FooterChar1">
    <w:name w:val="Footer Char1"/>
    <w:link w:val="Footer"/>
    <w:locked/>
    <w:rsid w:val="004463C6"/>
    <w:rPr>
      <w:rFonts w:ascii="Calibri" w:hAnsi="Calibri"/>
      <w:szCs w:val="18"/>
      <w:lang w:eastAsia="en-US"/>
    </w:rPr>
  </w:style>
  <w:style w:type="character" w:customStyle="1" w:styleId="HeaderChar">
    <w:name w:val="Header Char"/>
    <w:basedOn w:val="DefaultParagraphFont"/>
    <w:semiHidden/>
    <w:rsid w:val="004463C6"/>
    <w:rPr>
      <w:rFonts w:ascii="Garamond" w:hAnsi="Garamond"/>
      <w:sz w:val="22"/>
      <w:lang w:eastAsia="en-US"/>
    </w:rPr>
  </w:style>
  <w:style w:type="character" w:customStyle="1" w:styleId="HeaderChar1">
    <w:name w:val="Header Char1"/>
    <w:link w:val="Header"/>
    <w:locked/>
    <w:rsid w:val="004463C6"/>
    <w:rPr>
      <w:rFonts w:ascii="Calibri" w:hAnsi="Calibri"/>
      <w:szCs w:val="18"/>
      <w:lang w:eastAsia="en-US"/>
    </w:rPr>
  </w:style>
  <w:style w:type="character" w:customStyle="1" w:styleId="BalloonTextChar1">
    <w:name w:val="Balloon Text Char1"/>
    <w:locked/>
    <w:rsid w:val="004463C6"/>
    <w:rPr>
      <w:rFonts w:ascii="Tahoma" w:hAnsi="Tahoma" w:cs="Tahoma"/>
      <w:sz w:val="16"/>
      <w:szCs w:val="16"/>
      <w:lang w:eastAsia="en-US"/>
    </w:rPr>
  </w:style>
  <w:style w:type="character" w:styleId="FollowedHyperlink">
    <w:name w:val="FollowedHyperlink"/>
    <w:uiPriority w:val="99"/>
    <w:locked/>
    <w:rsid w:val="004463C6"/>
    <w:rPr>
      <w:rFonts w:cs="Times New Roman"/>
      <w:color w:val="800080"/>
      <w:u w:val="single"/>
    </w:rPr>
  </w:style>
  <w:style w:type="character" w:customStyle="1" w:styleId="BulletTextChar">
    <w:name w:val="Bullet Text Char"/>
    <w:link w:val="BulletText"/>
    <w:locked/>
    <w:rsid w:val="004463C6"/>
    <w:rPr>
      <w:rFonts w:ascii="Garamond" w:hAnsi="Garamond"/>
      <w:sz w:val="22"/>
      <w:lang w:eastAsia="en-US"/>
    </w:rPr>
  </w:style>
  <w:style w:type="paragraph" w:customStyle="1" w:styleId="DSETableTitle">
    <w:name w:val="DSE_TableTitle"/>
    <w:rsid w:val="004463C6"/>
    <w:pPr>
      <w:spacing w:after="120" w:line="220" w:lineRule="atLeast"/>
    </w:pPr>
    <w:rPr>
      <w:rFonts w:ascii="Arial" w:hAnsi="Arial" w:cs="Arial"/>
      <w:b/>
      <w:color w:val="404040"/>
      <w:sz w:val="18"/>
      <w:szCs w:val="18"/>
      <w:lang w:eastAsia="en-US"/>
    </w:rPr>
  </w:style>
  <w:style w:type="paragraph" w:customStyle="1" w:styleId="CharCharCharChar">
    <w:name w:val="Char Char Char Char"/>
    <w:basedOn w:val="Normal"/>
    <w:rsid w:val="004463C6"/>
    <w:pPr>
      <w:spacing w:after="160" w:line="240" w:lineRule="exact"/>
    </w:pPr>
    <w:rPr>
      <w:rFonts w:ascii="Tahoma" w:hAnsi="Tahoma" w:cs="Tahoma"/>
      <w:sz w:val="20"/>
      <w:lang w:val="en-US"/>
    </w:rPr>
  </w:style>
  <w:style w:type="table" w:styleId="MediumShading1">
    <w:name w:val="Medium Shading 1"/>
    <w:rsid w:val="004463C6"/>
    <w:tblPr>
      <w:tblStyleRowBandSize w:val="1"/>
      <w:tblStyleColBandSize w:val="1"/>
      <w:tblInd w:w="0" w:type="dxa"/>
      <w:tblCellMar>
        <w:top w:w="0" w:type="dxa"/>
        <w:left w:w="108" w:type="dxa"/>
        <w:bottom w:w="0" w:type="dxa"/>
        <w:right w:w="108" w:type="dxa"/>
      </w:tblCellMar>
    </w:tblPr>
  </w:style>
  <w:style w:type="paragraph" w:customStyle="1" w:styleId="Tabletextbullet">
    <w:name w:val="Table text bullet"/>
    <w:basedOn w:val="Tabletextnoindent"/>
    <w:qFormat/>
    <w:rsid w:val="004463C6"/>
    <w:pPr>
      <w:keepNext/>
      <w:numPr>
        <w:numId w:val="7"/>
      </w:numPr>
      <w:ind w:left="388"/>
      <w:outlineLvl w:val="1"/>
    </w:pPr>
    <w:rPr>
      <w:sz w:val="18"/>
      <w:szCs w:val="20"/>
    </w:rPr>
  </w:style>
  <w:style w:type="paragraph" w:customStyle="1" w:styleId="xl63">
    <w:name w:val="xl63"/>
    <w:basedOn w:val="Normal"/>
    <w:rsid w:val="004463C6"/>
    <w:pPr>
      <w:spacing w:before="100" w:beforeAutospacing="1" w:after="100" w:afterAutospacing="1"/>
    </w:pPr>
    <w:rPr>
      <w:rFonts w:ascii="Times New Roman" w:hAnsi="Times New Roman"/>
      <w:b/>
      <w:bCs/>
      <w:sz w:val="28"/>
      <w:szCs w:val="28"/>
      <w:lang w:eastAsia="en-AU"/>
    </w:rPr>
  </w:style>
  <w:style w:type="paragraph" w:customStyle="1" w:styleId="xl64">
    <w:name w:val="xl64"/>
    <w:basedOn w:val="Normal"/>
    <w:rsid w:val="004463C6"/>
    <w:pPr>
      <w:pBdr>
        <w:top w:val="single" w:sz="4" w:space="0" w:color="000000"/>
        <w:left w:val="single" w:sz="4" w:space="0" w:color="000000"/>
        <w:right w:val="single" w:sz="4" w:space="0" w:color="000000"/>
      </w:pBdr>
      <w:shd w:val="clear" w:color="000000" w:fill="000000"/>
      <w:spacing w:before="100" w:beforeAutospacing="1" w:after="100" w:afterAutospacing="1"/>
    </w:pPr>
    <w:rPr>
      <w:rFonts w:ascii="Times New Roman" w:hAnsi="Times New Roman"/>
      <w:color w:val="FFFFFF"/>
      <w:sz w:val="24"/>
      <w:szCs w:val="24"/>
      <w:lang w:eastAsia="en-AU"/>
    </w:rPr>
  </w:style>
  <w:style w:type="paragraph" w:customStyle="1" w:styleId="xl65">
    <w:name w:val="xl65"/>
    <w:basedOn w:val="Normal"/>
    <w:rsid w:val="004463C6"/>
    <w:pPr>
      <w:pBdr>
        <w:top w:val="single" w:sz="4" w:space="0" w:color="000000"/>
        <w:right w:val="single" w:sz="4" w:space="0" w:color="000000"/>
      </w:pBdr>
      <w:shd w:val="clear" w:color="000000" w:fill="000000"/>
      <w:spacing w:before="100" w:beforeAutospacing="1" w:after="100" w:afterAutospacing="1"/>
      <w:jc w:val="right"/>
    </w:pPr>
    <w:rPr>
      <w:rFonts w:ascii="Times New Roman" w:hAnsi="Times New Roman"/>
      <w:color w:val="FFFFFF"/>
      <w:sz w:val="24"/>
      <w:szCs w:val="24"/>
      <w:lang w:eastAsia="en-AU"/>
    </w:rPr>
  </w:style>
  <w:style w:type="paragraph" w:customStyle="1" w:styleId="xl66">
    <w:name w:val="xl66"/>
    <w:basedOn w:val="Normal"/>
    <w:rsid w:val="004463C6"/>
    <w:pPr>
      <w:pBdr>
        <w:top w:val="single" w:sz="4" w:space="0" w:color="000000"/>
        <w:right w:val="single" w:sz="4" w:space="0" w:color="000000"/>
      </w:pBdr>
      <w:shd w:val="clear" w:color="000000" w:fill="000000"/>
      <w:spacing w:before="100" w:beforeAutospacing="1" w:after="100" w:afterAutospacing="1"/>
      <w:jc w:val="right"/>
    </w:pPr>
    <w:rPr>
      <w:rFonts w:ascii="Times New Roman" w:hAnsi="Times New Roman"/>
      <w:color w:val="EEECE1"/>
      <w:sz w:val="24"/>
      <w:szCs w:val="24"/>
      <w:lang w:eastAsia="en-AU"/>
    </w:rPr>
  </w:style>
  <w:style w:type="paragraph" w:customStyle="1" w:styleId="xl67">
    <w:name w:val="xl67"/>
    <w:basedOn w:val="Normal"/>
    <w:rsid w:val="004463C6"/>
    <w:pPr>
      <w:pBdr>
        <w:left w:val="single" w:sz="4" w:space="0" w:color="000000"/>
        <w:right w:val="single" w:sz="4" w:space="0" w:color="000000"/>
      </w:pBdr>
      <w:shd w:val="clear" w:color="000000" w:fill="000000"/>
      <w:spacing w:before="100" w:beforeAutospacing="1" w:after="100" w:afterAutospacing="1"/>
    </w:pPr>
    <w:rPr>
      <w:rFonts w:ascii="Times New Roman" w:hAnsi="Times New Roman"/>
      <w:i/>
      <w:iCs/>
      <w:color w:val="FFFFFF"/>
      <w:sz w:val="24"/>
      <w:szCs w:val="24"/>
      <w:lang w:eastAsia="en-AU"/>
    </w:rPr>
  </w:style>
  <w:style w:type="paragraph" w:customStyle="1" w:styleId="xl68">
    <w:name w:val="xl68"/>
    <w:basedOn w:val="Normal"/>
    <w:rsid w:val="004463C6"/>
    <w:pPr>
      <w:pBdr>
        <w:right w:val="single" w:sz="4" w:space="0" w:color="000000"/>
      </w:pBdr>
      <w:shd w:val="clear" w:color="000000" w:fill="000000"/>
      <w:spacing w:before="100" w:beforeAutospacing="1" w:after="100" w:afterAutospacing="1"/>
      <w:jc w:val="right"/>
    </w:pPr>
    <w:rPr>
      <w:rFonts w:ascii="Times New Roman" w:hAnsi="Times New Roman"/>
      <w:color w:val="FFFFFF"/>
      <w:sz w:val="24"/>
      <w:szCs w:val="24"/>
      <w:lang w:eastAsia="en-AU"/>
    </w:rPr>
  </w:style>
  <w:style w:type="paragraph" w:customStyle="1" w:styleId="xl69">
    <w:name w:val="xl69"/>
    <w:basedOn w:val="Normal"/>
    <w:rsid w:val="004463C6"/>
    <w:pPr>
      <w:pBdr>
        <w:left w:val="single" w:sz="4" w:space="0" w:color="000000"/>
        <w:bottom w:val="single" w:sz="4" w:space="0" w:color="000000"/>
        <w:right w:val="single" w:sz="4" w:space="0" w:color="000000"/>
      </w:pBdr>
      <w:shd w:val="clear" w:color="000000" w:fill="000000"/>
      <w:spacing w:before="100" w:beforeAutospacing="1" w:after="100" w:afterAutospacing="1"/>
    </w:pPr>
    <w:rPr>
      <w:rFonts w:ascii="Times New Roman" w:hAnsi="Times New Roman"/>
      <w:sz w:val="24"/>
      <w:szCs w:val="24"/>
      <w:lang w:eastAsia="en-AU"/>
    </w:rPr>
  </w:style>
  <w:style w:type="paragraph" w:customStyle="1" w:styleId="xl70">
    <w:name w:val="xl70"/>
    <w:basedOn w:val="Normal"/>
    <w:rsid w:val="004463C6"/>
    <w:pPr>
      <w:pBdr>
        <w:bottom w:val="single" w:sz="4" w:space="0" w:color="000000"/>
        <w:right w:val="single" w:sz="4" w:space="0" w:color="000000"/>
      </w:pBdr>
      <w:shd w:val="clear" w:color="000000" w:fill="000000"/>
      <w:spacing w:before="100" w:beforeAutospacing="1" w:after="100" w:afterAutospacing="1"/>
    </w:pPr>
    <w:rPr>
      <w:rFonts w:ascii="Times New Roman" w:hAnsi="Times New Roman"/>
      <w:sz w:val="24"/>
      <w:szCs w:val="24"/>
      <w:lang w:eastAsia="en-AU"/>
    </w:rPr>
  </w:style>
  <w:style w:type="paragraph" w:customStyle="1" w:styleId="xl71">
    <w:name w:val="xl71"/>
    <w:basedOn w:val="Normal"/>
    <w:rsid w:val="004463C6"/>
    <w:pPr>
      <w:pBdr>
        <w:bottom w:val="single" w:sz="4" w:space="0" w:color="000000"/>
        <w:right w:val="single" w:sz="4" w:space="0" w:color="000000"/>
      </w:pBdr>
      <w:shd w:val="clear" w:color="000000" w:fill="000000"/>
      <w:spacing w:before="100" w:beforeAutospacing="1" w:after="100" w:afterAutospacing="1"/>
      <w:jc w:val="right"/>
    </w:pPr>
    <w:rPr>
      <w:rFonts w:ascii="Times New Roman" w:hAnsi="Times New Roman"/>
      <w:color w:val="FFFFFF"/>
      <w:sz w:val="24"/>
      <w:szCs w:val="24"/>
      <w:lang w:eastAsia="en-AU"/>
    </w:rPr>
  </w:style>
  <w:style w:type="paragraph" w:customStyle="1" w:styleId="xl72">
    <w:name w:val="xl72"/>
    <w:basedOn w:val="Normal"/>
    <w:rsid w:val="004463C6"/>
    <w:pPr>
      <w:shd w:val="clear" w:color="000000" w:fill="FFFFFF"/>
      <w:spacing w:before="100" w:beforeAutospacing="1" w:after="100" w:afterAutospacing="1"/>
      <w:textAlignment w:val="top"/>
    </w:pPr>
    <w:rPr>
      <w:rFonts w:ascii="Times New Roman" w:hAnsi="Times New Roman"/>
      <w:sz w:val="24"/>
      <w:szCs w:val="24"/>
      <w:lang w:eastAsia="en-AU"/>
    </w:rPr>
  </w:style>
  <w:style w:type="paragraph" w:customStyle="1" w:styleId="xl73">
    <w:name w:val="xl73"/>
    <w:basedOn w:val="Normal"/>
    <w:rsid w:val="004463C6"/>
    <w:pPr>
      <w:shd w:val="clear" w:color="000000" w:fill="FFFFFF"/>
      <w:spacing w:before="100" w:beforeAutospacing="1" w:after="100" w:afterAutospacing="1"/>
      <w:jc w:val="right"/>
      <w:textAlignment w:val="top"/>
    </w:pPr>
    <w:rPr>
      <w:rFonts w:ascii="Times New Roman" w:hAnsi="Times New Roman"/>
      <w:sz w:val="24"/>
      <w:szCs w:val="24"/>
      <w:lang w:eastAsia="en-AU"/>
    </w:rPr>
  </w:style>
  <w:style w:type="paragraph" w:customStyle="1" w:styleId="xl74">
    <w:name w:val="xl74"/>
    <w:basedOn w:val="Normal"/>
    <w:rsid w:val="004463C6"/>
    <w:pP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5">
    <w:name w:val="xl75"/>
    <w:basedOn w:val="Normal"/>
    <w:rsid w:val="004463C6"/>
    <w:pPr>
      <w:spacing w:before="100" w:beforeAutospacing="1" w:after="100" w:afterAutospacing="1"/>
    </w:pPr>
    <w:rPr>
      <w:rFonts w:ascii="Times New Roman" w:hAnsi="Times New Roman"/>
      <w:sz w:val="16"/>
      <w:szCs w:val="16"/>
      <w:lang w:eastAsia="en-AU"/>
    </w:rPr>
  </w:style>
  <w:style w:type="paragraph" w:customStyle="1" w:styleId="xl76">
    <w:name w:val="xl76"/>
    <w:basedOn w:val="Normal"/>
    <w:rsid w:val="004463C6"/>
    <w:pPr>
      <w:shd w:val="clear" w:color="000000" w:fill="FFFFFF"/>
      <w:spacing w:before="100" w:beforeAutospacing="1" w:after="100" w:afterAutospacing="1"/>
      <w:jc w:val="right"/>
      <w:textAlignment w:val="top"/>
    </w:pPr>
    <w:rPr>
      <w:rFonts w:ascii="Times New Roman" w:hAnsi="Times New Roman"/>
      <w:sz w:val="24"/>
      <w:szCs w:val="24"/>
      <w:lang w:eastAsia="en-AU"/>
    </w:rPr>
  </w:style>
  <w:style w:type="paragraph" w:customStyle="1" w:styleId="xl77">
    <w:name w:val="xl77"/>
    <w:basedOn w:val="Normal"/>
    <w:rsid w:val="004463C6"/>
    <w:pP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8">
    <w:name w:val="xl78"/>
    <w:basedOn w:val="Normal"/>
    <w:rsid w:val="004463C6"/>
    <w:pPr>
      <w:shd w:val="clear" w:color="000000" w:fill="FFFFFF"/>
      <w:spacing w:before="100" w:beforeAutospacing="1" w:after="100" w:afterAutospacing="1"/>
      <w:jc w:val="right"/>
      <w:textAlignment w:val="top"/>
    </w:pPr>
    <w:rPr>
      <w:rFonts w:ascii="Times New Roman" w:hAnsi="Times New Roman"/>
      <w:sz w:val="24"/>
      <w:szCs w:val="24"/>
      <w:lang w:eastAsia="en-AU"/>
    </w:rPr>
  </w:style>
  <w:style w:type="paragraph" w:customStyle="1" w:styleId="xl79">
    <w:name w:val="xl79"/>
    <w:basedOn w:val="Normal"/>
    <w:rsid w:val="004463C6"/>
    <w:pP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0">
    <w:name w:val="xl80"/>
    <w:basedOn w:val="Normal"/>
    <w:rsid w:val="004463C6"/>
    <w:pPr>
      <w:spacing w:before="100" w:beforeAutospacing="1" w:after="100" w:afterAutospacing="1"/>
    </w:pPr>
    <w:rPr>
      <w:rFonts w:ascii="Times New Roman" w:hAnsi="Times New Roman"/>
      <w:sz w:val="24"/>
      <w:szCs w:val="24"/>
      <w:lang w:eastAsia="en-AU"/>
    </w:rPr>
  </w:style>
  <w:style w:type="paragraph" w:customStyle="1" w:styleId="xl81">
    <w:name w:val="xl81"/>
    <w:basedOn w:val="Normal"/>
    <w:rsid w:val="004463C6"/>
    <w:pPr>
      <w:spacing w:before="100" w:beforeAutospacing="1" w:after="100" w:afterAutospacing="1"/>
    </w:pPr>
    <w:rPr>
      <w:rFonts w:ascii="Times New Roman" w:hAnsi="Times New Roman"/>
      <w:sz w:val="16"/>
      <w:szCs w:val="16"/>
      <w:lang w:eastAsia="en-AU"/>
    </w:rPr>
  </w:style>
  <w:style w:type="paragraph" w:customStyle="1" w:styleId="xl82">
    <w:name w:val="xl82"/>
    <w:basedOn w:val="Normal"/>
    <w:rsid w:val="004463C6"/>
    <w:pPr>
      <w:pBdr>
        <w:left w:val="single" w:sz="4" w:space="0" w:color="000000"/>
        <w:right w:val="single" w:sz="4" w:space="0" w:color="000000"/>
      </w:pBdr>
      <w:shd w:val="clear" w:color="000000" w:fill="000000"/>
      <w:spacing w:before="100" w:beforeAutospacing="1" w:after="100" w:afterAutospacing="1"/>
    </w:pPr>
    <w:rPr>
      <w:rFonts w:ascii="Times New Roman" w:hAnsi="Times New Roman"/>
      <w:color w:val="FFFFFF"/>
      <w:sz w:val="24"/>
      <w:szCs w:val="24"/>
      <w:lang w:eastAsia="en-AU"/>
    </w:rPr>
  </w:style>
  <w:style w:type="paragraph" w:customStyle="1" w:styleId="xl83">
    <w:name w:val="xl83"/>
    <w:basedOn w:val="Normal"/>
    <w:rsid w:val="004463C6"/>
    <w:pPr>
      <w:pBdr>
        <w:left w:val="single" w:sz="4" w:space="0" w:color="000000"/>
        <w:bottom w:val="single" w:sz="4" w:space="0" w:color="000000"/>
        <w:right w:val="single" w:sz="4" w:space="0" w:color="000000"/>
      </w:pBdr>
      <w:shd w:val="clear" w:color="000000" w:fill="000000"/>
      <w:spacing w:before="100" w:beforeAutospacing="1" w:after="100" w:afterAutospacing="1"/>
    </w:pPr>
    <w:rPr>
      <w:rFonts w:ascii="Times New Roman" w:hAnsi="Times New Roman"/>
      <w:color w:val="FFFFFF"/>
      <w:sz w:val="24"/>
      <w:szCs w:val="24"/>
      <w:lang w:eastAsia="en-AU"/>
    </w:rPr>
  </w:style>
  <w:style w:type="paragraph" w:customStyle="1" w:styleId="xl84">
    <w:name w:val="xl84"/>
    <w:basedOn w:val="Normal"/>
    <w:rsid w:val="004463C6"/>
    <w:pPr>
      <w:spacing w:before="100" w:beforeAutospacing="1" w:after="100" w:afterAutospacing="1"/>
    </w:pPr>
    <w:rPr>
      <w:rFonts w:ascii="Times New Roman" w:hAnsi="Times New Roman"/>
      <w:b/>
      <w:bCs/>
      <w:sz w:val="28"/>
      <w:szCs w:val="28"/>
      <w:lang w:eastAsia="en-AU"/>
    </w:rPr>
  </w:style>
  <w:style w:type="paragraph" w:customStyle="1" w:styleId="xl85">
    <w:name w:val="xl85"/>
    <w:basedOn w:val="Normal"/>
    <w:rsid w:val="004463C6"/>
    <w:pPr>
      <w:spacing w:before="100" w:beforeAutospacing="1" w:after="100" w:afterAutospacing="1"/>
    </w:pPr>
    <w:rPr>
      <w:rFonts w:ascii="Times New Roman" w:hAnsi="Times New Roman"/>
      <w:b/>
      <w:bCs/>
      <w:i/>
      <w:iCs/>
      <w:sz w:val="24"/>
      <w:szCs w:val="24"/>
      <w:lang w:eastAsia="en-AU"/>
    </w:rPr>
  </w:style>
  <w:style w:type="paragraph" w:customStyle="1" w:styleId="xl86">
    <w:name w:val="xl86"/>
    <w:basedOn w:val="Normal"/>
    <w:rsid w:val="004463C6"/>
    <w:pPr>
      <w:spacing w:before="100" w:beforeAutospacing="1" w:after="100" w:afterAutospacing="1"/>
    </w:pPr>
    <w:rPr>
      <w:rFonts w:ascii="Times New Roman" w:hAnsi="Times New Roman"/>
      <w:sz w:val="18"/>
      <w:szCs w:val="18"/>
      <w:lang w:eastAsia="en-AU"/>
    </w:rPr>
  </w:style>
  <w:style w:type="paragraph" w:styleId="NormalWeb">
    <w:name w:val="Normal (Web)"/>
    <w:basedOn w:val="Normal"/>
    <w:locked/>
    <w:rsid w:val="004463C6"/>
    <w:pPr>
      <w:spacing w:before="100" w:beforeAutospacing="1" w:after="100" w:afterAutospacing="1"/>
    </w:pPr>
    <w:rPr>
      <w:rFonts w:ascii="Times New Roman" w:hAnsi="Times New Roman"/>
      <w:sz w:val="24"/>
      <w:szCs w:val="24"/>
      <w:lang w:eastAsia="en-AU"/>
    </w:rPr>
  </w:style>
  <w:style w:type="paragraph" w:styleId="FootnoteText">
    <w:name w:val="footnote text"/>
    <w:basedOn w:val="Normal"/>
    <w:link w:val="FootnoteTextChar1"/>
    <w:locked/>
    <w:rsid w:val="004463C6"/>
    <w:rPr>
      <w:sz w:val="20"/>
    </w:rPr>
  </w:style>
  <w:style w:type="character" w:customStyle="1" w:styleId="FootnoteTextChar">
    <w:name w:val="Footnote Text Char"/>
    <w:basedOn w:val="DefaultParagraphFont"/>
    <w:rsid w:val="004463C6"/>
    <w:rPr>
      <w:rFonts w:ascii="Garamond" w:hAnsi="Garamond"/>
      <w:lang w:eastAsia="en-US"/>
    </w:rPr>
  </w:style>
  <w:style w:type="character" w:customStyle="1" w:styleId="FootnoteTextChar1">
    <w:name w:val="Footnote Text Char1"/>
    <w:link w:val="FootnoteText"/>
    <w:locked/>
    <w:rsid w:val="004463C6"/>
    <w:rPr>
      <w:rFonts w:ascii="Garamond" w:hAnsi="Garamond"/>
      <w:lang w:eastAsia="en-US"/>
    </w:rPr>
  </w:style>
  <w:style w:type="character" w:styleId="FootnoteReference">
    <w:name w:val="footnote reference"/>
    <w:locked/>
    <w:rsid w:val="004463C6"/>
    <w:rPr>
      <w:rFonts w:cs="Times New Roman"/>
      <w:vertAlign w:val="superscript"/>
    </w:rPr>
  </w:style>
  <w:style w:type="paragraph" w:customStyle="1" w:styleId="Soy">
    <w:name w:val="Soy"/>
    <w:basedOn w:val="Source"/>
    <w:qFormat/>
    <w:rsid w:val="004463C6"/>
  </w:style>
  <w:style w:type="paragraph" w:customStyle="1" w:styleId="font5">
    <w:name w:val="font5"/>
    <w:basedOn w:val="Normal"/>
    <w:rsid w:val="004463C6"/>
    <w:pPr>
      <w:spacing w:before="100" w:beforeAutospacing="1" w:after="100" w:afterAutospacing="1"/>
    </w:pPr>
    <w:rPr>
      <w:rFonts w:ascii="Calibri" w:hAnsi="Calibri" w:cs="Calibri"/>
      <w:color w:val="000000"/>
      <w:sz w:val="16"/>
      <w:szCs w:val="16"/>
      <w:lang w:eastAsia="en-AU"/>
    </w:rPr>
  </w:style>
  <w:style w:type="paragraph" w:customStyle="1" w:styleId="font6">
    <w:name w:val="font6"/>
    <w:basedOn w:val="Normal"/>
    <w:rsid w:val="004463C6"/>
    <w:pPr>
      <w:spacing w:before="100" w:beforeAutospacing="1" w:after="100" w:afterAutospacing="1"/>
    </w:pPr>
    <w:rPr>
      <w:rFonts w:ascii="Calibri" w:hAnsi="Calibri" w:cs="Calibri"/>
      <w:i/>
      <w:iCs/>
      <w:color w:val="000000"/>
      <w:sz w:val="16"/>
      <w:szCs w:val="16"/>
      <w:lang w:eastAsia="en-AU"/>
    </w:rPr>
  </w:style>
  <w:style w:type="paragraph" w:styleId="EndnoteText">
    <w:name w:val="endnote text"/>
    <w:basedOn w:val="Normal"/>
    <w:link w:val="EndnoteTextChar1"/>
    <w:locked/>
    <w:rsid w:val="004463C6"/>
    <w:rPr>
      <w:sz w:val="20"/>
    </w:rPr>
  </w:style>
  <w:style w:type="character" w:customStyle="1" w:styleId="EndnoteTextChar">
    <w:name w:val="Endnote Text Char"/>
    <w:basedOn w:val="DefaultParagraphFont"/>
    <w:rsid w:val="004463C6"/>
    <w:rPr>
      <w:rFonts w:ascii="Garamond" w:hAnsi="Garamond"/>
      <w:lang w:eastAsia="en-US"/>
    </w:rPr>
  </w:style>
  <w:style w:type="character" w:customStyle="1" w:styleId="EndnoteTextChar1">
    <w:name w:val="Endnote Text Char1"/>
    <w:link w:val="EndnoteText"/>
    <w:locked/>
    <w:rsid w:val="004463C6"/>
    <w:rPr>
      <w:rFonts w:ascii="Garamond" w:hAnsi="Garamond"/>
      <w:lang w:eastAsia="en-US"/>
    </w:rPr>
  </w:style>
  <w:style w:type="character" w:styleId="EndnoteReference">
    <w:name w:val="endnote reference"/>
    <w:locked/>
    <w:rsid w:val="004463C6"/>
    <w:rPr>
      <w:rFonts w:cs="Times New Roman"/>
      <w:vertAlign w:val="superscript"/>
    </w:rPr>
  </w:style>
  <w:style w:type="paragraph" w:customStyle="1" w:styleId="TableText0">
    <w:name w:val="Table Text"/>
    <w:basedOn w:val="Normal"/>
    <w:rsid w:val="004463C6"/>
    <w:pPr>
      <w:spacing w:before="30" w:after="30"/>
    </w:pPr>
    <w:rPr>
      <w:rFonts w:ascii="Calibri" w:hAnsi="Calibri"/>
      <w:color w:val="4D4D4D"/>
      <w:sz w:val="18"/>
      <w:szCs w:val="24"/>
      <w:lang w:eastAsia="en-AU"/>
    </w:rPr>
  </w:style>
  <w:style w:type="paragraph" w:customStyle="1" w:styleId="TableTextHeadingLeft1">
    <w:name w:val="Table Text Heading Left"/>
    <w:basedOn w:val="Tabletextcentred"/>
    <w:rsid w:val="004463C6"/>
    <w:pPr>
      <w:spacing w:before="30" w:after="30"/>
      <w:jc w:val="left"/>
    </w:pPr>
    <w:rPr>
      <w:b/>
      <w:color w:val="4D4D4D"/>
      <w:sz w:val="19"/>
      <w:szCs w:val="24"/>
      <w:lang w:eastAsia="en-AU"/>
    </w:rPr>
  </w:style>
  <w:style w:type="paragraph" w:customStyle="1" w:styleId="TableTextHeadingRight">
    <w:name w:val="Table Text Heading Right"/>
    <w:basedOn w:val="TableTextHeadingLeft1"/>
    <w:rsid w:val="004463C6"/>
    <w:pPr>
      <w:jc w:val="right"/>
    </w:pPr>
  </w:style>
  <w:style w:type="paragraph" w:customStyle="1" w:styleId="TableTextHeadingCentre">
    <w:name w:val="Table Text Heading Centre"/>
    <w:basedOn w:val="TableTextHeadingLeft1"/>
    <w:rsid w:val="004463C6"/>
    <w:pPr>
      <w:jc w:val="center"/>
    </w:pPr>
  </w:style>
  <w:style w:type="paragraph" w:customStyle="1" w:styleId="TableTextCentred0">
    <w:name w:val="Table Text Centred"/>
    <w:basedOn w:val="TableText0"/>
    <w:rsid w:val="004463C6"/>
    <w:pPr>
      <w:jc w:val="center"/>
    </w:pPr>
  </w:style>
  <w:style w:type="paragraph" w:customStyle="1" w:styleId="TableTextRight">
    <w:name w:val="Table Text Right"/>
    <w:basedOn w:val="Normal"/>
    <w:rsid w:val="004463C6"/>
    <w:pPr>
      <w:spacing w:before="30" w:after="30"/>
      <w:jc w:val="right"/>
    </w:pPr>
    <w:rPr>
      <w:rFonts w:ascii="Calibri" w:hAnsi="Calibri"/>
      <w:color w:val="4D4D4D"/>
      <w:sz w:val="18"/>
      <w:szCs w:val="18"/>
      <w:lang w:eastAsia="en-AU"/>
    </w:rPr>
  </w:style>
  <w:style w:type="paragraph" w:styleId="Index3">
    <w:name w:val="index 3"/>
    <w:basedOn w:val="Normal"/>
    <w:next w:val="Normal"/>
    <w:autoRedefine/>
    <w:rsid w:val="004463C6"/>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4463C6"/>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4463C6"/>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4463C6"/>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4463C6"/>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4463C6"/>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4463C6"/>
    <w:pPr>
      <w:spacing w:after="0"/>
      <w:ind w:left="1980" w:hanging="220"/>
    </w:pPr>
    <w:rPr>
      <w:rFonts w:asciiTheme="minorHAnsi" w:hAnsiTheme="minorHAnsi" w:cstheme="minorHAnsi"/>
      <w:sz w:val="18"/>
      <w:szCs w:val="18"/>
    </w:rPr>
  </w:style>
  <w:style w:type="paragraph" w:styleId="CommentText">
    <w:name w:val="annotation text"/>
    <w:basedOn w:val="Normal"/>
    <w:link w:val="CommentTextChar1"/>
    <w:locked/>
    <w:rsid w:val="004463C6"/>
    <w:rPr>
      <w:sz w:val="20"/>
    </w:rPr>
  </w:style>
  <w:style w:type="character" w:customStyle="1" w:styleId="CommentTextChar">
    <w:name w:val="Comment Text Char"/>
    <w:basedOn w:val="DefaultParagraphFont"/>
    <w:rsid w:val="004463C6"/>
    <w:rPr>
      <w:rFonts w:ascii="Garamond" w:hAnsi="Garamond"/>
      <w:lang w:eastAsia="en-US"/>
    </w:rPr>
  </w:style>
  <w:style w:type="character" w:customStyle="1" w:styleId="CommentTextChar1">
    <w:name w:val="Comment Text Char1"/>
    <w:link w:val="CommentText"/>
    <w:locked/>
    <w:rsid w:val="004463C6"/>
    <w:rPr>
      <w:rFonts w:ascii="Garamond" w:hAnsi="Garamond"/>
      <w:lang w:eastAsia="en-US"/>
    </w:rPr>
  </w:style>
  <w:style w:type="paragraph" w:styleId="CommentSubject">
    <w:name w:val="annotation subject"/>
    <w:basedOn w:val="CommentText"/>
    <w:next w:val="CommentText"/>
    <w:link w:val="CommentSubjectChar1"/>
    <w:locked/>
    <w:rsid w:val="004463C6"/>
    <w:rPr>
      <w:b/>
      <w:bCs/>
    </w:rPr>
  </w:style>
  <w:style w:type="character" w:customStyle="1" w:styleId="CommentSubjectChar">
    <w:name w:val="Comment Subject Char"/>
    <w:basedOn w:val="CommentTextChar"/>
    <w:rsid w:val="004463C6"/>
    <w:rPr>
      <w:rFonts w:ascii="Garamond" w:hAnsi="Garamond"/>
      <w:b/>
      <w:bCs/>
      <w:lang w:eastAsia="en-US"/>
    </w:rPr>
  </w:style>
  <w:style w:type="character" w:customStyle="1" w:styleId="CommentSubjectChar1">
    <w:name w:val="Comment Subject Char1"/>
    <w:link w:val="CommentSubject"/>
    <w:locked/>
    <w:rsid w:val="004463C6"/>
    <w:rPr>
      <w:rFonts w:ascii="Garamond" w:hAnsi="Garamond"/>
      <w:b/>
      <w:bCs/>
      <w:lang w:eastAsia="en-US"/>
    </w:rPr>
  </w:style>
  <w:style w:type="character" w:customStyle="1" w:styleId="CharChar1">
    <w:name w:val="Char Char1"/>
    <w:semiHidden/>
    <w:locked/>
    <w:rsid w:val="004463C6"/>
    <w:rPr>
      <w:rFonts w:ascii="Garamond" w:hAnsi="Garamond" w:cs="Times New Roman"/>
      <w:sz w:val="20"/>
      <w:szCs w:val="20"/>
      <w:lang w:val="x-none" w:eastAsia="en-US"/>
    </w:rPr>
  </w:style>
  <w:style w:type="paragraph" w:customStyle="1" w:styleId="xl87">
    <w:name w:val="xl87"/>
    <w:basedOn w:val="Normal"/>
    <w:rsid w:val="004463C6"/>
    <w:pPr>
      <w:spacing w:before="100" w:beforeAutospacing="1" w:after="100" w:afterAutospacing="1"/>
    </w:pPr>
    <w:rPr>
      <w:rFonts w:ascii="Times New Roman" w:hAnsi="Times New Roman"/>
      <w:b/>
      <w:bCs/>
      <w:i/>
      <w:iCs/>
      <w:color w:val="000000"/>
      <w:sz w:val="20"/>
      <w:lang w:eastAsia="en-AU"/>
    </w:rPr>
  </w:style>
  <w:style w:type="paragraph" w:customStyle="1" w:styleId="xl88">
    <w:name w:val="xl88"/>
    <w:basedOn w:val="Normal"/>
    <w:rsid w:val="004463C6"/>
    <w:pPr>
      <w:spacing w:before="100" w:beforeAutospacing="1" w:after="100" w:afterAutospacing="1"/>
    </w:pPr>
    <w:rPr>
      <w:rFonts w:ascii="Times New Roman" w:hAnsi="Times New Roman"/>
      <w:color w:val="000000"/>
      <w:sz w:val="18"/>
      <w:szCs w:val="18"/>
      <w:lang w:eastAsia="en-AU"/>
    </w:rPr>
  </w:style>
  <w:style w:type="paragraph" w:customStyle="1" w:styleId="Default">
    <w:name w:val="Default"/>
    <w:rsid w:val="004463C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811BC"/>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1"/>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4"/>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link w:val="FooterChar1"/>
    <w:rsid w:val="00185277"/>
    <w:pPr>
      <w:pBdr>
        <w:top w:val="single" w:sz="6" w:space="1" w:color="auto"/>
      </w:pBdr>
      <w:tabs>
        <w:tab w:val="right" w:pos="7085"/>
      </w:tabs>
    </w:pPr>
    <w:rPr>
      <w:rFonts w:ascii="Calibri" w:hAnsi="Calibri"/>
      <w:sz w:val="20"/>
      <w:szCs w:val="18"/>
    </w:rPr>
  </w:style>
  <w:style w:type="paragraph" w:styleId="Header">
    <w:name w:val="header"/>
    <w:basedOn w:val="Footer"/>
    <w:link w:val="HeaderChar1"/>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1"/>
      </w:numPr>
    </w:pPr>
    <w:rPr>
      <w:rFonts w:ascii="Calibri" w:hAnsi="Calibri"/>
      <w:sz w:val="20"/>
      <w:szCs w:val="18"/>
    </w:rPr>
  </w:style>
  <w:style w:type="paragraph" w:customStyle="1" w:styleId="OGHeading1">
    <w:name w:val="OGHeading1"/>
    <w:basedOn w:val="Normal"/>
    <w:link w:val="OGHeading1Char"/>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3"/>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4"/>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5"/>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6"/>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rsid w:val="00E811BC"/>
    <w:pPr>
      <w:tabs>
        <w:tab w:val="right" w:leader="dot" w:pos="3479"/>
      </w:tabs>
      <w:spacing w:before="20" w:after="0"/>
      <w:ind w:left="216" w:hanging="216"/>
    </w:pPr>
    <w:rPr>
      <w:rFonts w:asciiTheme="minorHAnsi" w:hAnsiTheme="minorHAnsi" w:cstheme="minorHAnsi"/>
      <w:sz w:val="18"/>
      <w:szCs w:val="18"/>
    </w:rPr>
  </w:style>
  <w:style w:type="paragraph" w:customStyle="1" w:styleId="OGNotes">
    <w:name w:val="OGNotes"/>
    <w:basedOn w:val="NotesIndent"/>
    <w:link w:val="OGNotesChar"/>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cs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cstheme="minorHAnsi"/>
      <w:b/>
      <w:bCs/>
      <w:sz w:val="26"/>
      <w:szCs w:val="26"/>
    </w:rPr>
  </w:style>
  <w:style w:type="paragraph" w:customStyle="1" w:styleId="HighlightBoxHeading">
    <w:name w:val="Highlight Box Heading"/>
    <w:basedOn w:val="HighlightBoxText"/>
    <w:qFormat/>
    <w:rsid w:val="002411D9"/>
    <w:rPr>
      <w:rFonts w:ascii="Calibri" w:hAnsi="Calibri"/>
      <w:i/>
      <w:sz w:val="21"/>
    </w:r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styleId="Hyperlink">
    <w:name w:val="Hyperlink"/>
    <w:uiPriority w:val="99"/>
    <w:unhideWhenUsed/>
    <w:locked/>
    <w:rsid w:val="00E1736C"/>
    <w:rPr>
      <w:color w:val="0000FF"/>
      <w:u w:val="single"/>
    </w:rPr>
  </w:style>
  <w:style w:type="paragraph" w:styleId="BalloonText">
    <w:name w:val="Balloon Text"/>
    <w:basedOn w:val="Normal"/>
    <w:link w:val="BalloonTextChar"/>
    <w:locked/>
    <w:rsid w:val="004463C6"/>
    <w:pPr>
      <w:spacing w:after="0"/>
    </w:pPr>
    <w:rPr>
      <w:rFonts w:ascii="Tahoma" w:hAnsi="Tahoma" w:cs="Tahoma"/>
      <w:sz w:val="16"/>
      <w:szCs w:val="16"/>
    </w:rPr>
  </w:style>
  <w:style w:type="character" w:customStyle="1" w:styleId="BalloonTextChar">
    <w:name w:val="Balloon Text Char"/>
    <w:basedOn w:val="DefaultParagraphFont"/>
    <w:link w:val="BalloonText"/>
    <w:rsid w:val="004463C6"/>
    <w:rPr>
      <w:rFonts w:ascii="Tahoma" w:hAnsi="Tahoma" w:cs="Tahoma"/>
      <w:sz w:val="16"/>
      <w:szCs w:val="16"/>
      <w:lang w:eastAsia="en-US"/>
    </w:rPr>
  </w:style>
  <w:style w:type="character" w:customStyle="1" w:styleId="Heading5Char">
    <w:name w:val="Heading 5 Char"/>
    <w:basedOn w:val="DefaultParagraphFont"/>
    <w:link w:val="Heading5"/>
    <w:rsid w:val="004463C6"/>
    <w:rPr>
      <w:rFonts w:ascii="Calibri" w:hAnsi="Calibri"/>
      <w:b/>
      <w:sz w:val="22"/>
      <w:lang w:eastAsia="en-US"/>
    </w:rPr>
  </w:style>
  <w:style w:type="character" w:customStyle="1" w:styleId="Heading1Char">
    <w:name w:val="Heading 1 Char"/>
    <w:basedOn w:val="DefaultParagraphFont"/>
    <w:link w:val="Heading1"/>
    <w:rsid w:val="004463C6"/>
    <w:rPr>
      <w:rFonts w:ascii="Calibri" w:hAnsi="Calibri"/>
      <w:b/>
      <w:caps/>
      <w:sz w:val="26"/>
      <w:szCs w:val="22"/>
      <w:lang w:eastAsia="en-US"/>
    </w:rPr>
  </w:style>
  <w:style w:type="character" w:customStyle="1" w:styleId="Heading3Char">
    <w:name w:val="Heading 3 Char"/>
    <w:basedOn w:val="DefaultParagraphFont"/>
    <w:link w:val="Heading3"/>
    <w:rsid w:val="004463C6"/>
    <w:rPr>
      <w:rFonts w:ascii="Calibri" w:hAnsi="Calibri"/>
      <w:b/>
      <w:i/>
      <w:kern w:val="28"/>
      <w:sz w:val="24"/>
      <w:szCs w:val="22"/>
      <w:lang w:eastAsia="en-US"/>
    </w:rPr>
  </w:style>
  <w:style w:type="paragraph" w:styleId="ListParagraph">
    <w:name w:val="List Paragraph"/>
    <w:basedOn w:val="Normal"/>
    <w:uiPriority w:val="34"/>
    <w:qFormat/>
    <w:rsid w:val="004463C6"/>
    <w:pPr>
      <w:spacing w:after="0"/>
      <w:ind w:left="720"/>
      <w:contextualSpacing/>
    </w:pPr>
    <w:rPr>
      <w:rFonts w:ascii="Times New Roman" w:hAnsi="Times New Roman"/>
      <w:sz w:val="20"/>
    </w:rPr>
  </w:style>
  <w:style w:type="character" w:styleId="CommentReference">
    <w:name w:val="annotation reference"/>
    <w:basedOn w:val="DefaultParagraphFont"/>
    <w:uiPriority w:val="99"/>
    <w:locked/>
    <w:rsid w:val="004463C6"/>
    <w:rPr>
      <w:sz w:val="16"/>
      <w:szCs w:val="16"/>
    </w:rPr>
  </w:style>
  <w:style w:type="character" w:customStyle="1" w:styleId="TableheadingChar">
    <w:name w:val="Table heading Char"/>
    <w:link w:val="Tableheading"/>
    <w:locked/>
    <w:rsid w:val="004463C6"/>
    <w:rPr>
      <w:rFonts w:ascii="Calibri" w:hAnsi="Calibri"/>
      <w:b/>
      <w:sz w:val="22"/>
      <w:lang w:eastAsia="en-US"/>
    </w:rPr>
  </w:style>
  <w:style w:type="character" w:customStyle="1" w:styleId="NotesChar">
    <w:name w:val="Notes Char"/>
    <w:link w:val="Notes"/>
    <w:locked/>
    <w:rsid w:val="004463C6"/>
    <w:rPr>
      <w:rFonts w:ascii="Calibri" w:hAnsi="Calibri"/>
      <w:i/>
      <w:sz w:val="15"/>
      <w:lang w:eastAsia="en-US"/>
    </w:rPr>
  </w:style>
  <w:style w:type="paragraph" w:customStyle="1" w:styleId="BERCReporting">
    <w:name w:val="BERCReporting"/>
    <w:rsid w:val="004463C6"/>
    <w:pPr>
      <w:spacing w:line="280" w:lineRule="exact"/>
    </w:pPr>
    <w:rPr>
      <w:rFonts w:ascii="Calibri" w:eastAsia="Calibri" w:hAnsi="Calibri" w:cs="Calibri"/>
      <w:sz w:val="19"/>
      <w:szCs w:val="19"/>
      <w:lang w:eastAsia="en-US"/>
    </w:rPr>
  </w:style>
  <w:style w:type="character" w:customStyle="1" w:styleId="TabletextChar">
    <w:name w:val="Table text Char"/>
    <w:link w:val="Tabletext"/>
    <w:rsid w:val="004463C6"/>
    <w:rPr>
      <w:rFonts w:ascii="Calibri" w:hAnsi="Calibri"/>
      <w:szCs w:val="18"/>
      <w:lang w:eastAsia="en-US"/>
    </w:rPr>
  </w:style>
  <w:style w:type="paragraph" w:customStyle="1" w:styleId="Tabletextnoindent">
    <w:name w:val="Table text no indent"/>
    <w:basedOn w:val="Tabletext"/>
    <w:qFormat/>
    <w:rsid w:val="004463C6"/>
    <w:pPr>
      <w:spacing w:after="80"/>
      <w:ind w:left="0" w:firstLine="0"/>
    </w:pPr>
  </w:style>
  <w:style w:type="character" w:customStyle="1" w:styleId="OGHeading1Char">
    <w:name w:val="OGHeading1 Char"/>
    <w:link w:val="OGHeading1"/>
    <w:rsid w:val="004463C6"/>
    <w:rPr>
      <w:rFonts w:ascii="Calibri" w:hAnsi="Calibri"/>
      <w:b/>
      <w:sz w:val="32"/>
      <w:szCs w:val="28"/>
      <w:lang w:eastAsia="en-US"/>
    </w:rPr>
  </w:style>
  <w:style w:type="character" w:customStyle="1" w:styleId="OGNotesChar">
    <w:name w:val="OGNotes Char"/>
    <w:link w:val="OGNotes"/>
    <w:rsid w:val="004463C6"/>
    <w:rPr>
      <w:rFonts w:ascii="Calibri" w:hAnsi="Calibri"/>
      <w:i/>
      <w:sz w:val="15"/>
    </w:rPr>
  </w:style>
  <w:style w:type="paragraph" w:customStyle="1" w:styleId="TabletextheadingLeft0">
    <w:name w:val="Table text heading Left"/>
    <w:basedOn w:val="Normal"/>
    <w:rsid w:val="004463C6"/>
    <w:pPr>
      <w:spacing w:after="0"/>
    </w:pPr>
    <w:rPr>
      <w:rFonts w:ascii="Calibri" w:hAnsi="Calibri"/>
      <w:i/>
      <w:sz w:val="20"/>
      <w:szCs w:val="18"/>
    </w:rPr>
  </w:style>
  <w:style w:type="character" w:customStyle="1" w:styleId="Heading2Char">
    <w:name w:val="Heading 2 Char"/>
    <w:basedOn w:val="DefaultParagraphFont"/>
    <w:link w:val="Heading2"/>
    <w:rsid w:val="004463C6"/>
    <w:rPr>
      <w:rFonts w:ascii="Calibri" w:hAnsi="Calibri"/>
      <w:b/>
      <w:kern w:val="28"/>
      <w:sz w:val="26"/>
      <w:szCs w:val="22"/>
      <w:lang w:eastAsia="en-US"/>
    </w:rPr>
  </w:style>
  <w:style w:type="character" w:customStyle="1" w:styleId="Heading4Char">
    <w:name w:val="Heading 4 Char"/>
    <w:basedOn w:val="DefaultParagraphFont"/>
    <w:semiHidden/>
    <w:rsid w:val="004463C6"/>
    <w:rPr>
      <w:rFonts w:asciiTheme="majorHAnsi" w:eastAsiaTheme="majorEastAsia" w:hAnsiTheme="majorHAnsi" w:cstheme="majorBidi"/>
      <w:b/>
      <w:bCs/>
      <w:i/>
      <w:iCs/>
      <w:color w:val="4F81BD" w:themeColor="accent1"/>
      <w:sz w:val="22"/>
      <w:lang w:eastAsia="en-US"/>
    </w:rPr>
  </w:style>
  <w:style w:type="character" w:customStyle="1" w:styleId="Heading1Char1">
    <w:name w:val="Heading 1 Char1"/>
    <w:locked/>
    <w:rsid w:val="004463C6"/>
    <w:rPr>
      <w:rFonts w:ascii="Calibri" w:hAnsi="Calibri"/>
      <w:b/>
      <w:caps/>
      <w:sz w:val="26"/>
      <w:szCs w:val="22"/>
      <w:lang w:eastAsia="en-US"/>
    </w:rPr>
  </w:style>
  <w:style w:type="character" w:customStyle="1" w:styleId="Heading2Char1">
    <w:name w:val="Heading 2 Char1"/>
    <w:locked/>
    <w:rsid w:val="004463C6"/>
    <w:rPr>
      <w:rFonts w:ascii="Calibri" w:hAnsi="Calibri"/>
      <w:b/>
      <w:kern w:val="28"/>
      <w:sz w:val="26"/>
      <w:szCs w:val="22"/>
      <w:lang w:eastAsia="en-US"/>
    </w:rPr>
  </w:style>
  <w:style w:type="character" w:customStyle="1" w:styleId="Heading3Char1">
    <w:name w:val="Heading 3 Char1"/>
    <w:locked/>
    <w:rsid w:val="004463C6"/>
    <w:rPr>
      <w:rFonts w:ascii="Calibri" w:hAnsi="Calibri"/>
      <w:b/>
      <w:i/>
      <w:kern w:val="28"/>
      <w:sz w:val="24"/>
      <w:szCs w:val="22"/>
      <w:lang w:eastAsia="en-US"/>
    </w:rPr>
  </w:style>
  <w:style w:type="character" w:customStyle="1" w:styleId="Heading4Char1">
    <w:name w:val="Heading 4 Char1"/>
    <w:link w:val="Heading4"/>
    <w:locked/>
    <w:rsid w:val="004463C6"/>
    <w:rPr>
      <w:rFonts w:ascii="Calibri" w:hAnsi="Calibri"/>
      <w:i/>
      <w:sz w:val="24"/>
      <w:szCs w:val="22"/>
      <w:lang w:eastAsia="en-US"/>
    </w:rPr>
  </w:style>
  <w:style w:type="character" w:customStyle="1" w:styleId="Heading5Char1">
    <w:name w:val="Heading 5 Char1"/>
    <w:locked/>
    <w:rsid w:val="004463C6"/>
    <w:rPr>
      <w:rFonts w:ascii="Calibri" w:hAnsi="Calibri"/>
      <w:b/>
      <w:sz w:val="22"/>
      <w:lang w:eastAsia="en-US"/>
    </w:rPr>
  </w:style>
  <w:style w:type="character" w:customStyle="1" w:styleId="TableofFiguresChar1">
    <w:name w:val="Table of Figures Char1"/>
    <w:locked/>
    <w:rsid w:val="004463C6"/>
    <w:rPr>
      <w:rFonts w:ascii="Calibri" w:hAnsi="Calibri"/>
      <w:sz w:val="18"/>
      <w:lang w:eastAsia="en-US"/>
    </w:rPr>
  </w:style>
  <w:style w:type="character" w:customStyle="1" w:styleId="FooterChar">
    <w:name w:val="Footer Char"/>
    <w:basedOn w:val="DefaultParagraphFont"/>
    <w:rsid w:val="004463C6"/>
    <w:rPr>
      <w:rFonts w:ascii="Garamond" w:hAnsi="Garamond"/>
      <w:sz w:val="22"/>
      <w:lang w:eastAsia="en-US"/>
    </w:rPr>
  </w:style>
  <w:style w:type="character" w:customStyle="1" w:styleId="FooterChar1">
    <w:name w:val="Footer Char1"/>
    <w:link w:val="Footer"/>
    <w:locked/>
    <w:rsid w:val="004463C6"/>
    <w:rPr>
      <w:rFonts w:ascii="Calibri" w:hAnsi="Calibri"/>
      <w:szCs w:val="18"/>
      <w:lang w:eastAsia="en-US"/>
    </w:rPr>
  </w:style>
  <w:style w:type="character" w:customStyle="1" w:styleId="HeaderChar">
    <w:name w:val="Header Char"/>
    <w:basedOn w:val="DefaultParagraphFont"/>
    <w:semiHidden/>
    <w:rsid w:val="004463C6"/>
    <w:rPr>
      <w:rFonts w:ascii="Garamond" w:hAnsi="Garamond"/>
      <w:sz w:val="22"/>
      <w:lang w:eastAsia="en-US"/>
    </w:rPr>
  </w:style>
  <w:style w:type="character" w:customStyle="1" w:styleId="HeaderChar1">
    <w:name w:val="Header Char1"/>
    <w:link w:val="Header"/>
    <w:locked/>
    <w:rsid w:val="004463C6"/>
    <w:rPr>
      <w:rFonts w:ascii="Calibri" w:hAnsi="Calibri"/>
      <w:szCs w:val="18"/>
      <w:lang w:eastAsia="en-US"/>
    </w:rPr>
  </w:style>
  <w:style w:type="character" w:customStyle="1" w:styleId="BalloonTextChar1">
    <w:name w:val="Balloon Text Char1"/>
    <w:locked/>
    <w:rsid w:val="004463C6"/>
    <w:rPr>
      <w:rFonts w:ascii="Tahoma" w:hAnsi="Tahoma" w:cs="Tahoma"/>
      <w:sz w:val="16"/>
      <w:szCs w:val="16"/>
      <w:lang w:eastAsia="en-US"/>
    </w:rPr>
  </w:style>
  <w:style w:type="character" w:styleId="FollowedHyperlink">
    <w:name w:val="FollowedHyperlink"/>
    <w:uiPriority w:val="99"/>
    <w:locked/>
    <w:rsid w:val="004463C6"/>
    <w:rPr>
      <w:rFonts w:cs="Times New Roman"/>
      <w:color w:val="800080"/>
      <w:u w:val="single"/>
    </w:rPr>
  </w:style>
  <w:style w:type="character" w:customStyle="1" w:styleId="BulletTextChar">
    <w:name w:val="Bullet Text Char"/>
    <w:link w:val="BulletText"/>
    <w:locked/>
    <w:rsid w:val="004463C6"/>
    <w:rPr>
      <w:rFonts w:ascii="Garamond" w:hAnsi="Garamond"/>
      <w:sz w:val="22"/>
      <w:lang w:eastAsia="en-US"/>
    </w:rPr>
  </w:style>
  <w:style w:type="paragraph" w:customStyle="1" w:styleId="DSETableTitle">
    <w:name w:val="DSE_TableTitle"/>
    <w:rsid w:val="004463C6"/>
    <w:pPr>
      <w:spacing w:after="120" w:line="220" w:lineRule="atLeast"/>
    </w:pPr>
    <w:rPr>
      <w:rFonts w:ascii="Arial" w:hAnsi="Arial" w:cs="Arial"/>
      <w:b/>
      <w:color w:val="404040"/>
      <w:sz w:val="18"/>
      <w:szCs w:val="18"/>
      <w:lang w:eastAsia="en-US"/>
    </w:rPr>
  </w:style>
  <w:style w:type="paragraph" w:customStyle="1" w:styleId="CharCharCharChar">
    <w:name w:val="Char Char Char Char"/>
    <w:basedOn w:val="Normal"/>
    <w:rsid w:val="004463C6"/>
    <w:pPr>
      <w:spacing w:after="160" w:line="240" w:lineRule="exact"/>
    </w:pPr>
    <w:rPr>
      <w:rFonts w:ascii="Tahoma" w:hAnsi="Tahoma" w:cs="Tahoma"/>
      <w:sz w:val="20"/>
      <w:lang w:val="en-US"/>
    </w:rPr>
  </w:style>
  <w:style w:type="table" w:styleId="MediumShading1">
    <w:name w:val="Medium Shading 1"/>
    <w:rsid w:val="004463C6"/>
    <w:tblPr>
      <w:tblStyleRowBandSize w:val="1"/>
      <w:tblStyleColBandSize w:val="1"/>
      <w:tblInd w:w="0" w:type="dxa"/>
      <w:tblCellMar>
        <w:top w:w="0" w:type="dxa"/>
        <w:left w:w="108" w:type="dxa"/>
        <w:bottom w:w="0" w:type="dxa"/>
        <w:right w:w="108" w:type="dxa"/>
      </w:tblCellMar>
    </w:tblPr>
  </w:style>
  <w:style w:type="paragraph" w:customStyle="1" w:styleId="Tabletextbullet">
    <w:name w:val="Table text bullet"/>
    <w:basedOn w:val="Tabletextnoindent"/>
    <w:qFormat/>
    <w:rsid w:val="004463C6"/>
    <w:pPr>
      <w:keepNext/>
      <w:numPr>
        <w:numId w:val="7"/>
      </w:numPr>
      <w:ind w:left="388"/>
      <w:outlineLvl w:val="1"/>
    </w:pPr>
    <w:rPr>
      <w:sz w:val="18"/>
      <w:szCs w:val="20"/>
    </w:rPr>
  </w:style>
  <w:style w:type="paragraph" w:customStyle="1" w:styleId="xl63">
    <w:name w:val="xl63"/>
    <w:basedOn w:val="Normal"/>
    <w:rsid w:val="004463C6"/>
    <w:pPr>
      <w:spacing w:before="100" w:beforeAutospacing="1" w:after="100" w:afterAutospacing="1"/>
    </w:pPr>
    <w:rPr>
      <w:rFonts w:ascii="Times New Roman" w:hAnsi="Times New Roman"/>
      <w:b/>
      <w:bCs/>
      <w:sz w:val="28"/>
      <w:szCs w:val="28"/>
      <w:lang w:eastAsia="en-AU"/>
    </w:rPr>
  </w:style>
  <w:style w:type="paragraph" w:customStyle="1" w:styleId="xl64">
    <w:name w:val="xl64"/>
    <w:basedOn w:val="Normal"/>
    <w:rsid w:val="004463C6"/>
    <w:pPr>
      <w:pBdr>
        <w:top w:val="single" w:sz="4" w:space="0" w:color="000000"/>
        <w:left w:val="single" w:sz="4" w:space="0" w:color="000000"/>
        <w:right w:val="single" w:sz="4" w:space="0" w:color="000000"/>
      </w:pBdr>
      <w:shd w:val="clear" w:color="000000" w:fill="000000"/>
      <w:spacing w:before="100" w:beforeAutospacing="1" w:after="100" w:afterAutospacing="1"/>
    </w:pPr>
    <w:rPr>
      <w:rFonts w:ascii="Times New Roman" w:hAnsi="Times New Roman"/>
      <w:color w:val="FFFFFF"/>
      <w:sz w:val="24"/>
      <w:szCs w:val="24"/>
      <w:lang w:eastAsia="en-AU"/>
    </w:rPr>
  </w:style>
  <w:style w:type="paragraph" w:customStyle="1" w:styleId="xl65">
    <w:name w:val="xl65"/>
    <w:basedOn w:val="Normal"/>
    <w:rsid w:val="004463C6"/>
    <w:pPr>
      <w:pBdr>
        <w:top w:val="single" w:sz="4" w:space="0" w:color="000000"/>
        <w:right w:val="single" w:sz="4" w:space="0" w:color="000000"/>
      </w:pBdr>
      <w:shd w:val="clear" w:color="000000" w:fill="000000"/>
      <w:spacing w:before="100" w:beforeAutospacing="1" w:after="100" w:afterAutospacing="1"/>
      <w:jc w:val="right"/>
    </w:pPr>
    <w:rPr>
      <w:rFonts w:ascii="Times New Roman" w:hAnsi="Times New Roman"/>
      <w:color w:val="FFFFFF"/>
      <w:sz w:val="24"/>
      <w:szCs w:val="24"/>
      <w:lang w:eastAsia="en-AU"/>
    </w:rPr>
  </w:style>
  <w:style w:type="paragraph" w:customStyle="1" w:styleId="xl66">
    <w:name w:val="xl66"/>
    <w:basedOn w:val="Normal"/>
    <w:rsid w:val="004463C6"/>
    <w:pPr>
      <w:pBdr>
        <w:top w:val="single" w:sz="4" w:space="0" w:color="000000"/>
        <w:right w:val="single" w:sz="4" w:space="0" w:color="000000"/>
      </w:pBdr>
      <w:shd w:val="clear" w:color="000000" w:fill="000000"/>
      <w:spacing w:before="100" w:beforeAutospacing="1" w:after="100" w:afterAutospacing="1"/>
      <w:jc w:val="right"/>
    </w:pPr>
    <w:rPr>
      <w:rFonts w:ascii="Times New Roman" w:hAnsi="Times New Roman"/>
      <w:color w:val="EEECE1"/>
      <w:sz w:val="24"/>
      <w:szCs w:val="24"/>
      <w:lang w:eastAsia="en-AU"/>
    </w:rPr>
  </w:style>
  <w:style w:type="paragraph" w:customStyle="1" w:styleId="xl67">
    <w:name w:val="xl67"/>
    <w:basedOn w:val="Normal"/>
    <w:rsid w:val="004463C6"/>
    <w:pPr>
      <w:pBdr>
        <w:left w:val="single" w:sz="4" w:space="0" w:color="000000"/>
        <w:right w:val="single" w:sz="4" w:space="0" w:color="000000"/>
      </w:pBdr>
      <w:shd w:val="clear" w:color="000000" w:fill="000000"/>
      <w:spacing w:before="100" w:beforeAutospacing="1" w:after="100" w:afterAutospacing="1"/>
    </w:pPr>
    <w:rPr>
      <w:rFonts w:ascii="Times New Roman" w:hAnsi="Times New Roman"/>
      <w:i/>
      <w:iCs/>
      <w:color w:val="FFFFFF"/>
      <w:sz w:val="24"/>
      <w:szCs w:val="24"/>
      <w:lang w:eastAsia="en-AU"/>
    </w:rPr>
  </w:style>
  <w:style w:type="paragraph" w:customStyle="1" w:styleId="xl68">
    <w:name w:val="xl68"/>
    <w:basedOn w:val="Normal"/>
    <w:rsid w:val="004463C6"/>
    <w:pPr>
      <w:pBdr>
        <w:right w:val="single" w:sz="4" w:space="0" w:color="000000"/>
      </w:pBdr>
      <w:shd w:val="clear" w:color="000000" w:fill="000000"/>
      <w:spacing w:before="100" w:beforeAutospacing="1" w:after="100" w:afterAutospacing="1"/>
      <w:jc w:val="right"/>
    </w:pPr>
    <w:rPr>
      <w:rFonts w:ascii="Times New Roman" w:hAnsi="Times New Roman"/>
      <w:color w:val="FFFFFF"/>
      <w:sz w:val="24"/>
      <w:szCs w:val="24"/>
      <w:lang w:eastAsia="en-AU"/>
    </w:rPr>
  </w:style>
  <w:style w:type="paragraph" w:customStyle="1" w:styleId="xl69">
    <w:name w:val="xl69"/>
    <w:basedOn w:val="Normal"/>
    <w:rsid w:val="004463C6"/>
    <w:pPr>
      <w:pBdr>
        <w:left w:val="single" w:sz="4" w:space="0" w:color="000000"/>
        <w:bottom w:val="single" w:sz="4" w:space="0" w:color="000000"/>
        <w:right w:val="single" w:sz="4" w:space="0" w:color="000000"/>
      </w:pBdr>
      <w:shd w:val="clear" w:color="000000" w:fill="000000"/>
      <w:spacing w:before="100" w:beforeAutospacing="1" w:after="100" w:afterAutospacing="1"/>
    </w:pPr>
    <w:rPr>
      <w:rFonts w:ascii="Times New Roman" w:hAnsi="Times New Roman"/>
      <w:sz w:val="24"/>
      <w:szCs w:val="24"/>
      <w:lang w:eastAsia="en-AU"/>
    </w:rPr>
  </w:style>
  <w:style w:type="paragraph" w:customStyle="1" w:styleId="xl70">
    <w:name w:val="xl70"/>
    <w:basedOn w:val="Normal"/>
    <w:rsid w:val="004463C6"/>
    <w:pPr>
      <w:pBdr>
        <w:bottom w:val="single" w:sz="4" w:space="0" w:color="000000"/>
        <w:right w:val="single" w:sz="4" w:space="0" w:color="000000"/>
      </w:pBdr>
      <w:shd w:val="clear" w:color="000000" w:fill="000000"/>
      <w:spacing w:before="100" w:beforeAutospacing="1" w:after="100" w:afterAutospacing="1"/>
    </w:pPr>
    <w:rPr>
      <w:rFonts w:ascii="Times New Roman" w:hAnsi="Times New Roman"/>
      <w:sz w:val="24"/>
      <w:szCs w:val="24"/>
      <w:lang w:eastAsia="en-AU"/>
    </w:rPr>
  </w:style>
  <w:style w:type="paragraph" w:customStyle="1" w:styleId="xl71">
    <w:name w:val="xl71"/>
    <w:basedOn w:val="Normal"/>
    <w:rsid w:val="004463C6"/>
    <w:pPr>
      <w:pBdr>
        <w:bottom w:val="single" w:sz="4" w:space="0" w:color="000000"/>
        <w:right w:val="single" w:sz="4" w:space="0" w:color="000000"/>
      </w:pBdr>
      <w:shd w:val="clear" w:color="000000" w:fill="000000"/>
      <w:spacing w:before="100" w:beforeAutospacing="1" w:after="100" w:afterAutospacing="1"/>
      <w:jc w:val="right"/>
    </w:pPr>
    <w:rPr>
      <w:rFonts w:ascii="Times New Roman" w:hAnsi="Times New Roman"/>
      <w:color w:val="FFFFFF"/>
      <w:sz w:val="24"/>
      <w:szCs w:val="24"/>
      <w:lang w:eastAsia="en-AU"/>
    </w:rPr>
  </w:style>
  <w:style w:type="paragraph" w:customStyle="1" w:styleId="xl72">
    <w:name w:val="xl72"/>
    <w:basedOn w:val="Normal"/>
    <w:rsid w:val="004463C6"/>
    <w:pPr>
      <w:shd w:val="clear" w:color="000000" w:fill="FFFFFF"/>
      <w:spacing w:before="100" w:beforeAutospacing="1" w:after="100" w:afterAutospacing="1"/>
      <w:textAlignment w:val="top"/>
    </w:pPr>
    <w:rPr>
      <w:rFonts w:ascii="Times New Roman" w:hAnsi="Times New Roman"/>
      <w:sz w:val="24"/>
      <w:szCs w:val="24"/>
      <w:lang w:eastAsia="en-AU"/>
    </w:rPr>
  </w:style>
  <w:style w:type="paragraph" w:customStyle="1" w:styleId="xl73">
    <w:name w:val="xl73"/>
    <w:basedOn w:val="Normal"/>
    <w:rsid w:val="004463C6"/>
    <w:pPr>
      <w:shd w:val="clear" w:color="000000" w:fill="FFFFFF"/>
      <w:spacing w:before="100" w:beforeAutospacing="1" w:after="100" w:afterAutospacing="1"/>
      <w:jc w:val="right"/>
      <w:textAlignment w:val="top"/>
    </w:pPr>
    <w:rPr>
      <w:rFonts w:ascii="Times New Roman" w:hAnsi="Times New Roman"/>
      <w:sz w:val="24"/>
      <w:szCs w:val="24"/>
      <w:lang w:eastAsia="en-AU"/>
    </w:rPr>
  </w:style>
  <w:style w:type="paragraph" w:customStyle="1" w:styleId="xl74">
    <w:name w:val="xl74"/>
    <w:basedOn w:val="Normal"/>
    <w:rsid w:val="004463C6"/>
    <w:pP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5">
    <w:name w:val="xl75"/>
    <w:basedOn w:val="Normal"/>
    <w:rsid w:val="004463C6"/>
    <w:pPr>
      <w:spacing w:before="100" w:beforeAutospacing="1" w:after="100" w:afterAutospacing="1"/>
    </w:pPr>
    <w:rPr>
      <w:rFonts w:ascii="Times New Roman" w:hAnsi="Times New Roman"/>
      <w:sz w:val="16"/>
      <w:szCs w:val="16"/>
      <w:lang w:eastAsia="en-AU"/>
    </w:rPr>
  </w:style>
  <w:style w:type="paragraph" w:customStyle="1" w:styleId="xl76">
    <w:name w:val="xl76"/>
    <w:basedOn w:val="Normal"/>
    <w:rsid w:val="004463C6"/>
    <w:pPr>
      <w:shd w:val="clear" w:color="000000" w:fill="FFFFFF"/>
      <w:spacing w:before="100" w:beforeAutospacing="1" w:after="100" w:afterAutospacing="1"/>
      <w:jc w:val="right"/>
      <w:textAlignment w:val="top"/>
    </w:pPr>
    <w:rPr>
      <w:rFonts w:ascii="Times New Roman" w:hAnsi="Times New Roman"/>
      <w:sz w:val="24"/>
      <w:szCs w:val="24"/>
      <w:lang w:eastAsia="en-AU"/>
    </w:rPr>
  </w:style>
  <w:style w:type="paragraph" w:customStyle="1" w:styleId="xl77">
    <w:name w:val="xl77"/>
    <w:basedOn w:val="Normal"/>
    <w:rsid w:val="004463C6"/>
    <w:pP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8">
    <w:name w:val="xl78"/>
    <w:basedOn w:val="Normal"/>
    <w:rsid w:val="004463C6"/>
    <w:pPr>
      <w:shd w:val="clear" w:color="000000" w:fill="FFFFFF"/>
      <w:spacing w:before="100" w:beforeAutospacing="1" w:after="100" w:afterAutospacing="1"/>
      <w:jc w:val="right"/>
      <w:textAlignment w:val="top"/>
    </w:pPr>
    <w:rPr>
      <w:rFonts w:ascii="Times New Roman" w:hAnsi="Times New Roman"/>
      <w:sz w:val="24"/>
      <w:szCs w:val="24"/>
      <w:lang w:eastAsia="en-AU"/>
    </w:rPr>
  </w:style>
  <w:style w:type="paragraph" w:customStyle="1" w:styleId="xl79">
    <w:name w:val="xl79"/>
    <w:basedOn w:val="Normal"/>
    <w:rsid w:val="004463C6"/>
    <w:pP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0">
    <w:name w:val="xl80"/>
    <w:basedOn w:val="Normal"/>
    <w:rsid w:val="004463C6"/>
    <w:pPr>
      <w:spacing w:before="100" w:beforeAutospacing="1" w:after="100" w:afterAutospacing="1"/>
    </w:pPr>
    <w:rPr>
      <w:rFonts w:ascii="Times New Roman" w:hAnsi="Times New Roman"/>
      <w:sz w:val="24"/>
      <w:szCs w:val="24"/>
      <w:lang w:eastAsia="en-AU"/>
    </w:rPr>
  </w:style>
  <w:style w:type="paragraph" w:customStyle="1" w:styleId="xl81">
    <w:name w:val="xl81"/>
    <w:basedOn w:val="Normal"/>
    <w:rsid w:val="004463C6"/>
    <w:pPr>
      <w:spacing w:before="100" w:beforeAutospacing="1" w:after="100" w:afterAutospacing="1"/>
    </w:pPr>
    <w:rPr>
      <w:rFonts w:ascii="Times New Roman" w:hAnsi="Times New Roman"/>
      <w:sz w:val="16"/>
      <w:szCs w:val="16"/>
      <w:lang w:eastAsia="en-AU"/>
    </w:rPr>
  </w:style>
  <w:style w:type="paragraph" w:customStyle="1" w:styleId="xl82">
    <w:name w:val="xl82"/>
    <w:basedOn w:val="Normal"/>
    <w:rsid w:val="004463C6"/>
    <w:pPr>
      <w:pBdr>
        <w:left w:val="single" w:sz="4" w:space="0" w:color="000000"/>
        <w:right w:val="single" w:sz="4" w:space="0" w:color="000000"/>
      </w:pBdr>
      <w:shd w:val="clear" w:color="000000" w:fill="000000"/>
      <w:spacing w:before="100" w:beforeAutospacing="1" w:after="100" w:afterAutospacing="1"/>
    </w:pPr>
    <w:rPr>
      <w:rFonts w:ascii="Times New Roman" w:hAnsi="Times New Roman"/>
      <w:color w:val="FFFFFF"/>
      <w:sz w:val="24"/>
      <w:szCs w:val="24"/>
      <w:lang w:eastAsia="en-AU"/>
    </w:rPr>
  </w:style>
  <w:style w:type="paragraph" w:customStyle="1" w:styleId="xl83">
    <w:name w:val="xl83"/>
    <w:basedOn w:val="Normal"/>
    <w:rsid w:val="004463C6"/>
    <w:pPr>
      <w:pBdr>
        <w:left w:val="single" w:sz="4" w:space="0" w:color="000000"/>
        <w:bottom w:val="single" w:sz="4" w:space="0" w:color="000000"/>
        <w:right w:val="single" w:sz="4" w:space="0" w:color="000000"/>
      </w:pBdr>
      <w:shd w:val="clear" w:color="000000" w:fill="000000"/>
      <w:spacing w:before="100" w:beforeAutospacing="1" w:after="100" w:afterAutospacing="1"/>
    </w:pPr>
    <w:rPr>
      <w:rFonts w:ascii="Times New Roman" w:hAnsi="Times New Roman"/>
      <w:color w:val="FFFFFF"/>
      <w:sz w:val="24"/>
      <w:szCs w:val="24"/>
      <w:lang w:eastAsia="en-AU"/>
    </w:rPr>
  </w:style>
  <w:style w:type="paragraph" w:customStyle="1" w:styleId="xl84">
    <w:name w:val="xl84"/>
    <w:basedOn w:val="Normal"/>
    <w:rsid w:val="004463C6"/>
    <w:pPr>
      <w:spacing w:before="100" w:beforeAutospacing="1" w:after="100" w:afterAutospacing="1"/>
    </w:pPr>
    <w:rPr>
      <w:rFonts w:ascii="Times New Roman" w:hAnsi="Times New Roman"/>
      <w:b/>
      <w:bCs/>
      <w:sz w:val="28"/>
      <w:szCs w:val="28"/>
      <w:lang w:eastAsia="en-AU"/>
    </w:rPr>
  </w:style>
  <w:style w:type="paragraph" w:customStyle="1" w:styleId="xl85">
    <w:name w:val="xl85"/>
    <w:basedOn w:val="Normal"/>
    <w:rsid w:val="004463C6"/>
    <w:pPr>
      <w:spacing w:before="100" w:beforeAutospacing="1" w:after="100" w:afterAutospacing="1"/>
    </w:pPr>
    <w:rPr>
      <w:rFonts w:ascii="Times New Roman" w:hAnsi="Times New Roman"/>
      <w:b/>
      <w:bCs/>
      <w:i/>
      <w:iCs/>
      <w:sz w:val="24"/>
      <w:szCs w:val="24"/>
      <w:lang w:eastAsia="en-AU"/>
    </w:rPr>
  </w:style>
  <w:style w:type="paragraph" w:customStyle="1" w:styleId="xl86">
    <w:name w:val="xl86"/>
    <w:basedOn w:val="Normal"/>
    <w:rsid w:val="004463C6"/>
    <w:pPr>
      <w:spacing w:before="100" w:beforeAutospacing="1" w:after="100" w:afterAutospacing="1"/>
    </w:pPr>
    <w:rPr>
      <w:rFonts w:ascii="Times New Roman" w:hAnsi="Times New Roman"/>
      <w:sz w:val="18"/>
      <w:szCs w:val="18"/>
      <w:lang w:eastAsia="en-AU"/>
    </w:rPr>
  </w:style>
  <w:style w:type="paragraph" w:styleId="NormalWeb">
    <w:name w:val="Normal (Web)"/>
    <w:basedOn w:val="Normal"/>
    <w:locked/>
    <w:rsid w:val="004463C6"/>
    <w:pPr>
      <w:spacing w:before="100" w:beforeAutospacing="1" w:after="100" w:afterAutospacing="1"/>
    </w:pPr>
    <w:rPr>
      <w:rFonts w:ascii="Times New Roman" w:hAnsi="Times New Roman"/>
      <w:sz w:val="24"/>
      <w:szCs w:val="24"/>
      <w:lang w:eastAsia="en-AU"/>
    </w:rPr>
  </w:style>
  <w:style w:type="paragraph" w:styleId="FootnoteText">
    <w:name w:val="footnote text"/>
    <w:basedOn w:val="Normal"/>
    <w:link w:val="FootnoteTextChar1"/>
    <w:locked/>
    <w:rsid w:val="004463C6"/>
    <w:rPr>
      <w:sz w:val="20"/>
    </w:rPr>
  </w:style>
  <w:style w:type="character" w:customStyle="1" w:styleId="FootnoteTextChar">
    <w:name w:val="Footnote Text Char"/>
    <w:basedOn w:val="DefaultParagraphFont"/>
    <w:rsid w:val="004463C6"/>
    <w:rPr>
      <w:rFonts w:ascii="Garamond" w:hAnsi="Garamond"/>
      <w:lang w:eastAsia="en-US"/>
    </w:rPr>
  </w:style>
  <w:style w:type="character" w:customStyle="1" w:styleId="FootnoteTextChar1">
    <w:name w:val="Footnote Text Char1"/>
    <w:link w:val="FootnoteText"/>
    <w:locked/>
    <w:rsid w:val="004463C6"/>
    <w:rPr>
      <w:rFonts w:ascii="Garamond" w:hAnsi="Garamond"/>
      <w:lang w:eastAsia="en-US"/>
    </w:rPr>
  </w:style>
  <w:style w:type="character" w:styleId="FootnoteReference">
    <w:name w:val="footnote reference"/>
    <w:locked/>
    <w:rsid w:val="004463C6"/>
    <w:rPr>
      <w:rFonts w:cs="Times New Roman"/>
      <w:vertAlign w:val="superscript"/>
    </w:rPr>
  </w:style>
  <w:style w:type="paragraph" w:customStyle="1" w:styleId="Soy">
    <w:name w:val="Soy"/>
    <w:basedOn w:val="Source"/>
    <w:qFormat/>
    <w:rsid w:val="004463C6"/>
  </w:style>
  <w:style w:type="paragraph" w:customStyle="1" w:styleId="font5">
    <w:name w:val="font5"/>
    <w:basedOn w:val="Normal"/>
    <w:rsid w:val="004463C6"/>
    <w:pPr>
      <w:spacing w:before="100" w:beforeAutospacing="1" w:after="100" w:afterAutospacing="1"/>
    </w:pPr>
    <w:rPr>
      <w:rFonts w:ascii="Calibri" w:hAnsi="Calibri" w:cs="Calibri"/>
      <w:color w:val="000000"/>
      <w:sz w:val="16"/>
      <w:szCs w:val="16"/>
      <w:lang w:eastAsia="en-AU"/>
    </w:rPr>
  </w:style>
  <w:style w:type="paragraph" w:customStyle="1" w:styleId="font6">
    <w:name w:val="font6"/>
    <w:basedOn w:val="Normal"/>
    <w:rsid w:val="004463C6"/>
    <w:pPr>
      <w:spacing w:before="100" w:beforeAutospacing="1" w:after="100" w:afterAutospacing="1"/>
    </w:pPr>
    <w:rPr>
      <w:rFonts w:ascii="Calibri" w:hAnsi="Calibri" w:cs="Calibri"/>
      <w:i/>
      <w:iCs/>
      <w:color w:val="000000"/>
      <w:sz w:val="16"/>
      <w:szCs w:val="16"/>
      <w:lang w:eastAsia="en-AU"/>
    </w:rPr>
  </w:style>
  <w:style w:type="paragraph" w:styleId="EndnoteText">
    <w:name w:val="endnote text"/>
    <w:basedOn w:val="Normal"/>
    <w:link w:val="EndnoteTextChar1"/>
    <w:locked/>
    <w:rsid w:val="004463C6"/>
    <w:rPr>
      <w:sz w:val="20"/>
    </w:rPr>
  </w:style>
  <w:style w:type="character" w:customStyle="1" w:styleId="EndnoteTextChar">
    <w:name w:val="Endnote Text Char"/>
    <w:basedOn w:val="DefaultParagraphFont"/>
    <w:rsid w:val="004463C6"/>
    <w:rPr>
      <w:rFonts w:ascii="Garamond" w:hAnsi="Garamond"/>
      <w:lang w:eastAsia="en-US"/>
    </w:rPr>
  </w:style>
  <w:style w:type="character" w:customStyle="1" w:styleId="EndnoteTextChar1">
    <w:name w:val="Endnote Text Char1"/>
    <w:link w:val="EndnoteText"/>
    <w:locked/>
    <w:rsid w:val="004463C6"/>
    <w:rPr>
      <w:rFonts w:ascii="Garamond" w:hAnsi="Garamond"/>
      <w:lang w:eastAsia="en-US"/>
    </w:rPr>
  </w:style>
  <w:style w:type="character" w:styleId="EndnoteReference">
    <w:name w:val="endnote reference"/>
    <w:locked/>
    <w:rsid w:val="004463C6"/>
    <w:rPr>
      <w:rFonts w:cs="Times New Roman"/>
      <w:vertAlign w:val="superscript"/>
    </w:rPr>
  </w:style>
  <w:style w:type="paragraph" w:customStyle="1" w:styleId="TableText0">
    <w:name w:val="Table Text"/>
    <w:basedOn w:val="Normal"/>
    <w:rsid w:val="004463C6"/>
    <w:pPr>
      <w:spacing w:before="30" w:after="30"/>
    </w:pPr>
    <w:rPr>
      <w:rFonts w:ascii="Calibri" w:hAnsi="Calibri"/>
      <w:color w:val="4D4D4D"/>
      <w:sz w:val="18"/>
      <w:szCs w:val="24"/>
      <w:lang w:eastAsia="en-AU"/>
    </w:rPr>
  </w:style>
  <w:style w:type="paragraph" w:customStyle="1" w:styleId="TableTextHeadingLeft1">
    <w:name w:val="Table Text Heading Left"/>
    <w:basedOn w:val="Tabletextcentred"/>
    <w:rsid w:val="004463C6"/>
    <w:pPr>
      <w:spacing w:before="30" w:after="30"/>
      <w:jc w:val="left"/>
    </w:pPr>
    <w:rPr>
      <w:b/>
      <w:color w:val="4D4D4D"/>
      <w:sz w:val="19"/>
      <w:szCs w:val="24"/>
      <w:lang w:eastAsia="en-AU"/>
    </w:rPr>
  </w:style>
  <w:style w:type="paragraph" w:customStyle="1" w:styleId="TableTextHeadingRight">
    <w:name w:val="Table Text Heading Right"/>
    <w:basedOn w:val="TableTextHeadingLeft1"/>
    <w:rsid w:val="004463C6"/>
    <w:pPr>
      <w:jc w:val="right"/>
    </w:pPr>
  </w:style>
  <w:style w:type="paragraph" w:customStyle="1" w:styleId="TableTextHeadingCentre">
    <w:name w:val="Table Text Heading Centre"/>
    <w:basedOn w:val="TableTextHeadingLeft1"/>
    <w:rsid w:val="004463C6"/>
    <w:pPr>
      <w:jc w:val="center"/>
    </w:pPr>
  </w:style>
  <w:style w:type="paragraph" w:customStyle="1" w:styleId="TableTextCentred0">
    <w:name w:val="Table Text Centred"/>
    <w:basedOn w:val="TableText0"/>
    <w:rsid w:val="004463C6"/>
    <w:pPr>
      <w:jc w:val="center"/>
    </w:pPr>
  </w:style>
  <w:style w:type="paragraph" w:customStyle="1" w:styleId="TableTextRight">
    <w:name w:val="Table Text Right"/>
    <w:basedOn w:val="Normal"/>
    <w:rsid w:val="004463C6"/>
    <w:pPr>
      <w:spacing w:before="30" w:after="30"/>
      <w:jc w:val="right"/>
    </w:pPr>
    <w:rPr>
      <w:rFonts w:ascii="Calibri" w:hAnsi="Calibri"/>
      <w:color w:val="4D4D4D"/>
      <w:sz w:val="18"/>
      <w:szCs w:val="18"/>
      <w:lang w:eastAsia="en-AU"/>
    </w:rPr>
  </w:style>
  <w:style w:type="paragraph" w:styleId="Index3">
    <w:name w:val="index 3"/>
    <w:basedOn w:val="Normal"/>
    <w:next w:val="Normal"/>
    <w:autoRedefine/>
    <w:rsid w:val="004463C6"/>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4463C6"/>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4463C6"/>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4463C6"/>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4463C6"/>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4463C6"/>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4463C6"/>
    <w:pPr>
      <w:spacing w:after="0"/>
      <w:ind w:left="1980" w:hanging="220"/>
    </w:pPr>
    <w:rPr>
      <w:rFonts w:asciiTheme="minorHAnsi" w:hAnsiTheme="minorHAnsi" w:cstheme="minorHAnsi"/>
      <w:sz w:val="18"/>
      <w:szCs w:val="18"/>
    </w:rPr>
  </w:style>
  <w:style w:type="paragraph" w:styleId="CommentText">
    <w:name w:val="annotation text"/>
    <w:basedOn w:val="Normal"/>
    <w:link w:val="CommentTextChar1"/>
    <w:locked/>
    <w:rsid w:val="004463C6"/>
    <w:rPr>
      <w:sz w:val="20"/>
    </w:rPr>
  </w:style>
  <w:style w:type="character" w:customStyle="1" w:styleId="CommentTextChar">
    <w:name w:val="Comment Text Char"/>
    <w:basedOn w:val="DefaultParagraphFont"/>
    <w:rsid w:val="004463C6"/>
    <w:rPr>
      <w:rFonts w:ascii="Garamond" w:hAnsi="Garamond"/>
      <w:lang w:eastAsia="en-US"/>
    </w:rPr>
  </w:style>
  <w:style w:type="character" w:customStyle="1" w:styleId="CommentTextChar1">
    <w:name w:val="Comment Text Char1"/>
    <w:link w:val="CommentText"/>
    <w:locked/>
    <w:rsid w:val="004463C6"/>
    <w:rPr>
      <w:rFonts w:ascii="Garamond" w:hAnsi="Garamond"/>
      <w:lang w:eastAsia="en-US"/>
    </w:rPr>
  </w:style>
  <w:style w:type="paragraph" w:styleId="CommentSubject">
    <w:name w:val="annotation subject"/>
    <w:basedOn w:val="CommentText"/>
    <w:next w:val="CommentText"/>
    <w:link w:val="CommentSubjectChar1"/>
    <w:locked/>
    <w:rsid w:val="004463C6"/>
    <w:rPr>
      <w:b/>
      <w:bCs/>
    </w:rPr>
  </w:style>
  <w:style w:type="character" w:customStyle="1" w:styleId="CommentSubjectChar">
    <w:name w:val="Comment Subject Char"/>
    <w:basedOn w:val="CommentTextChar"/>
    <w:rsid w:val="004463C6"/>
    <w:rPr>
      <w:rFonts w:ascii="Garamond" w:hAnsi="Garamond"/>
      <w:b/>
      <w:bCs/>
      <w:lang w:eastAsia="en-US"/>
    </w:rPr>
  </w:style>
  <w:style w:type="character" w:customStyle="1" w:styleId="CommentSubjectChar1">
    <w:name w:val="Comment Subject Char1"/>
    <w:link w:val="CommentSubject"/>
    <w:locked/>
    <w:rsid w:val="004463C6"/>
    <w:rPr>
      <w:rFonts w:ascii="Garamond" w:hAnsi="Garamond"/>
      <w:b/>
      <w:bCs/>
      <w:lang w:eastAsia="en-US"/>
    </w:rPr>
  </w:style>
  <w:style w:type="character" w:customStyle="1" w:styleId="CharChar1">
    <w:name w:val="Char Char1"/>
    <w:semiHidden/>
    <w:locked/>
    <w:rsid w:val="004463C6"/>
    <w:rPr>
      <w:rFonts w:ascii="Garamond" w:hAnsi="Garamond" w:cs="Times New Roman"/>
      <w:sz w:val="20"/>
      <w:szCs w:val="20"/>
      <w:lang w:val="x-none" w:eastAsia="en-US"/>
    </w:rPr>
  </w:style>
  <w:style w:type="paragraph" w:customStyle="1" w:styleId="xl87">
    <w:name w:val="xl87"/>
    <w:basedOn w:val="Normal"/>
    <w:rsid w:val="004463C6"/>
    <w:pPr>
      <w:spacing w:before="100" w:beforeAutospacing="1" w:after="100" w:afterAutospacing="1"/>
    </w:pPr>
    <w:rPr>
      <w:rFonts w:ascii="Times New Roman" w:hAnsi="Times New Roman"/>
      <w:b/>
      <w:bCs/>
      <w:i/>
      <w:iCs/>
      <w:color w:val="000000"/>
      <w:sz w:val="20"/>
      <w:lang w:eastAsia="en-AU"/>
    </w:rPr>
  </w:style>
  <w:style w:type="paragraph" w:customStyle="1" w:styleId="xl88">
    <w:name w:val="xl88"/>
    <w:basedOn w:val="Normal"/>
    <w:rsid w:val="004463C6"/>
    <w:pPr>
      <w:spacing w:before="100" w:beforeAutospacing="1" w:after="100" w:afterAutospacing="1"/>
    </w:pPr>
    <w:rPr>
      <w:rFonts w:ascii="Times New Roman" w:hAnsi="Times New Roman"/>
      <w:color w:val="000000"/>
      <w:sz w:val="18"/>
      <w:szCs w:val="18"/>
      <w:lang w:eastAsia="en-AU"/>
    </w:rPr>
  </w:style>
  <w:style w:type="paragraph" w:customStyle="1" w:styleId="Default">
    <w:name w:val="Default"/>
    <w:rsid w:val="004463C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9657">
      <w:bodyDiv w:val="1"/>
      <w:marLeft w:val="0"/>
      <w:marRight w:val="0"/>
      <w:marTop w:val="0"/>
      <w:marBottom w:val="0"/>
      <w:divBdr>
        <w:top w:val="none" w:sz="0" w:space="0" w:color="auto"/>
        <w:left w:val="none" w:sz="0" w:space="0" w:color="auto"/>
        <w:bottom w:val="none" w:sz="0" w:space="0" w:color="auto"/>
        <w:right w:val="none" w:sz="0" w:space="0" w:color="auto"/>
      </w:divBdr>
    </w:div>
    <w:div w:id="181626308">
      <w:bodyDiv w:val="1"/>
      <w:marLeft w:val="0"/>
      <w:marRight w:val="0"/>
      <w:marTop w:val="0"/>
      <w:marBottom w:val="0"/>
      <w:divBdr>
        <w:top w:val="none" w:sz="0" w:space="0" w:color="auto"/>
        <w:left w:val="none" w:sz="0" w:space="0" w:color="auto"/>
        <w:bottom w:val="none" w:sz="0" w:space="0" w:color="auto"/>
        <w:right w:val="none" w:sz="0" w:space="0" w:color="auto"/>
      </w:divBdr>
    </w:div>
    <w:div w:id="272052034">
      <w:bodyDiv w:val="1"/>
      <w:marLeft w:val="0"/>
      <w:marRight w:val="0"/>
      <w:marTop w:val="0"/>
      <w:marBottom w:val="0"/>
      <w:divBdr>
        <w:top w:val="none" w:sz="0" w:space="0" w:color="auto"/>
        <w:left w:val="none" w:sz="0" w:space="0" w:color="auto"/>
        <w:bottom w:val="none" w:sz="0" w:space="0" w:color="auto"/>
        <w:right w:val="none" w:sz="0" w:space="0" w:color="auto"/>
      </w:divBdr>
    </w:div>
    <w:div w:id="386105342">
      <w:bodyDiv w:val="1"/>
      <w:marLeft w:val="0"/>
      <w:marRight w:val="0"/>
      <w:marTop w:val="0"/>
      <w:marBottom w:val="0"/>
      <w:divBdr>
        <w:top w:val="none" w:sz="0" w:space="0" w:color="auto"/>
        <w:left w:val="none" w:sz="0" w:space="0" w:color="auto"/>
        <w:bottom w:val="none" w:sz="0" w:space="0" w:color="auto"/>
        <w:right w:val="none" w:sz="0" w:space="0" w:color="auto"/>
      </w:divBdr>
    </w:div>
    <w:div w:id="530799427">
      <w:bodyDiv w:val="1"/>
      <w:marLeft w:val="0"/>
      <w:marRight w:val="0"/>
      <w:marTop w:val="0"/>
      <w:marBottom w:val="0"/>
      <w:divBdr>
        <w:top w:val="none" w:sz="0" w:space="0" w:color="auto"/>
        <w:left w:val="none" w:sz="0" w:space="0" w:color="auto"/>
        <w:bottom w:val="none" w:sz="0" w:space="0" w:color="auto"/>
        <w:right w:val="none" w:sz="0" w:space="0" w:color="auto"/>
      </w:divBdr>
    </w:div>
    <w:div w:id="736980173">
      <w:bodyDiv w:val="1"/>
      <w:marLeft w:val="0"/>
      <w:marRight w:val="0"/>
      <w:marTop w:val="0"/>
      <w:marBottom w:val="0"/>
      <w:divBdr>
        <w:top w:val="none" w:sz="0" w:space="0" w:color="auto"/>
        <w:left w:val="none" w:sz="0" w:space="0" w:color="auto"/>
        <w:bottom w:val="none" w:sz="0" w:space="0" w:color="auto"/>
        <w:right w:val="none" w:sz="0" w:space="0" w:color="auto"/>
      </w:divBdr>
    </w:div>
    <w:div w:id="828903568">
      <w:bodyDiv w:val="1"/>
      <w:marLeft w:val="0"/>
      <w:marRight w:val="0"/>
      <w:marTop w:val="0"/>
      <w:marBottom w:val="0"/>
      <w:divBdr>
        <w:top w:val="none" w:sz="0" w:space="0" w:color="auto"/>
        <w:left w:val="none" w:sz="0" w:space="0" w:color="auto"/>
        <w:bottom w:val="none" w:sz="0" w:space="0" w:color="auto"/>
        <w:right w:val="none" w:sz="0" w:space="0" w:color="auto"/>
      </w:divBdr>
    </w:div>
    <w:div w:id="912667696">
      <w:bodyDiv w:val="1"/>
      <w:marLeft w:val="0"/>
      <w:marRight w:val="0"/>
      <w:marTop w:val="0"/>
      <w:marBottom w:val="0"/>
      <w:divBdr>
        <w:top w:val="none" w:sz="0" w:space="0" w:color="auto"/>
        <w:left w:val="none" w:sz="0" w:space="0" w:color="auto"/>
        <w:bottom w:val="none" w:sz="0" w:space="0" w:color="auto"/>
        <w:right w:val="none" w:sz="0" w:space="0" w:color="auto"/>
      </w:divBdr>
    </w:div>
    <w:div w:id="1025400334">
      <w:bodyDiv w:val="1"/>
      <w:marLeft w:val="0"/>
      <w:marRight w:val="0"/>
      <w:marTop w:val="0"/>
      <w:marBottom w:val="0"/>
      <w:divBdr>
        <w:top w:val="none" w:sz="0" w:space="0" w:color="auto"/>
        <w:left w:val="none" w:sz="0" w:space="0" w:color="auto"/>
        <w:bottom w:val="none" w:sz="0" w:space="0" w:color="auto"/>
        <w:right w:val="none" w:sz="0" w:space="0" w:color="auto"/>
      </w:divBdr>
    </w:div>
    <w:div w:id="1069621900">
      <w:bodyDiv w:val="1"/>
      <w:marLeft w:val="0"/>
      <w:marRight w:val="0"/>
      <w:marTop w:val="0"/>
      <w:marBottom w:val="0"/>
      <w:divBdr>
        <w:top w:val="none" w:sz="0" w:space="0" w:color="auto"/>
        <w:left w:val="none" w:sz="0" w:space="0" w:color="auto"/>
        <w:bottom w:val="none" w:sz="0" w:space="0" w:color="auto"/>
        <w:right w:val="none" w:sz="0" w:space="0" w:color="auto"/>
      </w:divBdr>
    </w:div>
    <w:div w:id="1192107743">
      <w:bodyDiv w:val="1"/>
      <w:marLeft w:val="0"/>
      <w:marRight w:val="0"/>
      <w:marTop w:val="0"/>
      <w:marBottom w:val="0"/>
      <w:divBdr>
        <w:top w:val="none" w:sz="0" w:space="0" w:color="auto"/>
        <w:left w:val="none" w:sz="0" w:space="0" w:color="auto"/>
        <w:bottom w:val="none" w:sz="0" w:space="0" w:color="auto"/>
        <w:right w:val="none" w:sz="0" w:space="0" w:color="auto"/>
      </w:divBdr>
    </w:div>
    <w:div w:id="1238706823">
      <w:bodyDiv w:val="1"/>
      <w:marLeft w:val="0"/>
      <w:marRight w:val="0"/>
      <w:marTop w:val="0"/>
      <w:marBottom w:val="0"/>
      <w:divBdr>
        <w:top w:val="none" w:sz="0" w:space="0" w:color="auto"/>
        <w:left w:val="none" w:sz="0" w:space="0" w:color="auto"/>
        <w:bottom w:val="none" w:sz="0" w:space="0" w:color="auto"/>
        <w:right w:val="none" w:sz="0" w:space="0" w:color="auto"/>
      </w:divBdr>
    </w:div>
    <w:div w:id="1312254218">
      <w:bodyDiv w:val="1"/>
      <w:marLeft w:val="0"/>
      <w:marRight w:val="0"/>
      <w:marTop w:val="0"/>
      <w:marBottom w:val="0"/>
      <w:divBdr>
        <w:top w:val="none" w:sz="0" w:space="0" w:color="auto"/>
        <w:left w:val="none" w:sz="0" w:space="0" w:color="auto"/>
        <w:bottom w:val="none" w:sz="0" w:space="0" w:color="auto"/>
        <w:right w:val="none" w:sz="0" w:space="0" w:color="auto"/>
      </w:divBdr>
    </w:div>
    <w:div w:id="1442528456">
      <w:bodyDiv w:val="1"/>
      <w:marLeft w:val="0"/>
      <w:marRight w:val="0"/>
      <w:marTop w:val="0"/>
      <w:marBottom w:val="0"/>
      <w:divBdr>
        <w:top w:val="none" w:sz="0" w:space="0" w:color="auto"/>
        <w:left w:val="none" w:sz="0" w:space="0" w:color="auto"/>
        <w:bottom w:val="none" w:sz="0" w:space="0" w:color="auto"/>
        <w:right w:val="none" w:sz="0" w:space="0" w:color="auto"/>
      </w:divBdr>
    </w:div>
    <w:div w:id="1455709346">
      <w:bodyDiv w:val="1"/>
      <w:marLeft w:val="0"/>
      <w:marRight w:val="0"/>
      <w:marTop w:val="0"/>
      <w:marBottom w:val="0"/>
      <w:divBdr>
        <w:top w:val="none" w:sz="0" w:space="0" w:color="auto"/>
        <w:left w:val="none" w:sz="0" w:space="0" w:color="auto"/>
        <w:bottom w:val="none" w:sz="0" w:space="0" w:color="auto"/>
        <w:right w:val="none" w:sz="0" w:space="0" w:color="auto"/>
      </w:divBdr>
    </w:div>
    <w:div w:id="1833182252">
      <w:bodyDiv w:val="1"/>
      <w:marLeft w:val="0"/>
      <w:marRight w:val="0"/>
      <w:marTop w:val="0"/>
      <w:marBottom w:val="0"/>
      <w:divBdr>
        <w:top w:val="none" w:sz="0" w:space="0" w:color="auto"/>
        <w:left w:val="none" w:sz="0" w:space="0" w:color="auto"/>
        <w:bottom w:val="none" w:sz="0" w:space="0" w:color="auto"/>
        <w:right w:val="none" w:sz="0" w:space="0" w:color="auto"/>
      </w:divBdr>
    </w:div>
    <w:div w:id="1909612049">
      <w:bodyDiv w:val="1"/>
      <w:marLeft w:val="0"/>
      <w:marRight w:val="0"/>
      <w:marTop w:val="0"/>
      <w:marBottom w:val="0"/>
      <w:divBdr>
        <w:top w:val="none" w:sz="0" w:space="0" w:color="auto"/>
        <w:left w:val="none" w:sz="0" w:space="0" w:color="auto"/>
        <w:bottom w:val="none" w:sz="0" w:space="0" w:color="auto"/>
        <w:right w:val="none" w:sz="0" w:space="0" w:color="auto"/>
      </w:divBdr>
    </w:div>
    <w:div w:id="1933278372">
      <w:bodyDiv w:val="1"/>
      <w:marLeft w:val="0"/>
      <w:marRight w:val="0"/>
      <w:marTop w:val="0"/>
      <w:marBottom w:val="0"/>
      <w:divBdr>
        <w:top w:val="none" w:sz="0" w:space="0" w:color="auto"/>
        <w:left w:val="none" w:sz="0" w:space="0" w:color="auto"/>
        <w:bottom w:val="none" w:sz="0" w:space="0" w:color="auto"/>
        <w:right w:val="none" w:sz="0" w:space="0" w:color="auto"/>
      </w:divBdr>
    </w:div>
    <w:div w:id="2016805944">
      <w:bodyDiv w:val="1"/>
      <w:marLeft w:val="0"/>
      <w:marRight w:val="0"/>
      <w:marTop w:val="0"/>
      <w:marBottom w:val="0"/>
      <w:divBdr>
        <w:top w:val="none" w:sz="0" w:space="0" w:color="auto"/>
        <w:left w:val="none" w:sz="0" w:space="0" w:color="auto"/>
        <w:bottom w:val="none" w:sz="0" w:space="0" w:color="auto"/>
        <w:right w:val="none" w:sz="0" w:space="0" w:color="auto"/>
      </w:divBdr>
    </w:div>
    <w:div w:id="2048681072">
      <w:bodyDiv w:val="1"/>
      <w:marLeft w:val="0"/>
      <w:marRight w:val="0"/>
      <w:marTop w:val="0"/>
      <w:marBottom w:val="0"/>
      <w:divBdr>
        <w:top w:val="none" w:sz="0" w:space="0" w:color="auto"/>
        <w:left w:val="none" w:sz="0" w:space="0" w:color="auto"/>
        <w:bottom w:val="none" w:sz="0" w:space="0" w:color="auto"/>
        <w:right w:val="none" w:sz="0" w:space="0" w:color="auto"/>
      </w:divBdr>
    </w:div>
    <w:div w:id="210626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footer" Target="footer8.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hyperlink" Target="http://www.budget.vic.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6.xml"/><Relationship Id="rId41" Type="http://schemas.openxmlformats.org/officeDocument/2006/relationships/footer" Target="footer27.xml"/><Relationship Id="rId54"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2.xml"/><Relationship Id="rId49" Type="http://schemas.openxmlformats.org/officeDocument/2006/relationships/footer" Target="footer34.xml"/><Relationship Id="rId10" Type="http://schemas.openxmlformats.org/officeDocument/2006/relationships/oleObject" Target="embeddings/oleObject1.bin"/><Relationship Id="rId19" Type="http://schemas.openxmlformats.org/officeDocument/2006/relationships/footer" Target="footer6.xml"/><Relationship Id="rId31" Type="http://schemas.openxmlformats.org/officeDocument/2006/relationships/hyperlink" Target="http://research.lawlex.com.au/default.asp?itid=0&amp;ntid=0&amp;nid=&amp;cid=403&amp;jurid=&#945;=&amp;alphaid=&amp;ihl=&amp;nhl=&amp;fp=&amp;rdt=&amp;vaftype=&amp;requirelogin=&amp;tab=ind&amp;pact=coredoc&amp;top=exp&amp;nav=col&amp;docview=true" TargetMode="External"/><Relationship Id="rId44" Type="http://schemas.openxmlformats.org/officeDocument/2006/relationships/footer" Target="footer30.xml"/><Relationship Id="rId52" Type="http://schemas.openxmlformats.org/officeDocument/2006/relationships/footer" Target="footer3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3.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36.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AA8B-5A2D-4C3C-A0BE-9B4E711F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Budget_B5.dotm</Template>
  <TotalTime>25</TotalTime>
  <Pages>347</Pages>
  <Words>98510</Words>
  <Characters>604068</Characters>
  <Application>Microsoft Office Word</Application>
  <DocSecurity>0</DocSecurity>
  <Lines>5033</Lines>
  <Paragraphs>1402</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701176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creator>Julianna Grigg</dc:creator>
  <cp:lastModifiedBy>Debra Barron</cp:lastModifiedBy>
  <cp:revision>5</cp:revision>
  <cp:lastPrinted>2014-12-23T06:09:00Z</cp:lastPrinted>
  <dcterms:created xsi:type="dcterms:W3CDTF">2014-12-18T05:24:00Z</dcterms:created>
  <dcterms:modified xsi:type="dcterms:W3CDTF">2014-12-23T06:22:00Z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554ffa49-c395-4939-b76e-f0fcfede01a1</vt:lpwstr>
  </property>
  <property fmtid="{D5CDD505-2E9C-101B-9397-08002B2CF9AE}" pid="3" name="PSPFClassification">
    <vt:lpwstr>Do Not Mark</vt:lpwstr>
  </property>
</Properties>
</file>