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54" w:rsidRPr="007B2462" w:rsidRDefault="00116054" w:rsidP="000542A7">
      <w:pPr>
        <w:pBdr>
          <w:bottom w:val="single" w:sz="12" w:space="0" w:color="auto"/>
        </w:pBdr>
        <w:spacing w:before="1560"/>
        <w:jc w:val="center"/>
        <w:rPr>
          <w:rFonts w:ascii="Calibri" w:hAnsi="Calibri"/>
          <w:b/>
          <w:sz w:val="52"/>
          <w:szCs w:val="52"/>
        </w:rPr>
      </w:pPr>
      <w:r w:rsidRPr="007B2462">
        <w:rPr>
          <w:rFonts w:ascii="Calibri" w:hAnsi="Calibri"/>
          <w:b/>
          <w:sz w:val="52"/>
          <w:szCs w:val="52"/>
        </w:rPr>
        <w:t>Strategy and Outlook</w:t>
      </w:r>
    </w:p>
    <w:p w:rsidR="00116054" w:rsidRPr="007B2462" w:rsidRDefault="00116054" w:rsidP="000542A7">
      <w:pPr>
        <w:jc w:val="center"/>
        <w:rPr>
          <w:rFonts w:ascii="Calibri" w:hAnsi="Calibri"/>
          <w:b/>
          <w:sz w:val="52"/>
          <w:szCs w:val="52"/>
        </w:rPr>
      </w:pPr>
      <w:r w:rsidRPr="007B2462">
        <w:rPr>
          <w:rFonts w:ascii="Calibri" w:hAnsi="Calibri"/>
          <w:b/>
          <w:sz w:val="52"/>
          <w:szCs w:val="52"/>
        </w:rPr>
        <w:t>201</w:t>
      </w:r>
      <w:r>
        <w:rPr>
          <w:rFonts w:ascii="Calibri" w:hAnsi="Calibri"/>
          <w:b/>
          <w:sz w:val="52"/>
          <w:szCs w:val="52"/>
        </w:rPr>
        <w:t>5</w:t>
      </w:r>
      <w:r>
        <w:rPr>
          <w:rFonts w:ascii="Calibri" w:hAnsi="Calibri"/>
          <w:b/>
          <w:sz w:val="52"/>
          <w:szCs w:val="52"/>
        </w:rPr>
        <w:noBreakHyphen/>
        <w:t>16</w:t>
      </w:r>
    </w:p>
    <w:p w:rsidR="00116054" w:rsidRDefault="00116054" w:rsidP="000542A7">
      <w:pPr>
        <w:jc w:val="center"/>
        <w:rPr>
          <w:rFonts w:ascii="Calibri" w:hAnsi="Calibri"/>
          <w:sz w:val="30"/>
          <w:szCs w:val="30"/>
        </w:rPr>
      </w:pPr>
    </w:p>
    <w:p w:rsidR="00116054" w:rsidRPr="007B2462" w:rsidRDefault="00116054" w:rsidP="000542A7">
      <w:pPr>
        <w:jc w:val="center"/>
        <w:rPr>
          <w:rFonts w:ascii="Calibri" w:hAnsi="Calibri"/>
          <w:sz w:val="30"/>
          <w:szCs w:val="30"/>
        </w:rPr>
      </w:pPr>
    </w:p>
    <w:p w:rsidR="00116054" w:rsidRPr="007B2462" w:rsidRDefault="00116054" w:rsidP="000542A7">
      <w:pPr>
        <w:jc w:val="center"/>
      </w:pPr>
      <w:r w:rsidRPr="00D26163">
        <w:rPr>
          <w:rFonts w:ascii="Calibri" w:hAnsi="Calibri" w:cs="Calibri"/>
          <w:noProof/>
          <w:lang w:eastAsia="en-AU"/>
        </w:rPr>
        <w:drawing>
          <wp:inline distT="0" distB="0" distL="0" distR="0" wp14:anchorId="3AA60904" wp14:editId="0EB4B260">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116054" w:rsidRPr="007B2462" w:rsidRDefault="00116054" w:rsidP="000542A7">
      <w:pPr>
        <w:jc w:val="center"/>
        <w:rPr>
          <w:sz w:val="36"/>
          <w:szCs w:val="36"/>
        </w:rPr>
      </w:pPr>
    </w:p>
    <w:p w:rsidR="00116054" w:rsidRPr="007B2462" w:rsidRDefault="00116054" w:rsidP="000542A7">
      <w:pPr>
        <w:jc w:val="center"/>
        <w:rPr>
          <w:sz w:val="36"/>
          <w:szCs w:val="36"/>
        </w:rPr>
      </w:pPr>
    </w:p>
    <w:p w:rsidR="00116054" w:rsidRPr="007B2462" w:rsidRDefault="00116054" w:rsidP="000542A7">
      <w:pPr>
        <w:jc w:val="center"/>
        <w:rPr>
          <w:sz w:val="36"/>
          <w:szCs w:val="36"/>
        </w:rPr>
      </w:pPr>
    </w:p>
    <w:p w:rsidR="00116054" w:rsidRPr="007B2462" w:rsidRDefault="00116054" w:rsidP="000542A7">
      <w:pPr>
        <w:jc w:val="center"/>
        <w:rPr>
          <w:rFonts w:ascii="Calibri" w:hAnsi="Calibri"/>
          <w:sz w:val="28"/>
          <w:szCs w:val="28"/>
        </w:rPr>
      </w:pPr>
      <w:r w:rsidRPr="007B2462">
        <w:rPr>
          <w:rFonts w:ascii="Calibri" w:hAnsi="Calibri"/>
          <w:sz w:val="28"/>
          <w:szCs w:val="28"/>
        </w:rPr>
        <w:t>Presented by</w:t>
      </w:r>
    </w:p>
    <w:p w:rsidR="00116054" w:rsidRPr="00D26163" w:rsidRDefault="00116054" w:rsidP="000542A7">
      <w:pPr>
        <w:jc w:val="center"/>
        <w:rPr>
          <w:rFonts w:ascii="Calibri" w:hAnsi="Calibri" w:cs="Calibri"/>
          <w:b/>
          <w:sz w:val="36"/>
          <w:szCs w:val="36"/>
        </w:rPr>
      </w:pPr>
      <w:r w:rsidRPr="00D26163">
        <w:rPr>
          <w:rFonts w:ascii="Calibri" w:hAnsi="Calibri" w:cs="Calibri"/>
          <w:b/>
          <w:sz w:val="36"/>
          <w:szCs w:val="36"/>
        </w:rPr>
        <w:t>Tim Pallas MP</w:t>
      </w:r>
    </w:p>
    <w:p w:rsidR="00116054" w:rsidRPr="00D26163" w:rsidRDefault="00116054" w:rsidP="000542A7">
      <w:pPr>
        <w:jc w:val="center"/>
        <w:rPr>
          <w:rFonts w:ascii="Calibri" w:hAnsi="Calibri" w:cs="Calibri"/>
          <w:sz w:val="28"/>
          <w:szCs w:val="28"/>
        </w:rPr>
      </w:pPr>
      <w:r w:rsidRPr="00D26163">
        <w:rPr>
          <w:rFonts w:ascii="Calibri" w:hAnsi="Calibri" w:cs="Calibri"/>
          <w:sz w:val="28"/>
          <w:szCs w:val="28"/>
        </w:rPr>
        <w:t>Treasurer of the State of Victoria</w:t>
      </w:r>
    </w:p>
    <w:p w:rsidR="00116054" w:rsidRPr="007B2462" w:rsidRDefault="00116054" w:rsidP="000542A7">
      <w:pPr>
        <w:jc w:val="center"/>
        <w:rPr>
          <w:rFonts w:ascii="Calibri" w:hAnsi="Calibri"/>
          <w:sz w:val="30"/>
          <w:szCs w:val="30"/>
        </w:rPr>
      </w:pPr>
      <w:r w:rsidRPr="007B2462">
        <w:rPr>
          <w:rFonts w:ascii="Calibri" w:hAnsi="Calibri"/>
          <w:sz w:val="30"/>
          <w:szCs w:val="30"/>
        </w:rPr>
        <w:t>for the information of Honourable Members</w:t>
      </w:r>
    </w:p>
    <w:p w:rsidR="00116054" w:rsidRPr="007B2462" w:rsidRDefault="00116054" w:rsidP="000542A7">
      <w:pPr>
        <w:jc w:val="center"/>
        <w:rPr>
          <w:rFonts w:ascii="Calibri" w:hAnsi="Calibri"/>
          <w:sz w:val="36"/>
          <w:szCs w:val="36"/>
        </w:rPr>
      </w:pPr>
    </w:p>
    <w:p w:rsidR="00116054" w:rsidRPr="007B2462" w:rsidRDefault="00116054" w:rsidP="000542A7">
      <w:pPr>
        <w:jc w:val="center"/>
        <w:rPr>
          <w:rFonts w:ascii="Calibri" w:hAnsi="Calibri"/>
          <w:b/>
          <w:sz w:val="36"/>
          <w:szCs w:val="36"/>
        </w:rPr>
      </w:pPr>
      <w:r w:rsidRPr="007B2462">
        <w:rPr>
          <w:rFonts w:ascii="Calibri" w:hAnsi="Calibri"/>
          <w:b/>
          <w:sz w:val="36"/>
          <w:szCs w:val="36"/>
        </w:rPr>
        <w:t xml:space="preserve">Budget Paper </w:t>
      </w:r>
      <w:r>
        <w:rPr>
          <w:rFonts w:ascii="Calibri" w:hAnsi="Calibri"/>
          <w:b/>
          <w:sz w:val="36"/>
          <w:szCs w:val="36"/>
        </w:rPr>
        <w:t>No. </w:t>
      </w:r>
      <w:r w:rsidRPr="007B2462">
        <w:rPr>
          <w:rFonts w:ascii="Calibri" w:hAnsi="Calibri"/>
          <w:b/>
          <w:sz w:val="36"/>
          <w:szCs w:val="36"/>
        </w:rPr>
        <w:t>2</w:t>
      </w:r>
    </w:p>
    <w:p w:rsidR="00116054" w:rsidRPr="007B2462" w:rsidRDefault="00116054" w:rsidP="000542A7">
      <w:pPr>
        <w:spacing w:after="0"/>
      </w:pPr>
      <w:r w:rsidRPr="007B2462">
        <w:br w:type="page"/>
      </w:r>
    </w:p>
    <w:p w:rsidR="00116054" w:rsidRPr="007B2462" w:rsidRDefault="00116054" w:rsidP="000542A7">
      <w:r w:rsidRPr="007B2462">
        <w:lastRenderedPageBreak/>
        <w:fldChar w:fldCharType="begin"/>
      </w:r>
      <w:r w:rsidRPr="007B2462">
        <w:instrText xml:space="preserve"> XE "Net debt" \t "</w:instrText>
      </w:r>
      <w:r w:rsidRPr="007B2462">
        <w:rPr>
          <w:i/>
        </w:rPr>
        <w:instrText xml:space="preserve">See </w:instrText>
      </w:r>
      <w:r w:rsidRPr="007B2462">
        <w:instrText xml:space="preserve">Debt" </w:instrText>
      </w:r>
      <w:r w:rsidRPr="007B2462">
        <w:fldChar w:fldCharType="end"/>
      </w:r>
      <w:r w:rsidRPr="007B2462">
        <w:fldChar w:fldCharType="begin"/>
      </w:r>
      <w:r w:rsidRPr="007B2462">
        <w:instrText xml:space="preserve"> XE "General government net debt" \t "</w:instrText>
      </w:r>
      <w:r w:rsidRPr="007B2462">
        <w:rPr>
          <w:i/>
        </w:rPr>
        <w:instrText xml:space="preserve">See </w:instrText>
      </w:r>
      <w:r w:rsidRPr="007B2462">
        <w:instrText xml:space="preserve">Debt" </w:instrText>
      </w:r>
      <w:r w:rsidRPr="007B2462">
        <w:fldChar w:fldCharType="end"/>
      </w:r>
      <w:r w:rsidRPr="007B2462">
        <w:fldChar w:fldCharType="begin"/>
      </w:r>
      <w:r w:rsidRPr="007B2462">
        <w:instrText xml:space="preserve"> XE "Surplus" \t "</w:instrText>
      </w:r>
      <w:r w:rsidRPr="007B2462">
        <w:rPr>
          <w:i/>
        </w:rPr>
        <w:instrText xml:space="preserve">See </w:instrText>
      </w:r>
      <w:r w:rsidRPr="007B2462">
        <w:instrText xml:space="preserve">Operating surplus" </w:instrText>
      </w:r>
      <w:r w:rsidRPr="007B2462">
        <w:fldChar w:fldCharType="end"/>
      </w:r>
      <w:r w:rsidRPr="007B2462">
        <w:fldChar w:fldCharType="begin"/>
      </w:r>
      <w:r w:rsidRPr="007B2462">
        <w:instrText xml:space="preserve"> XE "</w:instrText>
      </w:r>
      <w:r>
        <w:instrText>AAA credit rating</w:instrText>
      </w:r>
      <w:r w:rsidRPr="007B2462">
        <w:instrText>" \t "</w:instrText>
      </w:r>
      <w:r w:rsidRPr="007B2462">
        <w:rPr>
          <w:i/>
        </w:rPr>
        <w:instrText xml:space="preserve">See </w:instrText>
      </w:r>
      <w:r>
        <w:instrText>Triple-A credit rating</w:instrText>
      </w:r>
      <w:r w:rsidRPr="007B2462">
        <w:instrText xml:space="preserve">" </w:instrText>
      </w:r>
      <w:r w:rsidRPr="007B2462">
        <w:fldChar w:fldCharType="end"/>
      </w:r>
      <w:r w:rsidRPr="007B2462">
        <w:fldChar w:fldCharType="begin"/>
      </w:r>
      <w:r w:rsidRPr="007B2462">
        <w:instrText xml:space="preserve"> XE "</w:instrText>
      </w:r>
      <w:r>
        <w:instrText>Consumer price index</w:instrText>
      </w:r>
      <w:r w:rsidRPr="007B2462">
        <w:instrText>" \t "</w:instrText>
      </w:r>
      <w:r w:rsidRPr="007B2462">
        <w:rPr>
          <w:i/>
        </w:rPr>
        <w:instrText xml:space="preserve">See </w:instrText>
      </w:r>
      <w:r>
        <w:instrText>Inflation</w:instrText>
      </w:r>
      <w:r w:rsidRPr="007B2462">
        <w:instrText xml:space="preserve">" </w:instrText>
      </w:r>
      <w:r w:rsidRPr="007B2462">
        <w:fldChar w:fldCharType="end"/>
      </w:r>
      <w:r w:rsidRPr="007B2462">
        <w:fldChar w:fldCharType="begin"/>
      </w:r>
      <w:r w:rsidRPr="007B2462">
        <w:instrText xml:space="preserve"> XE "</w:instrText>
      </w:r>
      <w:r>
        <w:instrText>Economic growth</w:instrText>
      </w:r>
      <w:r w:rsidRPr="007B2462">
        <w:instrText>" \t "</w:instrText>
      </w:r>
      <w:r w:rsidRPr="007B2462">
        <w:rPr>
          <w:i/>
        </w:rPr>
        <w:instrText>See</w:instrText>
      </w:r>
      <w:r>
        <w:rPr>
          <w:i/>
        </w:rPr>
        <w:instrText> also </w:instrText>
      </w:r>
      <w:r>
        <w:instrText>Risks</w:instrText>
      </w:r>
      <w:r w:rsidRPr="007B2462">
        <w:instrText xml:space="preserve">" </w:instrText>
      </w:r>
      <w:r w:rsidRPr="007B2462">
        <w:fldChar w:fldCharType="end"/>
      </w:r>
      <w:r w:rsidRPr="007B2462">
        <w:fldChar w:fldCharType="begin"/>
      </w:r>
      <w:r w:rsidRPr="007B2462">
        <w:instrText xml:space="preserve"> XE "</w:instrText>
      </w:r>
      <w:r>
        <w:instrText>Gross state product</w:instrText>
      </w:r>
      <w:r w:rsidRPr="007B2462">
        <w:instrText>" \t "</w:instrText>
      </w:r>
      <w:r w:rsidRPr="007B2462">
        <w:rPr>
          <w:i/>
        </w:rPr>
        <w:instrText>See</w:instrText>
      </w:r>
      <w:r>
        <w:rPr>
          <w:i/>
        </w:rPr>
        <w:instrText xml:space="preserve"> also</w:instrText>
      </w:r>
      <w:r w:rsidRPr="007B2462">
        <w:rPr>
          <w:i/>
        </w:rPr>
        <w:instrText xml:space="preserve"> </w:instrText>
      </w:r>
      <w:r>
        <w:instrText>Economic growth</w:instrText>
      </w:r>
      <w:r w:rsidRPr="007B2462">
        <w:instrText xml:space="preserve">" </w:instrText>
      </w:r>
      <w:r w:rsidRPr="007B2462">
        <w:fldChar w:fldCharType="end"/>
      </w:r>
      <w:r w:rsidRPr="007B2462">
        <w:fldChar w:fldCharType="begin"/>
      </w:r>
      <w:r w:rsidRPr="007B2462">
        <w:instrText xml:space="preserve"> XE "</w:instrText>
      </w:r>
      <w:r>
        <w:instrText>Non</w:instrText>
      </w:r>
      <w:r>
        <w:noBreakHyphen/>
        <w:instrText>financial public sector</w:instrText>
      </w:r>
      <w:r w:rsidRPr="007B2462">
        <w:instrText>" \t "</w:instrText>
      </w:r>
      <w:r w:rsidRPr="007B2462">
        <w:rPr>
          <w:i/>
        </w:rPr>
        <w:instrText>See</w:instrText>
      </w:r>
      <w:r>
        <w:rPr>
          <w:i/>
        </w:rPr>
        <w:instrText> also </w:instrText>
      </w:r>
      <w:r w:rsidRPr="007B2462">
        <w:instrText xml:space="preserve">Debt" </w:instrText>
      </w:r>
      <w:r w:rsidRPr="007B2462">
        <w:fldChar w:fldCharType="end"/>
      </w:r>
    </w:p>
    <w:p w:rsidR="00116054" w:rsidRPr="007B2462" w:rsidRDefault="00116054" w:rsidP="000542A7"/>
    <w:p w:rsidR="00116054" w:rsidRPr="007B2462" w:rsidRDefault="00CC5D46" w:rsidP="000542A7">
      <w:pPr>
        <w:sectPr w:rsidR="00116054" w:rsidRPr="007B2462" w:rsidSect="002860F1">
          <w:footerReference w:type="even" r:id="rId10"/>
          <w:footerReference w:type="default" r:id="rId11"/>
          <w:type w:val="oddPage"/>
          <w:pgSz w:w="9979" w:h="14181" w:code="34"/>
          <w:pgMar w:top="1138" w:right="1138" w:bottom="1138" w:left="1138" w:header="720" w:footer="432" w:gutter="0"/>
          <w:cols w:space="708"/>
          <w:docGrid w:linePitch="360"/>
        </w:sectPr>
      </w:pPr>
      <w:bookmarkStart w:id="0" w:name="_GoBack"/>
      <w:r w:rsidRPr="00CC5D46">
        <w:drawing>
          <wp:anchor distT="0" distB="0" distL="114300" distR="114300" simplePos="0" relativeHeight="251658240" behindDoc="0" locked="0" layoutInCell="1" allowOverlap="1">
            <wp:simplePos x="0" y="0"/>
            <wp:positionH relativeFrom="column">
              <wp:posOffset>-252095</wp:posOffset>
            </wp:positionH>
            <wp:positionV relativeFrom="paragraph">
              <wp:posOffset>1548130</wp:posOffset>
            </wp:positionV>
            <wp:extent cx="2592000" cy="563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2000" cy="5634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16054" w:rsidRPr="007B2462" w:rsidRDefault="00116054" w:rsidP="000542A7">
      <w:pPr>
        <w:pStyle w:val="TableofContentsheading"/>
      </w:pPr>
      <w:r w:rsidRPr="007B2462">
        <w:lastRenderedPageBreak/>
        <w:t>Table of contents</w:t>
      </w:r>
    </w:p>
    <w:p w:rsidR="00116054" w:rsidRDefault="00116054">
      <w:pPr>
        <w:pStyle w:val="TOC1"/>
        <w:rPr>
          <w:rFonts w:asciiTheme="minorHAnsi" w:eastAsiaTheme="minorEastAsia" w:hAnsiTheme="minorHAnsi" w:cstheme="minorBidi"/>
          <w:b w:val="0"/>
          <w:noProof/>
          <w:sz w:val="22"/>
          <w:szCs w:val="22"/>
          <w:lang w:eastAsia="en-AU"/>
        </w:rPr>
      </w:pPr>
      <w:r w:rsidRPr="007B2462">
        <w:fldChar w:fldCharType="begin"/>
      </w:r>
      <w:r w:rsidRPr="007B2462">
        <w:instrText xml:space="preserve"> TOC \h \z \t "Heading 1,2,Chapter Heading,1" </w:instrText>
      </w:r>
      <w:r w:rsidRPr="007B2462">
        <w:fldChar w:fldCharType="separate"/>
      </w:r>
      <w:hyperlink w:anchor="_Toc418255129" w:history="1">
        <w:r>
          <w:rPr>
            <w:rStyle w:val="Hyperlink"/>
            <w:noProof/>
          </w:rPr>
          <w:t>Chapter </w:t>
        </w:r>
        <w:r w:rsidRPr="003B6DF7">
          <w:rPr>
            <w:rStyle w:val="Hyperlink"/>
            <w:noProof/>
          </w:rPr>
          <w:t>1 – Economic and fiscal overview</w:t>
        </w:r>
        <w:r>
          <w:rPr>
            <w:noProof/>
            <w:webHidden/>
          </w:rPr>
          <w:tab/>
        </w:r>
        <w:r>
          <w:rPr>
            <w:noProof/>
            <w:webHidden/>
          </w:rPr>
          <w:fldChar w:fldCharType="begin"/>
        </w:r>
        <w:r>
          <w:rPr>
            <w:noProof/>
            <w:webHidden/>
          </w:rPr>
          <w:instrText xml:space="preserve"> PAGEREF _Toc418255129 \h </w:instrText>
        </w:r>
        <w:r>
          <w:rPr>
            <w:noProof/>
            <w:webHidden/>
          </w:rPr>
        </w:r>
        <w:r>
          <w:rPr>
            <w:noProof/>
            <w:webHidden/>
          </w:rPr>
          <w:fldChar w:fldCharType="separate"/>
        </w:r>
        <w:r w:rsidR="00CC5D46">
          <w:rPr>
            <w:noProof/>
            <w:webHidden/>
          </w:rPr>
          <w:t>1</w:t>
        </w:r>
        <w:r>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0" w:history="1">
        <w:r w:rsidR="00116054" w:rsidRPr="003B6DF7">
          <w:rPr>
            <w:rStyle w:val="Hyperlink"/>
            <w:noProof/>
          </w:rPr>
          <w:t>People as the drivers of growth</w:t>
        </w:r>
        <w:r w:rsidR="00116054">
          <w:rPr>
            <w:noProof/>
            <w:webHidden/>
          </w:rPr>
          <w:tab/>
        </w:r>
        <w:r w:rsidR="00116054">
          <w:rPr>
            <w:noProof/>
            <w:webHidden/>
          </w:rPr>
          <w:fldChar w:fldCharType="begin"/>
        </w:r>
        <w:r w:rsidR="00116054">
          <w:rPr>
            <w:noProof/>
            <w:webHidden/>
          </w:rPr>
          <w:instrText xml:space="preserve"> PAGEREF _Toc418255130 \h </w:instrText>
        </w:r>
        <w:r w:rsidR="00116054">
          <w:rPr>
            <w:noProof/>
            <w:webHidden/>
          </w:rPr>
        </w:r>
        <w:r w:rsidR="00116054">
          <w:rPr>
            <w:noProof/>
            <w:webHidden/>
          </w:rPr>
          <w:fldChar w:fldCharType="separate"/>
        </w:r>
        <w:r>
          <w:rPr>
            <w:noProof/>
            <w:webHidden/>
          </w:rPr>
          <w:t>2</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1" w:history="1">
        <w:r w:rsidR="00116054" w:rsidRPr="003B6DF7">
          <w:rPr>
            <w:rStyle w:val="Hyperlink"/>
            <w:noProof/>
          </w:rPr>
          <w:t>Putting people and families first</w:t>
        </w:r>
        <w:r w:rsidR="00116054">
          <w:rPr>
            <w:noProof/>
            <w:webHidden/>
          </w:rPr>
          <w:tab/>
        </w:r>
        <w:r w:rsidR="00116054">
          <w:rPr>
            <w:noProof/>
            <w:webHidden/>
          </w:rPr>
          <w:fldChar w:fldCharType="begin"/>
        </w:r>
        <w:r w:rsidR="00116054">
          <w:rPr>
            <w:noProof/>
            <w:webHidden/>
          </w:rPr>
          <w:instrText xml:space="preserve"> PAGEREF _Toc418255131 \h </w:instrText>
        </w:r>
        <w:r w:rsidR="00116054">
          <w:rPr>
            <w:noProof/>
            <w:webHidden/>
          </w:rPr>
        </w:r>
        <w:r w:rsidR="00116054">
          <w:rPr>
            <w:noProof/>
            <w:webHidden/>
          </w:rPr>
          <w:fldChar w:fldCharType="separate"/>
        </w:r>
        <w:r>
          <w:rPr>
            <w:noProof/>
            <w:webHidden/>
          </w:rPr>
          <w:t>4</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2" w:history="1">
        <w:r w:rsidR="00116054" w:rsidRPr="003B6DF7">
          <w:rPr>
            <w:rStyle w:val="Hyperlink"/>
            <w:noProof/>
          </w:rPr>
          <w:t>Responsible financial management</w:t>
        </w:r>
        <w:r w:rsidR="00116054">
          <w:rPr>
            <w:noProof/>
            <w:webHidden/>
          </w:rPr>
          <w:tab/>
        </w:r>
        <w:r w:rsidR="00116054">
          <w:rPr>
            <w:noProof/>
            <w:webHidden/>
          </w:rPr>
          <w:fldChar w:fldCharType="begin"/>
        </w:r>
        <w:r w:rsidR="00116054">
          <w:rPr>
            <w:noProof/>
            <w:webHidden/>
          </w:rPr>
          <w:instrText xml:space="preserve"> PAGEREF _Toc418255132 \h </w:instrText>
        </w:r>
        <w:r w:rsidR="00116054">
          <w:rPr>
            <w:noProof/>
            <w:webHidden/>
          </w:rPr>
        </w:r>
        <w:r w:rsidR="00116054">
          <w:rPr>
            <w:noProof/>
            <w:webHidden/>
          </w:rPr>
          <w:fldChar w:fldCharType="separate"/>
        </w:r>
        <w:r>
          <w:rPr>
            <w:noProof/>
            <w:webHidden/>
          </w:rPr>
          <w:t>12</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3" w:history="1">
        <w:r w:rsidR="00116054" w:rsidRPr="003B6DF7">
          <w:rPr>
            <w:rStyle w:val="Hyperlink"/>
            <w:noProof/>
          </w:rPr>
          <w:t>Funding of the federation</w:t>
        </w:r>
        <w:r w:rsidR="00116054">
          <w:rPr>
            <w:noProof/>
            <w:webHidden/>
          </w:rPr>
          <w:tab/>
        </w:r>
        <w:r w:rsidR="00116054">
          <w:rPr>
            <w:noProof/>
            <w:webHidden/>
          </w:rPr>
          <w:fldChar w:fldCharType="begin"/>
        </w:r>
        <w:r w:rsidR="00116054">
          <w:rPr>
            <w:noProof/>
            <w:webHidden/>
          </w:rPr>
          <w:instrText xml:space="preserve"> PAGEREF _Toc418255133 \h </w:instrText>
        </w:r>
        <w:r w:rsidR="00116054">
          <w:rPr>
            <w:noProof/>
            <w:webHidden/>
          </w:rPr>
        </w:r>
        <w:r w:rsidR="00116054">
          <w:rPr>
            <w:noProof/>
            <w:webHidden/>
          </w:rPr>
          <w:fldChar w:fldCharType="separate"/>
        </w:r>
        <w:r>
          <w:rPr>
            <w:noProof/>
            <w:webHidden/>
          </w:rPr>
          <w:t>14</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34" w:history="1">
        <w:r w:rsidR="00116054">
          <w:rPr>
            <w:rStyle w:val="Hyperlink"/>
            <w:noProof/>
          </w:rPr>
          <w:t>Chapter </w:t>
        </w:r>
        <w:r w:rsidR="00116054" w:rsidRPr="003B6DF7">
          <w:rPr>
            <w:rStyle w:val="Hyperlink"/>
            <w:noProof/>
          </w:rPr>
          <w:t>2 – Economic context</w:t>
        </w:r>
        <w:r w:rsidR="00116054">
          <w:rPr>
            <w:noProof/>
            <w:webHidden/>
          </w:rPr>
          <w:tab/>
        </w:r>
        <w:r w:rsidR="00116054">
          <w:rPr>
            <w:noProof/>
            <w:webHidden/>
          </w:rPr>
          <w:fldChar w:fldCharType="begin"/>
        </w:r>
        <w:r w:rsidR="00116054">
          <w:rPr>
            <w:noProof/>
            <w:webHidden/>
          </w:rPr>
          <w:instrText xml:space="preserve"> PAGEREF _Toc418255134 \h </w:instrText>
        </w:r>
        <w:r w:rsidR="00116054">
          <w:rPr>
            <w:noProof/>
            <w:webHidden/>
          </w:rPr>
        </w:r>
        <w:r w:rsidR="00116054">
          <w:rPr>
            <w:noProof/>
            <w:webHidden/>
          </w:rPr>
          <w:fldChar w:fldCharType="separate"/>
        </w:r>
        <w:r>
          <w:rPr>
            <w:noProof/>
            <w:webHidden/>
          </w:rPr>
          <w:t>17</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5" w:history="1">
        <w:r w:rsidR="00116054" w:rsidRPr="003B6DF7">
          <w:rPr>
            <w:rStyle w:val="Hyperlink"/>
            <w:noProof/>
          </w:rPr>
          <w:t>Victorian economic conditions and outlook</w:t>
        </w:r>
        <w:r w:rsidR="00116054">
          <w:rPr>
            <w:noProof/>
            <w:webHidden/>
          </w:rPr>
          <w:tab/>
        </w:r>
        <w:r w:rsidR="00116054">
          <w:rPr>
            <w:noProof/>
            <w:webHidden/>
          </w:rPr>
          <w:fldChar w:fldCharType="begin"/>
        </w:r>
        <w:r w:rsidR="00116054">
          <w:rPr>
            <w:noProof/>
            <w:webHidden/>
          </w:rPr>
          <w:instrText xml:space="preserve"> PAGEREF _Toc418255135 \h </w:instrText>
        </w:r>
        <w:r w:rsidR="00116054">
          <w:rPr>
            <w:noProof/>
            <w:webHidden/>
          </w:rPr>
        </w:r>
        <w:r w:rsidR="00116054">
          <w:rPr>
            <w:noProof/>
            <w:webHidden/>
          </w:rPr>
          <w:fldChar w:fldCharType="separate"/>
        </w:r>
        <w:r>
          <w:rPr>
            <w:noProof/>
            <w:webHidden/>
          </w:rPr>
          <w:t>18</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6" w:history="1">
        <w:r w:rsidR="00116054" w:rsidRPr="003B6DF7">
          <w:rPr>
            <w:rStyle w:val="Hyperlink"/>
            <w:noProof/>
          </w:rPr>
          <w:t>Australian economic conditions and outlook</w:t>
        </w:r>
        <w:r w:rsidR="00116054">
          <w:rPr>
            <w:noProof/>
            <w:webHidden/>
          </w:rPr>
          <w:tab/>
        </w:r>
        <w:r w:rsidR="00116054">
          <w:rPr>
            <w:noProof/>
            <w:webHidden/>
          </w:rPr>
          <w:fldChar w:fldCharType="begin"/>
        </w:r>
        <w:r w:rsidR="00116054">
          <w:rPr>
            <w:noProof/>
            <w:webHidden/>
          </w:rPr>
          <w:instrText xml:space="preserve"> PAGEREF _Toc418255136 \h </w:instrText>
        </w:r>
        <w:r w:rsidR="00116054">
          <w:rPr>
            <w:noProof/>
            <w:webHidden/>
          </w:rPr>
        </w:r>
        <w:r w:rsidR="00116054">
          <w:rPr>
            <w:noProof/>
            <w:webHidden/>
          </w:rPr>
          <w:fldChar w:fldCharType="separate"/>
        </w:r>
        <w:r>
          <w:rPr>
            <w:noProof/>
            <w:webHidden/>
          </w:rPr>
          <w:t>22</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7" w:history="1">
        <w:r w:rsidR="00116054" w:rsidRPr="003B6DF7">
          <w:rPr>
            <w:rStyle w:val="Hyperlink"/>
            <w:noProof/>
          </w:rPr>
          <w:t>International economic conditions and outlook</w:t>
        </w:r>
        <w:r w:rsidR="00116054">
          <w:rPr>
            <w:noProof/>
            <w:webHidden/>
          </w:rPr>
          <w:tab/>
        </w:r>
        <w:r w:rsidR="00116054">
          <w:rPr>
            <w:noProof/>
            <w:webHidden/>
          </w:rPr>
          <w:fldChar w:fldCharType="begin"/>
        </w:r>
        <w:r w:rsidR="00116054">
          <w:rPr>
            <w:noProof/>
            <w:webHidden/>
          </w:rPr>
          <w:instrText xml:space="preserve"> PAGEREF _Toc418255137 \h </w:instrText>
        </w:r>
        <w:r w:rsidR="00116054">
          <w:rPr>
            <w:noProof/>
            <w:webHidden/>
          </w:rPr>
        </w:r>
        <w:r w:rsidR="00116054">
          <w:rPr>
            <w:noProof/>
            <w:webHidden/>
          </w:rPr>
          <w:fldChar w:fldCharType="separate"/>
        </w:r>
        <w:r>
          <w:rPr>
            <w:noProof/>
            <w:webHidden/>
          </w:rPr>
          <w:t>24</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38" w:history="1">
        <w:r w:rsidR="00116054" w:rsidRPr="003B6DF7">
          <w:rPr>
            <w:rStyle w:val="Hyperlink"/>
            <w:noProof/>
          </w:rPr>
          <w:t>Risks to the outlook</w:t>
        </w:r>
        <w:r w:rsidR="00116054">
          <w:rPr>
            <w:noProof/>
            <w:webHidden/>
          </w:rPr>
          <w:tab/>
        </w:r>
        <w:r w:rsidR="00116054">
          <w:rPr>
            <w:noProof/>
            <w:webHidden/>
          </w:rPr>
          <w:fldChar w:fldCharType="begin"/>
        </w:r>
        <w:r w:rsidR="00116054">
          <w:rPr>
            <w:noProof/>
            <w:webHidden/>
          </w:rPr>
          <w:instrText xml:space="preserve"> PAGEREF _Toc418255138 \h </w:instrText>
        </w:r>
        <w:r w:rsidR="00116054">
          <w:rPr>
            <w:noProof/>
            <w:webHidden/>
          </w:rPr>
        </w:r>
        <w:r w:rsidR="00116054">
          <w:rPr>
            <w:noProof/>
            <w:webHidden/>
          </w:rPr>
          <w:fldChar w:fldCharType="separate"/>
        </w:r>
        <w:r>
          <w:rPr>
            <w:noProof/>
            <w:webHidden/>
          </w:rPr>
          <w:t>26</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39" w:history="1">
        <w:r w:rsidR="00116054">
          <w:rPr>
            <w:rStyle w:val="Hyperlink"/>
            <w:noProof/>
          </w:rPr>
          <w:t>Chapter </w:t>
        </w:r>
        <w:r w:rsidR="00116054" w:rsidRPr="003B6DF7">
          <w:rPr>
            <w:rStyle w:val="Hyperlink"/>
            <w:noProof/>
          </w:rPr>
          <w:t>3 – The jobs challenge</w:t>
        </w:r>
        <w:r w:rsidR="00116054">
          <w:rPr>
            <w:noProof/>
            <w:webHidden/>
          </w:rPr>
          <w:tab/>
        </w:r>
        <w:r w:rsidR="00116054">
          <w:rPr>
            <w:noProof/>
            <w:webHidden/>
          </w:rPr>
          <w:fldChar w:fldCharType="begin"/>
        </w:r>
        <w:r w:rsidR="00116054">
          <w:rPr>
            <w:noProof/>
            <w:webHidden/>
          </w:rPr>
          <w:instrText xml:space="preserve"> PAGEREF _Toc418255139 \h </w:instrText>
        </w:r>
        <w:r w:rsidR="00116054">
          <w:rPr>
            <w:noProof/>
            <w:webHidden/>
          </w:rPr>
        </w:r>
        <w:r w:rsidR="00116054">
          <w:rPr>
            <w:noProof/>
            <w:webHidden/>
          </w:rPr>
          <w:fldChar w:fldCharType="separate"/>
        </w:r>
        <w:r>
          <w:rPr>
            <w:noProof/>
            <w:webHidden/>
          </w:rPr>
          <w:t>27</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0" w:history="1">
        <w:r w:rsidR="00116054" w:rsidRPr="003B6DF7">
          <w:rPr>
            <w:rStyle w:val="Hyperlink"/>
            <w:noProof/>
          </w:rPr>
          <w:t>Overview of the Victorian labour market</w:t>
        </w:r>
        <w:r w:rsidR="00116054">
          <w:rPr>
            <w:noProof/>
            <w:webHidden/>
          </w:rPr>
          <w:tab/>
        </w:r>
        <w:r w:rsidR="00116054">
          <w:rPr>
            <w:noProof/>
            <w:webHidden/>
          </w:rPr>
          <w:fldChar w:fldCharType="begin"/>
        </w:r>
        <w:r w:rsidR="00116054">
          <w:rPr>
            <w:noProof/>
            <w:webHidden/>
          </w:rPr>
          <w:instrText xml:space="preserve"> PAGEREF _Toc418255140 \h </w:instrText>
        </w:r>
        <w:r w:rsidR="00116054">
          <w:rPr>
            <w:noProof/>
            <w:webHidden/>
          </w:rPr>
        </w:r>
        <w:r w:rsidR="00116054">
          <w:rPr>
            <w:noProof/>
            <w:webHidden/>
          </w:rPr>
          <w:fldChar w:fldCharType="separate"/>
        </w:r>
        <w:r>
          <w:rPr>
            <w:noProof/>
            <w:webHidden/>
          </w:rPr>
          <w:t>28</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1" w:history="1">
        <w:r w:rsidR="00116054" w:rsidRPr="003B6DF7">
          <w:rPr>
            <w:rStyle w:val="Hyperlink"/>
            <w:noProof/>
          </w:rPr>
          <w:t>The recent Victorian labour market downturn</w:t>
        </w:r>
        <w:r w:rsidR="00116054">
          <w:rPr>
            <w:noProof/>
            <w:webHidden/>
          </w:rPr>
          <w:tab/>
        </w:r>
        <w:r w:rsidR="00116054">
          <w:rPr>
            <w:noProof/>
            <w:webHidden/>
          </w:rPr>
          <w:fldChar w:fldCharType="begin"/>
        </w:r>
        <w:r w:rsidR="00116054">
          <w:rPr>
            <w:noProof/>
            <w:webHidden/>
          </w:rPr>
          <w:instrText xml:space="preserve"> PAGEREF _Toc418255141 \h </w:instrText>
        </w:r>
        <w:r w:rsidR="00116054">
          <w:rPr>
            <w:noProof/>
            <w:webHidden/>
          </w:rPr>
        </w:r>
        <w:r w:rsidR="00116054">
          <w:rPr>
            <w:noProof/>
            <w:webHidden/>
          </w:rPr>
          <w:fldChar w:fldCharType="separate"/>
        </w:r>
        <w:r>
          <w:rPr>
            <w:noProof/>
            <w:webHidden/>
          </w:rPr>
          <w:t>29</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2" w:history="1">
        <w:r w:rsidR="00116054" w:rsidRPr="003B6DF7">
          <w:rPr>
            <w:rStyle w:val="Hyperlink"/>
            <w:noProof/>
          </w:rPr>
          <w:t>Trends in youth labour force participation and education</w:t>
        </w:r>
        <w:r w:rsidR="00116054">
          <w:rPr>
            <w:noProof/>
            <w:webHidden/>
          </w:rPr>
          <w:tab/>
        </w:r>
        <w:r w:rsidR="00116054">
          <w:rPr>
            <w:noProof/>
            <w:webHidden/>
          </w:rPr>
          <w:fldChar w:fldCharType="begin"/>
        </w:r>
        <w:r w:rsidR="00116054">
          <w:rPr>
            <w:noProof/>
            <w:webHidden/>
          </w:rPr>
          <w:instrText xml:space="preserve"> PAGEREF _Toc418255142 \h </w:instrText>
        </w:r>
        <w:r w:rsidR="00116054">
          <w:rPr>
            <w:noProof/>
            <w:webHidden/>
          </w:rPr>
        </w:r>
        <w:r w:rsidR="00116054">
          <w:rPr>
            <w:noProof/>
            <w:webHidden/>
          </w:rPr>
          <w:fldChar w:fldCharType="separate"/>
        </w:r>
        <w:r>
          <w:rPr>
            <w:noProof/>
            <w:webHidden/>
          </w:rPr>
          <w:t>33</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3" w:history="1">
        <w:r w:rsidR="00116054" w:rsidRPr="003B6DF7">
          <w:rPr>
            <w:rStyle w:val="Hyperlink"/>
            <w:noProof/>
          </w:rPr>
          <w:t>Industry employment trends and skills</w:t>
        </w:r>
        <w:r w:rsidR="00116054">
          <w:rPr>
            <w:noProof/>
            <w:webHidden/>
          </w:rPr>
          <w:tab/>
        </w:r>
        <w:r w:rsidR="00116054">
          <w:rPr>
            <w:noProof/>
            <w:webHidden/>
          </w:rPr>
          <w:fldChar w:fldCharType="begin"/>
        </w:r>
        <w:r w:rsidR="00116054">
          <w:rPr>
            <w:noProof/>
            <w:webHidden/>
          </w:rPr>
          <w:instrText xml:space="preserve"> PAGEREF _Toc418255143 \h </w:instrText>
        </w:r>
        <w:r w:rsidR="00116054">
          <w:rPr>
            <w:noProof/>
            <w:webHidden/>
          </w:rPr>
        </w:r>
        <w:r w:rsidR="00116054">
          <w:rPr>
            <w:noProof/>
            <w:webHidden/>
          </w:rPr>
          <w:fldChar w:fldCharType="separate"/>
        </w:r>
        <w:r>
          <w:rPr>
            <w:noProof/>
            <w:webHidden/>
          </w:rPr>
          <w:t>36</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4" w:history="1">
        <w:r w:rsidR="00116054" w:rsidRPr="003B6DF7">
          <w:rPr>
            <w:rStyle w:val="Hyperlink"/>
            <w:noProof/>
          </w:rPr>
          <w:t>The Government’s plan to drive jobs growth by investing in quality education, skills and infrastructure</w:t>
        </w:r>
        <w:r w:rsidR="00116054">
          <w:rPr>
            <w:noProof/>
            <w:webHidden/>
          </w:rPr>
          <w:tab/>
        </w:r>
        <w:r w:rsidR="00116054">
          <w:rPr>
            <w:noProof/>
            <w:webHidden/>
          </w:rPr>
          <w:fldChar w:fldCharType="begin"/>
        </w:r>
        <w:r w:rsidR="00116054">
          <w:rPr>
            <w:noProof/>
            <w:webHidden/>
          </w:rPr>
          <w:instrText xml:space="preserve"> PAGEREF _Toc418255144 \h </w:instrText>
        </w:r>
        <w:r w:rsidR="00116054">
          <w:rPr>
            <w:noProof/>
            <w:webHidden/>
          </w:rPr>
        </w:r>
        <w:r w:rsidR="00116054">
          <w:rPr>
            <w:noProof/>
            <w:webHidden/>
          </w:rPr>
          <w:fldChar w:fldCharType="separate"/>
        </w:r>
        <w:r>
          <w:rPr>
            <w:noProof/>
            <w:webHidden/>
          </w:rPr>
          <w:t>39</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45" w:history="1">
        <w:r w:rsidR="00116054">
          <w:rPr>
            <w:rStyle w:val="Hyperlink"/>
            <w:noProof/>
          </w:rPr>
          <w:t>Chapter </w:t>
        </w:r>
        <w:r w:rsidR="00116054" w:rsidRPr="003B6DF7">
          <w:rPr>
            <w:rStyle w:val="Hyperlink"/>
            <w:noProof/>
          </w:rPr>
          <w:t>4 – Budget position and outlook</w:t>
        </w:r>
        <w:r w:rsidR="00116054">
          <w:rPr>
            <w:noProof/>
            <w:webHidden/>
          </w:rPr>
          <w:tab/>
        </w:r>
        <w:r w:rsidR="00116054">
          <w:rPr>
            <w:noProof/>
            <w:webHidden/>
          </w:rPr>
          <w:fldChar w:fldCharType="begin"/>
        </w:r>
        <w:r w:rsidR="00116054">
          <w:rPr>
            <w:noProof/>
            <w:webHidden/>
          </w:rPr>
          <w:instrText xml:space="preserve"> PAGEREF _Toc418255145 \h </w:instrText>
        </w:r>
        <w:r w:rsidR="00116054">
          <w:rPr>
            <w:noProof/>
            <w:webHidden/>
          </w:rPr>
        </w:r>
        <w:r w:rsidR="00116054">
          <w:rPr>
            <w:noProof/>
            <w:webHidden/>
          </w:rPr>
          <w:fldChar w:fldCharType="separate"/>
        </w:r>
        <w:r>
          <w:rPr>
            <w:noProof/>
            <w:webHidden/>
          </w:rPr>
          <w:t>43</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6" w:history="1">
        <w:r w:rsidR="00116054" w:rsidRPr="003B6DF7">
          <w:rPr>
            <w:rStyle w:val="Hyperlink"/>
            <w:noProof/>
          </w:rPr>
          <w:t>Budget and forward estimates outlook</w:t>
        </w:r>
        <w:r w:rsidR="00116054">
          <w:rPr>
            <w:noProof/>
            <w:webHidden/>
          </w:rPr>
          <w:tab/>
        </w:r>
        <w:r w:rsidR="00116054">
          <w:rPr>
            <w:noProof/>
            <w:webHidden/>
          </w:rPr>
          <w:fldChar w:fldCharType="begin"/>
        </w:r>
        <w:r w:rsidR="00116054">
          <w:rPr>
            <w:noProof/>
            <w:webHidden/>
          </w:rPr>
          <w:instrText xml:space="preserve"> PAGEREF _Toc418255146 \h </w:instrText>
        </w:r>
        <w:r w:rsidR="00116054">
          <w:rPr>
            <w:noProof/>
            <w:webHidden/>
          </w:rPr>
        </w:r>
        <w:r w:rsidR="00116054">
          <w:rPr>
            <w:noProof/>
            <w:webHidden/>
          </w:rPr>
          <w:fldChar w:fldCharType="separate"/>
        </w:r>
        <w:r>
          <w:rPr>
            <w:noProof/>
            <w:webHidden/>
          </w:rPr>
          <w:t>49</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7" w:history="1">
        <w:r w:rsidR="00116054" w:rsidRPr="003B6DF7">
          <w:rPr>
            <w:rStyle w:val="Hyperlink"/>
            <w:noProof/>
          </w:rPr>
          <w:t>Cash flows</w:t>
        </w:r>
        <w:r w:rsidR="00116054">
          <w:rPr>
            <w:noProof/>
            <w:webHidden/>
          </w:rPr>
          <w:tab/>
        </w:r>
        <w:r w:rsidR="00116054">
          <w:rPr>
            <w:noProof/>
            <w:webHidden/>
          </w:rPr>
          <w:fldChar w:fldCharType="begin"/>
        </w:r>
        <w:r w:rsidR="00116054">
          <w:rPr>
            <w:noProof/>
            <w:webHidden/>
          </w:rPr>
          <w:instrText xml:space="preserve"> PAGEREF _Toc418255147 \h </w:instrText>
        </w:r>
        <w:r w:rsidR="00116054">
          <w:rPr>
            <w:noProof/>
            <w:webHidden/>
          </w:rPr>
        </w:r>
        <w:r w:rsidR="00116054">
          <w:rPr>
            <w:noProof/>
            <w:webHidden/>
          </w:rPr>
          <w:fldChar w:fldCharType="separate"/>
        </w:r>
        <w:r>
          <w:rPr>
            <w:noProof/>
            <w:webHidden/>
          </w:rPr>
          <w:t>58</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8" w:history="1">
        <w:r w:rsidR="00116054" w:rsidRPr="003B6DF7">
          <w:rPr>
            <w:rStyle w:val="Hyperlink"/>
            <w:noProof/>
          </w:rPr>
          <w:t>Net debt and net financial liabilities</w:t>
        </w:r>
        <w:r w:rsidR="00116054">
          <w:rPr>
            <w:noProof/>
            <w:webHidden/>
          </w:rPr>
          <w:tab/>
        </w:r>
        <w:r w:rsidR="00116054">
          <w:rPr>
            <w:noProof/>
            <w:webHidden/>
          </w:rPr>
          <w:fldChar w:fldCharType="begin"/>
        </w:r>
        <w:r w:rsidR="00116054">
          <w:rPr>
            <w:noProof/>
            <w:webHidden/>
          </w:rPr>
          <w:instrText xml:space="preserve"> PAGEREF _Toc418255148 \h </w:instrText>
        </w:r>
        <w:r w:rsidR="00116054">
          <w:rPr>
            <w:noProof/>
            <w:webHidden/>
          </w:rPr>
        </w:r>
        <w:r w:rsidR="00116054">
          <w:rPr>
            <w:noProof/>
            <w:webHidden/>
          </w:rPr>
          <w:fldChar w:fldCharType="separate"/>
        </w:r>
        <w:r>
          <w:rPr>
            <w:noProof/>
            <w:webHidden/>
          </w:rPr>
          <w:t>61</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49" w:history="1">
        <w:r w:rsidR="00116054" w:rsidRPr="003B6DF7">
          <w:rPr>
            <w:rStyle w:val="Hyperlink"/>
            <w:noProof/>
          </w:rPr>
          <w:t>Fiscal risks</w:t>
        </w:r>
        <w:r w:rsidR="00116054">
          <w:rPr>
            <w:noProof/>
            <w:webHidden/>
          </w:rPr>
          <w:tab/>
        </w:r>
        <w:r w:rsidR="00116054">
          <w:rPr>
            <w:noProof/>
            <w:webHidden/>
          </w:rPr>
          <w:fldChar w:fldCharType="begin"/>
        </w:r>
        <w:r w:rsidR="00116054">
          <w:rPr>
            <w:noProof/>
            <w:webHidden/>
          </w:rPr>
          <w:instrText xml:space="preserve"> PAGEREF _Toc418255149 \h </w:instrText>
        </w:r>
        <w:r w:rsidR="00116054">
          <w:rPr>
            <w:noProof/>
            <w:webHidden/>
          </w:rPr>
        </w:r>
        <w:r w:rsidR="00116054">
          <w:rPr>
            <w:noProof/>
            <w:webHidden/>
          </w:rPr>
          <w:fldChar w:fldCharType="separate"/>
        </w:r>
        <w:r>
          <w:rPr>
            <w:noProof/>
            <w:webHidden/>
          </w:rPr>
          <w:t>63</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50" w:history="1">
        <w:r w:rsidR="00116054">
          <w:rPr>
            <w:rStyle w:val="Hyperlink"/>
            <w:noProof/>
          </w:rPr>
          <w:t>Chapter </w:t>
        </w:r>
        <w:r w:rsidR="00116054" w:rsidRPr="003B6DF7">
          <w:rPr>
            <w:rStyle w:val="Hyperlink"/>
            <w:noProof/>
          </w:rPr>
          <w:t>5 – Position and outlook of the broader public sector</w:t>
        </w:r>
        <w:r w:rsidR="00116054">
          <w:rPr>
            <w:noProof/>
            <w:webHidden/>
          </w:rPr>
          <w:tab/>
        </w:r>
        <w:r w:rsidR="00116054">
          <w:rPr>
            <w:noProof/>
            <w:webHidden/>
          </w:rPr>
          <w:fldChar w:fldCharType="begin"/>
        </w:r>
        <w:r w:rsidR="00116054">
          <w:rPr>
            <w:noProof/>
            <w:webHidden/>
          </w:rPr>
          <w:instrText xml:space="preserve"> PAGEREF _Toc418255150 \h </w:instrText>
        </w:r>
        <w:r w:rsidR="00116054">
          <w:rPr>
            <w:noProof/>
            <w:webHidden/>
          </w:rPr>
        </w:r>
        <w:r w:rsidR="00116054">
          <w:rPr>
            <w:noProof/>
            <w:webHidden/>
          </w:rPr>
          <w:fldChar w:fldCharType="separate"/>
        </w:r>
        <w:r>
          <w:rPr>
            <w:noProof/>
            <w:webHidden/>
          </w:rPr>
          <w:t>67</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51" w:history="1">
        <w:r w:rsidR="00116054" w:rsidRPr="003B6DF7">
          <w:rPr>
            <w:rStyle w:val="Hyperlink"/>
            <w:noProof/>
          </w:rPr>
          <w:t>Summary operating results – non</w:t>
        </w:r>
        <w:r w:rsidR="00116054">
          <w:rPr>
            <w:rStyle w:val="Hyperlink"/>
            <w:noProof/>
          </w:rPr>
          <w:noBreakHyphen/>
        </w:r>
        <w:r w:rsidR="00116054" w:rsidRPr="003B6DF7">
          <w:rPr>
            <w:rStyle w:val="Hyperlink"/>
            <w:noProof/>
          </w:rPr>
          <w:t>financial public sector</w:t>
        </w:r>
        <w:r w:rsidR="00116054">
          <w:rPr>
            <w:noProof/>
            <w:webHidden/>
          </w:rPr>
          <w:tab/>
        </w:r>
        <w:r w:rsidR="00116054">
          <w:rPr>
            <w:noProof/>
            <w:webHidden/>
          </w:rPr>
          <w:fldChar w:fldCharType="begin"/>
        </w:r>
        <w:r w:rsidR="00116054">
          <w:rPr>
            <w:noProof/>
            <w:webHidden/>
          </w:rPr>
          <w:instrText xml:space="preserve"> PAGEREF _Toc418255151 \h </w:instrText>
        </w:r>
        <w:r w:rsidR="00116054">
          <w:rPr>
            <w:noProof/>
            <w:webHidden/>
          </w:rPr>
        </w:r>
        <w:r w:rsidR="00116054">
          <w:rPr>
            <w:noProof/>
            <w:webHidden/>
          </w:rPr>
          <w:fldChar w:fldCharType="separate"/>
        </w:r>
        <w:r>
          <w:rPr>
            <w:noProof/>
            <w:webHidden/>
          </w:rPr>
          <w:t>68</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52" w:history="1">
        <w:r w:rsidR="00116054" w:rsidRPr="003B6DF7">
          <w:rPr>
            <w:rStyle w:val="Hyperlink"/>
            <w:noProof/>
          </w:rPr>
          <w:t>Application of cash resources</w:t>
        </w:r>
        <w:r w:rsidR="00116054">
          <w:rPr>
            <w:noProof/>
            <w:webHidden/>
          </w:rPr>
          <w:tab/>
        </w:r>
        <w:r w:rsidR="00116054">
          <w:rPr>
            <w:noProof/>
            <w:webHidden/>
          </w:rPr>
          <w:fldChar w:fldCharType="begin"/>
        </w:r>
        <w:r w:rsidR="00116054">
          <w:rPr>
            <w:noProof/>
            <w:webHidden/>
          </w:rPr>
          <w:instrText xml:space="preserve"> PAGEREF _Toc418255152 \h </w:instrText>
        </w:r>
        <w:r w:rsidR="00116054">
          <w:rPr>
            <w:noProof/>
            <w:webHidden/>
          </w:rPr>
        </w:r>
        <w:r w:rsidR="00116054">
          <w:rPr>
            <w:noProof/>
            <w:webHidden/>
          </w:rPr>
          <w:fldChar w:fldCharType="separate"/>
        </w:r>
        <w:r>
          <w:rPr>
            <w:noProof/>
            <w:webHidden/>
          </w:rPr>
          <w:t>70</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53" w:history="1">
        <w:r w:rsidR="00116054" w:rsidRPr="003B6DF7">
          <w:rPr>
            <w:rStyle w:val="Hyperlink"/>
            <w:noProof/>
          </w:rPr>
          <w:t>Non</w:t>
        </w:r>
        <w:r w:rsidR="00116054">
          <w:rPr>
            <w:rStyle w:val="Hyperlink"/>
            <w:noProof/>
          </w:rPr>
          <w:noBreakHyphen/>
        </w:r>
        <w:r w:rsidR="00116054" w:rsidRPr="003B6DF7">
          <w:rPr>
            <w:rStyle w:val="Hyperlink"/>
            <w:noProof/>
          </w:rPr>
          <w:t>financial public sector net debt and net financial liabilities</w:t>
        </w:r>
        <w:r w:rsidR="00116054">
          <w:rPr>
            <w:noProof/>
            <w:webHidden/>
          </w:rPr>
          <w:tab/>
        </w:r>
        <w:r w:rsidR="00116054">
          <w:rPr>
            <w:noProof/>
            <w:webHidden/>
          </w:rPr>
          <w:fldChar w:fldCharType="begin"/>
        </w:r>
        <w:r w:rsidR="00116054">
          <w:rPr>
            <w:noProof/>
            <w:webHidden/>
          </w:rPr>
          <w:instrText xml:space="preserve"> PAGEREF _Toc418255153 \h </w:instrText>
        </w:r>
        <w:r w:rsidR="00116054">
          <w:rPr>
            <w:noProof/>
            <w:webHidden/>
          </w:rPr>
        </w:r>
        <w:r w:rsidR="00116054">
          <w:rPr>
            <w:noProof/>
            <w:webHidden/>
          </w:rPr>
          <w:fldChar w:fldCharType="separate"/>
        </w:r>
        <w:r>
          <w:rPr>
            <w:noProof/>
            <w:webHidden/>
          </w:rPr>
          <w:t>71</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54" w:history="1">
        <w:r w:rsidR="00116054" w:rsidRPr="003B6DF7">
          <w:rPr>
            <w:rStyle w:val="Hyperlink"/>
            <w:noProof/>
          </w:rPr>
          <w:t>Summary operating results – State of Victoria</w:t>
        </w:r>
        <w:r w:rsidR="00116054">
          <w:rPr>
            <w:noProof/>
            <w:webHidden/>
          </w:rPr>
          <w:tab/>
        </w:r>
        <w:r w:rsidR="00116054">
          <w:rPr>
            <w:noProof/>
            <w:webHidden/>
          </w:rPr>
          <w:fldChar w:fldCharType="begin"/>
        </w:r>
        <w:r w:rsidR="00116054">
          <w:rPr>
            <w:noProof/>
            <w:webHidden/>
          </w:rPr>
          <w:instrText xml:space="preserve"> PAGEREF _Toc418255154 \h </w:instrText>
        </w:r>
        <w:r w:rsidR="00116054">
          <w:rPr>
            <w:noProof/>
            <w:webHidden/>
          </w:rPr>
        </w:r>
        <w:r w:rsidR="00116054">
          <w:rPr>
            <w:noProof/>
            <w:webHidden/>
          </w:rPr>
          <w:fldChar w:fldCharType="separate"/>
        </w:r>
        <w:r>
          <w:rPr>
            <w:noProof/>
            <w:webHidden/>
          </w:rPr>
          <w:t>74</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55" w:history="1">
        <w:r w:rsidR="00116054" w:rsidRPr="003B6DF7">
          <w:rPr>
            <w:rStyle w:val="Hyperlink"/>
            <w:noProof/>
          </w:rPr>
          <w:t>State of Victoria – financial position</w:t>
        </w:r>
        <w:r w:rsidR="00116054">
          <w:rPr>
            <w:noProof/>
            <w:webHidden/>
          </w:rPr>
          <w:tab/>
        </w:r>
        <w:r w:rsidR="00116054">
          <w:rPr>
            <w:noProof/>
            <w:webHidden/>
          </w:rPr>
          <w:fldChar w:fldCharType="begin"/>
        </w:r>
        <w:r w:rsidR="00116054">
          <w:rPr>
            <w:noProof/>
            <w:webHidden/>
          </w:rPr>
          <w:instrText xml:space="preserve"> PAGEREF _Toc418255155 \h </w:instrText>
        </w:r>
        <w:r w:rsidR="00116054">
          <w:rPr>
            <w:noProof/>
            <w:webHidden/>
          </w:rPr>
        </w:r>
        <w:r w:rsidR="00116054">
          <w:rPr>
            <w:noProof/>
            <w:webHidden/>
          </w:rPr>
          <w:fldChar w:fldCharType="separate"/>
        </w:r>
        <w:r>
          <w:rPr>
            <w:noProof/>
            <w:webHidden/>
          </w:rPr>
          <w:t>76</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56" w:history="1">
        <w:r w:rsidR="00116054" w:rsidRPr="003B6DF7">
          <w:rPr>
            <w:rStyle w:val="Hyperlink"/>
            <w:noProof/>
          </w:rPr>
          <w:t>Appendix A – Sensitivity analysis</w:t>
        </w:r>
        <w:r w:rsidR="00116054">
          <w:rPr>
            <w:noProof/>
            <w:webHidden/>
          </w:rPr>
          <w:tab/>
        </w:r>
        <w:r w:rsidR="00116054">
          <w:rPr>
            <w:noProof/>
            <w:webHidden/>
          </w:rPr>
          <w:fldChar w:fldCharType="begin"/>
        </w:r>
        <w:r w:rsidR="00116054">
          <w:rPr>
            <w:noProof/>
            <w:webHidden/>
          </w:rPr>
          <w:instrText xml:space="preserve"> PAGEREF _Toc418255156 \h </w:instrText>
        </w:r>
        <w:r w:rsidR="00116054">
          <w:rPr>
            <w:noProof/>
            <w:webHidden/>
          </w:rPr>
        </w:r>
        <w:r w:rsidR="00116054">
          <w:rPr>
            <w:noProof/>
            <w:webHidden/>
          </w:rPr>
          <w:fldChar w:fldCharType="separate"/>
        </w:r>
        <w:r>
          <w:rPr>
            <w:noProof/>
            <w:webHidden/>
          </w:rPr>
          <w:t>77</w:t>
        </w:r>
        <w:r w:rsidR="00116054">
          <w:rPr>
            <w:noProof/>
            <w:webHidden/>
          </w:rPr>
          <w:fldChar w:fldCharType="end"/>
        </w:r>
      </w:hyperlink>
    </w:p>
    <w:p w:rsidR="00116054" w:rsidRDefault="00CC5D46">
      <w:pPr>
        <w:pStyle w:val="TOC2"/>
        <w:rPr>
          <w:rFonts w:asciiTheme="minorHAnsi" w:eastAsiaTheme="minorEastAsia" w:hAnsiTheme="minorHAnsi" w:cstheme="minorBidi"/>
          <w:noProof/>
          <w:sz w:val="22"/>
          <w:szCs w:val="22"/>
          <w:lang w:eastAsia="en-AU"/>
        </w:rPr>
      </w:pPr>
      <w:hyperlink w:anchor="_Toc418255157" w:history="1">
        <w:r w:rsidR="00116054" w:rsidRPr="003B6DF7">
          <w:rPr>
            <w:rStyle w:val="Hyperlink"/>
            <w:noProof/>
          </w:rPr>
          <w:t>Sensitivity to variations in the economic outlook</w:t>
        </w:r>
        <w:r w:rsidR="00116054">
          <w:rPr>
            <w:noProof/>
            <w:webHidden/>
          </w:rPr>
          <w:tab/>
        </w:r>
        <w:r w:rsidR="00116054">
          <w:rPr>
            <w:noProof/>
            <w:webHidden/>
          </w:rPr>
          <w:fldChar w:fldCharType="begin"/>
        </w:r>
        <w:r w:rsidR="00116054">
          <w:rPr>
            <w:noProof/>
            <w:webHidden/>
          </w:rPr>
          <w:instrText xml:space="preserve"> PAGEREF _Toc418255157 \h </w:instrText>
        </w:r>
        <w:r w:rsidR="00116054">
          <w:rPr>
            <w:noProof/>
            <w:webHidden/>
          </w:rPr>
        </w:r>
        <w:r w:rsidR="00116054">
          <w:rPr>
            <w:noProof/>
            <w:webHidden/>
          </w:rPr>
          <w:fldChar w:fldCharType="separate"/>
        </w:r>
        <w:r>
          <w:rPr>
            <w:noProof/>
            <w:webHidden/>
          </w:rPr>
          <w:t>85</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58" w:history="1">
        <w:r w:rsidR="00116054" w:rsidRPr="003B6DF7">
          <w:rPr>
            <w:rStyle w:val="Hyperlink"/>
            <w:noProof/>
          </w:rPr>
          <w:t>Style conventions</w:t>
        </w:r>
        <w:r w:rsidR="00116054">
          <w:rPr>
            <w:noProof/>
            <w:webHidden/>
          </w:rPr>
          <w:tab/>
        </w:r>
        <w:r w:rsidR="00116054">
          <w:rPr>
            <w:noProof/>
            <w:webHidden/>
          </w:rPr>
          <w:fldChar w:fldCharType="begin"/>
        </w:r>
        <w:r w:rsidR="00116054">
          <w:rPr>
            <w:noProof/>
            <w:webHidden/>
          </w:rPr>
          <w:instrText xml:space="preserve"> PAGEREF _Toc418255158 \h </w:instrText>
        </w:r>
        <w:r w:rsidR="00116054">
          <w:rPr>
            <w:noProof/>
            <w:webHidden/>
          </w:rPr>
        </w:r>
        <w:r w:rsidR="00116054">
          <w:rPr>
            <w:noProof/>
            <w:webHidden/>
          </w:rPr>
          <w:fldChar w:fldCharType="separate"/>
        </w:r>
        <w:r>
          <w:rPr>
            <w:noProof/>
            <w:webHidden/>
          </w:rPr>
          <w:t>89</w:t>
        </w:r>
        <w:r w:rsidR="00116054">
          <w:rPr>
            <w:noProof/>
            <w:webHidden/>
          </w:rPr>
          <w:fldChar w:fldCharType="end"/>
        </w:r>
      </w:hyperlink>
    </w:p>
    <w:p w:rsidR="00116054" w:rsidRDefault="00CC5D46">
      <w:pPr>
        <w:pStyle w:val="TOC1"/>
        <w:rPr>
          <w:rFonts w:asciiTheme="minorHAnsi" w:eastAsiaTheme="minorEastAsia" w:hAnsiTheme="minorHAnsi" w:cstheme="minorBidi"/>
          <w:b w:val="0"/>
          <w:noProof/>
          <w:sz w:val="22"/>
          <w:szCs w:val="22"/>
          <w:lang w:eastAsia="en-AU"/>
        </w:rPr>
      </w:pPr>
      <w:hyperlink w:anchor="_Toc418255159" w:history="1">
        <w:r w:rsidR="00116054" w:rsidRPr="003B6DF7">
          <w:rPr>
            <w:rStyle w:val="Hyperlink"/>
            <w:noProof/>
          </w:rPr>
          <w:t>Index</w:t>
        </w:r>
        <w:r w:rsidR="00116054">
          <w:rPr>
            <w:noProof/>
            <w:webHidden/>
          </w:rPr>
          <w:tab/>
        </w:r>
        <w:r w:rsidR="00116054">
          <w:rPr>
            <w:noProof/>
            <w:webHidden/>
          </w:rPr>
          <w:fldChar w:fldCharType="begin"/>
        </w:r>
        <w:r w:rsidR="00116054">
          <w:rPr>
            <w:noProof/>
            <w:webHidden/>
          </w:rPr>
          <w:instrText xml:space="preserve"> PAGEREF _Toc418255159 \h </w:instrText>
        </w:r>
        <w:r w:rsidR="00116054">
          <w:rPr>
            <w:noProof/>
            <w:webHidden/>
          </w:rPr>
        </w:r>
        <w:r w:rsidR="00116054">
          <w:rPr>
            <w:noProof/>
            <w:webHidden/>
          </w:rPr>
          <w:fldChar w:fldCharType="separate"/>
        </w:r>
        <w:r>
          <w:rPr>
            <w:noProof/>
            <w:webHidden/>
          </w:rPr>
          <w:t>91</w:t>
        </w:r>
        <w:r w:rsidR="00116054">
          <w:rPr>
            <w:noProof/>
            <w:webHidden/>
          </w:rPr>
          <w:fldChar w:fldCharType="end"/>
        </w:r>
      </w:hyperlink>
    </w:p>
    <w:p w:rsidR="00116054" w:rsidRPr="007B2462" w:rsidRDefault="00116054" w:rsidP="000542A7">
      <w:r w:rsidRPr="007B2462">
        <w:fldChar w:fldCharType="end"/>
      </w:r>
    </w:p>
    <w:p w:rsidR="00116054" w:rsidRPr="007B2462" w:rsidRDefault="00116054" w:rsidP="000542A7"/>
    <w:p w:rsidR="00116054" w:rsidRPr="007B2462" w:rsidRDefault="00116054" w:rsidP="000542A7"/>
    <w:p w:rsidR="00116054" w:rsidRPr="007B2462" w:rsidRDefault="00116054" w:rsidP="000542A7">
      <w:pPr>
        <w:sectPr w:rsidR="00116054" w:rsidRPr="007B2462" w:rsidSect="002860F1">
          <w:footerReference w:type="even" r:id="rId13"/>
          <w:footerReference w:type="default" r:id="rId14"/>
          <w:type w:val="oddPage"/>
          <w:pgSz w:w="9979" w:h="14181" w:code="138"/>
          <w:pgMar w:top="1138" w:right="1138" w:bottom="1138" w:left="1138" w:header="720" w:footer="432" w:gutter="0"/>
          <w:pgNumType w:fmt="lowerRoman" w:start="1"/>
          <w:cols w:space="708"/>
          <w:docGrid w:linePitch="360"/>
        </w:sectPr>
      </w:pPr>
    </w:p>
    <w:p w:rsidR="00116054" w:rsidRPr="00075BA6" w:rsidRDefault="00116054" w:rsidP="008617BF">
      <w:pPr>
        <w:pStyle w:val="ChapterHeading"/>
      </w:pPr>
      <w:bookmarkStart w:id="1" w:name="_Toc418081679"/>
      <w:bookmarkStart w:id="2" w:name="_Toc418255129"/>
      <w:r>
        <w:lastRenderedPageBreak/>
        <w:t>Chapter </w:t>
      </w:r>
      <w:r w:rsidRPr="00075BA6">
        <w:t xml:space="preserve">1 – Economic and </w:t>
      </w:r>
      <w:r w:rsidRPr="00DC3721">
        <w:t>fiscal overview</w:t>
      </w:r>
      <w:bookmarkEnd w:id="1"/>
      <w:bookmarkEnd w:id="2"/>
    </w:p>
    <w:p w:rsidR="00116054" w:rsidRDefault="00116054" w:rsidP="00382C25">
      <w:bookmarkStart w:id="3" w:name="BP2Population1"/>
      <w:r>
        <w:t xml:space="preserve">The Government’s first budget delivers on its election commitments and makes responsible investments in the services and infrastructure required to support a growing population and drive growth in the Victorian economy. </w:t>
      </w:r>
    </w:p>
    <w:p w:rsidR="00116054" w:rsidRDefault="00116054" w:rsidP="00382C25">
      <w:bookmarkStart w:id="4" w:name="BP2Productivity2"/>
      <w:r>
        <w:t xml:space="preserve">Victoria’s continued high population growth reflects the attraction of the State as a place to live. However, this growth combined with a changing economy is creating social and economic pressures. To respond to these challenges, the </w:t>
      </w:r>
      <w:r w:rsidRPr="00922358">
        <w:rPr>
          <w:i/>
        </w:rPr>
        <w:t>2015</w:t>
      </w:r>
      <w:r>
        <w:rPr>
          <w:i/>
        </w:rPr>
        <w:noBreakHyphen/>
      </w:r>
      <w:r w:rsidRPr="00922358">
        <w:rPr>
          <w:i/>
        </w:rPr>
        <w:t>16 Budget</w:t>
      </w:r>
      <w:r>
        <w:t xml:space="preserve"> delivers services more broadly and effectively, and invests in infrastructure to improve the long</w:t>
      </w:r>
      <w:r>
        <w:noBreakHyphen/>
        <w:t>term liveability and productivity</w:t>
      </w:r>
      <w:r>
        <w:fldChar w:fldCharType="begin"/>
      </w:r>
      <w:r>
        <w:instrText xml:space="preserve"> XE "</w:instrText>
      </w:r>
      <w:r w:rsidRPr="00CD66CC">
        <w:instrText>Productivity</w:instrText>
      </w:r>
      <w:r>
        <w:instrText xml:space="preserve">" </w:instrText>
      </w:r>
      <w:r>
        <w:fldChar w:fldCharType="end"/>
      </w:r>
      <w:r>
        <w:t xml:space="preserve"> of Melbourne and regional Victoria.</w:t>
      </w:r>
    </w:p>
    <w:p w:rsidR="00116054" w:rsidRDefault="00116054" w:rsidP="00382C25">
      <w:bookmarkStart w:id="5" w:name="BP2Ch1Jobs"/>
      <w:r>
        <w:t>The budget will boost employment and productivity through a significant infrastructure program. In addition, employment growth</w:t>
      </w:r>
      <w:r>
        <w:fldChar w:fldCharType="begin"/>
      </w:r>
      <w:r>
        <w:instrText xml:space="preserve"> XE "</w:instrText>
      </w:r>
      <w:proofErr w:type="spellStart"/>
      <w:r w:rsidRPr="00FB5554">
        <w:instrText>Employment:Growth</w:instrText>
      </w:r>
      <w:proofErr w:type="spellEnd"/>
      <w:r>
        <w:instrText xml:space="preserve">" </w:instrText>
      </w:r>
      <w:r>
        <w:fldChar w:fldCharType="end"/>
      </w:r>
      <w:r>
        <w:t xml:space="preserve"> will be augmented through targeted investment in funding for the Government’s Back to Work Plan</w:t>
      </w:r>
      <w:r>
        <w:fldChar w:fldCharType="begin"/>
      </w:r>
      <w:r>
        <w:instrText xml:space="preserve"> XE "Back to </w:instrText>
      </w:r>
      <w:proofErr w:type="spellStart"/>
      <w:r>
        <w:instrText>Work:</w:instrText>
      </w:r>
      <w:r w:rsidRPr="00287E24">
        <w:instrText>Plan</w:instrText>
      </w:r>
      <w:proofErr w:type="spellEnd"/>
      <w:r>
        <w:instrText xml:space="preserve">" </w:instrText>
      </w:r>
      <w:r>
        <w:fldChar w:fldCharType="end"/>
      </w:r>
      <w:r>
        <w:t>, the Premier’s Jobs and Investment Panel, the Future Industries Fund</w:t>
      </w:r>
      <w:r>
        <w:fldChar w:fldCharType="begin"/>
      </w:r>
      <w:r>
        <w:instrText xml:space="preserve"> XE "</w:instrText>
      </w:r>
      <w:r w:rsidRPr="001315DE">
        <w:instrText>Future Industries Fund</w:instrText>
      </w:r>
      <w:r>
        <w:instrText xml:space="preserve">" </w:instrText>
      </w:r>
      <w:r>
        <w:fldChar w:fldCharType="end"/>
      </w:r>
      <w:r>
        <w:t xml:space="preserve"> and the Regional Jobs Fund. These measures will help create 100 000 jobs. </w:t>
      </w:r>
    </w:p>
    <w:p w:rsidR="00116054" w:rsidRDefault="00116054" w:rsidP="00382C25">
      <w:r>
        <w:t>From 2011</w:t>
      </w:r>
      <w:r>
        <w:noBreakHyphen/>
        <w:t>12 to 2014</w:t>
      </w:r>
      <w:r>
        <w:noBreakHyphen/>
        <w:t xml:space="preserve">15, government expenditure on core services failed to keep pace with population growth. To ensure that all Victorians continue to enjoy high quality economic and social infrastructure, this budget restores funding to critical core services, including health and education. A key focus is supporting the most vulnerable, including funding to improve the responsiveness of the child protection system and address family violence issues. </w:t>
      </w:r>
    </w:p>
    <w:p w:rsidR="00116054" w:rsidRDefault="00116054" w:rsidP="00382C25">
      <w:r>
        <w:t xml:space="preserve">Undertaking the biggest ever investment in the State’s education system will lift the quality and condition of learning environments for all Victorians, and ensure that training provision is matched to the needs of the changing Victorian economy. </w:t>
      </w:r>
    </w:p>
    <w:p w:rsidR="00116054" w:rsidRDefault="00116054" w:rsidP="00382C25">
      <w:r>
        <w:t xml:space="preserve">The Government’s major projects agenda will sensibly invest in productive, appropriate and economically justifiable transport infrastructure that improves the linkages between Victorians and jobs across the State. The </w:t>
      </w:r>
      <w:r w:rsidRPr="00922358">
        <w:rPr>
          <w:i/>
        </w:rPr>
        <w:t>2015</w:t>
      </w:r>
      <w:r>
        <w:rPr>
          <w:i/>
        </w:rPr>
        <w:noBreakHyphen/>
      </w:r>
      <w:r w:rsidRPr="00922358">
        <w:rPr>
          <w:i/>
        </w:rPr>
        <w:t>16 Budget</w:t>
      </w:r>
      <w:r>
        <w:t xml:space="preserve"> commits up to $22 billion total estimated investment (TEI) in new asset initiatives, including $9–$11 billion for the Melbourne Metro Rail Project</w:t>
      </w:r>
      <w:r>
        <w:fldChar w:fldCharType="begin"/>
      </w:r>
      <w:r>
        <w:instrText xml:space="preserve"> XE "</w:instrText>
      </w:r>
      <w:r w:rsidRPr="002C66DD">
        <w:instrText>Melbourne Metro Rail Project</w:instrText>
      </w:r>
      <w:r>
        <w:instrText xml:space="preserve">" </w:instrText>
      </w:r>
      <w:r>
        <w:fldChar w:fldCharType="end"/>
      </w:r>
      <w:r>
        <w:t xml:space="preserve"> and $5–$6 billion to honour the Government’s election commitment to remove 50 level crossings. </w:t>
      </w:r>
    </w:p>
    <w:p w:rsidR="00116054" w:rsidRDefault="00116054" w:rsidP="00382C25">
      <w:r>
        <w:t>Underpinning the budget is disciplined financial management</w:t>
      </w:r>
      <w:r>
        <w:fldChar w:fldCharType="begin"/>
      </w:r>
      <w:r>
        <w:instrText xml:space="preserve"> XE "</w:instrText>
      </w:r>
      <w:r w:rsidRPr="00645B70">
        <w:instrText>Financial management</w:instrText>
      </w:r>
      <w:r>
        <w:instrText xml:space="preserve">" </w:instrText>
      </w:r>
      <w:r>
        <w:fldChar w:fldCharType="end"/>
      </w:r>
      <w:r>
        <w:t xml:space="preserve"> which supports the State’s triple</w:t>
      </w:r>
      <w:r>
        <w:noBreakHyphen/>
        <w:t>A credit rating</w:t>
      </w:r>
      <w:r>
        <w:fldChar w:fldCharType="begin"/>
      </w:r>
      <w:r>
        <w:instrText xml:space="preserve"> XE "</w:instrText>
      </w:r>
      <w:r w:rsidRPr="00DE7E32">
        <w:instrText>Triple</w:instrText>
      </w:r>
      <w:r w:rsidRPr="00DE7E32">
        <w:noBreakHyphen/>
        <w:instrText>A credit rating</w:instrText>
      </w:r>
      <w:r>
        <w:instrText xml:space="preserve">" </w:instrText>
      </w:r>
      <w:r>
        <w:fldChar w:fldCharType="end"/>
      </w:r>
      <w:r>
        <w:t>. The Government is forecasting a strong and responsible operating surplus</w:t>
      </w:r>
      <w:r>
        <w:fldChar w:fldCharType="begin"/>
      </w:r>
      <w:r>
        <w:instrText xml:space="preserve"> XE "</w:instrText>
      </w:r>
      <w:r w:rsidRPr="008B09D5">
        <w:instrText>Operating surplus</w:instrText>
      </w:r>
      <w:r>
        <w:instrText xml:space="preserve">" </w:instrText>
      </w:r>
      <w:r>
        <w:fldChar w:fldCharType="end"/>
      </w:r>
      <w:r>
        <w:t xml:space="preserve"> of $1.2 billion in 2015</w:t>
      </w:r>
      <w:r>
        <w:noBreakHyphen/>
        <w:t xml:space="preserve">16, with accumulated surpluses over the budget and forward estimates of $5.8 billion. By June 2019 net debt as a proportion of gross state product (GSP) is expected to be 4.4 per cent, lower than the June 2018 estimate of 4.5 per cent published in the </w:t>
      </w:r>
      <w:r w:rsidRPr="00F87545">
        <w:rPr>
          <w:i/>
        </w:rPr>
        <w:t>2014</w:t>
      </w:r>
      <w:r>
        <w:rPr>
          <w:i/>
        </w:rPr>
        <w:t> </w:t>
      </w:r>
      <w:r w:rsidRPr="00F87545">
        <w:rPr>
          <w:i/>
        </w:rPr>
        <w:t>P</w:t>
      </w:r>
      <w:r>
        <w:rPr>
          <w:i/>
        </w:rPr>
        <w:t>re</w:t>
      </w:r>
      <w:r>
        <w:rPr>
          <w:i/>
        </w:rPr>
        <w:noBreakHyphen/>
      </w:r>
      <w:r w:rsidRPr="00F87545">
        <w:rPr>
          <w:i/>
        </w:rPr>
        <w:t>E</w:t>
      </w:r>
      <w:r>
        <w:rPr>
          <w:i/>
        </w:rPr>
        <w:t xml:space="preserve">lection </w:t>
      </w:r>
      <w:r w:rsidRPr="00F87545">
        <w:rPr>
          <w:i/>
        </w:rPr>
        <w:t>B</w:t>
      </w:r>
      <w:r>
        <w:rPr>
          <w:i/>
        </w:rPr>
        <w:t xml:space="preserve">udget </w:t>
      </w:r>
      <w:r w:rsidRPr="00F87545">
        <w:rPr>
          <w:i/>
        </w:rPr>
        <w:t>U</w:t>
      </w:r>
      <w:r>
        <w:rPr>
          <w:i/>
        </w:rPr>
        <w:t>pdate</w:t>
      </w:r>
      <w:r>
        <w:t xml:space="preserve">. </w:t>
      </w:r>
    </w:p>
    <w:p w:rsidR="00116054" w:rsidRDefault="00116054" w:rsidP="00891421">
      <w:pPr>
        <w:pStyle w:val="Heading1"/>
      </w:pPr>
      <w:bookmarkStart w:id="6" w:name="_Toc418081680"/>
      <w:bookmarkStart w:id="7" w:name="_Toc418255130"/>
      <w:r>
        <w:lastRenderedPageBreak/>
        <w:t>People as the drivers of growth</w:t>
      </w:r>
      <w:bookmarkEnd w:id="6"/>
      <w:bookmarkEnd w:id="7"/>
    </w:p>
    <w:p w:rsidR="00116054" w:rsidRDefault="00116054" w:rsidP="00146D7F">
      <w:r>
        <w:t>A distinctive feature of the Victorian economy is its reliance on human capital. Compared with the national average, the Victorian economy is driven by industries with a high labour (or human capital) input. This includes a relatively high services share of GSP</w:t>
      </w:r>
      <w:r>
        <w:fldChar w:fldCharType="begin"/>
      </w:r>
      <w:r>
        <w:instrText xml:space="preserve"> XE "</w:instrText>
      </w:r>
      <w:r w:rsidRPr="002F3A22">
        <w:instrText>Gross state product</w:instrText>
      </w:r>
      <w:r>
        <w:instrText xml:space="preserve">" </w:instrText>
      </w:r>
      <w:r>
        <w:fldChar w:fldCharType="end"/>
      </w:r>
      <w:r>
        <w:t xml:space="preserve"> and a large weighting of knowledge</w:t>
      </w:r>
      <w:r>
        <w:noBreakHyphen/>
        <w:t>intensive industries like finance and professional services.</w:t>
      </w:r>
    </w:p>
    <w:p w:rsidR="00116054" w:rsidRDefault="00116054" w:rsidP="00E176F4">
      <w:pPr>
        <w:pStyle w:val="Tableheading"/>
      </w:pPr>
      <w:r>
        <w:t xml:space="preserve">Chart 1.1: </w:t>
      </w:r>
      <w:r>
        <w:tab/>
      </w:r>
      <w:r w:rsidRPr="00354A12">
        <w:t>Victorian employment share by industry</w:t>
      </w:r>
      <w:r>
        <w:t xml:space="preserve"> – February 2015</w:t>
      </w:r>
    </w:p>
    <w:p w:rsidR="00116054" w:rsidRDefault="00CC5D46" w:rsidP="00BC1102">
      <w:pPr>
        <w:pStyle w:val="Chartpar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32.65pt">
            <v:imagedata r:id="rId15" o:title=""/>
          </v:shape>
        </w:pict>
      </w:r>
    </w:p>
    <w:p w:rsidR="00116054" w:rsidRPr="002A1B71" w:rsidRDefault="00116054" w:rsidP="00C81FDD">
      <w:pPr>
        <w:rPr>
          <w:rFonts w:ascii="Calibri" w:hAnsi="Calibri"/>
          <w:i/>
          <w:sz w:val="15"/>
        </w:rPr>
      </w:pPr>
      <w:r w:rsidRPr="002A1B71">
        <w:rPr>
          <w:rFonts w:ascii="Calibri" w:hAnsi="Calibri"/>
          <w:i/>
          <w:sz w:val="15"/>
        </w:rPr>
        <w:t>Source: Department of Treasury and Finance</w:t>
      </w:r>
      <w:r>
        <w:rPr>
          <w:rFonts w:ascii="Calibri" w:hAnsi="Calibri"/>
          <w:i/>
          <w:sz w:val="15"/>
        </w:rPr>
        <w:t>; Australian Bureau of Statistics</w:t>
      </w:r>
      <w:r>
        <w:rPr>
          <w:rFonts w:ascii="Calibri" w:hAnsi="Calibri"/>
          <w:i/>
          <w:sz w:val="15"/>
        </w:rPr>
        <w:fldChar w:fldCharType="begin"/>
      </w:r>
      <w:r>
        <w:instrText xml:space="preserve"> XE "</w:instrText>
      </w:r>
      <w:proofErr w:type="spellStart"/>
      <w:r w:rsidRPr="00291B2A">
        <w:rPr>
          <w:lang w:val="en-US"/>
        </w:rPr>
        <w:instrText>Employment:Industry</w:instrText>
      </w:r>
      <w:proofErr w:type="spellEnd"/>
      <w:r>
        <w:instrText xml:space="preserve">" </w:instrText>
      </w:r>
      <w:r>
        <w:rPr>
          <w:rFonts w:ascii="Calibri" w:hAnsi="Calibri"/>
          <w:i/>
          <w:sz w:val="15"/>
        </w:rPr>
        <w:fldChar w:fldCharType="end"/>
      </w:r>
    </w:p>
    <w:p w:rsidR="00116054" w:rsidRDefault="00116054" w:rsidP="00C81FDD">
      <w:r>
        <w:t>Victoria’s future economic prosperity relies on policies which invest in people by strengthening skills</w:t>
      </w:r>
      <w:r>
        <w:fldChar w:fldCharType="begin"/>
      </w:r>
      <w:r>
        <w:instrText xml:space="preserve"> XE "</w:instrText>
      </w:r>
      <w:r w:rsidRPr="0048600E">
        <w:instrText>Skills</w:instrText>
      </w:r>
      <w:r>
        <w:instrText xml:space="preserve">" </w:instrText>
      </w:r>
      <w:r>
        <w:fldChar w:fldCharType="end"/>
      </w:r>
      <w:r>
        <w:t>, supporting population growth fostering innovation and efficiently connecting workers with jobs. This requires:</w:t>
      </w:r>
    </w:p>
    <w:p w:rsidR="00116054" w:rsidRDefault="00116054" w:rsidP="00C81FDD">
      <w:pPr>
        <w:pStyle w:val="BulletText"/>
      </w:pPr>
      <w:r>
        <w:t>investing in education: all Victorians need access to high quality education and training</w:t>
      </w:r>
      <w:r>
        <w:fldChar w:fldCharType="begin"/>
      </w:r>
      <w:r>
        <w:instrText xml:space="preserve"> XE "</w:instrText>
      </w:r>
      <w:r w:rsidRPr="002600A5">
        <w:instrText>Training</w:instrText>
      </w:r>
      <w:r>
        <w:instrText xml:space="preserve">" </w:instrText>
      </w:r>
      <w:r>
        <w:fldChar w:fldCharType="end"/>
      </w:r>
      <w:r>
        <w:t>, in an advanced learning environment, at all stages of their lives. Significant education investment ensures that Victorians maximise their participation in the workforce;</w:t>
      </w:r>
    </w:p>
    <w:p w:rsidR="00116054" w:rsidRDefault="00116054" w:rsidP="00C81FDD">
      <w:pPr>
        <w:pStyle w:val="BulletText"/>
      </w:pPr>
      <w:r>
        <w:t>investing in health: modern, well</w:t>
      </w:r>
      <w:r>
        <w:noBreakHyphen/>
        <w:t>funded health care</w:t>
      </w:r>
      <w:r>
        <w:fldChar w:fldCharType="begin"/>
      </w:r>
      <w:r>
        <w:instrText xml:space="preserve"> XE "</w:instrText>
      </w:r>
      <w:r w:rsidRPr="0009771A">
        <w:instrText>Health:</w:instrText>
      </w:r>
      <w:r w:rsidRPr="0009771A">
        <w:rPr>
          <w:lang w:val="en-US"/>
        </w:rPr>
        <w:instrText>Care</w:instrText>
      </w:r>
      <w:r>
        <w:instrText xml:space="preserve">" </w:instrText>
      </w:r>
      <w:r>
        <w:fldChar w:fldCharType="end"/>
      </w:r>
      <w:r>
        <w:t xml:space="preserve"> will ensure that all Victorians can access high quality patient care. This investment delivers better health outcomes and a more productive workforce; and</w:t>
      </w:r>
    </w:p>
    <w:p w:rsidR="00116054" w:rsidRDefault="00116054" w:rsidP="00F13C41">
      <w:pPr>
        <w:pStyle w:val="BulletText"/>
      </w:pPr>
      <w:r>
        <w:t>addressing Victoria’s growing population: improved public transport</w:t>
      </w:r>
      <w:r>
        <w:fldChar w:fldCharType="begin"/>
      </w:r>
      <w:r>
        <w:instrText xml:space="preserve"> XE "</w:instrText>
      </w:r>
      <w:r w:rsidRPr="00FC4400">
        <w:instrText>Public transport</w:instrText>
      </w:r>
      <w:r>
        <w:instrText xml:space="preserve">" </w:instrText>
      </w:r>
      <w:r>
        <w:fldChar w:fldCharType="end"/>
      </w:r>
      <w:r>
        <w:t xml:space="preserve"> and roads will drive productivity and ensure Victorians have efficient and reliable access to jobs markets.</w:t>
      </w:r>
      <w:r>
        <w:fldChar w:fldCharType="begin"/>
      </w:r>
      <w:r>
        <w:instrText xml:space="preserve"> XE "</w:instrText>
      </w:r>
      <w:r>
        <w:rPr>
          <w:lang w:val="en-US"/>
        </w:rPr>
        <w:instrText>Productivity</w:instrText>
      </w:r>
      <w:r>
        <w:instrText xml:space="preserve">" \r "BP2Productivity2" </w:instrText>
      </w:r>
      <w:r>
        <w:fldChar w:fldCharType="end"/>
      </w:r>
      <w:r>
        <w:fldChar w:fldCharType="begin"/>
      </w:r>
      <w:r>
        <w:instrText xml:space="preserve"> XE "</w:instrText>
      </w:r>
      <w:proofErr w:type="spellStart"/>
      <w:r w:rsidRPr="00821239">
        <w:rPr>
          <w:lang w:val="en-US"/>
        </w:rPr>
        <w:instrText>Population</w:instrText>
      </w:r>
      <w:r>
        <w:rPr>
          <w:lang w:val="en-US"/>
        </w:rPr>
        <w:instrText>:Growth</w:instrText>
      </w:r>
      <w:proofErr w:type="spellEnd"/>
      <w:r>
        <w:instrText>" \r "</w:instrText>
      </w:r>
      <w:r w:rsidRPr="00F13C41">
        <w:instrText>BP2Population1</w:instrText>
      </w:r>
      <w:r>
        <w:instrText xml:space="preserve">" </w:instrText>
      </w:r>
      <w:r>
        <w:fldChar w:fldCharType="end"/>
      </w:r>
      <w:r>
        <w:t xml:space="preserve"> </w:t>
      </w:r>
    </w:p>
    <w:bookmarkEnd w:id="3"/>
    <w:bookmarkEnd w:id="4"/>
    <w:p w:rsidR="00116054" w:rsidRDefault="00116054">
      <w:pPr>
        <w:spacing w:after="0"/>
      </w:pPr>
      <w:r>
        <w:br w:type="page"/>
      </w:r>
    </w:p>
    <w:p w:rsidR="00116054" w:rsidRDefault="00116054" w:rsidP="008617BF">
      <w:bookmarkStart w:id="8" w:name="BP2Ch1LabourMkt"/>
      <w:r>
        <w:lastRenderedPageBreak/>
        <w:t xml:space="preserve">Looking ahead, industries are evolving and require a workforce with greater skills and capabilities. </w:t>
      </w:r>
      <w:r w:rsidRPr="00C81FDD">
        <w:t>New investments in education and training are required. The Government</w:t>
      </w:r>
      <w:r>
        <w:t>’</w:t>
      </w:r>
      <w:r w:rsidRPr="00C81FDD">
        <w:t xml:space="preserve">s </w:t>
      </w:r>
      <w:r>
        <w:t>initiatives</w:t>
      </w:r>
      <w:r w:rsidRPr="00C81FDD">
        <w:t xml:space="preserve"> will provide the critical bridge between industry and job seekers. In addition, the Government can be a job creator, through its investment in services and a sustainable pipeline of infrastructure works.</w:t>
      </w:r>
    </w:p>
    <w:p w:rsidR="00116054" w:rsidRDefault="00116054" w:rsidP="008617BF">
      <w:bookmarkStart w:id="9" w:name="BP2YouthUnemploy1"/>
      <w:r w:rsidRPr="00636E14">
        <w:t>Young people are at the cutting edge of these developments. They have been disproportionately affected by the recent labour market downturn, and have also moved in i</w:t>
      </w:r>
      <w:r>
        <w:t>ncreased numbers into full</w:t>
      </w:r>
      <w:r>
        <w:noBreakHyphen/>
      </w:r>
      <w:r w:rsidRPr="00636E14">
        <w:t>time study</w:t>
      </w:r>
      <w:r>
        <w:t xml:space="preserve"> (Chart 1.2)</w:t>
      </w:r>
      <w:r w:rsidRPr="00636E14">
        <w:t>.</w:t>
      </w:r>
      <w:r w:rsidRPr="00A30C03">
        <w:t xml:space="preserve"> Victoria</w:t>
      </w:r>
      <w:r>
        <w:t>’</w:t>
      </w:r>
      <w:r w:rsidRPr="00A30C03">
        <w:t xml:space="preserve">s youth unemployment rate rose </w:t>
      </w:r>
      <w:r>
        <w:t>f</w:t>
      </w:r>
      <w:r w:rsidRPr="00A30C03">
        <w:t>rom 12.3</w:t>
      </w:r>
      <w:r>
        <w:t> per cent</w:t>
      </w:r>
      <w:r w:rsidRPr="00A30C03">
        <w:t xml:space="preserve"> in early 2014 to 15.0</w:t>
      </w:r>
      <w:r>
        <w:t> per cent</w:t>
      </w:r>
      <w:r w:rsidRPr="00A30C03">
        <w:t xml:space="preserve"> in early 2015, well above the national average of 13.5</w:t>
      </w:r>
      <w:r>
        <w:t> per cent</w:t>
      </w:r>
      <w:r w:rsidRPr="00A30C03">
        <w:t>.</w:t>
      </w:r>
      <w:r>
        <w:t xml:space="preserve"> T</w:t>
      </w:r>
      <w:r w:rsidRPr="00636E14">
        <w:t xml:space="preserve">he rise in the number of unemployed youth over the past </w:t>
      </w:r>
      <w:r>
        <w:t>year has been driven by the sub</w:t>
      </w:r>
      <w:r>
        <w:noBreakHyphen/>
        <w:t>cohort who are in full</w:t>
      </w:r>
      <w:r>
        <w:noBreakHyphen/>
      </w:r>
      <w:r w:rsidRPr="00636E14">
        <w:t>time education, reflecting the likelihood th</w:t>
      </w:r>
      <w:r>
        <w:t>at some of the increase in full</w:t>
      </w:r>
      <w:r>
        <w:noBreakHyphen/>
      </w:r>
      <w:r w:rsidRPr="00636E14">
        <w:t>time study has been driven by a lack of employment opportunities.</w:t>
      </w:r>
    </w:p>
    <w:p w:rsidR="00116054" w:rsidRDefault="00116054" w:rsidP="00636E14">
      <w:pPr>
        <w:pStyle w:val="Tableheading"/>
      </w:pPr>
      <w:r>
        <w:t xml:space="preserve">Chart 1.2: </w:t>
      </w:r>
      <w:r>
        <w:tab/>
        <w:t>Victorian youth engagement in full time education and employment</w:t>
      </w:r>
    </w:p>
    <w:p w:rsidR="00116054" w:rsidRDefault="00CC5D46" w:rsidP="00356832">
      <w:pPr>
        <w:rPr>
          <w:rFonts w:ascii="Calibri" w:hAnsi="Calibri"/>
          <w:i/>
          <w:sz w:val="15"/>
        </w:rPr>
      </w:pPr>
      <w:r>
        <w:rPr>
          <w:rFonts w:ascii="Calibri" w:hAnsi="Calibri"/>
          <w:i/>
          <w:sz w:val="15"/>
        </w:rPr>
        <w:pict>
          <v:shape id="_x0000_i1026" type="#_x0000_t75" style="width:382.55pt;height:263.8pt">
            <v:imagedata r:id="rId16" o:title=""/>
          </v:shape>
        </w:pict>
      </w:r>
    </w:p>
    <w:p w:rsidR="00116054" w:rsidRDefault="00116054" w:rsidP="00356832">
      <w:pPr>
        <w:rPr>
          <w:rFonts w:ascii="Calibri" w:hAnsi="Calibri"/>
          <w:i/>
          <w:sz w:val="15"/>
        </w:rPr>
      </w:pPr>
      <w:r w:rsidRPr="002A1B71">
        <w:rPr>
          <w:rFonts w:ascii="Calibri" w:hAnsi="Calibri"/>
          <w:i/>
          <w:sz w:val="15"/>
        </w:rPr>
        <w:t>Source: Department of Treasury and Finance</w:t>
      </w:r>
      <w:r>
        <w:rPr>
          <w:rFonts w:ascii="Calibri" w:hAnsi="Calibri"/>
          <w:i/>
          <w:sz w:val="15"/>
        </w:rPr>
        <w:t>; Australian Bureau of Statistics</w:t>
      </w:r>
    </w:p>
    <w:p w:rsidR="00116054" w:rsidRDefault="00116054" w:rsidP="00CD3832">
      <w:pPr>
        <w:pStyle w:val="Notes"/>
      </w:pPr>
      <w:r>
        <w:t>Note: 12 month moving average</w:t>
      </w:r>
    </w:p>
    <w:p w:rsidR="00116054" w:rsidRPr="002A1B71" w:rsidRDefault="00116054" w:rsidP="00CD3832">
      <w:pPr>
        <w:pStyle w:val="Notes"/>
        <w:rPr>
          <w:i w:val="0"/>
        </w:rPr>
      </w:pPr>
    </w:p>
    <w:p w:rsidR="00116054" w:rsidRDefault="00116054" w:rsidP="00636E14">
      <w:r w:rsidRPr="00356832">
        <w:t>The budget is focused on people. Victoria</w:t>
      </w:r>
      <w:r>
        <w:t>’</w:t>
      </w:r>
      <w:r w:rsidRPr="00356832">
        <w:t>s diversity of industry is its strength, and the Government is committed to ensuring that these remain the pillars on which our State grows.</w:t>
      </w:r>
    </w:p>
    <w:p w:rsidR="00116054" w:rsidRPr="00BF7AFF" w:rsidRDefault="00116054" w:rsidP="008617BF">
      <w:pPr>
        <w:pStyle w:val="Heading1"/>
      </w:pPr>
      <w:bookmarkStart w:id="10" w:name="_Toc418081681"/>
      <w:bookmarkStart w:id="11" w:name="_Toc418255131"/>
      <w:r>
        <w:lastRenderedPageBreak/>
        <w:t>Putting people and families first</w:t>
      </w:r>
      <w:bookmarkEnd w:id="10"/>
      <w:bookmarkEnd w:id="11"/>
    </w:p>
    <w:p w:rsidR="00116054" w:rsidRPr="005825A9" w:rsidRDefault="00116054" w:rsidP="008617BF">
      <w:pPr>
        <w:pStyle w:val="Heading2"/>
      </w:pPr>
      <w:r>
        <w:t>Growing j</w:t>
      </w:r>
      <w:r w:rsidRPr="005825A9">
        <w:t xml:space="preserve">obs and </w:t>
      </w:r>
      <w:r>
        <w:t>the economy</w:t>
      </w:r>
    </w:p>
    <w:p w:rsidR="00116054" w:rsidRDefault="00116054" w:rsidP="008617BF">
      <w:r w:rsidRPr="00636E14">
        <w:t xml:space="preserve">In meeting future challenges, Victoria </w:t>
      </w:r>
      <w:r>
        <w:t xml:space="preserve">starts from a position of competitive </w:t>
      </w:r>
      <w:r w:rsidRPr="00636E14">
        <w:t>strength: a skilled workforce, diverse industry base, liveable cities and regions</w:t>
      </w:r>
      <w:r>
        <w:t>,</w:t>
      </w:r>
      <w:r w:rsidRPr="00636E14">
        <w:t xml:space="preserve"> and strong transport links. The </w:t>
      </w:r>
      <w:r w:rsidRPr="00636E14">
        <w:rPr>
          <w:i/>
        </w:rPr>
        <w:t>2015</w:t>
      </w:r>
      <w:r>
        <w:rPr>
          <w:i/>
        </w:rPr>
        <w:noBreakHyphen/>
      </w:r>
      <w:r w:rsidRPr="00636E14">
        <w:rPr>
          <w:i/>
        </w:rPr>
        <w:t>16 Budget</w:t>
      </w:r>
      <w:r w:rsidRPr="00636E14">
        <w:t xml:space="preserve"> </w:t>
      </w:r>
      <w:r>
        <w:t xml:space="preserve">builds on these strengths by making responsible investments that prepare this generation to compete in the global economy. </w:t>
      </w:r>
    </w:p>
    <w:p w:rsidR="00116054" w:rsidRDefault="00116054" w:rsidP="008617BF">
      <w:r>
        <w:t>Through the Back to Work Plan</w:t>
      </w:r>
      <w:r>
        <w:fldChar w:fldCharType="begin"/>
      </w:r>
      <w:r>
        <w:instrText xml:space="preserve"> XE "Back to </w:instrText>
      </w:r>
      <w:proofErr w:type="spellStart"/>
      <w:r>
        <w:instrText>Work:</w:instrText>
      </w:r>
      <w:r w:rsidRPr="00287E24">
        <w:instrText>Plan</w:instrText>
      </w:r>
      <w:proofErr w:type="spellEnd"/>
      <w:r>
        <w:instrText xml:space="preserve">" </w:instrText>
      </w:r>
      <w:r>
        <w:fldChar w:fldCharType="end"/>
      </w:r>
      <w:r>
        <w:t>, $100 million will be made available to provide financial assistance to businesses hiring people at risk of being excluded from the labour market, including unemployed youth, the long</w:t>
      </w:r>
      <w:r>
        <w:noBreakHyphen/>
        <w:t>term unemployed and retrenched workers. The Premier’s Jobs and Investment Panel will see the Government work with economic and industry leaders to invest $508 million over five years to drive growth and jobs in Victoria. This includes funding to establish the ‘start</w:t>
      </w:r>
      <w:r>
        <w:noBreakHyphen/>
        <w:t>up’ initiative</w:t>
      </w:r>
      <w:r>
        <w:fldChar w:fldCharType="begin"/>
      </w:r>
      <w:r>
        <w:instrText xml:space="preserve"> XE "S</w:instrText>
      </w:r>
      <w:r w:rsidRPr="00BD19E1">
        <w:instrText>tart</w:instrText>
      </w:r>
      <w:r>
        <w:noBreakHyphen/>
        <w:instrText>u</w:instrText>
      </w:r>
      <w:r w:rsidRPr="00BD19E1">
        <w:instrText xml:space="preserve">p </w:instrText>
      </w:r>
      <w:r>
        <w:instrText xml:space="preserve">initiative" </w:instrText>
      </w:r>
      <w:r>
        <w:fldChar w:fldCharType="end"/>
      </w:r>
      <w:r>
        <w:t>, a $60 million body to bring our most promising and innovative ideas to life through business case development, investment attraction and intellectual property advice.</w:t>
      </w:r>
      <w:r>
        <w:fldChar w:fldCharType="begin"/>
      </w:r>
      <w:r>
        <w:instrText xml:space="preserve"> XE "</w:instrText>
      </w:r>
      <w:proofErr w:type="spellStart"/>
      <w:r w:rsidRPr="00362925">
        <w:instrText>Unemployment:Youth</w:instrText>
      </w:r>
      <w:proofErr w:type="spellEnd"/>
      <w:r>
        <w:instrText xml:space="preserve">" \r "BP2YouthUnemploy1" </w:instrText>
      </w:r>
      <w:r>
        <w:fldChar w:fldCharType="end"/>
      </w:r>
      <w:r>
        <w:t xml:space="preserve"> </w:t>
      </w:r>
    </w:p>
    <w:bookmarkEnd w:id="9"/>
    <w:p w:rsidR="00116054" w:rsidRDefault="00116054" w:rsidP="008617BF">
      <w:r>
        <w:t xml:space="preserve">The $200 million Regional Jobs Fund will focus on creating jobs and industries that are vital to the continued economic prosperity of rural Victoria. The focus will be on partnering with local government and business to make the most of regional Victoria’s strengths and attractions. </w:t>
      </w:r>
    </w:p>
    <w:p w:rsidR="00116054" w:rsidRDefault="00116054" w:rsidP="008617BF">
      <w:r>
        <w:t>The budget actively supports Victoria’s competitive advantages through initiatives that leverage our world</w:t>
      </w:r>
      <w:r>
        <w:noBreakHyphen/>
        <w:t>class education and research institutions, and develop our strategic growth sectors. By investing in these sectors, workers will be given avenues to transition to jobs that allow them to leverage their existing capabilities and develop new skills</w:t>
      </w:r>
      <w:r>
        <w:fldChar w:fldCharType="begin"/>
      </w:r>
      <w:r>
        <w:instrText xml:space="preserve"> XE "</w:instrText>
      </w:r>
      <w:r w:rsidRPr="0048600E">
        <w:instrText>Skills</w:instrText>
      </w:r>
      <w:r>
        <w:instrText xml:space="preserve">" </w:instrText>
      </w:r>
      <w:r>
        <w:fldChar w:fldCharType="end"/>
      </w:r>
      <w:r>
        <w:t>. Six sectors have been identified as having strong growth and jobs prospects. These are:</w:t>
      </w:r>
    </w:p>
    <w:p w:rsidR="00116054" w:rsidRDefault="00116054" w:rsidP="00D23A68">
      <w:pPr>
        <w:pStyle w:val="BulletText"/>
      </w:pPr>
      <w:r>
        <w:t xml:space="preserve">medical technology and pharmaceuticals; </w:t>
      </w:r>
    </w:p>
    <w:p w:rsidR="00116054" w:rsidRDefault="00116054" w:rsidP="00D23A68">
      <w:pPr>
        <w:pStyle w:val="BulletText"/>
      </w:pPr>
      <w:r>
        <w:t xml:space="preserve">new energy technology; </w:t>
      </w:r>
    </w:p>
    <w:p w:rsidR="00116054" w:rsidRDefault="00116054" w:rsidP="00D23A68">
      <w:pPr>
        <w:pStyle w:val="BulletText"/>
      </w:pPr>
      <w:r>
        <w:t xml:space="preserve">food and fibre; </w:t>
      </w:r>
    </w:p>
    <w:p w:rsidR="00116054" w:rsidRDefault="00116054" w:rsidP="00D23A68">
      <w:pPr>
        <w:pStyle w:val="BulletText"/>
      </w:pPr>
      <w:r>
        <w:t xml:space="preserve">transport, defence and construction technology; </w:t>
      </w:r>
    </w:p>
    <w:p w:rsidR="00116054" w:rsidRDefault="00116054" w:rsidP="00D23A68">
      <w:pPr>
        <w:pStyle w:val="BulletText"/>
      </w:pPr>
      <w:r>
        <w:t xml:space="preserve">international education; and </w:t>
      </w:r>
    </w:p>
    <w:p w:rsidR="00116054" w:rsidRDefault="00116054" w:rsidP="00D23A68">
      <w:pPr>
        <w:pStyle w:val="BulletText"/>
      </w:pPr>
      <w:r>
        <w:t xml:space="preserve">professional services. </w:t>
      </w:r>
    </w:p>
    <w:p w:rsidR="00116054" w:rsidRDefault="00116054" w:rsidP="008617BF">
      <w:r>
        <w:t>The growth of these sectors is being actively encouraged to position Victoria as a high</w:t>
      </w:r>
      <w:r>
        <w:noBreakHyphen/>
        <w:t>skill, high</w:t>
      </w:r>
      <w:r>
        <w:noBreakHyphen/>
        <w:t>wage economy, commencing with the establishment of the $200 million Future Industries Fund</w:t>
      </w:r>
      <w:r>
        <w:fldChar w:fldCharType="begin"/>
      </w:r>
      <w:r>
        <w:instrText xml:space="preserve"> XE "</w:instrText>
      </w:r>
      <w:r w:rsidRPr="001315DE">
        <w:instrText>Future Industries Fund</w:instrText>
      </w:r>
      <w:r>
        <w:instrText xml:space="preserve">" </w:instrText>
      </w:r>
      <w:r>
        <w:fldChar w:fldCharType="end"/>
      </w:r>
      <w:r>
        <w:t xml:space="preserve">. </w:t>
      </w:r>
    </w:p>
    <w:p w:rsidR="00116054" w:rsidRDefault="00116054">
      <w:pPr>
        <w:spacing w:after="0"/>
        <w:rPr>
          <w:rFonts w:ascii="Calibri" w:hAnsi="Calibri"/>
          <w:b/>
          <w:i/>
          <w:kern w:val="28"/>
          <w:sz w:val="24"/>
          <w:szCs w:val="22"/>
        </w:rPr>
      </w:pPr>
      <w:bookmarkStart w:id="12" w:name="BP2Ch1SmallBus"/>
      <w:r>
        <w:br w:type="page"/>
      </w:r>
    </w:p>
    <w:p w:rsidR="00116054" w:rsidRDefault="00116054" w:rsidP="00C5517E">
      <w:pPr>
        <w:pStyle w:val="Heading3"/>
      </w:pPr>
      <w:r w:rsidRPr="00716BFB">
        <w:lastRenderedPageBreak/>
        <w:t>Supporting small businesses</w:t>
      </w:r>
    </w:p>
    <w:p w:rsidR="00116054" w:rsidRDefault="00116054" w:rsidP="00324DB2">
      <w:r>
        <w:t>Victoria’s small businesses are a vital part of our economy. Over 500 000 small businesses provide employment for Victorians, often in high</w:t>
      </w:r>
      <w:r>
        <w:noBreakHyphen/>
        <w:t>skilled, high</w:t>
      </w:r>
      <w:r>
        <w:noBreakHyphen/>
        <w:t xml:space="preserve">wage jobs. The Government is delivering a package of measures that will reduce the costs of running a small business, make it easier for small businesses to compete and provide greater access to the public sector market. </w:t>
      </w:r>
    </w:p>
    <w:p w:rsidR="00116054" w:rsidRDefault="00116054" w:rsidP="00324DB2">
      <w:r>
        <w:t xml:space="preserve">The costs of complying with regulatory requirements will also be reduced. The Government will undertake a comprehensive review of legislation and regulation that impacts on small business. Regulation will be removed or redesigned if it has an unjustified or excessive impact on small businesses. Regulators will be subject to performance improvement targets to reduce the burden they impose on small businesses in the administration and enforcement of regulation. </w:t>
      </w:r>
    </w:p>
    <w:p w:rsidR="00116054" w:rsidRDefault="00116054" w:rsidP="00324DB2">
      <w:r>
        <w:t>To ease the burden on small businesses, regulators will also be required to work together to develop simpler, more user</w:t>
      </w:r>
      <w:r>
        <w:noBreakHyphen/>
        <w:t xml:space="preserve">friendly compliance plans to reduce the time small businesses spend in complying with regulation. </w:t>
      </w:r>
    </w:p>
    <w:p w:rsidR="00116054" w:rsidRDefault="00116054" w:rsidP="00324DB2">
      <w:r>
        <w:t xml:space="preserve">Small businesses in border towns in particular will benefit from Automatic Mutual Recognition, which will eliminate the need to be licensed in multiple states to do the same work in different locations. </w:t>
      </w:r>
    </w:p>
    <w:p w:rsidR="00116054" w:rsidRDefault="00116054" w:rsidP="006E406B">
      <w:r>
        <w:t>The Government will exempt all vehicles classified as mobile plant (under 4.5 tonnes) and plant</w:t>
      </w:r>
      <w:r>
        <w:noBreakHyphen/>
        <w:t>based special purpose vehicles (over 4.5 tonnes) from motor vehicle stamp duty from 1 July 2015. These vehicles include body types such as backhoes, excavators, bulldozers, headers, scrapers, tractors and off</w:t>
      </w:r>
      <w:r>
        <w:noBreakHyphen/>
        <w:t xml:space="preserve">road water sprayers. </w:t>
      </w:r>
    </w:p>
    <w:p w:rsidR="00116054" w:rsidRDefault="00116054" w:rsidP="00324DB2">
      <w:r>
        <w:t>The Government will work with the Commonwealth and other states and territories to address anti</w:t>
      </w:r>
      <w:r>
        <w:noBreakHyphen/>
        <w:t>competitive behaviour and competitive neutrality issues identified in the Harper Review of Competition Policy, and their impact on small business.</w:t>
      </w:r>
    </w:p>
    <w:p w:rsidR="00116054" w:rsidRDefault="00116054" w:rsidP="00324DB2">
      <w:r>
        <w:t xml:space="preserve">Public sector procurement will operate to create more opportunities for small businesses to provide goods and services to government departments and agencies. Smaller contracts that can be delivered by small firms will be offered where appropriate, along with a commitment to pay within 30 days for contracts below $3 million. </w:t>
      </w:r>
    </w:p>
    <w:p w:rsidR="00116054" w:rsidRDefault="00116054" w:rsidP="00324DB2">
      <w:r>
        <w:t>Chapter 2</w:t>
      </w:r>
      <w:r w:rsidRPr="005825A9">
        <w:t xml:space="preserve"> </w:t>
      </w:r>
      <w:r w:rsidRPr="006D7647">
        <w:rPr>
          <w:i/>
        </w:rPr>
        <w:t>Economic context</w:t>
      </w:r>
      <w:r w:rsidRPr="005825A9">
        <w:t xml:space="preserve"> provides </w:t>
      </w:r>
      <w:r w:rsidRPr="006D7647">
        <w:t xml:space="preserve">further information on </w:t>
      </w:r>
      <w:r>
        <w:t xml:space="preserve">economic conditions and the outlook for the Victorian, Australian and international </w:t>
      </w:r>
      <w:r w:rsidRPr="006D7647">
        <w:t>econom</w:t>
      </w:r>
      <w:r>
        <w:t>y.</w:t>
      </w:r>
      <w:r w:rsidRPr="006D7647">
        <w:t xml:space="preserve"> </w:t>
      </w:r>
    </w:p>
    <w:p w:rsidR="00116054" w:rsidRPr="00351185" w:rsidRDefault="00116054" w:rsidP="00716BFB">
      <w:r>
        <w:t xml:space="preserve">Chapter 3 </w:t>
      </w:r>
      <w:r w:rsidRPr="00200927">
        <w:rPr>
          <w:i/>
        </w:rPr>
        <w:t>T</w:t>
      </w:r>
      <w:r>
        <w:rPr>
          <w:i/>
        </w:rPr>
        <w:t xml:space="preserve">he jobs challenge </w:t>
      </w:r>
      <w:r>
        <w:t>provides more information on Victorian labour market trends, and their economic and social implications.</w:t>
      </w:r>
      <w:r>
        <w:fldChar w:fldCharType="begin"/>
      </w:r>
      <w:r>
        <w:instrText xml:space="preserve"> XE "</w:instrText>
      </w:r>
      <w:r w:rsidRPr="00C50032">
        <w:rPr>
          <w:lang w:val="en-US"/>
        </w:rPr>
        <w:instrText>Jobs</w:instrText>
      </w:r>
      <w:r>
        <w:instrText xml:space="preserve">" \r "BP2Ch1Jobs" </w:instrText>
      </w:r>
      <w:r>
        <w:fldChar w:fldCharType="end"/>
      </w:r>
      <w:r>
        <w:fldChar w:fldCharType="begin"/>
      </w:r>
      <w:r>
        <w:instrText xml:space="preserve"> XE "</w:instrText>
      </w:r>
      <w:r w:rsidRPr="00226999">
        <w:instrText>Small businesses</w:instrText>
      </w:r>
      <w:r>
        <w:instrText xml:space="preserve">" \r "BP2Ch1SmallBus" </w:instrText>
      </w:r>
      <w:r>
        <w:fldChar w:fldCharType="end"/>
      </w:r>
      <w:r>
        <w:fldChar w:fldCharType="begin"/>
      </w:r>
      <w:r>
        <w:instrText xml:space="preserve"> XE "</w:instrText>
      </w:r>
      <w:proofErr w:type="spellStart"/>
      <w:r w:rsidRPr="00DE56CE">
        <w:rPr>
          <w:lang w:val="en-US"/>
        </w:rPr>
        <w:instrText>Labour</w:instrText>
      </w:r>
      <w:proofErr w:type="spellEnd"/>
      <w:r w:rsidRPr="00DE56CE">
        <w:rPr>
          <w:lang w:val="en-US"/>
        </w:rPr>
        <w:instrText xml:space="preserve"> market</w:instrText>
      </w:r>
      <w:r>
        <w:instrText xml:space="preserve">" \r "BP2Ch1LabourMkt" </w:instrText>
      </w:r>
      <w:r>
        <w:fldChar w:fldCharType="end"/>
      </w:r>
      <w:r>
        <w:t xml:space="preserve"> </w:t>
      </w:r>
    </w:p>
    <w:p w:rsidR="00116054" w:rsidRDefault="00116054">
      <w:pPr>
        <w:spacing w:after="0"/>
        <w:rPr>
          <w:rFonts w:ascii="Calibri" w:hAnsi="Calibri"/>
          <w:b/>
          <w:kern w:val="28"/>
          <w:sz w:val="26"/>
          <w:szCs w:val="22"/>
        </w:rPr>
      </w:pPr>
      <w:bookmarkStart w:id="13" w:name="BP2Ch2EducationState"/>
      <w:bookmarkEnd w:id="5"/>
      <w:bookmarkEnd w:id="8"/>
      <w:bookmarkEnd w:id="12"/>
      <w:r>
        <w:br w:type="page"/>
      </w:r>
    </w:p>
    <w:p w:rsidR="00116054" w:rsidRDefault="00116054" w:rsidP="00335087">
      <w:pPr>
        <w:pStyle w:val="Heading2"/>
      </w:pPr>
      <w:bookmarkStart w:id="14" w:name="BP2Ch2Training"/>
      <w:r>
        <w:lastRenderedPageBreak/>
        <w:t xml:space="preserve">Creating the </w:t>
      </w:r>
      <w:r w:rsidRPr="00384C9A">
        <w:t>Education State</w:t>
      </w:r>
    </w:p>
    <w:p w:rsidR="00116054" w:rsidRDefault="00116054" w:rsidP="008617BF">
      <w:r>
        <w:t>Victoria’s economy is changing, with more employment on offer in industries that require greater skills and qualification levels. The biggest investment in the education sector in the State’s history targets resources to create a world</w:t>
      </w:r>
      <w:r>
        <w:noBreakHyphen/>
        <w:t xml:space="preserve">leading education and training system. This will support Victorians embracing the opportunities that the future economy offers. </w:t>
      </w:r>
    </w:p>
    <w:p w:rsidR="00116054" w:rsidRDefault="00116054" w:rsidP="00EE15E4">
      <w:pPr>
        <w:pStyle w:val="Heading3"/>
      </w:pPr>
      <w:r>
        <w:t>Investing in early childhood development</w:t>
      </w:r>
    </w:p>
    <w:p w:rsidR="00116054" w:rsidRDefault="00116054" w:rsidP="0077746E">
      <w:r>
        <w:fldChar w:fldCharType="begin"/>
      </w:r>
      <w:r>
        <w:instrText xml:space="preserve"> XE "</w:instrText>
      </w:r>
      <w:r w:rsidRPr="008228BE">
        <w:rPr>
          <w:lang w:val="en-US"/>
        </w:rPr>
        <w:instrText xml:space="preserve">Education </w:instrText>
      </w:r>
      <w:proofErr w:type="spellStart"/>
      <w:r w:rsidRPr="008228BE">
        <w:rPr>
          <w:lang w:val="en-US"/>
        </w:rPr>
        <w:instrText>State:Early</w:instrText>
      </w:r>
      <w:proofErr w:type="spellEnd"/>
      <w:r w:rsidRPr="008228BE">
        <w:rPr>
          <w:lang w:val="en-US"/>
        </w:rPr>
        <w:instrText xml:space="preserve"> childhood</w:instrText>
      </w:r>
      <w:r>
        <w:instrText xml:space="preserve">" </w:instrText>
      </w:r>
      <w:r>
        <w:fldChar w:fldCharType="end"/>
      </w:r>
      <w:r>
        <w:t xml:space="preserve">High quality and accessible children’s services ensure that Victorian parents can be confident that their children are getting the best possible start in life. Recognising the importance of early childhood education, the </w:t>
      </w:r>
      <w:r w:rsidRPr="0077746E">
        <w:rPr>
          <w:i/>
        </w:rPr>
        <w:t>2015</w:t>
      </w:r>
      <w:r>
        <w:rPr>
          <w:i/>
        </w:rPr>
        <w:noBreakHyphen/>
      </w:r>
      <w:r w:rsidRPr="0077746E">
        <w:rPr>
          <w:i/>
        </w:rPr>
        <w:t>16</w:t>
      </w:r>
      <w:r>
        <w:rPr>
          <w:i/>
        </w:rPr>
        <w:t> </w:t>
      </w:r>
      <w:r w:rsidRPr="0077746E">
        <w:rPr>
          <w:i/>
        </w:rPr>
        <w:t>Budget</w:t>
      </w:r>
      <w:r>
        <w:t xml:space="preserve"> provides $50 million over four years for local councils to construct new, and upgrade existing, early learning facilities and expand other early childhood services across Victorian regional and metropolitan areas. </w:t>
      </w:r>
    </w:p>
    <w:p w:rsidR="00116054" w:rsidRDefault="00116054" w:rsidP="0077746E">
      <w:r>
        <w:t xml:space="preserve">The Government is also providing $9 million over four years for early childhood intervention services and flexible support packages to assist children with a disability or developmental delay, and their families. </w:t>
      </w:r>
    </w:p>
    <w:p w:rsidR="00116054" w:rsidRDefault="00116054" w:rsidP="00EE15E4">
      <w:pPr>
        <w:pStyle w:val="Heading3"/>
      </w:pPr>
      <w:bookmarkStart w:id="15" w:name="BP2Ch2EducationStateSchools"/>
      <w:bookmarkStart w:id="16" w:name="BP2Ch2Schools"/>
      <w:r>
        <w:t>Investing in our schools</w:t>
      </w:r>
    </w:p>
    <w:p w:rsidR="00116054" w:rsidRDefault="00116054" w:rsidP="008617BF">
      <w:r w:rsidRPr="001D2173">
        <w:t>Th</w:t>
      </w:r>
      <w:r>
        <w:t xml:space="preserve">e </w:t>
      </w:r>
      <w:r w:rsidRPr="001D2173">
        <w:rPr>
          <w:i/>
        </w:rPr>
        <w:t>2015</w:t>
      </w:r>
      <w:r>
        <w:rPr>
          <w:i/>
        </w:rPr>
        <w:noBreakHyphen/>
      </w:r>
      <w:r w:rsidRPr="001D2173">
        <w:rPr>
          <w:i/>
        </w:rPr>
        <w:t>16</w:t>
      </w:r>
      <w:r>
        <w:rPr>
          <w:i/>
        </w:rPr>
        <w:t> </w:t>
      </w:r>
      <w:r w:rsidRPr="001D2173">
        <w:rPr>
          <w:i/>
        </w:rPr>
        <w:t>Budget</w:t>
      </w:r>
      <w:r w:rsidRPr="001D2173">
        <w:t xml:space="preserve"> implements the Government</w:t>
      </w:r>
      <w:r>
        <w:t>’</w:t>
      </w:r>
      <w:r w:rsidRPr="001D2173">
        <w:t xml:space="preserve">s </w:t>
      </w:r>
      <w:r w:rsidRPr="0038777D">
        <w:t>Back to School</w:t>
      </w:r>
      <w:r>
        <w:fldChar w:fldCharType="begin"/>
      </w:r>
      <w:r>
        <w:instrText xml:space="preserve"> XE "</w:instrText>
      </w:r>
      <w:r w:rsidRPr="00DD3969">
        <w:instrText>Back to School</w:instrText>
      </w:r>
      <w:r>
        <w:instrText xml:space="preserve">" </w:instrText>
      </w:r>
      <w:r>
        <w:fldChar w:fldCharType="end"/>
      </w:r>
      <w:r w:rsidRPr="001D2173">
        <w:t xml:space="preserve"> commitments</w:t>
      </w:r>
      <w:r>
        <w:t>.</w:t>
      </w:r>
    </w:p>
    <w:p w:rsidR="00116054" w:rsidRDefault="00116054" w:rsidP="008617BF">
      <w:r>
        <w:t xml:space="preserve">School funding for 2016 and 2017 fully reflects Victoria’s obligations under the </w:t>
      </w:r>
      <w:proofErr w:type="spellStart"/>
      <w:r>
        <w:t>Gonski</w:t>
      </w:r>
      <w:proofErr w:type="spellEnd"/>
      <w:r>
        <w:t xml:space="preserve"> agreement. The Government’s</w:t>
      </w:r>
      <w:r w:rsidRPr="001D2173">
        <w:t xml:space="preserve"> </w:t>
      </w:r>
      <w:r>
        <w:t xml:space="preserve">education </w:t>
      </w:r>
      <w:r w:rsidRPr="001D2173">
        <w:t>strategy will be driven by</w:t>
      </w:r>
      <w:r>
        <w:t xml:space="preserve"> the</w:t>
      </w:r>
      <w:r w:rsidRPr="001D2173">
        <w:t xml:space="preserve"> key principles of the </w:t>
      </w:r>
      <w:proofErr w:type="spellStart"/>
      <w:r w:rsidRPr="001D2173">
        <w:t>Gonski</w:t>
      </w:r>
      <w:proofErr w:type="spellEnd"/>
      <w:r w:rsidRPr="001D2173">
        <w:t xml:space="preserve"> Review</w:t>
      </w:r>
      <w:r>
        <w:fldChar w:fldCharType="begin"/>
      </w:r>
      <w:r>
        <w:instrText xml:space="preserve"> XE "</w:instrText>
      </w:r>
      <w:proofErr w:type="spellStart"/>
      <w:r w:rsidRPr="00680E24">
        <w:instrText>Gonski</w:instrText>
      </w:r>
      <w:proofErr w:type="spellEnd"/>
      <w:r w:rsidRPr="00680E24">
        <w:instrText xml:space="preserve"> Review</w:instrText>
      </w:r>
      <w:r>
        <w:instrText xml:space="preserve">" </w:instrText>
      </w:r>
      <w:r>
        <w:fldChar w:fldCharType="end"/>
      </w:r>
      <w:r w:rsidRPr="001D2173">
        <w:t xml:space="preserve"> that:</w:t>
      </w:r>
    </w:p>
    <w:p w:rsidR="00116054" w:rsidRPr="001D2173" w:rsidRDefault="00116054" w:rsidP="008617BF">
      <w:pPr>
        <w:pStyle w:val="BulletText"/>
      </w:pPr>
      <w:r w:rsidRPr="001D2173">
        <w:t>all students should have access to a high standard of education regardless of their background; and</w:t>
      </w:r>
    </w:p>
    <w:p w:rsidR="00116054" w:rsidRPr="001D2173" w:rsidRDefault="00116054" w:rsidP="008617BF">
      <w:pPr>
        <w:pStyle w:val="BulletText"/>
      </w:pPr>
      <w:r w:rsidRPr="001D2173">
        <w:t>a key priority is to reduce educational disadvantage by targeting resources to the most disadvantaged students</w:t>
      </w:r>
      <w:r>
        <w:t>,</w:t>
      </w:r>
      <w:r w:rsidRPr="001D2173">
        <w:t xml:space="preserve"> and to schools with a high concentration of disadvantaged students</w:t>
      </w:r>
      <w:r>
        <w:t>.</w:t>
      </w:r>
    </w:p>
    <w:p w:rsidR="00116054" w:rsidRPr="001D2173" w:rsidRDefault="00116054" w:rsidP="008617BF">
      <w:r>
        <w:t>The Government</w:t>
      </w:r>
      <w:r w:rsidRPr="001D2173">
        <w:t xml:space="preserve"> will implement </w:t>
      </w:r>
      <w:r>
        <w:t xml:space="preserve">its election </w:t>
      </w:r>
      <w:r w:rsidRPr="001D2173">
        <w:t xml:space="preserve">commitments to ensure transparency of school funding allocations and deliver </w:t>
      </w:r>
      <w:r>
        <w:t xml:space="preserve">improved </w:t>
      </w:r>
      <w:r w:rsidRPr="001D2173">
        <w:t xml:space="preserve">school performance outcomes through </w:t>
      </w:r>
      <w:r>
        <w:t>additional</w:t>
      </w:r>
      <w:r w:rsidRPr="001D2173">
        <w:t xml:space="preserve"> investment</w:t>
      </w:r>
      <w:r>
        <w:t>.</w:t>
      </w:r>
    </w:p>
    <w:p w:rsidR="00116054" w:rsidRPr="00E24A1B" w:rsidRDefault="00116054" w:rsidP="0033032E">
      <w:r>
        <w:t xml:space="preserve">Funding of </w:t>
      </w:r>
      <w:r w:rsidRPr="00E24A1B">
        <w:t>$</w:t>
      </w:r>
      <w:r w:rsidRPr="00192E5F">
        <w:t>2.</w:t>
      </w:r>
      <w:r>
        <w:t>9 billion</w:t>
      </w:r>
      <w:r w:rsidRPr="00E24A1B">
        <w:t xml:space="preserve"> </w:t>
      </w:r>
      <w:r>
        <w:t xml:space="preserve">over four years is provided for </w:t>
      </w:r>
      <w:r w:rsidRPr="00E24A1B">
        <w:t>school</w:t>
      </w:r>
      <w:r>
        <w:t xml:space="preserve"> education</w:t>
      </w:r>
      <w:r w:rsidRPr="00E24A1B">
        <w:t xml:space="preserve"> </w:t>
      </w:r>
      <w:r>
        <w:t>across Victoria to improve every child’s learning outcome and student experience</w:t>
      </w:r>
      <w:r w:rsidRPr="00E24A1B">
        <w:t xml:space="preserve">. </w:t>
      </w:r>
      <w:r>
        <w:t xml:space="preserve">In addition, </w:t>
      </w:r>
      <w:r w:rsidRPr="00E24A1B">
        <w:t>$</w:t>
      </w:r>
      <w:r>
        <w:t>567.5 million</w:t>
      </w:r>
      <w:r w:rsidRPr="00E24A1B">
        <w:t xml:space="preserve"> </w:t>
      </w:r>
      <w:r>
        <w:t xml:space="preserve">is being spent on </w:t>
      </w:r>
      <w:r w:rsidRPr="00E24A1B">
        <w:t xml:space="preserve">school capital programs to </w:t>
      </w:r>
      <w:r>
        <w:t xml:space="preserve">improve classrooms, with further works to </w:t>
      </w:r>
      <w:r w:rsidRPr="00E24A1B">
        <w:t xml:space="preserve">modernise and regenerate school facilities across Victoria. </w:t>
      </w:r>
    </w:p>
    <w:p w:rsidR="00116054" w:rsidRDefault="00116054" w:rsidP="00250D35">
      <w:r>
        <w:t>The Government</w:t>
      </w:r>
      <w:r w:rsidRPr="001D2173">
        <w:t xml:space="preserve"> will set out </w:t>
      </w:r>
      <w:r>
        <w:t xml:space="preserve">the </w:t>
      </w:r>
      <w:r w:rsidRPr="001D2173">
        <w:t xml:space="preserve">key changes for improving school outcomes and reducing educational disadvantage </w:t>
      </w:r>
      <w:r>
        <w:t>ahead of the 2016 school year,</w:t>
      </w:r>
      <w:r w:rsidRPr="001D2173">
        <w:t xml:space="preserve"> following consultation with stakeholders</w:t>
      </w:r>
      <w:r>
        <w:t>. The Government will also commission a review of school funding and allocations which will provide a basis for schools funding beyond 2017.</w:t>
      </w:r>
      <w:r>
        <w:fldChar w:fldCharType="begin"/>
      </w:r>
      <w:r>
        <w:instrText xml:space="preserve"> XE "</w:instrText>
      </w:r>
      <w:r w:rsidRPr="0048267E">
        <w:rPr>
          <w:lang w:val="en-US"/>
        </w:rPr>
        <w:instrText xml:space="preserve">Education </w:instrText>
      </w:r>
      <w:proofErr w:type="spellStart"/>
      <w:r w:rsidRPr="0048267E">
        <w:rPr>
          <w:lang w:val="en-US"/>
        </w:rPr>
        <w:instrText>State:Schools</w:instrText>
      </w:r>
      <w:proofErr w:type="spellEnd"/>
      <w:r>
        <w:instrText xml:space="preserve">" </w:instrText>
      </w:r>
      <w:r>
        <w:fldChar w:fldCharType="end"/>
      </w:r>
    </w:p>
    <w:bookmarkEnd w:id="15"/>
    <w:p w:rsidR="00116054" w:rsidRDefault="00116054">
      <w:pPr>
        <w:spacing w:after="0"/>
        <w:rPr>
          <w:rFonts w:ascii="Calibri" w:hAnsi="Calibri"/>
          <w:b/>
          <w:i/>
          <w:kern w:val="28"/>
          <w:sz w:val="24"/>
          <w:szCs w:val="22"/>
        </w:rPr>
      </w:pPr>
      <w:r>
        <w:br w:type="page"/>
      </w:r>
    </w:p>
    <w:p w:rsidR="00116054" w:rsidRPr="00EE15E4" w:rsidRDefault="00116054" w:rsidP="00EE15E4">
      <w:pPr>
        <w:pStyle w:val="Heading3"/>
      </w:pPr>
      <w:r w:rsidRPr="00EE15E4">
        <w:lastRenderedPageBreak/>
        <w:t>Investing in vocational education and training</w:t>
      </w:r>
    </w:p>
    <w:p w:rsidR="00116054" w:rsidRDefault="00116054" w:rsidP="00CB3009">
      <w:r>
        <w:fldChar w:fldCharType="begin"/>
      </w:r>
      <w:r>
        <w:instrText xml:space="preserve"> XE "</w:instrText>
      </w:r>
      <w:r w:rsidRPr="008228BE">
        <w:rPr>
          <w:lang w:val="en-US"/>
        </w:rPr>
        <w:instrText xml:space="preserve">Education </w:instrText>
      </w:r>
      <w:proofErr w:type="spellStart"/>
      <w:r w:rsidRPr="008228BE">
        <w:rPr>
          <w:lang w:val="en-US"/>
        </w:rPr>
        <w:instrText>State:</w:instrText>
      </w:r>
      <w:r>
        <w:rPr>
          <w:lang w:val="en-US"/>
        </w:rPr>
        <w:instrText>Vocational</w:instrText>
      </w:r>
      <w:proofErr w:type="spellEnd"/>
      <w:r>
        <w:rPr>
          <w:lang w:val="en-US"/>
        </w:rPr>
        <w:instrText xml:space="preserve"> education and training</w:instrText>
      </w:r>
      <w:r>
        <w:instrText xml:space="preserve">" </w:instrText>
      </w:r>
      <w:r>
        <w:fldChar w:fldCharType="end"/>
      </w:r>
      <w:r>
        <w:t>The Government is committed to a strong and responsive training system to develop the skills</w:t>
      </w:r>
      <w:r>
        <w:fldChar w:fldCharType="begin"/>
      </w:r>
      <w:r>
        <w:instrText xml:space="preserve"> XE "</w:instrText>
      </w:r>
      <w:r w:rsidRPr="0048600E">
        <w:instrText>Skills</w:instrText>
      </w:r>
      <w:r>
        <w:instrText xml:space="preserve">" </w:instrText>
      </w:r>
      <w:r>
        <w:fldChar w:fldCharType="end"/>
      </w:r>
      <w:r>
        <w:t xml:space="preserve"> required to grasp new economic opportunities. </w:t>
      </w:r>
    </w:p>
    <w:p w:rsidR="00116054" w:rsidRPr="000521F3" w:rsidRDefault="00116054" w:rsidP="000521F3">
      <w:r w:rsidRPr="000521F3">
        <w:t xml:space="preserve">Ten new technical schools will be established across the State. Catering to students in Years 7 to 12, they will focus on local industries and be backed by local providers. </w:t>
      </w:r>
    </w:p>
    <w:p w:rsidR="00116054" w:rsidRDefault="00116054" w:rsidP="00CB3009">
      <w:r w:rsidRPr="000521F3">
        <w:t xml:space="preserve">The Government will strengthen the TAFE sector as a central element of the training </w:t>
      </w:r>
      <w:r w:rsidRPr="005634A8">
        <w:t>system by investing $300</w:t>
      </w:r>
      <w:r>
        <w:t> million</w:t>
      </w:r>
      <w:r w:rsidRPr="005634A8">
        <w:t xml:space="preserve"> into the TAFE Rescue Fund to reopen closed campuses,</w:t>
      </w:r>
      <w:r w:rsidRPr="000521F3">
        <w:t xml:space="preserve"> upgrade buildings, workshops, lab</w:t>
      </w:r>
      <w:r>
        <w:t>oratories</w:t>
      </w:r>
      <w:r w:rsidRPr="000521F3">
        <w:t xml:space="preserve"> and classrooms, and support those institutes under financial stress. Funding of </w:t>
      </w:r>
      <w:r w:rsidRPr="003C28A7">
        <w:t>$40</w:t>
      </w:r>
      <w:r>
        <w:t> million</w:t>
      </w:r>
      <w:r w:rsidRPr="000521F3">
        <w:t xml:space="preserve"> over four years is provided to</w:t>
      </w:r>
      <w:r w:rsidRPr="00E24A1B">
        <w:t xml:space="preserve"> establish the Victorian Skills Commissioner and</w:t>
      </w:r>
      <w:r>
        <w:t xml:space="preserve"> to continue funding for</w:t>
      </w:r>
      <w:r w:rsidRPr="00E24A1B">
        <w:t xml:space="preserve"> local learning and employment networks.</w:t>
      </w:r>
      <w:r>
        <w:t xml:space="preserve"> </w:t>
      </w:r>
    </w:p>
    <w:p w:rsidR="00116054" w:rsidRDefault="00116054" w:rsidP="008617BF">
      <w:r w:rsidRPr="001F7DA9">
        <w:t xml:space="preserve">In addition, the Government </w:t>
      </w:r>
      <w:r>
        <w:t>is</w:t>
      </w:r>
      <w:r w:rsidRPr="001F7DA9">
        <w:t xml:space="preserve"> provid</w:t>
      </w:r>
      <w:r>
        <w:t>ing</w:t>
      </w:r>
      <w:r w:rsidRPr="001F7DA9">
        <w:t xml:space="preserve"> $50</w:t>
      </w:r>
      <w:r>
        <w:t> million</w:t>
      </w:r>
      <w:r w:rsidRPr="001F7DA9">
        <w:t xml:space="preserve"> for the TAFE Back to Work Fund</w:t>
      </w:r>
      <w:r>
        <w:fldChar w:fldCharType="begin"/>
      </w:r>
      <w:r>
        <w:instrText xml:space="preserve"> XE "Back to </w:instrText>
      </w:r>
      <w:proofErr w:type="spellStart"/>
      <w:r>
        <w:instrText>Work:</w:instrText>
      </w:r>
      <w:r w:rsidRPr="00287E24">
        <w:instrText>Fund</w:instrText>
      </w:r>
      <w:proofErr w:type="spellEnd"/>
      <w:r>
        <w:instrText xml:space="preserve">" </w:instrText>
      </w:r>
      <w:r>
        <w:fldChar w:fldCharType="end"/>
      </w:r>
      <w:r w:rsidRPr="001F7DA9">
        <w:t xml:space="preserve"> </w:t>
      </w:r>
      <w:r>
        <w:t>for</w:t>
      </w:r>
      <w:r w:rsidRPr="001F7DA9">
        <w:t xml:space="preserve"> TAFEs to develop and expand courses that align with the needs of local employers, including those eligible for the Back to Work Scheme</w:t>
      </w:r>
      <w:r>
        <w:fldChar w:fldCharType="begin"/>
      </w:r>
      <w:r>
        <w:instrText xml:space="preserve"> XE "Back to </w:instrText>
      </w:r>
      <w:proofErr w:type="spellStart"/>
      <w:r>
        <w:instrText>Work:</w:instrText>
      </w:r>
      <w:r w:rsidRPr="00287E24">
        <w:instrText>Scheme</w:instrText>
      </w:r>
      <w:proofErr w:type="spellEnd"/>
      <w:r>
        <w:instrText xml:space="preserve">" </w:instrText>
      </w:r>
      <w:r>
        <w:fldChar w:fldCharType="end"/>
      </w:r>
      <w:r w:rsidRPr="001F7DA9">
        <w:t>. The fund will allow TAFEs to better meet the training needs of businesses that hire unemployed youth</w:t>
      </w:r>
      <w:r>
        <w:fldChar w:fldCharType="begin"/>
      </w:r>
      <w:r>
        <w:instrText xml:space="preserve"> XE "</w:instrText>
      </w:r>
      <w:r w:rsidRPr="00DA6A56">
        <w:instrText>Unemployment:</w:instrText>
      </w:r>
      <w:r w:rsidRPr="00DA6A56">
        <w:rPr>
          <w:lang w:val="en-US"/>
        </w:rPr>
        <w:instrText>Youth</w:instrText>
      </w:r>
      <w:r>
        <w:instrText xml:space="preserve">" </w:instrText>
      </w:r>
      <w:r>
        <w:fldChar w:fldCharType="end"/>
      </w:r>
      <w:r w:rsidRPr="001F7DA9">
        <w:t>, the long</w:t>
      </w:r>
      <w:r>
        <w:noBreakHyphen/>
      </w:r>
      <w:r w:rsidRPr="001F7DA9">
        <w:t>term unemployed and retrenched workers.</w:t>
      </w:r>
      <w:r w:rsidRPr="005825A9">
        <w:t xml:space="preserve"> </w:t>
      </w:r>
    </w:p>
    <w:p w:rsidR="00116054" w:rsidRPr="005825A9" w:rsidRDefault="00116054" w:rsidP="008617BF">
      <w:r w:rsidRPr="005825A9">
        <w:t xml:space="preserve">To guide future investment decisions, the Government has established a </w:t>
      </w:r>
      <w:r w:rsidRPr="00DE2129">
        <w:t xml:space="preserve">VET Funding Review </w:t>
      </w:r>
      <w:r w:rsidRPr="005825A9">
        <w:t xml:space="preserve">to </w:t>
      </w:r>
      <w:r>
        <w:t xml:space="preserve">consider </w:t>
      </w:r>
      <w:r w:rsidRPr="005825A9">
        <w:t>how to improve the quality, stability and sustainability of the Victorian training market.</w:t>
      </w:r>
      <w:r>
        <w:fldChar w:fldCharType="begin"/>
      </w:r>
      <w:r>
        <w:instrText xml:space="preserve"> XE "</w:instrText>
      </w:r>
      <w:r w:rsidRPr="005A2516">
        <w:instrText>Education State</w:instrText>
      </w:r>
      <w:r>
        <w:instrText xml:space="preserve">" \r "BP2Ch2EducationState" </w:instrText>
      </w:r>
      <w:r>
        <w:fldChar w:fldCharType="end"/>
      </w:r>
      <w:r w:rsidRPr="005825A9">
        <w:t xml:space="preserve"> </w:t>
      </w:r>
      <w:r>
        <w:fldChar w:fldCharType="begin"/>
      </w:r>
      <w:r>
        <w:instrText xml:space="preserve"> XE "</w:instrText>
      </w:r>
      <w:r w:rsidRPr="00350858">
        <w:instrText>Schools</w:instrText>
      </w:r>
      <w:r>
        <w:instrText xml:space="preserve">" \r "BP2Ch2Schools" </w:instrText>
      </w:r>
      <w:r>
        <w:fldChar w:fldCharType="end"/>
      </w:r>
      <w:r>
        <w:fldChar w:fldCharType="begin"/>
      </w:r>
      <w:r>
        <w:instrText xml:space="preserve"> XE "</w:instrText>
      </w:r>
      <w:r w:rsidRPr="00E04834">
        <w:rPr>
          <w:lang w:val="en-US"/>
        </w:rPr>
        <w:instrText>Training</w:instrText>
      </w:r>
      <w:r>
        <w:instrText xml:space="preserve">" \r "BP2Ch2Training" </w:instrText>
      </w:r>
      <w:r>
        <w:fldChar w:fldCharType="end"/>
      </w:r>
      <w:r>
        <w:fldChar w:fldCharType="begin"/>
      </w:r>
      <w:r>
        <w:instrText xml:space="preserve"> XE "Vocational education and t</w:instrText>
      </w:r>
      <w:r w:rsidRPr="00E04834">
        <w:rPr>
          <w:lang w:val="en-US"/>
        </w:rPr>
        <w:instrText>raining</w:instrText>
      </w:r>
      <w:r>
        <w:instrText xml:space="preserve">" \r "BP2Ch2Training" </w:instrText>
      </w:r>
      <w:r>
        <w:fldChar w:fldCharType="end"/>
      </w:r>
    </w:p>
    <w:p w:rsidR="00116054" w:rsidRDefault="00116054" w:rsidP="008617BF">
      <w:pPr>
        <w:pStyle w:val="Heading2"/>
      </w:pPr>
      <w:bookmarkStart w:id="17" w:name="BP2Ch1Health"/>
      <w:bookmarkEnd w:id="13"/>
      <w:bookmarkEnd w:id="14"/>
      <w:bookmarkEnd w:id="16"/>
      <w:r>
        <w:t>A modern health care system</w:t>
      </w:r>
    </w:p>
    <w:p w:rsidR="00116054" w:rsidRPr="00B968A0" w:rsidRDefault="00116054" w:rsidP="00CD2C3F">
      <w:r>
        <w:t>High quality and accessible health services</w:t>
      </w:r>
      <w:r>
        <w:fldChar w:fldCharType="begin"/>
      </w:r>
      <w:r>
        <w:instrText xml:space="preserve"> XE "</w:instrText>
      </w:r>
      <w:r w:rsidRPr="00C9774C">
        <w:instrText>Health:</w:instrText>
      </w:r>
      <w:r w:rsidRPr="00C9774C">
        <w:rPr>
          <w:lang w:val="en-US"/>
        </w:rPr>
        <w:instrText>Services</w:instrText>
      </w:r>
      <w:r>
        <w:instrText xml:space="preserve">" </w:instrText>
      </w:r>
      <w:r>
        <w:fldChar w:fldCharType="end"/>
      </w:r>
      <w:r>
        <w:t xml:space="preserve"> are critical to Victorians enjoying a better quality of life and increased productivity</w:t>
      </w:r>
      <w:r>
        <w:fldChar w:fldCharType="begin"/>
      </w:r>
      <w:r>
        <w:instrText xml:space="preserve"> XE "</w:instrText>
      </w:r>
      <w:r w:rsidRPr="00CD66CC">
        <w:instrText>Productivity</w:instrText>
      </w:r>
      <w:r>
        <w:instrText xml:space="preserve">" </w:instrText>
      </w:r>
      <w:r>
        <w:fldChar w:fldCharType="end"/>
      </w:r>
      <w:r>
        <w:t xml:space="preserve">. </w:t>
      </w:r>
      <w:r w:rsidRPr="006B0442">
        <w:t xml:space="preserve">The </w:t>
      </w:r>
      <w:r w:rsidRPr="006B0442">
        <w:rPr>
          <w:i/>
        </w:rPr>
        <w:t>2015</w:t>
      </w:r>
      <w:r>
        <w:rPr>
          <w:i/>
        </w:rPr>
        <w:noBreakHyphen/>
        <w:t>16 </w:t>
      </w:r>
      <w:r w:rsidRPr="006B0442">
        <w:rPr>
          <w:i/>
        </w:rPr>
        <w:t>Budget</w:t>
      </w:r>
      <w:r w:rsidRPr="006B0442">
        <w:t xml:space="preserve"> provides</w:t>
      </w:r>
      <w:r>
        <w:t xml:space="preserve"> an additional</w:t>
      </w:r>
      <w:r w:rsidRPr="006B0442">
        <w:t xml:space="preserve"> </w:t>
      </w:r>
      <w:r w:rsidRPr="003C28A7">
        <w:t>$</w:t>
      </w:r>
      <w:r w:rsidRPr="00B46C0F">
        <w:t>1.3</w:t>
      </w:r>
      <w:r>
        <w:t> billion over four years</w:t>
      </w:r>
      <w:r w:rsidRPr="006B0442">
        <w:t xml:space="preserve"> for health </w:t>
      </w:r>
      <w:r w:rsidRPr="001B621D">
        <w:t>services to respond to growing patient demand across Victoria and ensure more hosp</w:t>
      </w:r>
      <w:r w:rsidRPr="006B0442">
        <w:t xml:space="preserve">ital patients can receive the highest </w:t>
      </w:r>
      <w:r>
        <w:t>standard of</w:t>
      </w:r>
      <w:r w:rsidRPr="006B0442">
        <w:t xml:space="preserve"> care. </w:t>
      </w:r>
      <w:r>
        <w:t xml:space="preserve">This funding also includes investment in rural and regional healthcare to address the inequality of health outcomes in these areas. </w:t>
      </w:r>
    </w:p>
    <w:p w:rsidR="00116054" w:rsidRDefault="00116054" w:rsidP="00C94C42">
      <w:pPr>
        <w:pStyle w:val="BulletText"/>
        <w:numPr>
          <w:ilvl w:val="0"/>
          <w:numId w:val="0"/>
        </w:numPr>
        <w:rPr>
          <w:highlight w:val="yellow"/>
        </w:rPr>
      </w:pPr>
      <w:r>
        <w:t xml:space="preserve">The </w:t>
      </w:r>
      <w:r w:rsidRPr="00C94C42">
        <w:rPr>
          <w:i/>
        </w:rPr>
        <w:t>2015</w:t>
      </w:r>
      <w:r>
        <w:rPr>
          <w:i/>
        </w:rPr>
        <w:noBreakHyphen/>
      </w:r>
      <w:r w:rsidRPr="00C94C42">
        <w:rPr>
          <w:i/>
        </w:rPr>
        <w:t>16 Budget</w:t>
      </w:r>
      <w:r>
        <w:t xml:space="preserve"> provides funding to modernise Victorian hospitals</w:t>
      </w:r>
      <w:r>
        <w:fldChar w:fldCharType="begin"/>
      </w:r>
      <w:r>
        <w:instrText xml:space="preserve"> XE "</w:instrText>
      </w:r>
      <w:r w:rsidRPr="00DD35DF">
        <w:rPr>
          <w:lang w:val="en-US"/>
        </w:rPr>
        <w:instrText>Health:</w:instrText>
      </w:r>
      <w:r w:rsidRPr="00DD35DF">
        <w:instrText>Hospitals</w:instrText>
      </w:r>
      <w:r>
        <w:instrText xml:space="preserve">" </w:instrText>
      </w:r>
      <w:r>
        <w:fldChar w:fldCharType="end"/>
      </w:r>
      <w:r>
        <w:t xml:space="preserve">, increase the capacity of public hospital infrastructure and improve health outcomes. This includes $200 million for the new Western Women’s and Children’s Hospital </w:t>
      </w:r>
      <w:r>
        <w:fldChar w:fldCharType="begin"/>
      </w:r>
      <w:r>
        <w:instrText xml:space="preserve"> XE "</w:instrText>
      </w:r>
      <w:r w:rsidRPr="000346A6">
        <w:rPr>
          <w:lang w:val="en-US"/>
        </w:rPr>
        <w:instrText>Health:</w:instrText>
      </w:r>
      <w:r w:rsidRPr="000346A6">
        <w:instrText>Western Women’s and Children’s Hospital</w:instrText>
      </w:r>
      <w:r>
        <w:instrText xml:space="preserve">" </w:instrText>
      </w:r>
      <w:r>
        <w:fldChar w:fldCharType="end"/>
      </w:r>
      <w:r>
        <w:fldChar w:fldCharType="begin"/>
      </w:r>
      <w:r>
        <w:instrText xml:space="preserve"> XE "</w:instrText>
      </w:r>
      <w:r w:rsidRPr="000346A6">
        <w:instrText>Western Women’s and Children’s Hospital</w:instrText>
      </w:r>
      <w:r>
        <w:instrText xml:space="preserve">" </w:instrText>
      </w:r>
      <w:r>
        <w:fldChar w:fldCharType="end"/>
      </w:r>
      <w:r>
        <w:t xml:space="preserve"> and $106.3 million to expand Casey Hospital</w:t>
      </w:r>
      <w:r>
        <w:fldChar w:fldCharType="begin"/>
      </w:r>
      <w:r>
        <w:instrText xml:space="preserve"> XE "</w:instrText>
      </w:r>
      <w:proofErr w:type="spellStart"/>
      <w:r w:rsidRPr="008B5C3C">
        <w:rPr>
          <w:lang w:val="en-US"/>
        </w:rPr>
        <w:instrText>Health:Casey</w:instrText>
      </w:r>
      <w:proofErr w:type="spellEnd"/>
      <w:r w:rsidRPr="008B5C3C">
        <w:rPr>
          <w:lang w:val="en-US"/>
        </w:rPr>
        <w:instrText xml:space="preserve"> Hospital</w:instrText>
      </w:r>
      <w:r>
        <w:instrText xml:space="preserve">" </w:instrText>
      </w:r>
      <w:r>
        <w:fldChar w:fldCharType="end"/>
      </w:r>
      <w:r>
        <w:fldChar w:fldCharType="begin"/>
      </w:r>
      <w:r>
        <w:instrText xml:space="preserve"> XE "</w:instrText>
      </w:r>
      <w:r w:rsidRPr="008B5C3C">
        <w:rPr>
          <w:lang w:val="en-US"/>
        </w:rPr>
        <w:instrText>Casey Hospital</w:instrText>
      </w:r>
      <w:r>
        <w:instrText xml:space="preserve">" </w:instrText>
      </w:r>
      <w:r>
        <w:fldChar w:fldCharType="end"/>
      </w:r>
      <w:r>
        <w:t xml:space="preserve"> to help meet demand from growing populations in Melbourne’s west and south</w:t>
      </w:r>
      <w:r>
        <w:noBreakHyphen/>
        <w:t>east. A further $</w:t>
      </w:r>
      <w:r w:rsidRPr="000B52FB">
        <w:t>85</w:t>
      </w:r>
      <w:r>
        <w:t> million is allocated to expand acute health services at the Werribee Mercy Hospital through constructing six additional operating theatres and 64 new inpatient beds. The b</w:t>
      </w:r>
      <w:r w:rsidRPr="00442DC1">
        <w:t>udget also provides $20</w:t>
      </w:r>
      <w:r>
        <w:t> million</w:t>
      </w:r>
      <w:r w:rsidRPr="00442DC1">
        <w:t xml:space="preserve"> for an intensive care unit and short stay unit at the </w:t>
      </w:r>
      <w:proofErr w:type="spellStart"/>
      <w:r w:rsidRPr="00442DC1">
        <w:t>Angliss</w:t>
      </w:r>
      <w:proofErr w:type="spellEnd"/>
      <w:r w:rsidRPr="00442DC1">
        <w:t xml:space="preserve"> Hospital in the </w:t>
      </w:r>
      <w:r>
        <w:t>o</w:t>
      </w:r>
      <w:r w:rsidRPr="00442DC1">
        <w:t xml:space="preserve">uter </w:t>
      </w:r>
      <w:r>
        <w:t>e</w:t>
      </w:r>
      <w:r w:rsidRPr="00442DC1">
        <w:t>ast and $10</w:t>
      </w:r>
      <w:r>
        <w:t> million</w:t>
      </w:r>
      <w:r w:rsidRPr="00442DC1">
        <w:t xml:space="preserve"> for a new cardiac catheterisation laboratory at Ballarat Health Services which will provide urgent heart assessment, treatment and care.</w:t>
      </w:r>
    </w:p>
    <w:p w:rsidR="00116054" w:rsidRDefault="00116054" w:rsidP="00CD2C3F">
      <w:r w:rsidRPr="0045410C">
        <w:t>Funding of</w:t>
      </w:r>
      <w:r>
        <w:t xml:space="preserve"> </w:t>
      </w:r>
      <w:r w:rsidRPr="008D394F">
        <w:t>over $150</w:t>
      </w:r>
      <w:r>
        <w:t> million</w:t>
      </w:r>
      <w:r w:rsidRPr="008D394F">
        <w:t xml:space="preserve"> </w:t>
      </w:r>
      <w:r>
        <w:t>over four years</w:t>
      </w:r>
      <w:r w:rsidRPr="0045410C">
        <w:t xml:space="preserve"> is </w:t>
      </w:r>
      <w:r>
        <w:t xml:space="preserve">allocated for </w:t>
      </w:r>
      <w:r w:rsidRPr="0045410C">
        <w:t>Victorian</w:t>
      </w:r>
      <w:r>
        <w:t>s</w:t>
      </w:r>
      <w:r w:rsidRPr="0045410C">
        <w:t xml:space="preserve"> with </w:t>
      </w:r>
      <w:r>
        <w:t xml:space="preserve">a disability, </w:t>
      </w:r>
      <w:r w:rsidRPr="0045410C">
        <w:t>their families</w:t>
      </w:r>
      <w:r>
        <w:t xml:space="preserve"> and carers</w:t>
      </w:r>
      <w:r w:rsidRPr="0045410C">
        <w:t xml:space="preserve">. </w:t>
      </w:r>
      <w:r w:rsidRPr="00B24A2B">
        <w:t xml:space="preserve">The </w:t>
      </w:r>
      <w:r w:rsidRPr="00B24A2B">
        <w:rPr>
          <w:i/>
        </w:rPr>
        <w:t>2015</w:t>
      </w:r>
      <w:r>
        <w:rPr>
          <w:i/>
        </w:rPr>
        <w:noBreakHyphen/>
      </w:r>
      <w:r w:rsidRPr="00B24A2B">
        <w:rPr>
          <w:i/>
        </w:rPr>
        <w:t>16 Budget</w:t>
      </w:r>
      <w:r w:rsidRPr="00B24A2B">
        <w:t xml:space="preserve"> also invests </w:t>
      </w:r>
      <w:r>
        <w:t xml:space="preserve">$111.8 million for mental health, including </w:t>
      </w:r>
      <w:r w:rsidRPr="00B24A2B">
        <w:t>$88.2</w:t>
      </w:r>
      <w:r>
        <w:t> million</w:t>
      </w:r>
      <w:r w:rsidRPr="00B24A2B">
        <w:t xml:space="preserve"> to meet service demand for intensive, specialist clinical support</w:t>
      </w:r>
      <w:r>
        <w:t>.</w:t>
      </w:r>
      <w:r>
        <w:fldChar w:fldCharType="begin"/>
      </w:r>
      <w:r>
        <w:instrText xml:space="preserve"> XE "</w:instrText>
      </w:r>
      <w:proofErr w:type="spellStart"/>
      <w:r w:rsidRPr="0079650F">
        <w:rPr>
          <w:lang w:val="en-US"/>
        </w:rPr>
        <w:instrText>Health:Care</w:instrText>
      </w:r>
      <w:proofErr w:type="spellEnd"/>
      <w:r>
        <w:instrText xml:space="preserve">" </w:instrText>
      </w:r>
      <w:r>
        <w:fldChar w:fldCharType="end"/>
      </w:r>
    </w:p>
    <w:p w:rsidR="00116054" w:rsidRDefault="00116054" w:rsidP="0012052A">
      <w:pPr>
        <w:pStyle w:val="Heading2"/>
      </w:pPr>
      <w:bookmarkStart w:id="18" w:name="BP2Ch1EmServMgmg"/>
      <w:bookmarkEnd w:id="17"/>
      <w:r>
        <w:lastRenderedPageBreak/>
        <w:t>Improving emergency service management</w:t>
      </w:r>
    </w:p>
    <w:p w:rsidR="00116054" w:rsidRPr="00A178EE" w:rsidRDefault="00116054" w:rsidP="00CD2C3F">
      <w:r w:rsidRPr="001B7D9D">
        <w:t>Reflecting the importance of the State</w:t>
      </w:r>
      <w:r>
        <w:t>’</w:t>
      </w:r>
      <w:r w:rsidRPr="001B7D9D">
        <w:t>s emergency services, funding is being provided to ensure responsiveness and better outcomes for all Victorians. The Government is investing $99</w:t>
      </w:r>
      <w:r>
        <w:t> million</w:t>
      </w:r>
      <w:r w:rsidRPr="001B7D9D">
        <w:t xml:space="preserve"> to strengthen ambulance services and upgrade ambulance stations and equipment.</w:t>
      </w:r>
      <w:r w:rsidRPr="00A178EE">
        <w:t xml:space="preserve"> </w:t>
      </w:r>
      <w:r w:rsidRPr="00822653">
        <w:t>Funding will enable</w:t>
      </w:r>
      <w:r>
        <w:t xml:space="preserve"> upgrades to </w:t>
      </w:r>
      <w:r w:rsidRPr="00822653">
        <w:t>nine existing stations</w:t>
      </w:r>
      <w:r>
        <w:t xml:space="preserve"> and</w:t>
      </w:r>
      <w:r w:rsidRPr="00822653">
        <w:t xml:space="preserve"> </w:t>
      </w:r>
      <w:r>
        <w:t>construction of a</w:t>
      </w:r>
      <w:r w:rsidRPr="00822653">
        <w:t xml:space="preserve"> new station at Wendouree</w:t>
      </w:r>
      <w:r>
        <w:t>.</w:t>
      </w:r>
    </w:p>
    <w:p w:rsidR="00116054" w:rsidRDefault="00116054" w:rsidP="00CD2C3F">
      <w:r w:rsidRPr="00A178EE">
        <w:t xml:space="preserve">The Government is </w:t>
      </w:r>
      <w:r>
        <w:t xml:space="preserve">enhancing </w:t>
      </w:r>
      <w:r w:rsidRPr="00A178EE">
        <w:t>emergency fire services</w:t>
      </w:r>
      <w:r w:rsidRPr="00F23D98">
        <w:t xml:space="preserve"> </w:t>
      </w:r>
      <w:r w:rsidRPr="00A178EE">
        <w:t>to protect local communities</w:t>
      </w:r>
      <w:r>
        <w:t>. This includes $43 million</w:t>
      </w:r>
      <w:r w:rsidRPr="00A178EE">
        <w:t xml:space="preserve"> </w:t>
      </w:r>
      <w:r>
        <w:t>to</w:t>
      </w:r>
      <w:r w:rsidRPr="00A178EE">
        <w:t xml:space="preserve"> enhance the capacity of the Country Fire Authority </w:t>
      </w:r>
      <w:r>
        <w:t xml:space="preserve">by </w:t>
      </w:r>
      <w:r w:rsidRPr="00A178EE">
        <w:t xml:space="preserve">upgrading stations and </w:t>
      </w:r>
      <w:r>
        <w:t>purchasing</w:t>
      </w:r>
      <w:r w:rsidRPr="00A178EE">
        <w:t xml:space="preserve"> new trucks.</w:t>
      </w:r>
      <w:r>
        <w:t xml:space="preserve"> </w:t>
      </w:r>
      <w:r w:rsidRPr="0094191D">
        <w:t xml:space="preserve">This new investment is in addition to the revenue collected through the Fire Services Property Levy. </w:t>
      </w:r>
      <w:r w:rsidRPr="00B6788C">
        <w:t xml:space="preserve">Levy rates will not be </w:t>
      </w:r>
      <w:r>
        <w:t>affected</w:t>
      </w:r>
      <w:r w:rsidRPr="00B6788C">
        <w:t xml:space="preserve"> as a result of </w:t>
      </w:r>
      <w:r>
        <w:t>election commitments being funded in the budget</w:t>
      </w:r>
      <w:r w:rsidRPr="00B6788C">
        <w:t>.</w:t>
      </w:r>
      <w:r>
        <w:fldChar w:fldCharType="begin"/>
      </w:r>
      <w:r>
        <w:instrText xml:space="preserve"> XE "</w:instrText>
      </w:r>
      <w:r w:rsidRPr="00050C68">
        <w:instrText>Emergency service management</w:instrText>
      </w:r>
      <w:r>
        <w:instrText xml:space="preserve">" \r "BP2Ch1EmServMgmg" </w:instrText>
      </w:r>
      <w:r>
        <w:fldChar w:fldCharType="end"/>
      </w:r>
      <w:r>
        <w:t xml:space="preserve"> </w:t>
      </w:r>
    </w:p>
    <w:bookmarkEnd w:id="18"/>
    <w:p w:rsidR="00116054" w:rsidRDefault="00116054" w:rsidP="00B73225">
      <w:pPr>
        <w:pStyle w:val="Heading2"/>
      </w:pPr>
      <w:r>
        <w:t>Making our communities safer</w:t>
      </w:r>
    </w:p>
    <w:p w:rsidR="00116054" w:rsidRDefault="00116054" w:rsidP="008617BF">
      <w:r>
        <w:t xml:space="preserve">Victoria’s social diversity is one of the State’s great strengths. Some groups within our community experience disadvantage and there are social problems requiring urgent attention. </w:t>
      </w:r>
    </w:p>
    <w:p w:rsidR="00116054" w:rsidRPr="006B0442" w:rsidRDefault="00116054" w:rsidP="008617BF">
      <w:r>
        <w:t xml:space="preserve">To support new responses to key social challenges and to make our communities safer, significant investment is provided for combating family violence, the impacts of ice addiction and the care of our most vulnerable children. These initiatives include: </w:t>
      </w:r>
    </w:p>
    <w:p w:rsidR="00116054" w:rsidRDefault="00116054" w:rsidP="006D1C6E">
      <w:pPr>
        <w:pStyle w:val="BulletText"/>
      </w:pPr>
      <w:r w:rsidRPr="006D1C6E">
        <w:t>$</w:t>
      </w:r>
      <w:r>
        <w:t>81.3 million over five years, with $57.9 million in 2015</w:t>
      </w:r>
      <w:r>
        <w:noBreakHyphen/>
        <w:t xml:space="preserve">16, to support the Royal Commission into Family Violence and to provide funding in the interim across a range of portfolios to strengthen services’ response capacity and capabilities, as well as improve support to survivors of family violence; </w:t>
      </w:r>
      <w:r>
        <w:fldChar w:fldCharType="begin"/>
      </w:r>
      <w:r>
        <w:instrText xml:space="preserve"> XE "</w:instrText>
      </w:r>
      <w:r w:rsidRPr="008B0615">
        <w:instrText>Royal Commission into Family Violence</w:instrText>
      </w:r>
      <w:r>
        <w:instrText xml:space="preserve">" </w:instrText>
      </w:r>
      <w:r>
        <w:fldChar w:fldCharType="end"/>
      </w:r>
    </w:p>
    <w:p w:rsidR="00116054" w:rsidRDefault="00116054" w:rsidP="009C15D6">
      <w:pPr>
        <w:pStyle w:val="BulletText"/>
        <w:spacing w:after="100"/>
      </w:pPr>
      <w:r w:rsidRPr="00B968A0">
        <w:t>$</w:t>
      </w:r>
      <w:r w:rsidRPr="009C15D6">
        <w:t>65.4</w:t>
      </w:r>
      <w:r>
        <w:t> million</w:t>
      </w:r>
      <w:r w:rsidRPr="00B968A0">
        <w:t xml:space="preserve"> over four years to employ </w:t>
      </w:r>
      <w:r>
        <w:t xml:space="preserve">additional </w:t>
      </w:r>
      <w:r w:rsidRPr="00B968A0">
        <w:t>child protection workers to respond to reports of child abuse and neglect, expand the capacity of child protection services and support</w:t>
      </w:r>
      <w:r>
        <w:t xml:space="preserve"> after hours responses</w:t>
      </w:r>
      <w:r w:rsidRPr="00B968A0">
        <w:t>;</w:t>
      </w:r>
    </w:p>
    <w:p w:rsidR="00116054" w:rsidRPr="00B968A0" w:rsidRDefault="00116054" w:rsidP="00796B2A">
      <w:pPr>
        <w:pStyle w:val="BulletText"/>
        <w:spacing w:after="100"/>
      </w:pPr>
      <w:r w:rsidRPr="00B968A0">
        <w:t>$48.1</w:t>
      </w:r>
      <w:r>
        <w:t> million</w:t>
      </w:r>
      <w:r w:rsidRPr="00B968A0">
        <w:t xml:space="preserve"> over four years to strengthen Child FIRST and</w:t>
      </w:r>
      <w:r>
        <w:t xml:space="preserve"> the</w:t>
      </w:r>
      <w:r w:rsidRPr="00B968A0">
        <w:t xml:space="preserve"> Family Services system to assist </w:t>
      </w:r>
      <w:r>
        <w:t>more</w:t>
      </w:r>
      <w:r w:rsidRPr="00B968A0">
        <w:t xml:space="preserve"> vulnerable families each year. This funding will enable the Child</w:t>
      </w:r>
      <w:r>
        <w:t> </w:t>
      </w:r>
      <w:r w:rsidRPr="00B968A0">
        <w:t>FIRST intake and referral system to undertake additional assessments and Family Services to provide more family counselling and parenting skills training;</w:t>
      </w:r>
    </w:p>
    <w:p w:rsidR="00116054" w:rsidRPr="00B968A0" w:rsidRDefault="00116054" w:rsidP="00796B2A">
      <w:pPr>
        <w:pStyle w:val="BulletText"/>
        <w:spacing w:after="100"/>
      </w:pPr>
      <w:r>
        <w:t>$45.5 million over four years for the Ice Action Taskforce</w:t>
      </w:r>
      <w:r>
        <w:fldChar w:fldCharType="begin"/>
      </w:r>
      <w:r>
        <w:instrText xml:space="preserve"> XE "</w:instrText>
      </w:r>
      <w:r w:rsidRPr="00F472C1">
        <w:instrText>Ice Action Taskforce</w:instrText>
      </w:r>
      <w:r>
        <w:instrText xml:space="preserve">" </w:instrText>
      </w:r>
      <w:r>
        <w:fldChar w:fldCharType="end"/>
      </w:r>
      <w:r>
        <w:t xml:space="preserve"> to develop strategies to reduce the demand, supply and harm of the drug ice. This funding will enable individuals and families affected by the ice epidemic to access improved treatment and rehabilitation services, whilst making our communities safer; </w:t>
      </w:r>
    </w:p>
    <w:p w:rsidR="00116054" w:rsidRDefault="00116054" w:rsidP="00796B2A">
      <w:pPr>
        <w:pStyle w:val="BulletText"/>
        <w:spacing w:after="100"/>
      </w:pPr>
      <w:r w:rsidRPr="00B968A0">
        <w:t>$39.4</w:t>
      </w:r>
      <w:r>
        <w:t> million</w:t>
      </w:r>
      <w:r w:rsidRPr="00B968A0">
        <w:t xml:space="preserve"> over four years to support growth in demand for out</w:t>
      </w:r>
      <w:r>
        <w:noBreakHyphen/>
      </w:r>
      <w:r w:rsidRPr="00B968A0">
        <w:t>of</w:t>
      </w:r>
      <w:r>
        <w:noBreakHyphen/>
      </w:r>
      <w:r w:rsidRPr="00B968A0">
        <w:t>home care fo</w:t>
      </w:r>
      <w:r>
        <w:t>r</w:t>
      </w:r>
      <w:r w:rsidRPr="00B968A0">
        <w:t xml:space="preserve"> children who are unable to l</w:t>
      </w:r>
      <w:r>
        <w:t>ive safely with their families;</w:t>
      </w:r>
    </w:p>
    <w:p w:rsidR="00116054" w:rsidRDefault="00116054" w:rsidP="0051394D">
      <w:pPr>
        <w:pStyle w:val="BulletText"/>
      </w:pPr>
      <w:r w:rsidRPr="003A5D99">
        <w:t>$31</w:t>
      </w:r>
      <w:r>
        <w:t>.4 million</w:t>
      </w:r>
      <w:r w:rsidRPr="003A5D99">
        <w:t xml:space="preserve"> over four years to </w:t>
      </w:r>
      <w:r>
        <w:t>consolidate allowances to provide greater support to carers, helping to meet their costs;</w:t>
      </w:r>
    </w:p>
    <w:p w:rsidR="00116054" w:rsidRPr="00B968A0" w:rsidRDefault="00116054" w:rsidP="0051394D">
      <w:pPr>
        <w:pStyle w:val="BulletText"/>
        <w:spacing w:after="100"/>
      </w:pPr>
      <w:r w:rsidRPr="00B968A0">
        <w:t>$21.3</w:t>
      </w:r>
      <w:r>
        <w:t> million</w:t>
      </w:r>
      <w:r w:rsidRPr="00B968A0">
        <w:t xml:space="preserve"> over four years to extend the Springboard program, supporting young people to transition from out</w:t>
      </w:r>
      <w:r>
        <w:noBreakHyphen/>
      </w:r>
      <w:r w:rsidRPr="00B968A0">
        <w:t>of</w:t>
      </w:r>
      <w:r>
        <w:noBreakHyphen/>
      </w:r>
      <w:r w:rsidRPr="00B968A0">
        <w:t xml:space="preserve">home care to independent living; </w:t>
      </w:r>
    </w:p>
    <w:p w:rsidR="00116054" w:rsidRDefault="00116054">
      <w:pPr>
        <w:spacing w:after="0"/>
      </w:pPr>
      <w:r>
        <w:br w:type="page"/>
      </w:r>
    </w:p>
    <w:p w:rsidR="00116054" w:rsidRPr="00B968A0" w:rsidRDefault="00116054" w:rsidP="0051394D">
      <w:pPr>
        <w:pStyle w:val="BulletText"/>
        <w:spacing w:after="100"/>
      </w:pPr>
      <w:r w:rsidRPr="00B968A0">
        <w:lastRenderedPageBreak/>
        <w:t>$20.8</w:t>
      </w:r>
      <w:r>
        <w:t> million</w:t>
      </w:r>
      <w:r w:rsidRPr="00B968A0">
        <w:t xml:space="preserve"> over four years to expand placement prevention and reunification </w:t>
      </w:r>
      <w:r>
        <w:t xml:space="preserve">services </w:t>
      </w:r>
      <w:proofErr w:type="spellStart"/>
      <w:r>
        <w:t>state</w:t>
      </w:r>
      <w:r w:rsidRPr="00B968A0">
        <w:t>wide</w:t>
      </w:r>
      <w:proofErr w:type="spellEnd"/>
      <w:r w:rsidRPr="00B968A0">
        <w:t xml:space="preserve"> and </w:t>
      </w:r>
      <w:r>
        <w:t xml:space="preserve">provide </w:t>
      </w:r>
      <w:r w:rsidRPr="00B968A0">
        <w:t>assistance to vulnerable families whose children are at risk of being placed in out</w:t>
      </w:r>
      <w:r>
        <w:noBreakHyphen/>
      </w:r>
      <w:r w:rsidRPr="00B968A0">
        <w:t>of</w:t>
      </w:r>
      <w:r>
        <w:noBreakHyphen/>
      </w:r>
      <w:r w:rsidRPr="00B968A0">
        <w:t>home care</w:t>
      </w:r>
      <w:r>
        <w:t>,</w:t>
      </w:r>
      <w:r w:rsidRPr="00B968A0">
        <w:t xml:space="preserve"> and assisting children in out</w:t>
      </w:r>
      <w:r>
        <w:noBreakHyphen/>
      </w:r>
      <w:r w:rsidRPr="00B968A0">
        <w:t>of</w:t>
      </w:r>
      <w:r>
        <w:noBreakHyphen/>
      </w:r>
      <w:r w:rsidRPr="00B968A0">
        <w:t>home care reunite with their families;</w:t>
      </w:r>
      <w:r>
        <w:t xml:space="preserve"> and</w:t>
      </w:r>
    </w:p>
    <w:p w:rsidR="00116054" w:rsidRDefault="00116054" w:rsidP="0051394D">
      <w:pPr>
        <w:pStyle w:val="BulletText"/>
        <w:spacing w:after="100"/>
      </w:pPr>
      <w:r>
        <w:t>$11.7 million</w:t>
      </w:r>
      <w:r w:rsidRPr="00B968A0">
        <w:t xml:space="preserve"> over four years to </w:t>
      </w:r>
      <w:r>
        <w:t>support children who cannot return to their parents to transition into permanent care, and provide permanent carers with access to flexible funding to achieve better outcomes</w:t>
      </w:r>
      <w:r w:rsidRPr="00B968A0">
        <w:t xml:space="preserve">. </w:t>
      </w:r>
    </w:p>
    <w:p w:rsidR="00116054" w:rsidRDefault="00116054" w:rsidP="005D6CAA">
      <w:pPr>
        <w:pStyle w:val="Heading2"/>
      </w:pPr>
      <w:r>
        <w:t>Maintaining Victoria as the major events capital of Australia</w:t>
      </w:r>
    </w:p>
    <w:p w:rsidR="00116054" w:rsidRDefault="00116054" w:rsidP="005D6CAA">
      <w:r>
        <w:t xml:space="preserve">Melbourne is the nation’s sporting, arts and cultural capital, home to a number of internationally recognised events and major attractions. Victoria has also developed a strong business events industry which brings thousands of delegates from interstate and overseas to the State annually. </w:t>
      </w:r>
    </w:p>
    <w:p w:rsidR="00116054" w:rsidRDefault="00116054" w:rsidP="005D6CAA">
      <w:r>
        <w:t xml:space="preserve">The Government will grow Victoria’s visitor economy and make sure the State never loses its edge on major events and tourism. This will enable the Government to pursue an enhanced strategy in this area, whilst expanding the State’s footprint into major conventions. The </w:t>
      </w:r>
      <w:r w:rsidRPr="001C6FCF">
        <w:rPr>
          <w:i/>
        </w:rPr>
        <w:t>2015</w:t>
      </w:r>
      <w:r>
        <w:rPr>
          <w:i/>
        </w:rPr>
        <w:noBreakHyphen/>
      </w:r>
      <w:r w:rsidRPr="001C6FCF">
        <w:rPr>
          <w:i/>
        </w:rPr>
        <w:t>16 Budget</w:t>
      </w:r>
      <w:r>
        <w:t xml:space="preserve"> invests $80 million to sponsor more major events across Victoria. Funding is also provided to undertake the Stage 2 development of the Melbourne Exhibition and Convention Centre. </w:t>
      </w:r>
    </w:p>
    <w:p w:rsidR="00116054" w:rsidRDefault="00116054" w:rsidP="005D6CAA">
      <w:r>
        <w:t xml:space="preserve">The </w:t>
      </w:r>
      <w:r w:rsidRPr="001C6FCF">
        <w:rPr>
          <w:i/>
        </w:rPr>
        <w:t>2015</w:t>
      </w:r>
      <w:r>
        <w:rPr>
          <w:i/>
        </w:rPr>
        <w:noBreakHyphen/>
      </w:r>
      <w:r w:rsidRPr="001C6FCF">
        <w:rPr>
          <w:i/>
        </w:rPr>
        <w:t>16 Budget</w:t>
      </w:r>
      <w:r>
        <w:t xml:space="preserve"> provides over $200 million to support Victorian arts, culture, film, television, music and design and give our creative industries a new life. This includes funding to:</w:t>
      </w:r>
    </w:p>
    <w:p w:rsidR="00116054" w:rsidRDefault="00116054" w:rsidP="005D6CAA">
      <w:pPr>
        <w:pStyle w:val="BulletText"/>
      </w:pPr>
      <w:r>
        <w:t>invest in the independent arts sector so more people can get involved;</w:t>
      </w:r>
    </w:p>
    <w:p w:rsidR="00116054" w:rsidRDefault="00116054" w:rsidP="005D6CAA">
      <w:pPr>
        <w:pStyle w:val="BulletText"/>
      </w:pPr>
      <w:r>
        <w:t>support regional galleries and help bring the arts to new regional audiences;</w:t>
      </w:r>
    </w:p>
    <w:p w:rsidR="00116054" w:rsidRDefault="00116054" w:rsidP="005D6CAA">
      <w:pPr>
        <w:pStyle w:val="BulletText"/>
      </w:pPr>
      <w:r>
        <w:t xml:space="preserve">continue the National Gallery’s Summer Program for modern art and design; </w:t>
      </w:r>
    </w:p>
    <w:p w:rsidR="00116054" w:rsidRDefault="00116054" w:rsidP="005D6CAA">
      <w:pPr>
        <w:pStyle w:val="BulletText"/>
      </w:pPr>
      <w:bookmarkStart w:id="19" w:name="BP2Ch1Jobs2"/>
      <w:r>
        <w:t xml:space="preserve">start Music Works to boost Victorian contemporary music and support local jobs; and </w:t>
      </w:r>
    </w:p>
    <w:p w:rsidR="00116054" w:rsidRDefault="00116054" w:rsidP="005D6CAA">
      <w:pPr>
        <w:pStyle w:val="BulletText"/>
      </w:pPr>
      <w:r>
        <w:t>support the Victorian screen industry, including Film Victoria.</w:t>
      </w:r>
    </w:p>
    <w:p w:rsidR="00116054" w:rsidRDefault="00116054" w:rsidP="005D6CAA">
      <w:r>
        <w:t xml:space="preserve">The </w:t>
      </w:r>
      <w:r w:rsidRPr="0016513E">
        <w:t>budget</w:t>
      </w:r>
      <w:r>
        <w:rPr>
          <w:i/>
        </w:rPr>
        <w:t xml:space="preserve"> </w:t>
      </w:r>
      <w:r>
        <w:t xml:space="preserve">also provides $13.4 million to restore and refurbish the </w:t>
      </w:r>
      <w:proofErr w:type="spellStart"/>
      <w:r>
        <w:t>Palais</w:t>
      </w:r>
      <w:proofErr w:type="spellEnd"/>
      <w:r>
        <w:t xml:space="preserve"> Theatre.</w:t>
      </w:r>
    </w:p>
    <w:p w:rsidR="00116054" w:rsidRDefault="00116054" w:rsidP="005D6CAA">
      <w:r>
        <w:t xml:space="preserve">The Government is committed to upgrading stadiums across Victoria, so they can host more events and make room for more spectators. The </w:t>
      </w:r>
      <w:r w:rsidRPr="001C6FCF">
        <w:rPr>
          <w:i/>
        </w:rPr>
        <w:t>2015</w:t>
      </w:r>
      <w:r>
        <w:rPr>
          <w:i/>
        </w:rPr>
        <w:noBreakHyphen/>
      </w:r>
      <w:r w:rsidRPr="001C6FCF">
        <w:rPr>
          <w:i/>
        </w:rPr>
        <w:t>16 Budget</w:t>
      </w:r>
      <w:r>
        <w:t xml:space="preserve"> invests $70 million to build a new grandstand at Geelong’s Simonds Stadium, improving facilities for spectators and increasing the ground’s capacity to 36 000. A further $25 million is provided to redevelop the historic Junction Oval in St Kilda to create the new home of Victorian cricket, for families and professional players alike. </w:t>
      </w:r>
    </w:p>
    <w:p w:rsidR="00116054" w:rsidRDefault="00116054">
      <w:pPr>
        <w:spacing w:after="0"/>
        <w:rPr>
          <w:rFonts w:ascii="Calibri" w:hAnsi="Calibri"/>
          <w:b/>
          <w:kern w:val="28"/>
          <w:sz w:val="26"/>
          <w:szCs w:val="22"/>
        </w:rPr>
      </w:pPr>
      <w:r>
        <w:br w:type="page"/>
      </w:r>
    </w:p>
    <w:p w:rsidR="00116054" w:rsidRPr="005825A9" w:rsidRDefault="00116054" w:rsidP="008617BF">
      <w:pPr>
        <w:pStyle w:val="Heading2"/>
      </w:pPr>
      <w:r>
        <w:lastRenderedPageBreak/>
        <w:t>Infrastructure that addresses Victoria’s needs</w:t>
      </w:r>
    </w:p>
    <w:p w:rsidR="00116054" w:rsidRDefault="00116054" w:rsidP="009F64D1">
      <w:r>
        <w:t>Victoria needs to have an accessible, efficient and reliable transport and infrastructure system. Significant infrastructure investment</w:t>
      </w:r>
      <w:r>
        <w:fldChar w:fldCharType="begin"/>
      </w:r>
      <w:r>
        <w:instrText xml:space="preserve"> XE "</w:instrText>
      </w:r>
      <w:r w:rsidRPr="00070B08">
        <w:instrText>Infrastructure investment</w:instrText>
      </w:r>
      <w:r>
        <w:instrText xml:space="preserve">" </w:instrText>
      </w:r>
      <w:r>
        <w:fldChar w:fldCharType="end"/>
      </w:r>
      <w:r>
        <w:t xml:space="preserve"> will contribute to reducing road congestion, overcrowding on public transport</w:t>
      </w:r>
      <w:r>
        <w:fldChar w:fldCharType="begin"/>
      </w:r>
      <w:r>
        <w:instrText xml:space="preserve"> XE "</w:instrText>
      </w:r>
      <w:r w:rsidRPr="00FC4400">
        <w:instrText>Public transport</w:instrText>
      </w:r>
      <w:r>
        <w:instrText xml:space="preserve">" </w:instrText>
      </w:r>
      <w:r>
        <w:fldChar w:fldCharType="end"/>
      </w:r>
      <w:r>
        <w:t xml:space="preserve"> and ensure government services can meet growing demand. </w:t>
      </w:r>
    </w:p>
    <w:p w:rsidR="00116054" w:rsidRDefault="00116054" w:rsidP="009F64D1">
      <w:bookmarkStart w:id="20" w:name="BP2Productivity"/>
      <w:r>
        <w:t>The Government’s major projects agenda will deliver a well</w:t>
      </w:r>
      <w:r>
        <w:noBreakHyphen/>
        <w:t>planned and integrated transport network, and act as a sustainable pipeline of works that will create jobs and increase productivity. With some projects commencing construction immediately and others being appropriately staged over the medium</w:t>
      </w:r>
      <w:r>
        <w:noBreakHyphen/>
        <w:t>term, these projects will generate ongoing activity in the local construction industry and provide a reliable source of economic activity and create around 16 000 jobs.</w:t>
      </w:r>
      <w:r>
        <w:fldChar w:fldCharType="begin"/>
      </w:r>
      <w:r>
        <w:instrText xml:space="preserve"> XE "</w:instrText>
      </w:r>
      <w:r w:rsidRPr="008F0D61">
        <w:rPr>
          <w:lang w:val="en-US"/>
        </w:rPr>
        <w:instrText>Jobs</w:instrText>
      </w:r>
      <w:r>
        <w:instrText xml:space="preserve">" \r "BP2Ch1Jobs2" </w:instrText>
      </w:r>
      <w:r>
        <w:fldChar w:fldCharType="end"/>
      </w:r>
      <w:r>
        <w:t xml:space="preserve"> </w:t>
      </w:r>
    </w:p>
    <w:bookmarkEnd w:id="19"/>
    <w:p w:rsidR="00116054" w:rsidRDefault="00116054" w:rsidP="008617BF">
      <w:r w:rsidRPr="00FE36AC">
        <w:t xml:space="preserve">In order to deliver </w:t>
      </w:r>
      <w:r>
        <w:t>its</w:t>
      </w:r>
      <w:r w:rsidRPr="00FE36AC">
        <w:t xml:space="preserve"> major projects agenda in a sensible and sustainable manner, the Government will establish Infrastructure Victoria</w:t>
      </w:r>
      <w:r>
        <w:fldChar w:fldCharType="begin"/>
      </w:r>
      <w:r>
        <w:instrText xml:space="preserve"> XE "</w:instrText>
      </w:r>
      <w:r w:rsidRPr="009E1A2C">
        <w:instrText>Infrastructure Victoria</w:instrText>
      </w:r>
      <w:r>
        <w:instrText xml:space="preserve">" </w:instrText>
      </w:r>
      <w:r>
        <w:fldChar w:fldCharType="end"/>
      </w:r>
      <w:r w:rsidRPr="00FE36AC">
        <w:t xml:space="preserve"> and Projects Victoria. These</w:t>
      </w:r>
      <w:r>
        <w:t xml:space="preserve"> bodies</w:t>
      </w:r>
      <w:r w:rsidRPr="00FE36AC">
        <w:t xml:space="preserve"> will ensure that transport and infrastructure investments are strategically planned and efficiently delivered. The newly created role of Victorian Chief Engineer will further support the focus on ensuring projects are delivered in a timely and efficient manner, as well as overseeing the registration of Victorian engineers. The Victorian Government Architect will complement these activities by providing advice on how to improve design outcomes for capital works and urban design more generally.</w:t>
      </w:r>
      <w:r>
        <w:t xml:space="preserve"> The Government will also pilot Building Information Modelling (BIM) on select projects to enhance project efficiency and outcomes in delivering buildings and infrastructure, with a potential staged implementation of BIM across infrastructure projects in the future. </w:t>
      </w:r>
    </w:p>
    <w:p w:rsidR="00116054" w:rsidRDefault="00116054" w:rsidP="008617BF">
      <w:r>
        <w:t xml:space="preserve">The </w:t>
      </w:r>
      <w:r w:rsidRPr="002D0968">
        <w:rPr>
          <w:i/>
        </w:rPr>
        <w:t>2014</w:t>
      </w:r>
      <w:r>
        <w:rPr>
          <w:i/>
        </w:rPr>
        <w:noBreakHyphen/>
      </w:r>
      <w:r w:rsidRPr="002D0968">
        <w:rPr>
          <w:i/>
        </w:rPr>
        <w:t>15 Budget Update</w:t>
      </w:r>
      <w:r>
        <w:t xml:space="preserve"> provided funding to advance key asset election commitments </w:t>
      </w:r>
      <w:r w:rsidRPr="005574C2">
        <w:t xml:space="preserve">including </w:t>
      </w:r>
      <w:r w:rsidRPr="00B93426">
        <w:t xml:space="preserve">the Level Crossing </w:t>
      </w:r>
      <w:r>
        <w:t>Removal Program and</w:t>
      </w:r>
      <w:r w:rsidRPr="00B93426">
        <w:t xml:space="preserve"> the Melbourne Metro Rail</w:t>
      </w:r>
      <w:r>
        <w:t xml:space="preserve"> Project</w:t>
      </w:r>
      <w:r>
        <w:fldChar w:fldCharType="begin"/>
      </w:r>
      <w:r>
        <w:instrText xml:space="preserve"> XE "</w:instrText>
      </w:r>
      <w:r w:rsidRPr="002C66DD">
        <w:instrText>Melbourne Metro Rail Project</w:instrText>
      </w:r>
      <w:r>
        <w:instrText xml:space="preserve">" </w:instrText>
      </w:r>
      <w:r>
        <w:fldChar w:fldCharType="end"/>
      </w:r>
      <w:r w:rsidRPr="005574C2">
        <w:t xml:space="preserve">. </w:t>
      </w:r>
      <w:r>
        <w:t xml:space="preserve">Building on this investment, the </w:t>
      </w:r>
      <w:r w:rsidRPr="00B93426">
        <w:rPr>
          <w:i/>
        </w:rPr>
        <w:t>2015</w:t>
      </w:r>
      <w:r>
        <w:rPr>
          <w:i/>
        </w:rPr>
        <w:noBreakHyphen/>
      </w:r>
      <w:r w:rsidRPr="00B93426">
        <w:rPr>
          <w:i/>
        </w:rPr>
        <w:t>16</w:t>
      </w:r>
      <w:r>
        <w:rPr>
          <w:i/>
        </w:rPr>
        <w:t> </w:t>
      </w:r>
      <w:r w:rsidRPr="00B93426">
        <w:rPr>
          <w:i/>
        </w:rPr>
        <w:t>Budget</w:t>
      </w:r>
      <w:r>
        <w:t xml:space="preserve"> commits: </w:t>
      </w:r>
    </w:p>
    <w:p w:rsidR="00116054" w:rsidRDefault="00116054" w:rsidP="00DA7C18">
      <w:pPr>
        <w:pStyle w:val="BulletText"/>
      </w:pPr>
      <w:r>
        <w:t>$9–$11 billion to deliver the Melbourne Metro Rail Project, including $1.5 billion over the forward estimates period to complete the planning and design of the project, and to commence construction in 2018;</w:t>
      </w:r>
    </w:p>
    <w:p w:rsidR="00116054" w:rsidRDefault="00116054" w:rsidP="00DA7C18">
      <w:pPr>
        <w:pStyle w:val="BulletText"/>
      </w:pPr>
      <w:r>
        <w:t xml:space="preserve">$5–$6 billion, including $2–$2.4 billion over the forward estimates period, to implement the Government’s commitments to remove 50 level crossings over eight years to reduce congestion and improve safety for cars and trains; </w:t>
      </w:r>
    </w:p>
    <w:p w:rsidR="00116054" w:rsidRPr="00716BFB" w:rsidRDefault="00116054" w:rsidP="00DA7C18">
      <w:pPr>
        <w:pStyle w:val="BulletText"/>
      </w:pPr>
      <w:r w:rsidRPr="00716BFB">
        <w:t>$1.3</w:t>
      </w:r>
      <w:r>
        <w:t> billion</w:t>
      </w:r>
      <w:r w:rsidRPr="00716BFB">
        <w:t xml:space="preserve"> to purchase 37 high</w:t>
      </w:r>
      <w:r>
        <w:noBreakHyphen/>
      </w:r>
      <w:r w:rsidRPr="00716BFB">
        <w:t>capacity metro trains for deployment on the Cranbourne</w:t>
      </w:r>
      <w:r>
        <w:noBreakHyphen/>
      </w:r>
      <w:r w:rsidRPr="00716BFB">
        <w:t>Pakenham rail corridor, and for a new maintenance depot and associated infrastructure upgrade. This will upgrade and transform Melbourne</w:t>
      </w:r>
      <w:r>
        <w:t>’</w:t>
      </w:r>
      <w:r w:rsidRPr="00716BFB">
        <w:t xml:space="preserve">s </w:t>
      </w:r>
      <w:r>
        <w:t>busiest</w:t>
      </w:r>
      <w:r w:rsidRPr="00716BFB">
        <w:t xml:space="preserve"> train line, and free up existing trains to meet demand on other lines; </w:t>
      </w:r>
    </w:p>
    <w:p w:rsidR="00116054" w:rsidRPr="004A0703" w:rsidRDefault="00116054" w:rsidP="002C2F6B">
      <w:pPr>
        <w:pStyle w:val="BulletText"/>
      </w:pPr>
      <w:r w:rsidRPr="004A0703">
        <w:t xml:space="preserve">over </w:t>
      </w:r>
      <w:r>
        <w:t>$</w:t>
      </w:r>
      <w:r w:rsidRPr="004A0703">
        <w:t>600</w:t>
      </w:r>
      <w:r>
        <w:t> million</w:t>
      </w:r>
      <w:r w:rsidRPr="004A0703">
        <w:t xml:space="preserve"> to build 20 new E</w:t>
      </w:r>
      <w:r>
        <w:noBreakHyphen/>
      </w:r>
      <w:r w:rsidRPr="004A0703">
        <w:t xml:space="preserve">Class trams, build 21 new </w:t>
      </w:r>
      <w:proofErr w:type="spellStart"/>
      <w:r w:rsidRPr="004A0703">
        <w:t>VLocity</w:t>
      </w:r>
      <w:proofErr w:type="spellEnd"/>
      <w:r w:rsidRPr="004A0703">
        <w:t xml:space="preserve"> train carriages, and refurbish the </w:t>
      </w:r>
      <w:proofErr w:type="spellStart"/>
      <w:r w:rsidRPr="004A0703">
        <w:t>Comeng</w:t>
      </w:r>
      <w:proofErr w:type="spellEnd"/>
      <w:r w:rsidRPr="004A0703">
        <w:t xml:space="preserve"> train fleet and B</w:t>
      </w:r>
      <w:r>
        <w:noBreakHyphen/>
      </w:r>
      <w:r w:rsidRPr="004A0703">
        <w:t>Class trams; and</w:t>
      </w:r>
    </w:p>
    <w:p w:rsidR="00116054" w:rsidRPr="00716BFB" w:rsidRDefault="00116054" w:rsidP="00A06FED">
      <w:pPr>
        <w:pStyle w:val="BulletText"/>
      </w:pPr>
      <w:r w:rsidRPr="00716BFB">
        <w:t>$150</w:t>
      </w:r>
      <w:r>
        <w:t> million</w:t>
      </w:r>
      <w:r w:rsidRPr="00716BFB">
        <w:t xml:space="preserve"> for the next stage of the M80 Upgrade, </w:t>
      </w:r>
      <w:r>
        <w:t xml:space="preserve">including </w:t>
      </w:r>
      <w:r w:rsidRPr="00A06FED">
        <w:t>the upgrade of the Sunshine Avenue interchange, which will provide decongestion benefits at the Sunshine Avenue end of the section, and the upgrade of the EJ Whitten Bridge, which will address safety issues.</w:t>
      </w:r>
    </w:p>
    <w:p w:rsidR="00116054" w:rsidRDefault="00116054" w:rsidP="00A23BDD">
      <w:pPr>
        <w:pStyle w:val="BulletText"/>
        <w:numPr>
          <w:ilvl w:val="0"/>
          <w:numId w:val="0"/>
        </w:numPr>
      </w:pPr>
      <w:r>
        <w:lastRenderedPageBreak/>
        <w:t xml:space="preserve">Easing road congestion is a significant priority for the Government. The </w:t>
      </w:r>
      <w:proofErr w:type="spellStart"/>
      <w:r>
        <w:t>CityLink</w:t>
      </w:r>
      <w:r>
        <w:noBreakHyphen/>
        <w:t>Tulla</w:t>
      </w:r>
      <w:proofErr w:type="spellEnd"/>
      <w:r>
        <w:t xml:space="preserve"> widening project will widen the </w:t>
      </w:r>
      <w:proofErr w:type="spellStart"/>
      <w:r>
        <w:t>CityLink</w:t>
      </w:r>
      <w:proofErr w:type="spellEnd"/>
      <w:r>
        <w:t xml:space="preserve"> and Tullamarine Freeway and introduce a Freeway Management System. It will build capacity, boost performance and improve safety on one of Melbourne’s busiest roads. The </w:t>
      </w:r>
      <w:proofErr w:type="spellStart"/>
      <w:r>
        <w:t>CityLink</w:t>
      </w:r>
      <w:r>
        <w:noBreakHyphen/>
        <w:t>Tulla</w:t>
      </w:r>
      <w:proofErr w:type="spellEnd"/>
      <w:r>
        <w:t xml:space="preserve"> widening is proceeding under the Market</w:t>
      </w:r>
      <w:r>
        <w:noBreakHyphen/>
        <w:t>led Proposals Interim Guideline and will be fully self</w:t>
      </w:r>
      <w:r>
        <w:noBreakHyphen/>
        <w:t xml:space="preserve">funded by </w:t>
      </w:r>
      <w:proofErr w:type="spellStart"/>
      <w:r>
        <w:t>Transurban</w:t>
      </w:r>
      <w:proofErr w:type="spellEnd"/>
      <w:r>
        <w:t>. When combined with the widening of the Tullamarine Freeway to Melbourne Airport, the total cost of the project is around $1.3 billion, of which the State and Commonwealth Government’s contribution is $273 million. Construction on the project will commence in 2015 and be completed in 2018.</w:t>
      </w:r>
    </w:p>
    <w:p w:rsidR="00116054" w:rsidRDefault="00116054" w:rsidP="00842CD4">
      <w:pPr>
        <w:pStyle w:val="BulletText"/>
        <w:numPr>
          <w:ilvl w:val="0"/>
          <w:numId w:val="0"/>
        </w:numPr>
      </w:pPr>
      <w:r w:rsidRPr="00716BFB">
        <w:t xml:space="preserve">The </w:t>
      </w:r>
      <w:r w:rsidRPr="00716BFB">
        <w:rPr>
          <w:i/>
        </w:rPr>
        <w:t>2015</w:t>
      </w:r>
      <w:r>
        <w:rPr>
          <w:i/>
        </w:rPr>
        <w:noBreakHyphen/>
      </w:r>
      <w:r w:rsidRPr="00716BFB">
        <w:rPr>
          <w:i/>
        </w:rPr>
        <w:t>16 Budget</w:t>
      </w:r>
      <w:r w:rsidRPr="00716BFB">
        <w:t xml:space="preserve"> also </w:t>
      </w:r>
      <w:r>
        <w:t xml:space="preserve">funds planning and early works for major projects. This includes </w:t>
      </w:r>
      <w:r w:rsidRPr="00716BFB">
        <w:t>$40</w:t>
      </w:r>
      <w:r>
        <w:t> million</w:t>
      </w:r>
      <w:r w:rsidRPr="00716BFB">
        <w:t xml:space="preserve"> for constructing the first stage of the West Gate Distributor project</w:t>
      </w:r>
      <w:r>
        <w:fldChar w:fldCharType="begin"/>
      </w:r>
      <w:r>
        <w:instrText xml:space="preserve"> XE "</w:instrText>
      </w:r>
      <w:r w:rsidRPr="00B30290">
        <w:instrText>West Gate Distributor project</w:instrText>
      </w:r>
      <w:r>
        <w:instrText xml:space="preserve">" </w:instrText>
      </w:r>
      <w:r>
        <w:fldChar w:fldCharType="end"/>
      </w:r>
      <w:r w:rsidRPr="00716BFB">
        <w:t xml:space="preserve">, which will significantly increase productivity for the freight industry and be of significant benefit to Geelong, Ballarat and western suburban road commuters travelling over the West Gate Bridge. </w:t>
      </w:r>
      <w:r>
        <w:t>The f</w:t>
      </w:r>
      <w:r w:rsidRPr="00716BFB">
        <w:t>irst stage includes widening Whitehall Street to provide an upgraded connection to Footscray Road, and strengthening and widening Shepherd Bri</w:t>
      </w:r>
      <w:r>
        <w:t>dge over the Maribyrnong River.</w:t>
      </w:r>
    </w:p>
    <w:p w:rsidR="00116054" w:rsidRPr="001A0B93" w:rsidRDefault="00116054" w:rsidP="001A0B93">
      <w:r w:rsidRPr="001A0B93">
        <w:t>The Government has received a market</w:t>
      </w:r>
      <w:r>
        <w:noBreakHyphen/>
      </w:r>
      <w:r w:rsidRPr="001A0B93">
        <w:t xml:space="preserve">led proposal from </w:t>
      </w:r>
      <w:proofErr w:type="spellStart"/>
      <w:r w:rsidRPr="001A0B93">
        <w:t>Transurban</w:t>
      </w:r>
      <w:proofErr w:type="spellEnd"/>
      <w:r w:rsidRPr="001A0B93">
        <w:t xml:space="preserve"> to provide for expanded capacity on the West Gate Freeway and a new connection from the West</w:t>
      </w:r>
      <w:r>
        <w:t> </w:t>
      </w:r>
      <w:r w:rsidRPr="001A0B93">
        <w:t>Gate</w:t>
      </w:r>
      <w:r>
        <w:t> </w:t>
      </w:r>
      <w:r w:rsidRPr="001A0B93">
        <w:t xml:space="preserve">Freeway to </w:t>
      </w:r>
      <w:proofErr w:type="spellStart"/>
      <w:r w:rsidRPr="001A0B93">
        <w:t>CityLink</w:t>
      </w:r>
      <w:proofErr w:type="spellEnd"/>
      <w:r w:rsidRPr="001A0B93">
        <w:t xml:space="preserve"> via a new Maribyrnong</w:t>
      </w:r>
      <w:r>
        <w:t> </w:t>
      </w:r>
      <w:r w:rsidRPr="001A0B93">
        <w:t xml:space="preserve">River crossing. The proposal has been through </w:t>
      </w:r>
      <w:r>
        <w:t>s</w:t>
      </w:r>
      <w:r w:rsidRPr="001A0B93">
        <w:t xml:space="preserve">tage </w:t>
      </w:r>
      <w:r>
        <w:t>o</w:t>
      </w:r>
      <w:r w:rsidRPr="001A0B93">
        <w:t xml:space="preserve">ne and </w:t>
      </w:r>
      <w:r>
        <w:t>s</w:t>
      </w:r>
      <w:r w:rsidRPr="001A0B93">
        <w:t xml:space="preserve">tage </w:t>
      </w:r>
      <w:r>
        <w:t>t</w:t>
      </w:r>
      <w:r w:rsidRPr="001A0B93">
        <w:t>wo assessments and is</w:t>
      </w:r>
      <w:r>
        <w:t xml:space="preserve"> currently being considered in s</w:t>
      </w:r>
      <w:r w:rsidRPr="001A0B93">
        <w:t xml:space="preserve">tage </w:t>
      </w:r>
      <w:r>
        <w:t>t</w:t>
      </w:r>
      <w:r w:rsidRPr="001A0B93">
        <w:t>hree under the Market</w:t>
      </w:r>
      <w:r>
        <w:noBreakHyphen/>
        <w:t>l</w:t>
      </w:r>
      <w:r w:rsidRPr="001A0B93">
        <w:t>ed Proposal</w:t>
      </w:r>
      <w:r>
        <w:t>s</w:t>
      </w:r>
      <w:r w:rsidRPr="001A0B93">
        <w:t xml:space="preserve"> Interim Guideline. The </w:t>
      </w:r>
      <w:r>
        <w:t>s</w:t>
      </w:r>
      <w:r w:rsidRPr="001A0B93">
        <w:t xml:space="preserve">tage </w:t>
      </w:r>
      <w:r>
        <w:t>t</w:t>
      </w:r>
      <w:r w:rsidRPr="001A0B93">
        <w:t>wo assessment concludes that the proposal has the potential to deliver material benefits to the State, including aligning with the Government</w:t>
      </w:r>
      <w:r>
        <w:t>’</w:t>
      </w:r>
      <w:r w:rsidRPr="001A0B93">
        <w:t xml:space="preserve">s policy objectives and infrastructure priorities. Should the </w:t>
      </w:r>
      <w:r>
        <w:t>s</w:t>
      </w:r>
      <w:r w:rsidRPr="001A0B93">
        <w:t xml:space="preserve">tage </w:t>
      </w:r>
      <w:r>
        <w:t>t</w:t>
      </w:r>
      <w:r w:rsidRPr="001A0B93">
        <w:t xml:space="preserve">hree assessment recommend proceeding further with the proposal, the Government would then commence either direct negotiations with </w:t>
      </w:r>
      <w:proofErr w:type="spellStart"/>
      <w:r w:rsidRPr="001A0B93">
        <w:t>Transurban</w:t>
      </w:r>
      <w:proofErr w:type="spellEnd"/>
      <w:r w:rsidRPr="001A0B93">
        <w:t xml:space="preserve"> or a competitive approach to project procurement.</w:t>
      </w:r>
      <w:r>
        <w:t xml:space="preserve"> </w:t>
      </w:r>
    </w:p>
    <w:p w:rsidR="00116054" w:rsidRDefault="00116054" w:rsidP="000655CA">
      <w:r>
        <w:t>The proposal has the potential to create a more efficient and robust transport network by improving connectivity between the west and the CBD, taking pressure off the West Gate Bridge, removing thousands of trucks from suburban roads, and improving the efficiency of freight movements at the Port of Melbourne</w:t>
      </w:r>
      <w:r>
        <w:fldChar w:fldCharType="begin"/>
      </w:r>
      <w:r>
        <w:instrText xml:space="preserve"> XE "Port of </w:instrText>
      </w:r>
      <w:r w:rsidRPr="00F65CAC">
        <w:instrText>Melbourne</w:instrText>
      </w:r>
      <w:r>
        <w:instrText xml:space="preserve">" </w:instrText>
      </w:r>
      <w:r>
        <w:fldChar w:fldCharType="end"/>
      </w:r>
      <w:r>
        <w:t>.</w:t>
      </w:r>
    </w:p>
    <w:p w:rsidR="00116054" w:rsidRDefault="00116054" w:rsidP="00674ADE">
      <w:r w:rsidRPr="00C466D9">
        <w:t>Further details of the Government</w:t>
      </w:r>
      <w:r>
        <w:t>’</w:t>
      </w:r>
      <w:r w:rsidRPr="00C466D9">
        <w:t xml:space="preserve">s major projects agenda are outlined in </w:t>
      </w:r>
      <w:r>
        <w:t xml:space="preserve">Budget Paper No. 3, </w:t>
      </w:r>
      <w:r w:rsidRPr="00C466D9">
        <w:rPr>
          <w:i/>
        </w:rPr>
        <w:t>2015</w:t>
      </w:r>
      <w:r>
        <w:rPr>
          <w:i/>
        </w:rPr>
        <w:noBreakHyphen/>
      </w:r>
      <w:r w:rsidRPr="00C466D9">
        <w:rPr>
          <w:i/>
        </w:rPr>
        <w:t>16 Service Delivery</w:t>
      </w:r>
      <w:r>
        <w:rPr>
          <w:i/>
        </w:rPr>
        <w:t>.</w:t>
      </w:r>
    </w:p>
    <w:p w:rsidR="00116054" w:rsidRDefault="00116054" w:rsidP="003B096B">
      <w:pPr>
        <w:pStyle w:val="Heading2"/>
      </w:pPr>
      <w:bookmarkStart w:id="21" w:name="BP2Ch1AssetRecy1"/>
      <w:r>
        <w:t xml:space="preserve">Asset recycling </w:t>
      </w:r>
    </w:p>
    <w:p w:rsidR="00116054" w:rsidRPr="00320C31" w:rsidRDefault="00116054" w:rsidP="00E60CAA">
      <w:r w:rsidRPr="00320C31">
        <w:t>An important source of funding for the State</w:t>
      </w:r>
      <w:r>
        <w:t>’</w:t>
      </w:r>
      <w:r w:rsidRPr="00320C31">
        <w:t>s infrastructure pr</w:t>
      </w:r>
      <w:r>
        <w:t>ogram is the recycling of state</w:t>
      </w:r>
      <w:r>
        <w:noBreakHyphen/>
      </w:r>
      <w:r w:rsidRPr="00320C31">
        <w:t xml:space="preserve">owned assets. The proceeds from the </w:t>
      </w:r>
      <w:r>
        <w:t>medium</w:t>
      </w:r>
      <w:r>
        <w:noBreakHyphen/>
      </w:r>
      <w:r w:rsidRPr="00320C31">
        <w:t>term lease of the Port of Melbourne will be used to fund investment in new transport</w:t>
      </w:r>
      <w:r>
        <w:noBreakHyphen/>
      </w:r>
      <w:r w:rsidRPr="00320C31">
        <w:t>related capital projects through the establishment of the Victorian Transport Building Fund.</w:t>
      </w:r>
    </w:p>
    <w:p w:rsidR="00116054" w:rsidRDefault="00116054">
      <w:pPr>
        <w:spacing w:after="0"/>
      </w:pPr>
      <w:r>
        <w:br w:type="page"/>
      </w:r>
    </w:p>
    <w:p w:rsidR="00116054" w:rsidRDefault="00116054" w:rsidP="00E60CAA">
      <w:r w:rsidRPr="00320C31">
        <w:lastRenderedPageBreak/>
        <w:t>Where it is in the community</w:t>
      </w:r>
      <w:r>
        <w:t>’</w:t>
      </w:r>
      <w:r w:rsidRPr="00320C31">
        <w:t xml:space="preserve">s interest, capital currently tied up in mature businesses can be recycled to build new assets for the benefit of the community, which would not otherwise have been affordable. The Government will </w:t>
      </w:r>
      <w:r>
        <w:t>consider</w:t>
      </w:r>
      <w:r w:rsidRPr="00320C31">
        <w:t xml:space="preserve"> the potential for future asset recycling opportunities. This approach is </w:t>
      </w:r>
      <w:r>
        <w:t>enhanced</w:t>
      </w:r>
      <w:r w:rsidRPr="00320C31">
        <w:t xml:space="preserve"> by the Commonwealth Government</w:t>
      </w:r>
      <w:r>
        <w:t>’</w:t>
      </w:r>
      <w:r w:rsidRPr="00320C31">
        <w:t xml:space="preserve">s asset recycling initiative which provides financial incentives to state and territory governments to divest assets and reinvest the proceeds in </w:t>
      </w:r>
      <w:r>
        <w:t xml:space="preserve">new </w:t>
      </w:r>
      <w:r w:rsidRPr="00320C31">
        <w:t>productive infrastructure.</w:t>
      </w:r>
      <w:r>
        <w:fldChar w:fldCharType="begin"/>
      </w:r>
      <w:r>
        <w:instrText xml:space="preserve"> XE "</w:instrText>
      </w:r>
      <w:r w:rsidRPr="007740AA">
        <w:instrText>Asset recycling</w:instrText>
      </w:r>
      <w:r>
        <w:instrText xml:space="preserve">" \r "BP2Ch1AssetRecy1" </w:instrText>
      </w:r>
      <w:r>
        <w:fldChar w:fldCharType="end"/>
      </w:r>
    </w:p>
    <w:bookmarkEnd w:id="21"/>
    <w:p w:rsidR="00116054" w:rsidRDefault="00116054" w:rsidP="003B096B">
      <w:pPr>
        <w:pStyle w:val="Heading2"/>
      </w:pPr>
      <w:r>
        <w:t xml:space="preserve">Working with local government </w:t>
      </w:r>
    </w:p>
    <w:p w:rsidR="00116054" w:rsidRDefault="00116054" w:rsidP="00E60CAA">
      <w:r>
        <w:t xml:space="preserve">The Government will consider options to support local business communities who work together to invest in services, activities and assets for their collective benefit. This will include a review of legislative and practical barriers to establishing Business Improvement Districts, which have been a successful model in several overseas jurisdictions. The Government will work closely with local government in undertaking this work. </w:t>
      </w:r>
    </w:p>
    <w:p w:rsidR="00116054" w:rsidRDefault="00116054" w:rsidP="003B096B">
      <w:r w:rsidRPr="00716BFB">
        <w:t>The Government is also providing $50</w:t>
      </w:r>
      <w:r>
        <w:t> million</w:t>
      </w:r>
      <w:r w:rsidRPr="00716BFB">
        <w:t xml:space="preserve"> in 2015</w:t>
      </w:r>
      <w:r>
        <w:noBreakHyphen/>
      </w:r>
      <w:r w:rsidRPr="00716BFB">
        <w:t>16 as an initial contribution towards a new Interface Infrastructure Fund to support councils in outer suburban areas to deliver improved local infrastructure. This will assist in supporting local areas that have experienced unique infrastructure challenges in recent years, including significant population growth</w:t>
      </w:r>
      <w:r>
        <w:fldChar w:fldCharType="begin"/>
      </w:r>
      <w:r>
        <w:instrText xml:space="preserve"> XE "</w:instrText>
      </w:r>
      <w:proofErr w:type="spellStart"/>
      <w:r w:rsidRPr="00BE79C6">
        <w:instrText>Population:Growth</w:instrText>
      </w:r>
      <w:proofErr w:type="spellEnd"/>
      <w:r>
        <w:instrText xml:space="preserve">" </w:instrText>
      </w:r>
      <w:r>
        <w:fldChar w:fldCharType="end"/>
      </w:r>
      <w:r w:rsidRPr="00716BFB">
        <w:t>.</w:t>
      </w:r>
    </w:p>
    <w:p w:rsidR="00116054" w:rsidRDefault="00116054" w:rsidP="008617BF">
      <w:pPr>
        <w:pStyle w:val="Heading1"/>
      </w:pPr>
      <w:bookmarkStart w:id="22" w:name="_Toc418081682"/>
      <w:bookmarkStart w:id="23" w:name="_Toc418255132"/>
      <w:bookmarkStart w:id="24" w:name="BP2Ch1FinMgmt"/>
      <w:r>
        <w:t>Responsible financial management</w:t>
      </w:r>
      <w:bookmarkEnd w:id="22"/>
      <w:bookmarkEnd w:id="23"/>
    </w:p>
    <w:p w:rsidR="00116054" w:rsidRDefault="00116054" w:rsidP="00782731">
      <w:r>
        <w:t xml:space="preserve">The </w:t>
      </w:r>
      <w:r w:rsidRPr="003E6496">
        <w:rPr>
          <w:i/>
        </w:rPr>
        <w:t>2015</w:t>
      </w:r>
      <w:r>
        <w:rPr>
          <w:i/>
        </w:rPr>
        <w:noBreakHyphen/>
      </w:r>
      <w:r w:rsidRPr="003E6496">
        <w:rPr>
          <w:i/>
        </w:rPr>
        <w:t>16 Budget</w:t>
      </w:r>
      <w:r>
        <w:t xml:space="preserve"> invests in public services and infrastructure for all Victorians while maintaining a responsible fiscal position.</w:t>
      </w:r>
      <w:r w:rsidRPr="00506808">
        <w:t xml:space="preserve"> </w:t>
      </w:r>
    </w:p>
    <w:p w:rsidR="00116054" w:rsidRDefault="00116054" w:rsidP="00782731">
      <w:r w:rsidRPr="00917A3B">
        <w:t>The general government sector operating surplus</w:t>
      </w:r>
      <w:r>
        <w:fldChar w:fldCharType="begin"/>
      </w:r>
      <w:r>
        <w:instrText xml:space="preserve"> XE "</w:instrText>
      </w:r>
      <w:r w:rsidRPr="008B09D5">
        <w:instrText>Operating surplus</w:instrText>
      </w:r>
      <w:r>
        <w:instrText xml:space="preserve">" </w:instrText>
      </w:r>
      <w:r>
        <w:fldChar w:fldCharType="end"/>
      </w:r>
      <w:r>
        <w:t xml:space="preserve"> (net result from transactions)</w:t>
      </w:r>
      <w:r w:rsidRPr="00917A3B">
        <w:t xml:space="preserve"> is estim</w:t>
      </w:r>
      <w:r>
        <w:t xml:space="preserve">ated to be </w:t>
      </w:r>
      <w:r w:rsidRPr="00674ADE">
        <w:t>$1.</w:t>
      </w:r>
      <w:r>
        <w:t>2 billion</w:t>
      </w:r>
      <w:r w:rsidRPr="00674ADE">
        <w:t xml:space="preserve"> in 2015</w:t>
      </w:r>
      <w:r>
        <w:noBreakHyphen/>
      </w:r>
      <w:r w:rsidRPr="00674ADE">
        <w:t>16, growing to $</w:t>
      </w:r>
      <w:r>
        <w:t>1.8 billion</w:t>
      </w:r>
      <w:r w:rsidRPr="00674ADE">
        <w:t xml:space="preserve"> in 2018</w:t>
      </w:r>
      <w:r>
        <w:noBreakHyphen/>
      </w:r>
      <w:r w:rsidRPr="00674ADE">
        <w:t>19</w:t>
      </w:r>
      <w:r>
        <w:t xml:space="preserve">, </w:t>
      </w:r>
      <w:r w:rsidRPr="00917A3B">
        <w:t>reflect</w:t>
      </w:r>
      <w:r>
        <w:t>ing</w:t>
      </w:r>
      <w:r w:rsidRPr="00917A3B">
        <w:t xml:space="preserve"> the Government</w:t>
      </w:r>
      <w:r>
        <w:t>’</w:t>
      </w:r>
      <w:r w:rsidRPr="00917A3B">
        <w:t>s commitment to deliver high</w:t>
      </w:r>
      <w:r>
        <w:noBreakHyphen/>
      </w:r>
      <w:r w:rsidRPr="00917A3B">
        <w:t>quality services</w:t>
      </w:r>
      <w:r>
        <w:t xml:space="preserve"> and infrastructure in a fiscally responsible manner. Forecast surpluses are a result of expenses growing at a slower rate than revenues. Over the budget and forward estimates expenses are expected to grow by 3.0 per cent a year on average compared with revenue growth of 3.4 per cent.</w:t>
      </w:r>
    </w:p>
    <w:p w:rsidR="00116054" w:rsidRDefault="00116054" w:rsidP="00782731">
      <w:bookmarkStart w:id="25" w:name="BP2Ch1InfrInvest"/>
      <w:r>
        <w:t xml:space="preserve">The </w:t>
      </w:r>
      <w:r w:rsidRPr="00782731">
        <w:rPr>
          <w:i/>
        </w:rPr>
        <w:t>2015</w:t>
      </w:r>
      <w:r>
        <w:rPr>
          <w:i/>
        </w:rPr>
        <w:noBreakHyphen/>
      </w:r>
      <w:r w:rsidRPr="00782731">
        <w:rPr>
          <w:i/>
        </w:rPr>
        <w:t>16 Budget</w:t>
      </w:r>
      <w:r>
        <w:t xml:space="preserve"> delivers $</w:t>
      </w:r>
      <w:r w:rsidRPr="00B94B63">
        <w:t>9.2</w:t>
      </w:r>
      <w:r>
        <w:t> billion of new output initiatives and retains Government infrastructure investment (GII) at historically high levels. Estimated GII over the budget and forward estimates averages $5.3 billion a year compared with the historical average of $4.9 billion over the decade to 2014</w:t>
      </w:r>
      <w:r>
        <w:noBreakHyphen/>
        <w:t xml:space="preserve">15. The </w:t>
      </w:r>
      <w:r w:rsidRPr="00782731">
        <w:rPr>
          <w:i/>
        </w:rPr>
        <w:t>2015</w:t>
      </w:r>
      <w:r>
        <w:rPr>
          <w:i/>
        </w:rPr>
        <w:noBreakHyphen/>
      </w:r>
      <w:r w:rsidRPr="00782731">
        <w:rPr>
          <w:i/>
        </w:rPr>
        <w:t>16 Budget</w:t>
      </w:r>
      <w:r>
        <w:t xml:space="preserve"> includes up to $22 billion total estimated investment in new asset initiatives that will improve the longer</w:t>
      </w:r>
      <w:r>
        <w:noBreakHyphen/>
        <w:t>term productivity and liveability of Melbourne and regional cities.</w:t>
      </w:r>
    </w:p>
    <w:p w:rsidR="00116054" w:rsidRDefault="00116054" w:rsidP="00782731">
      <w:r>
        <w:t>Investment in services and infrastructure has not resulted in increasing net debt as there are significant savings from not proceeding with the East West Link. Net debt</w:t>
      </w:r>
      <w:r>
        <w:fldChar w:fldCharType="begin"/>
      </w:r>
      <w:r>
        <w:instrText xml:space="preserve"> XE "</w:instrText>
      </w:r>
      <w:proofErr w:type="spellStart"/>
      <w:r>
        <w:instrText>D</w:instrText>
      </w:r>
      <w:r w:rsidRPr="00582107">
        <w:instrText>ebt:</w:instrText>
      </w:r>
      <w:r>
        <w:instrText>N</w:instrText>
      </w:r>
      <w:r w:rsidRPr="00582107">
        <w:instrText>et</w:instrText>
      </w:r>
      <w:proofErr w:type="spellEnd"/>
      <w:r w:rsidRPr="00582107">
        <w:instrText xml:space="preserve"> debt</w:instrText>
      </w:r>
      <w:r>
        <w:instrText xml:space="preserve">" </w:instrText>
      </w:r>
      <w:r>
        <w:fldChar w:fldCharType="end"/>
      </w:r>
      <w:r>
        <w:t xml:space="preserve"> as a percentage of GSP is projected to peak at 5.8 per cent in June 2015 before declining to 4.4 per cent of GSP by June 2019, lower than the June 2018 estimate published in the </w:t>
      </w:r>
      <w:r w:rsidRPr="00782731">
        <w:rPr>
          <w:i/>
        </w:rPr>
        <w:t>2014</w:t>
      </w:r>
      <w:r>
        <w:rPr>
          <w:i/>
        </w:rPr>
        <w:t> </w:t>
      </w:r>
      <w:r w:rsidRPr="00782731">
        <w:rPr>
          <w:i/>
        </w:rPr>
        <w:t>Pre</w:t>
      </w:r>
      <w:r>
        <w:rPr>
          <w:i/>
        </w:rPr>
        <w:noBreakHyphen/>
      </w:r>
      <w:r w:rsidRPr="00782731">
        <w:rPr>
          <w:i/>
        </w:rPr>
        <w:t>Election</w:t>
      </w:r>
      <w:r>
        <w:rPr>
          <w:i/>
        </w:rPr>
        <w:t> </w:t>
      </w:r>
      <w:r w:rsidRPr="00782731">
        <w:rPr>
          <w:i/>
        </w:rPr>
        <w:t>Budget</w:t>
      </w:r>
      <w:r>
        <w:rPr>
          <w:i/>
        </w:rPr>
        <w:t> </w:t>
      </w:r>
      <w:r w:rsidRPr="00782731">
        <w:rPr>
          <w:i/>
        </w:rPr>
        <w:t>Update</w:t>
      </w:r>
      <w:r>
        <w:t>. This level and trajectory of net debt is consistent with the Government’s commitment to maintaining the State’s triple</w:t>
      </w:r>
      <w:r>
        <w:noBreakHyphen/>
        <w:t>A credit rating</w:t>
      </w:r>
      <w:r>
        <w:fldChar w:fldCharType="begin"/>
      </w:r>
      <w:r>
        <w:instrText xml:space="preserve"> XE "</w:instrText>
      </w:r>
      <w:r w:rsidRPr="00DE7E32">
        <w:instrText>Triple</w:instrText>
      </w:r>
      <w:r w:rsidRPr="00DE7E32">
        <w:noBreakHyphen/>
        <w:instrText>A credit rating</w:instrText>
      </w:r>
      <w:r>
        <w:instrText xml:space="preserve">" </w:instrText>
      </w:r>
      <w:r>
        <w:fldChar w:fldCharType="end"/>
      </w:r>
      <w:r>
        <w:t>.</w:t>
      </w:r>
      <w:r>
        <w:fldChar w:fldCharType="begin"/>
      </w:r>
      <w:r>
        <w:instrText xml:space="preserve"> XE "</w:instrText>
      </w:r>
      <w:r w:rsidRPr="00D23B38">
        <w:instrText>Productivity</w:instrText>
      </w:r>
      <w:r>
        <w:instrText xml:space="preserve">" \r "BP2Productivity" </w:instrText>
      </w:r>
      <w:r>
        <w:fldChar w:fldCharType="end"/>
      </w:r>
    </w:p>
    <w:bookmarkEnd w:id="20"/>
    <w:p w:rsidR="00116054" w:rsidRDefault="00116054">
      <w:pPr>
        <w:spacing w:after="0"/>
        <w:rPr>
          <w:rFonts w:ascii="Calibri" w:hAnsi="Calibri"/>
          <w:b/>
        </w:rPr>
      </w:pPr>
      <w:r>
        <w:br w:type="page"/>
      </w:r>
    </w:p>
    <w:p w:rsidR="00116054" w:rsidRDefault="00116054" w:rsidP="00377475">
      <w:pPr>
        <w:pStyle w:val="Tableheading"/>
        <w:rPr>
          <w:rFonts w:ascii="Times New Roman" w:hAnsi="Times New Roman"/>
          <w:i/>
          <w:sz w:val="20"/>
          <w:lang w:eastAsia="en-AU"/>
        </w:rPr>
      </w:pPr>
      <w:r>
        <w:lastRenderedPageBreak/>
        <w:t>Table 1.1:</w:t>
      </w:r>
      <w:r>
        <w:tab/>
        <w:t>General g</w:t>
      </w:r>
      <w:r w:rsidRPr="00EE41C7">
        <w:t>overnment</w:t>
      </w:r>
      <w:r>
        <w:t xml:space="preserve"> fiscal aggregates </w:t>
      </w:r>
    </w:p>
    <w:tbl>
      <w:tblPr>
        <w:tblW w:w="7760" w:type="dxa"/>
        <w:tblInd w:w="28" w:type="dxa"/>
        <w:tblLayout w:type="fixed"/>
        <w:tblCellMar>
          <w:left w:w="43" w:type="dxa"/>
          <w:right w:w="43" w:type="dxa"/>
        </w:tblCellMar>
        <w:tblLook w:val="0000" w:firstRow="0" w:lastRow="0" w:firstColumn="0" w:lastColumn="0" w:noHBand="0" w:noVBand="0"/>
      </w:tblPr>
      <w:tblGrid>
        <w:gridCol w:w="1712"/>
        <w:gridCol w:w="864"/>
        <w:gridCol w:w="864"/>
        <w:gridCol w:w="864"/>
        <w:gridCol w:w="864"/>
        <w:gridCol w:w="864"/>
        <w:gridCol w:w="864"/>
        <w:gridCol w:w="864"/>
      </w:tblGrid>
      <w:tr w:rsidR="00116054" w:rsidRPr="00BC1102" w:rsidTr="00BC1102">
        <w:trPr>
          <w:cantSplit/>
          <w:tblHeader/>
        </w:trPr>
        <w:tc>
          <w:tcPr>
            <w:tcW w:w="1712" w:type="dxa"/>
            <w:tcBorders>
              <w:top w:val="single" w:sz="6" w:space="0" w:color="000000"/>
              <w:left w:val="single" w:sz="6" w:space="0" w:color="000000"/>
              <w:bottom w:val="nil"/>
              <w:right w:val="nil"/>
            </w:tcBorders>
            <w:shd w:val="clear" w:color="auto" w:fill="000000"/>
          </w:tcPr>
          <w:p w:rsidR="00116054" w:rsidRPr="00BC1102" w:rsidRDefault="00116054" w:rsidP="00BC1102">
            <w:pPr>
              <w:pStyle w:val="Tabletext"/>
              <w:rPr>
                <w:rFonts w:eastAsiaTheme="minorEastAsia"/>
                <w:lang w:eastAsia="en-AU"/>
              </w:rPr>
            </w:pPr>
          </w:p>
        </w:tc>
        <w:tc>
          <w:tcPr>
            <w:tcW w:w="864" w:type="dxa"/>
            <w:tcBorders>
              <w:top w:val="single" w:sz="6" w:space="0" w:color="000000"/>
              <w:left w:val="nil"/>
              <w:bottom w:val="nil"/>
              <w:right w:val="nil"/>
            </w:tcBorders>
            <w:shd w:val="clear" w:color="auto" w:fill="000000"/>
          </w:tcPr>
          <w:p w:rsidR="00116054" w:rsidRPr="00BC1102" w:rsidRDefault="00116054" w:rsidP="00BC1102">
            <w:pPr>
              <w:pStyle w:val="Tabletextheading"/>
              <w:jc w:val="center"/>
              <w:rPr>
                <w:rFonts w:eastAsiaTheme="minorEastAsia"/>
                <w:color w:val="FFFFFF"/>
                <w:lang w:eastAsia="en-AU"/>
              </w:rPr>
            </w:pPr>
            <w:r w:rsidRPr="00BC1102">
              <w:rPr>
                <w:rFonts w:eastAsiaTheme="minorEastAsia"/>
                <w:color w:val="FFFFFF"/>
                <w:lang w:eastAsia="en-AU"/>
              </w:rPr>
              <w:t>Unit of</w:t>
            </w:r>
          </w:p>
        </w:tc>
        <w:tc>
          <w:tcPr>
            <w:tcW w:w="864" w:type="dxa"/>
            <w:tcBorders>
              <w:top w:val="single" w:sz="6" w:space="0" w:color="000000"/>
              <w:left w:val="nil"/>
              <w:bottom w:val="nil"/>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2013</w:t>
            </w:r>
            <w:r>
              <w:rPr>
                <w:rFonts w:eastAsiaTheme="minorEastAsia"/>
                <w:color w:val="FFFFFF"/>
                <w:lang w:eastAsia="en-AU"/>
              </w:rPr>
              <w:noBreakHyphen/>
            </w:r>
            <w:r w:rsidRPr="00BC1102">
              <w:rPr>
                <w:rFonts w:eastAsiaTheme="minorEastAsia"/>
                <w:color w:val="FFFFFF"/>
                <w:lang w:eastAsia="en-AU"/>
              </w:rPr>
              <w:t>14</w:t>
            </w:r>
          </w:p>
        </w:tc>
        <w:tc>
          <w:tcPr>
            <w:tcW w:w="864" w:type="dxa"/>
            <w:tcBorders>
              <w:top w:val="single" w:sz="6" w:space="0" w:color="000000"/>
              <w:left w:val="nil"/>
              <w:bottom w:val="nil"/>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2014</w:t>
            </w:r>
            <w:r>
              <w:rPr>
                <w:rFonts w:eastAsiaTheme="minorEastAsia"/>
                <w:color w:val="FFFFFF"/>
                <w:lang w:eastAsia="en-AU"/>
              </w:rPr>
              <w:noBreakHyphen/>
            </w:r>
            <w:r w:rsidRPr="00BC1102">
              <w:rPr>
                <w:rFonts w:eastAsiaTheme="minorEastAsia"/>
                <w:color w:val="FFFFFF"/>
                <w:lang w:eastAsia="en-AU"/>
              </w:rPr>
              <w:t>15</w:t>
            </w:r>
          </w:p>
        </w:tc>
        <w:tc>
          <w:tcPr>
            <w:tcW w:w="864" w:type="dxa"/>
            <w:tcBorders>
              <w:top w:val="single" w:sz="6" w:space="0" w:color="000000"/>
              <w:left w:val="nil"/>
              <w:bottom w:val="nil"/>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2015</w:t>
            </w:r>
            <w:r>
              <w:rPr>
                <w:rFonts w:eastAsiaTheme="minorEastAsia"/>
                <w:color w:val="FFFFFF"/>
                <w:lang w:eastAsia="en-AU"/>
              </w:rPr>
              <w:noBreakHyphen/>
            </w:r>
            <w:r w:rsidRPr="00BC1102">
              <w:rPr>
                <w:rFonts w:eastAsiaTheme="minorEastAsia"/>
                <w:color w:val="FFFFFF"/>
                <w:lang w:eastAsia="en-AU"/>
              </w:rPr>
              <w:t>16</w:t>
            </w:r>
          </w:p>
        </w:tc>
        <w:tc>
          <w:tcPr>
            <w:tcW w:w="864" w:type="dxa"/>
            <w:tcBorders>
              <w:top w:val="single" w:sz="6" w:space="0" w:color="000000"/>
              <w:left w:val="nil"/>
              <w:bottom w:val="nil"/>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2016</w:t>
            </w:r>
            <w:r>
              <w:rPr>
                <w:rFonts w:eastAsiaTheme="minorEastAsia"/>
                <w:color w:val="FFFFFF"/>
                <w:lang w:eastAsia="en-AU"/>
              </w:rPr>
              <w:noBreakHyphen/>
            </w:r>
            <w:r w:rsidRPr="00BC1102">
              <w:rPr>
                <w:rFonts w:eastAsiaTheme="minorEastAsia"/>
                <w:color w:val="FFFFFF"/>
                <w:lang w:eastAsia="en-AU"/>
              </w:rPr>
              <w:t>17</w:t>
            </w:r>
          </w:p>
        </w:tc>
        <w:tc>
          <w:tcPr>
            <w:tcW w:w="864" w:type="dxa"/>
            <w:tcBorders>
              <w:top w:val="single" w:sz="6" w:space="0" w:color="000000"/>
              <w:left w:val="nil"/>
              <w:bottom w:val="nil"/>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2017</w:t>
            </w:r>
            <w:r>
              <w:rPr>
                <w:rFonts w:eastAsiaTheme="minorEastAsia"/>
                <w:color w:val="FFFFFF"/>
                <w:lang w:eastAsia="en-AU"/>
              </w:rPr>
              <w:noBreakHyphen/>
            </w:r>
            <w:r w:rsidRPr="00BC1102">
              <w:rPr>
                <w:rFonts w:eastAsiaTheme="minorEastAsia"/>
                <w:color w:val="FFFFFF"/>
                <w:lang w:eastAsia="en-AU"/>
              </w:rPr>
              <w:t>18</w:t>
            </w:r>
          </w:p>
        </w:tc>
        <w:tc>
          <w:tcPr>
            <w:tcW w:w="864" w:type="dxa"/>
            <w:tcBorders>
              <w:top w:val="single" w:sz="6" w:space="0" w:color="000000"/>
              <w:left w:val="nil"/>
              <w:bottom w:val="nil"/>
              <w:right w:val="single" w:sz="6" w:space="0" w:color="000000"/>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2018</w:t>
            </w:r>
            <w:r>
              <w:rPr>
                <w:rFonts w:eastAsiaTheme="minorEastAsia"/>
                <w:color w:val="FFFFFF"/>
                <w:lang w:eastAsia="en-AU"/>
              </w:rPr>
              <w:noBreakHyphen/>
            </w:r>
            <w:r w:rsidRPr="00BC1102">
              <w:rPr>
                <w:rFonts w:eastAsiaTheme="minorEastAsia"/>
                <w:color w:val="FFFFFF"/>
                <w:lang w:eastAsia="en-AU"/>
              </w:rPr>
              <w:t>19</w:t>
            </w:r>
          </w:p>
        </w:tc>
      </w:tr>
      <w:tr w:rsidR="00116054" w:rsidRPr="00BC1102" w:rsidTr="00BC1102">
        <w:trPr>
          <w:cantSplit/>
          <w:tblHeader/>
        </w:trPr>
        <w:tc>
          <w:tcPr>
            <w:tcW w:w="1712" w:type="dxa"/>
            <w:tcBorders>
              <w:top w:val="nil"/>
              <w:left w:val="single" w:sz="6" w:space="0" w:color="000000"/>
              <w:bottom w:val="single" w:sz="6" w:space="0" w:color="000000"/>
              <w:right w:val="nil"/>
            </w:tcBorders>
            <w:shd w:val="clear" w:color="auto" w:fill="000000"/>
          </w:tcPr>
          <w:p w:rsidR="00116054" w:rsidRPr="00BC1102" w:rsidRDefault="00116054" w:rsidP="00BC1102">
            <w:pPr>
              <w:pStyle w:val="Tabletext"/>
              <w:rPr>
                <w:rFonts w:eastAsiaTheme="minorEastAsia"/>
                <w:lang w:eastAsia="en-AU"/>
              </w:rPr>
            </w:pPr>
            <w:r w:rsidRPr="00BC1102">
              <w:rPr>
                <w:rFonts w:eastAsiaTheme="minorEastAsia"/>
                <w:lang w:eastAsia="en-AU"/>
              </w:rPr>
              <w:t xml:space="preserve"> </w:t>
            </w:r>
          </w:p>
        </w:tc>
        <w:tc>
          <w:tcPr>
            <w:tcW w:w="864" w:type="dxa"/>
            <w:tcBorders>
              <w:top w:val="nil"/>
              <w:left w:val="nil"/>
              <w:bottom w:val="single" w:sz="6" w:space="0" w:color="000000"/>
              <w:right w:val="nil"/>
            </w:tcBorders>
            <w:shd w:val="clear" w:color="auto" w:fill="000000"/>
          </w:tcPr>
          <w:p w:rsidR="00116054" w:rsidRPr="00BC1102" w:rsidRDefault="00116054" w:rsidP="00BC1102">
            <w:pPr>
              <w:pStyle w:val="Tabletextheading"/>
              <w:jc w:val="center"/>
              <w:rPr>
                <w:rFonts w:eastAsiaTheme="minorEastAsia"/>
                <w:color w:val="FFFFFF"/>
                <w:lang w:eastAsia="en-AU"/>
              </w:rPr>
            </w:pPr>
            <w:r w:rsidRPr="00BC1102">
              <w:rPr>
                <w:rFonts w:eastAsiaTheme="minorEastAsia"/>
                <w:color w:val="FFFFFF"/>
                <w:lang w:eastAsia="en-AU"/>
              </w:rPr>
              <w:t>measure</w:t>
            </w:r>
          </w:p>
        </w:tc>
        <w:tc>
          <w:tcPr>
            <w:tcW w:w="864" w:type="dxa"/>
            <w:tcBorders>
              <w:top w:val="nil"/>
              <w:left w:val="nil"/>
              <w:bottom w:val="single" w:sz="6" w:space="0" w:color="000000"/>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actual</w:t>
            </w:r>
          </w:p>
        </w:tc>
        <w:tc>
          <w:tcPr>
            <w:tcW w:w="864" w:type="dxa"/>
            <w:tcBorders>
              <w:top w:val="nil"/>
              <w:left w:val="nil"/>
              <w:bottom w:val="single" w:sz="6" w:space="0" w:color="000000"/>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revised</w:t>
            </w:r>
          </w:p>
        </w:tc>
        <w:tc>
          <w:tcPr>
            <w:tcW w:w="864" w:type="dxa"/>
            <w:tcBorders>
              <w:top w:val="nil"/>
              <w:left w:val="nil"/>
              <w:bottom w:val="single" w:sz="6" w:space="0" w:color="000000"/>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budget</w:t>
            </w:r>
          </w:p>
        </w:tc>
        <w:tc>
          <w:tcPr>
            <w:tcW w:w="864" w:type="dxa"/>
            <w:tcBorders>
              <w:top w:val="nil"/>
              <w:left w:val="nil"/>
              <w:bottom w:val="single" w:sz="6" w:space="0" w:color="000000"/>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estimate</w:t>
            </w:r>
          </w:p>
        </w:tc>
        <w:tc>
          <w:tcPr>
            <w:tcW w:w="864" w:type="dxa"/>
            <w:tcBorders>
              <w:top w:val="nil"/>
              <w:left w:val="nil"/>
              <w:bottom w:val="single" w:sz="6" w:space="0" w:color="000000"/>
              <w:right w:val="nil"/>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estimate</w:t>
            </w:r>
          </w:p>
        </w:tc>
        <w:tc>
          <w:tcPr>
            <w:tcW w:w="864" w:type="dxa"/>
            <w:tcBorders>
              <w:top w:val="nil"/>
              <w:left w:val="nil"/>
              <w:bottom w:val="single" w:sz="6" w:space="0" w:color="000000"/>
              <w:right w:val="single" w:sz="6" w:space="0" w:color="000000"/>
            </w:tcBorders>
            <w:shd w:val="clear" w:color="auto" w:fill="000000"/>
          </w:tcPr>
          <w:p w:rsidR="00116054" w:rsidRPr="00BC1102" w:rsidRDefault="00116054" w:rsidP="00BC1102">
            <w:pPr>
              <w:pStyle w:val="Tabletextheading"/>
              <w:rPr>
                <w:rFonts w:eastAsiaTheme="minorEastAsia"/>
                <w:color w:val="FFFFFF"/>
                <w:lang w:eastAsia="en-AU"/>
              </w:rPr>
            </w:pPr>
            <w:r w:rsidRPr="00BC1102">
              <w:rPr>
                <w:rFonts w:eastAsiaTheme="minorEastAsia"/>
                <w:color w:val="FFFFFF"/>
                <w:lang w:eastAsia="en-AU"/>
              </w:rPr>
              <w:t>estimate</w:t>
            </w:r>
          </w:p>
        </w:tc>
      </w:tr>
      <w:tr w:rsidR="00116054" w:rsidRPr="00BC1102" w:rsidTr="00BC1102">
        <w:trPr>
          <w:cantSplit/>
        </w:trPr>
        <w:tc>
          <w:tcPr>
            <w:tcW w:w="1712" w:type="dxa"/>
            <w:tcBorders>
              <w:top w:val="single" w:sz="6" w:space="0" w:color="000000"/>
              <w:left w:val="nil"/>
              <w:bottom w:val="nil"/>
              <w:right w:val="nil"/>
            </w:tcBorders>
            <w:shd w:val="solid" w:color="FFFFFF" w:fill="auto"/>
          </w:tcPr>
          <w:p w:rsidR="00116054" w:rsidRPr="00BC1102" w:rsidRDefault="00116054" w:rsidP="00BC1102">
            <w:pPr>
              <w:pStyle w:val="Tabletext"/>
              <w:rPr>
                <w:rFonts w:eastAsiaTheme="minorEastAsia"/>
                <w:lang w:eastAsia="en-AU"/>
              </w:rPr>
            </w:pPr>
            <w:r w:rsidRPr="00BC1102">
              <w:rPr>
                <w:rFonts w:eastAsiaTheme="minorEastAsia"/>
                <w:lang w:eastAsia="en-AU"/>
              </w:rPr>
              <w:t>Net result from transactions</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jc w:val="center"/>
              <w:rPr>
                <w:rFonts w:eastAsiaTheme="minorEastAsia"/>
                <w:lang w:eastAsia="en-AU"/>
              </w:rPr>
            </w:pPr>
            <w:r w:rsidRPr="00BC1102">
              <w:rPr>
                <w:rFonts w:eastAsiaTheme="minorEastAsia"/>
                <w:lang w:eastAsia="en-AU"/>
              </w:rPr>
              <w:t>$</w:t>
            </w:r>
            <w:r>
              <w:rPr>
                <w:rFonts w:eastAsiaTheme="minorEastAsia"/>
                <w:lang w:eastAsia="en-AU"/>
              </w:rPr>
              <w:t> billion</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2.0</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0.9</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1.2</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1.4</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1.4</w:t>
            </w:r>
          </w:p>
        </w:tc>
        <w:tc>
          <w:tcPr>
            <w:tcW w:w="864" w:type="dxa"/>
            <w:tcBorders>
              <w:top w:val="single" w:sz="6" w:space="0" w:color="000000"/>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1.8</w:t>
            </w:r>
          </w:p>
        </w:tc>
      </w:tr>
      <w:tr w:rsidR="00116054" w:rsidRPr="00BC1102" w:rsidTr="00BC1102">
        <w:trPr>
          <w:cantSplit/>
        </w:trPr>
        <w:tc>
          <w:tcPr>
            <w:tcW w:w="1712" w:type="dxa"/>
            <w:tcBorders>
              <w:top w:val="nil"/>
              <w:left w:val="nil"/>
              <w:bottom w:val="nil"/>
              <w:right w:val="nil"/>
            </w:tcBorders>
            <w:shd w:val="solid" w:color="FFFFFF" w:fill="auto"/>
          </w:tcPr>
          <w:p w:rsidR="00116054" w:rsidRPr="00BC1102" w:rsidRDefault="00116054" w:rsidP="00BC1102">
            <w:pPr>
              <w:pStyle w:val="Tabletext"/>
              <w:rPr>
                <w:rFonts w:eastAsiaTheme="minorEastAsia"/>
                <w:vertAlign w:val="superscript"/>
                <w:lang w:eastAsia="en-AU"/>
              </w:rPr>
            </w:pPr>
            <w:r w:rsidRPr="00BC1102">
              <w:rPr>
                <w:rFonts w:eastAsiaTheme="minorEastAsia"/>
                <w:lang w:eastAsia="en-AU"/>
              </w:rPr>
              <w:t xml:space="preserve">Government infrastructure investment </w:t>
            </w:r>
            <w:r w:rsidRPr="00BC1102">
              <w:rPr>
                <w:rFonts w:eastAsiaTheme="minorEastAsia"/>
                <w:vertAlign w:val="superscript"/>
                <w:lang w:eastAsia="en-AU"/>
              </w:rPr>
              <w:t>(a)(b)</w:t>
            </w:r>
          </w:p>
        </w:tc>
        <w:tc>
          <w:tcPr>
            <w:tcW w:w="864" w:type="dxa"/>
            <w:tcBorders>
              <w:top w:val="nil"/>
              <w:left w:val="nil"/>
              <w:bottom w:val="nil"/>
              <w:right w:val="nil"/>
            </w:tcBorders>
            <w:shd w:val="solid" w:color="FFFFFF" w:fill="auto"/>
          </w:tcPr>
          <w:p w:rsidR="00116054" w:rsidRPr="00BC1102" w:rsidRDefault="00116054" w:rsidP="00BC1102">
            <w:pPr>
              <w:pStyle w:val="TableofFigures"/>
              <w:jc w:val="center"/>
              <w:rPr>
                <w:rFonts w:eastAsiaTheme="minorEastAsia"/>
                <w:lang w:eastAsia="en-AU"/>
              </w:rPr>
            </w:pPr>
            <w:r w:rsidRPr="00BC1102">
              <w:rPr>
                <w:rFonts w:eastAsiaTheme="minorEastAsia"/>
                <w:lang w:eastAsia="en-AU"/>
              </w:rPr>
              <w:t>$</w:t>
            </w:r>
            <w:r>
              <w:rPr>
                <w:rFonts w:eastAsiaTheme="minorEastAsia"/>
                <w:lang w:eastAsia="en-AU"/>
              </w:rPr>
              <w:t> billion</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5.5</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4.2</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5.2</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6.5</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4.5</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5.1</w:t>
            </w:r>
          </w:p>
        </w:tc>
      </w:tr>
      <w:tr w:rsidR="00116054" w:rsidRPr="00BC1102" w:rsidTr="00BC1102">
        <w:trPr>
          <w:cantSplit/>
        </w:trPr>
        <w:tc>
          <w:tcPr>
            <w:tcW w:w="1712" w:type="dxa"/>
            <w:tcBorders>
              <w:top w:val="nil"/>
              <w:left w:val="nil"/>
              <w:bottom w:val="nil"/>
              <w:right w:val="nil"/>
            </w:tcBorders>
            <w:shd w:val="solid" w:color="FFFFFF" w:fill="auto"/>
          </w:tcPr>
          <w:p w:rsidR="00116054" w:rsidRPr="00BC1102" w:rsidRDefault="00116054" w:rsidP="00BC1102">
            <w:pPr>
              <w:pStyle w:val="Tabletext"/>
              <w:rPr>
                <w:rFonts w:eastAsiaTheme="minorEastAsia"/>
                <w:lang w:eastAsia="en-AU"/>
              </w:rPr>
            </w:pPr>
            <w:r w:rsidRPr="00BC1102">
              <w:rPr>
                <w:rFonts w:eastAsiaTheme="minorEastAsia"/>
                <w:lang w:eastAsia="en-AU"/>
              </w:rPr>
              <w:t>Net debt</w:t>
            </w:r>
          </w:p>
        </w:tc>
        <w:tc>
          <w:tcPr>
            <w:tcW w:w="864" w:type="dxa"/>
            <w:tcBorders>
              <w:top w:val="nil"/>
              <w:left w:val="nil"/>
              <w:bottom w:val="nil"/>
              <w:right w:val="nil"/>
            </w:tcBorders>
            <w:shd w:val="solid" w:color="FFFFFF" w:fill="auto"/>
          </w:tcPr>
          <w:p w:rsidR="00116054" w:rsidRPr="00BC1102" w:rsidRDefault="00116054" w:rsidP="00BC1102">
            <w:pPr>
              <w:pStyle w:val="TableofFigures"/>
              <w:jc w:val="center"/>
              <w:rPr>
                <w:rFonts w:eastAsiaTheme="minorEastAsia"/>
                <w:lang w:eastAsia="en-AU"/>
              </w:rPr>
            </w:pPr>
            <w:r w:rsidRPr="00BC1102">
              <w:rPr>
                <w:rFonts w:eastAsiaTheme="minorEastAsia"/>
                <w:lang w:eastAsia="en-AU"/>
              </w:rPr>
              <w:t>$</w:t>
            </w:r>
            <w:r>
              <w:rPr>
                <w:rFonts w:eastAsiaTheme="minorEastAsia"/>
                <w:lang w:eastAsia="en-AU"/>
              </w:rPr>
              <w:t> billion</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21.2</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21.2</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16.9</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19.3</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19.5</w:t>
            </w:r>
          </w:p>
        </w:tc>
        <w:tc>
          <w:tcPr>
            <w:tcW w:w="864" w:type="dxa"/>
            <w:tcBorders>
              <w:top w:val="nil"/>
              <w:left w:val="nil"/>
              <w:bottom w:val="nil"/>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 xml:space="preserve"> 19.8</w:t>
            </w:r>
          </w:p>
        </w:tc>
      </w:tr>
      <w:tr w:rsidR="00116054" w:rsidRPr="00BC1102" w:rsidTr="00BC1102">
        <w:trPr>
          <w:cantSplit/>
        </w:trPr>
        <w:tc>
          <w:tcPr>
            <w:tcW w:w="1712" w:type="dxa"/>
            <w:tcBorders>
              <w:top w:val="nil"/>
              <w:left w:val="nil"/>
              <w:bottom w:val="single" w:sz="12" w:space="0" w:color="000000"/>
              <w:right w:val="nil"/>
            </w:tcBorders>
            <w:shd w:val="solid" w:color="FFFFFF" w:fill="auto"/>
          </w:tcPr>
          <w:p w:rsidR="00116054" w:rsidRPr="00BC1102" w:rsidRDefault="00116054" w:rsidP="00BC1102">
            <w:pPr>
              <w:pStyle w:val="Tabletext"/>
              <w:rPr>
                <w:rFonts w:eastAsiaTheme="minorEastAsia"/>
                <w:lang w:eastAsia="en-AU"/>
              </w:rPr>
            </w:pPr>
            <w:r w:rsidRPr="00BC1102">
              <w:rPr>
                <w:rFonts w:eastAsiaTheme="minorEastAsia"/>
                <w:lang w:eastAsia="en-AU"/>
              </w:rPr>
              <w:t>Net debt to GSP</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jc w:val="center"/>
              <w:rPr>
                <w:rFonts w:eastAsiaTheme="minorEastAsia"/>
                <w:lang w:eastAsia="en-AU"/>
              </w:rPr>
            </w:pPr>
            <w:r w:rsidRPr="00BC1102">
              <w:rPr>
                <w:rFonts w:eastAsiaTheme="minorEastAsia"/>
                <w:lang w:eastAsia="en-AU"/>
              </w:rPr>
              <w:t>per cent</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6.0</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5.8</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4.4</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4.8</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4.6</w:t>
            </w:r>
          </w:p>
        </w:tc>
        <w:tc>
          <w:tcPr>
            <w:tcW w:w="864" w:type="dxa"/>
            <w:tcBorders>
              <w:top w:val="nil"/>
              <w:left w:val="nil"/>
              <w:bottom w:val="single" w:sz="12" w:space="0" w:color="000000"/>
              <w:right w:val="nil"/>
            </w:tcBorders>
            <w:shd w:val="solid" w:color="FFFFFF" w:fill="auto"/>
          </w:tcPr>
          <w:p w:rsidR="00116054" w:rsidRPr="00BC1102" w:rsidRDefault="00116054" w:rsidP="00BC1102">
            <w:pPr>
              <w:pStyle w:val="TableofFigures"/>
              <w:rPr>
                <w:rFonts w:eastAsiaTheme="minorEastAsia"/>
                <w:lang w:eastAsia="en-AU"/>
              </w:rPr>
            </w:pPr>
            <w:r w:rsidRPr="00BC1102">
              <w:rPr>
                <w:rFonts w:eastAsiaTheme="minorEastAsia"/>
                <w:lang w:eastAsia="en-AU"/>
              </w:rPr>
              <w:t>4.4</w:t>
            </w:r>
          </w:p>
        </w:tc>
      </w:tr>
    </w:tbl>
    <w:p w:rsidR="00116054" w:rsidRPr="002A1B71" w:rsidRDefault="00116054" w:rsidP="00CE5912">
      <w:pPr>
        <w:pStyle w:val="Calibri"/>
      </w:pPr>
      <w:r w:rsidRPr="002A1B71">
        <w:t>Source: Department of Treasury and Finance</w:t>
      </w:r>
      <w:r>
        <w:fldChar w:fldCharType="begin"/>
      </w:r>
      <w:r>
        <w:instrText xml:space="preserve"> XE "</w:instrText>
      </w:r>
      <w:proofErr w:type="spellStart"/>
      <w:r w:rsidRPr="00F842E5">
        <w:instrText>Debt:Net</w:instrText>
      </w:r>
      <w:proofErr w:type="spellEnd"/>
      <w:r w:rsidRPr="00F842E5">
        <w:instrText xml:space="preserve"> debt</w:instrText>
      </w:r>
      <w:r>
        <w:instrText xml:space="preserve">" </w:instrText>
      </w:r>
      <w:r>
        <w:fldChar w:fldCharType="end"/>
      </w:r>
    </w:p>
    <w:p w:rsidR="00116054" w:rsidRDefault="00116054" w:rsidP="00377475">
      <w:pPr>
        <w:pStyle w:val="Notes"/>
      </w:pPr>
      <w:r>
        <w:t>Notes:</w:t>
      </w:r>
    </w:p>
    <w:p w:rsidR="00116054" w:rsidRDefault="00116054" w:rsidP="00377475">
      <w:pPr>
        <w:pStyle w:val="Notes"/>
      </w:pPr>
      <w:r>
        <w:t xml:space="preserve">(a) </w:t>
      </w:r>
      <w:r>
        <w:tab/>
        <w:t xml:space="preserve">Includes general government net infrastructure investment and estimated </w:t>
      </w:r>
      <w:proofErr w:type="spellStart"/>
      <w:r>
        <w:t>cashflows</w:t>
      </w:r>
      <w:proofErr w:type="spellEnd"/>
      <w:r>
        <w:t xml:space="preserve"> for </w:t>
      </w:r>
      <w:r w:rsidRPr="00F843CD">
        <w:rPr>
          <w:i w:val="0"/>
        </w:rPr>
        <w:t>Partnerships Victoria</w:t>
      </w:r>
      <w:r>
        <w:t xml:space="preserve"> projects.</w:t>
      </w:r>
    </w:p>
    <w:p w:rsidR="00116054" w:rsidRDefault="00116054" w:rsidP="00377475">
      <w:pPr>
        <w:tabs>
          <w:tab w:val="left" w:pos="454"/>
        </w:tabs>
        <w:spacing w:after="0"/>
        <w:ind w:left="461" w:hanging="461"/>
        <w:rPr>
          <w:rFonts w:ascii="Calibri" w:hAnsi="Calibri"/>
          <w:i/>
          <w:sz w:val="15"/>
        </w:rPr>
      </w:pPr>
      <w:r w:rsidRPr="00377475">
        <w:rPr>
          <w:rFonts w:ascii="Calibri" w:hAnsi="Calibri"/>
          <w:i/>
          <w:sz w:val="15"/>
        </w:rPr>
        <w:t>(b)</w:t>
      </w:r>
      <w:r w:rsidRPr="00377475">
        <w:rPr>
          <w:rFonts w:ascii="Calibri" w:hAnsi="Calibri"/>
          <w:i/>
          <w:sz w:val="15"/>
        </w:rPr>
        <w:tab/>
        <w:t>Excludes the impact in 2015</w:t>
      </w:r>
      <w:r>
        <w:rPr>
          <w:rFonts w:ascii="Calibri" w:hAnsi="Calibri"/>
          <w:i/>
          <w:sz w:val="15"/>
        </w:rPr>
        <w:noBreakHyphen/>
      </w:r>
      <w:r w:rsidRPr="00377475">
        <w:rPr>
          <w:rFonts w:ascii="Calibri" w:hAnsi="Calibri"/>
          <w:i/>
          <w:sz w:val="15"/>
        </w:rPr>
        <w:t>16 of the medium</w:t>
      </w:r>
      <w:r>
        <w:rPr>
          <w:rFonts w:ascii="Calibri" w:hAnsi="Calibri"/>
          <w:i/>
          <w:sz w:val="15"/>
        </w:rPr>
        <w:noBreakHyphen/>
      </w:r>
      <w:r w:rsidRPr="00377475">
        <w:rPr>
          <w:rFonts w:ascii="Calibri" w:hAnsi="Calibri"/>
          <w:i/>
          <w:sz w:val="15"/>
        </w:rPr>
        <w:t>term lease over the operations of the Port of Melbourne</w:t>
      </w:r>
      <w:r>
        <w:rPr>
          <w:rFonts w:ascii="Calibri" w:hAnsi="Calibri"/>
          <w:i/>
          <w:sz w:val="15"/>
        </w:rPr>
        <w:t>.</w:t>
      </w:r>
      <w:r w:rsidRPr="00377475">
        <w:rPr>
          <w:rFonts w:ascii="Calibri" w:hAnsi="Calibri"/>
          <w:i/>
          <w:sz w:val="15"/>
        </w:rPr>
        <w:fldChar w:fldCharType="begin"/>
      </w:r>
      <w:r w:rsidRPr="00377475">
        <w:rPr>
          <w:rFonts w:ascii="Calibri" w:hAnsi="Calibri"/>
          <w:i/>
          <w:sz w:val="15"/>
        </w:rPr>
        <w:instrText xml:space="preserve"> XE "Port of Melbourne" </w:instrText>
      </w:r>
      <w:r w:rsidRPr="00377475">
        <w:rPr>
          <w:rFonts w:ascii="Calibri" w:hAnsi="Calibri"/>
          <w:i/>
          <w:sz w:val="15"/>
        </w:rPr>
        <w:fldChar w:fldCharType="end"/>
      </w:r>
      <w:r>
        <w:rPr>
          <w:rFonts w:ascii="Calibri" w:hAnsi="Calibri"/>
          <w:i/>
          <w:sz w:val="15"/>
        </w:rPr>
        <w:fldChar w:fldCharType="begin"/>
      </w:r>
      <w:r>
        <w:instrText xml:space="preserve"> XE "</w:instrText>
      </w:r>
      <w:r w:rsidRPr="00146147">
        <w:instrText>Infrastructure investment</w:instrText>
      </w:r>
      <w:r>
        <w:instrText xml:space="preserve">" \r "BP2Ch1InfrInvest" </w:instrText>
      </w:r>
      <w:r>
        <w:rPr>
          <w:rFonts w:ascii="Calibri" w:hAnsi="Calibri"/>
          <w:i/>
          <w:sz w:val="15"/>
        </w:rPr>
        <w:fldChar w:fldCharType="end"/>
      </w:r>
    </w:p>
    <w:p w:rsidR="00116054" w:rsidRDefault="00116054" w:rsidP="00611940"/>
    <w:bookmarkEnd w:id="25"/>
    <w:p w:rsidR="00116054" w:rsidRDefault="00116054" w:rsidP="00611940">
      <w:r w:rsidRPr="00BE144C">
        <w:t xml:space="preserve">To maintain a stable revenue base, the </w:t>
      </w:r>
      <w:r w:rsidRPr="00B75255">
        <w:rPr>
          <w:i/>
        </w:rPr>
        <w:t>2015</w:t>
      </w:r>
      <w:r>
        <w:rPr>
          <w:i/>
        </w:rPr>
        <w:noBreakHyphen/>
      </w:r>
      <w:r w:rsidRPr="00B75255">
        <w:rPr>
          <w:i/>
        </w:rPr>
        <w:t>16 Budget</w:t>
      </w:r>
      <w:r w:rsidRPr="00BE144C">
        <w:t xml:space="preserve"> outlook includes</w:t>
      </w:r>
      <w:r>
        <w:t xml:space="preserve"> modest revenue measures. A 3.0 per cent</w:t>
      </w:r>
      <w:r w:rsidRPr="00BE144C">
        <w:t xml:space="preserve"> stamp duty surcharge </w:t>
      </w:r>
      <w:r>
        <w:t xml:space="preserve">will </w:t>
      </w:r>
      <w:r w:rsidRPr="00BE144C">
        <w:t>be applied to foreign buyers of residential real estate, and a 0.5</w:t>
      </w:r>
      <w:r>
        <w:t> per cent</w:t>
      </w:r>
      <w:r w:rsidRPr="00BE144C">
        <w:t xml:space="preserve"> land tax</w:t>
      </w:r>
      <w:r>
        <w:fldChar w:fldCharType="begin"/>
      </w:r>
      <w:r>
        <w:instrText xml:space="preserve"> XE "</w:instrText>
      </w:r>
      <w:r w:rsidRPr="00DC1922">
        <w:rPr>
          <w:lang w:val="en-US"/>
        </w:rPr>
        <w:instrText>Tax</w:instrText>
      </w:r>
      <w:r>
        <w:rPr>
          <w:lang w:val="en-US"/>
        </w:rPr>
        <w:instrText>ation</w:instrText>
      </w:r>
      <w:r w:rsidRPr="00DC1922">
        <w:rPr>
          <w:lang w:val="en-US"/>
        </w:rPr>
        <w:instrText>:</w:instrText>
      </w:r>
      <w:r w:rsidRPr="00DC1922">
        <w:instrText>Land tax</w:instrText>
      </w:r>
      <w:r>
        <w:instrText xml:space="preserve">" </w:instrText>
      </w:r>
      <w:r>
        <w:fldChar w:fldCharType="end"/>
      </w:r>
      <w:r w:rsidRPr="00BE144C">
        <w:t xml:space="preserve"> surcharge will be applied to absentee owners of property in Victoria</w:t>
      </w:r>
      <w:r>
        <w:t>,</w:t>
      </w:r>
      <w:r w:rsidRPr="00BE144C">
        <w:t xml:space="preserve"> in addition to any other land tax payable. </w:t>
      </w:r>
      <w:r w:rsidRPr="001F4287">
        <w:t>These measures will help ensure that all property owners contribute to funding the improved infrastructure and services which contribute to rising property values.</w:t>
      </w:r>
      <w:r>
        <w:t xml:space="preserve"> </w:t>
      </w:r>
      <w:r w:rsidRPr="00642993">
        <w:t xml:space="preserve">These measures do not increase the tax burden on </w:t>
      </w:r>
      <w:r>
        <w:t>Victorian</w:t>
      </w:r>
      <w:r w:rsidRPr="00642993">
        <w:t xml:space="preserve"> residents and are consistent with the Government</w:t>
      </w:r>
      <w:r>
        <w:t>’</w:t>
      </w:r>
      <w:r w:rsidRPr="00642993">
        <w:t>s commitment not to fund its election commitments through increased taxes on the Victorian community.</w:t>
      </w:r>
    </w:p>
    <w:p w:rsidR="00116054" w:rsidRDefault="00116054" w:rsidP="00611940">
      <w:r>
        <w:t>In addition, the Government will undertake a broader review of current policies affecting housing affordability, including taxation, regulatory settings and the suite of grants and concessions available to different categories of property purchasers. The review will be completed by the end of 2015 and will guide future reforms to improve housing affordability for all Victorians.</w:t>
      </w:r>
    </w:p>
    <w:p w:rsidR="00116054" w:rsidRPr="00B75255" w:rsidRDefault="00116054" w:rsidP="00B75255">
      <w:r>
        <w:t xml:space="preserve">The Government has reviewed the fiscal strategy to more closely align with its priorities to provide services and infrastructure for all Victorians in a fiscally responsible manner. </w:t>
      </w:r>
      <w:r w:rsidRPr="00A178EE">
        <w:t xml:space="preserve">The </w:t>
      </w:r>
      <w:r w:rsidRPr="00B75255">
        <w:rPr>
          <w:i/>
        </w:rPr>
        <w:t>2015</w:t>
      </w:r>
      <w:r>
        <w:rPr>
          <w:i/>
        </w:rPr>
        <w:noBreakHyphen/>
      </w:r>
      <w:r w:rsidRPr="00B75255">
        <w:rPr>
          <w:i/>
        </w:rPr>
        <w:t>16 Budget</w:t>
      </w:r>
      <w:r w:rsidRPr="00A178EE">
        <w:t xml:space="preserve"> reflects the Government</w:t>
      </w:r>
      <w:r>
        <w:t>’s long</w:t>
      </w:r>
      <w:r>
        <w:noBreakHyphen/>
      </w:r>
      <w:r w:rsidRPr="00A178EE">
        <w:t>term financial management objectives (</w:t>
      </w:r>
      <w:r>
        <w:t>Table 1.2</w:t>
      </w:r>
      <w:r w:rsidRPr="00A178EE">
        <w:t xml:space="preserve">). </w:t>
      </w:r>
    </w:p>
    <w:p w:rsidR="00116054" w:rsidRDefault="00116054">
      <w:pPr>
        <w:spacing w:after="0"/>
        <w:rPr>
          <w:rFonts w:ascii="Calibri" w:hAnsi="Calibri"/>
          <w:b/>
        </w:rPr>
      </w:pPr>
      <w:r>
        <w:br w:type="page"/>
      </w:r>
    </w:p>
    <w:p w:rsidR="00116054" w:rsidRPr="00BF4F50" w:rsidRDefault="00116054" w:rsidP="00AF321E">
      <w:pPr>
        <w:pStyle w:val="Tableheading"/>
      </w:pPr>
      <w:r w:rsidRPr="00A178EE">
        <w:lastRenderedPageBreak/>
        <w:t>Table 1.2:</w:t>
      </w:r>
      <w:r w:rsidRPr="00A178EE">
        <w:tab/>
        <w:t>Long</w:t>
      </w:r>
      <w:r>
        <w:noBreakHyphen/>
      </w:r>
      <w:r w:rsidRPr="00A178EE">
        <w:t>term financial management objectives</w:t>
      </w:r>
      <w:r w:rsidRPr="00BF4F50">
        <w:t xml:space="preserve"> </w:t>
      </w:r>
    </w:p>
    <w:tbl>
      <w:tblPr>
        <w:tblW w:w="0" w:type="auto"/>
        <w:tblInd w:w="29" w:type="dxa"/>
        <w:tblLayout w:type="fixed"/>
        <w:tblCellMar>
          <w:left w:w="43" w:type="dxa"/>
          <w:right w:w="43" w:type="dxa"/>
        </w:tblCellMar>
        <w:tblLook w:val="0000" w:firstRow="0" w:lastRow="0" w:firstColumn="0" w:lastColumn="0" w:noHBand="0" w:noVBand="0"/>
      </w:tblPr>
      <w:tblGrid>
        <w:gridCol w:w="2477"/>
        <w:gridCol w:w="5241"/>
      </w:tblGrid>
      <w:tr w:rsidR="00116054" w:rsidRPr="00E91E3F" w:rsidTr="00463FDE">
        <w:trPr>
          <w:trHeight w:val="262"/>
        </w:trPr>
        <w:tc>
          <w:tcPr>
            <w:tcW w:w="2477" w:type="dxa"/>
            <w:tcBorders>
              <w:top w:val="single" w:sz="6" w:space="0" w:color="auto"/>
              <w:left w:val="single" w:sz="6" w:space="0" w:color="auto"/>
              <w:bottom w:val="single" w:sz="6" w:space="0" w:color="auto"/>
              <w:right w:val="nil"/>
            </w:tcBorders>
            <w:shd w:val="solid" w:color="000000" w:fill="auto"/>
          </w:tcPr>
          <w:p w:rsidR="00116054" w:rsidRPr="00E91E3F" w:rsidRDefault="00116054" w:rsidP="00463FDE">
            <w:pPr>
              <w:pStyle w:val="Tabletextheadingleft"/>
              <w:rPr>
                <w:rFonts w:eastAsiaTheme="minorEastAsia"/>
                <w:color w:val="FFFFFF" w:themeColor="background1"/>
                <w:lang w:eastAsia="en-AU"/>
              </w:rPr>
            </w:pPr>
            <w:r>
              <w:rPr>
                <w:rFonts w:eastAsiaTheme="minorEastAsia"/>
                <w:color w:val="FFFFFF" w:themeColor="background1"/>
                <w:lang w:eastAsia="en-AU"/>
              </w:rPr>
              <w:t>Priority</w:t>
            </w:r>
          </w:p>
        </w:tc>
        <w:tc>
          <w:tcPr>
            <w:tcW w:w="5241" w:type="dxa"/>
            <w:tcBorders>
              <w:top w:val="single" w:sz="6" w:space="0" w:color="auto"/>
              <w:left w:val="nil"/>
              <w:bottom w:val="single" w:sz="6" w:space="0" w:color="auto"/>
              <w:right w:val="single" w:sz="6" w:space="0" w:color="auto"/>
            </w:tcBorders>
            <w:shd w:val="solid" w:color="000000" w:fill="auto"/>
          </w:tcPr>
          <w:p w:rsidR="00116054" w:rsidRPr="00E91E3F" w:rsidRDefault="00116054" w:rsidP="00463FDE">
            <w:pPr>
              <w:pStyle w:val="Tabletextheadingleft"/>
              <w:rPr>
                <w:rFonts w:eastAsiaTheme="minorEastAsia"/>
                <w:color w:val="FFFFFF" w:themeColor="background1"/>
                <w:lang w:eastAsia="en-AU"/>
              </w:rPr>
            </w:pPr>
            <w:r>
              <w:rPr>
                <w:rFonts w:eastAsiaTheme="minorEastAsia"/>
                <w:color w:val="FFFFFF" w:themeColor="background1"/>
                <w:lang w:eastAsia="en-AU"/>
              </w:rPr>
              <w:t>Objective</w:t>
            </w:r>
          </w:p>
        </w:tc>
      </w:tr>
      <w:tr w:rsidR="00116054" w:rsidRPr="00BF4F50" w:rsidTr="00463FDE">
        <w:trPr>
          <w:trHeight w:val="785"/>
        </w:trPr>
        <w:tc>
          <w:tcPr>
            <w:tcW w:w="2477" w:type="dxa"/>
            <w:tcBorders>
              <w:top w:val="nil"/>
              <w:left w:val="nil"/>
              <w:bottom w:val="nil"/>
              <w:right w:val="nil"/>
            </w:tcBorders>
            <w:shd w:val="solid" w:color="FFFFFF" w:fill="auto"/>
          </w:tcPr>
          <w:p w:rsidR="00116054" w:rsidRPr="00BF4F50" w:rsidRDefault="00116054" w:rsidP="00463FDE">
            <w:pPr>
              <w:pStyle w:val="Tabletextnoindent"/>
              <w:rPr>
                <w:b/>
              </w:rPr>
            </w:pPr>
            <w:r>
              <w:rPr>
                <w:b/>
              </w:rPr>
              <w:t>Sound financial management</w:t>
            </w:r>
          </w:p>
        </w:tc>
        <w:tc>
          <w:tcPr>
            <w:tcW w:w="5241" w:type="dxa"/>
            <w:tcBorders>
              <w:top w:val="nil"/>
              <w:left w:val="nil"/>
              <w:bottom w:val="nil"/>
              <w:right w:val="nil"/>
            </w:tcBorders>
            <w:shd w:val="solid" w:color="FFFFFF" w:fill="auto"/>
          </w:tcPr>
          <w:p w:rsidR="00116054" w:rsidRPr="00BF4F50" w:rsidRDefault="00116054" w:rsidP="00463FDE">
            <w:pPr>
              <w:pStyle w:val="Tabletextnoindent"/>
            </w:pPr>
            <w:r>
              <w:t>Victoria’s finances will be managed in a responsible manner to provide capacity to fund services and infrastructure at levels consistent with maintaining a triple</w:t>
            </w:r>
            <w:r>
              <w:noBreakHyphen/>
              <w:t>A credit rating</w:t>
            </w:r>
            <w:r>
              <w:fldChar w:fldCharType="begin"/>
            </w:r>
            <w:r>
              <w:instrText xml:space="preserve"> XE "</w:instrText>
            </w:r>
            <w:r w:rsidRPr="00DE7E32">
              <w:instrText>Triple</w:instrText>
            </w:r>
            <w:r w:rsidRPr="00DE7E32">
              <w:noBreakHyphen/>
              <w:instrText>A credit rating</w:instrText>
            </w:r>
            <w:r>
              <w:instrText xml:space="preserve">" </w:instrText>
            </w:r>
            <w:r>
              <w:fldChar w:fldCharType="end"/>
            </w:r>
            <w:r>
              <w:t>.</w:t>
            </w:r>
          </w:p>
        </w:tc>
      </w:tr>
      <w:tr w:rsidR="00116054" w:rsidRPr="00BF4F50" w:rsidTr="00175E59">
        <w:trPr>
          <w:trHeight w:val="366"/>
        </w:trPr>
        <w:tc>
          <w:tcPr>
            <w:tcW w:w="2477" w:type="dxa"/>
            <w:tcBorders>
              <w:top w:val="nil"/>
              <w:left w:val="nil"/>
              <w:bottom w:val="nil"/>
              <w:right w:val="nil"/>
            </w:tcBorders>
            <w:shd w:val="solid" w:color="FFFFFF" w:fill="auto"/>
          </w:tcPr>
          <w:p w:rsidR="00116054" w:rsidRPr="00BF4F50" w:rsidRDefault="00116054" w:rsidP="00463FDE">
            <w:pPr>
              <w:pStyle w:val="Tabletextnoindent"/>
              <w:rPr>
                <w:b/>
              </w:rPr>
            </w:pPr>
            <w:r>
              <w:rPr>
                <w:b/>
              </w:rPr>
              <w:t>Improving services</w:t>
            </w:r>
          </w:p>
        </w:tc>
        <w:tc>
          <w:tcPr>
            <w:tcW w:w="5241" w:type="dxa"/>
            <w:tcBorders>
              <w:top w:val="nil"/>
              <w:left w:val="nil"/>
              <w:bottom w:val="nil"/>
              <w:right w:val="nil"/>
            </w:tcBorders>
            <w:shd w:val="solid" w:color="FFFFFF" w:fill="auto"/>
          </w:tcPr>
          <w:p w:rsidR="00116054" w:rsidRPr="00BF4F50" w:rsidRDefault="00116054" w:rsidP="00463FDE">
            <w:pPr>
              <w:pStyle w:val="Tabletextnoindent"/>
            </w:pPr>
            <w:r>
              <w:t xml:space="preserve">Public services will improve over time. </w:t>
            </w:r>
          </w:p>
        </w:tc>
      </w:tr>
      <w:tr w:rsidR="00116054" w:rsidRPr="00BF4F50" w:rsidTr="00175E59">
        <w:trPr>
          <w:trHeight w:val="569"/>
        </w:trPr>
        <w:tc>
          <w:tcPr>
            <w:tcW w:w="2477" w:type="dxa"/>
            <w:tcBorders>
              <w:top w:val="nil"/>
              <w:left w:val="nil"/>
              <w:bottom w:val="nil"/>
              <w:right w:val="nil"/>
            </w:tcBorders>
            <w:shd w:val="solid" w:color="FFFFFF" w:fill="auto"/>
          </w:tcPr>
          <w:p w:rsidR="00116054" w:rsidRPr="00BF4F50" w:rsidRDefault="00116054" w:rsidP="00D95F14">
            <w:pPr>
              <w:pStyle w:val="Tabletextnoindent"/>
              <w:rPr>
                <w:b/>
              </w:rPr>
            </w:pPr>
            <w:r>
              <w:rPr>
                <w:b/>
              </w:rPr>
              <w:t>Building infrastructure</w:t>
            </w:r>
          </w:p>
        </w:tc>
        <w:tc>
          <w:tcPr>
            <w:tcW w:w="5241" w:type="dxa"/>
            <w:tcBorders>
              <w:top w:val="nil"/>
              <w:left w:val="nil"/>
              <w:bottom w:val="nil"/>
              <w:right w:val="nil"/>
            </w:tcBorders>
            <w:shd w:val="solid" w:color="FFFFFF" w:fill="auto"/>
          </w:tcPr>
          <w:p w:rsidR="00116054" w:rsidRPr="00BF4F50" w:rsidRDefault="00116054" w:rsidP="00D95F14">
            <w:pPr>
              <w:pStyle w:val="Tabletextnoindent"/>
            </w:pPr>
            <w:r>
              <w:t xml:space="preserve">Public infrastructure will grow steadily over time to meet the needs of a growing population. </w:t>
            </w:r>
          </w:p>
        </w:tc>
      </w:tr>
      <w:tr w:rsidR="00116054" w:rsidRPr="00175E59" w:rsidTr="00463FDE">
        <w:trPr>
          <w:trHeight w:val="538"/>
        </w:trPr>
        <w:tc>
          <w:tcPr>
            <w:tcW w:w="2477" w:type="dxa"/>
            <w:tcBorders>
              <w:top w:val="nil"/>
              <w:left w:val="nil"/>
              <w:bottom w:val="single" w:sz="12" w:space="0" w:color="auto"/>
              <w:right w:val="nil"/>
            </w:tcBorders>
            <w:shd w:val="solid" w:color="FFFFFF" w:fill="auto"/>
          </w:tcPr>
          <w:p w:rsidR="00116054" w:rsidRPr="00BF4F50" w:rsidRDefault="00116054" w:rsidP="00463FDE">
            <w:pPr>
              <w:pStyle w:val="Tabletextnoindent"/>
              <w:rPr>
                <w:b/>
              </w:rPr>
            </w:pPr>
            <w:r>
              <w:rPr>
                <w:b/>
              </w:rPr>
              <w:t>Efficient use of public resources</w:t>
            </w:r>
          </w:p>
        </w:tc>
        <w:tc>
          <w:tcPr>
            <w:tcW w:w="5241" w:type="dxa"/>
            <w:tcBorders>
              <w:top w:val="nil"/>
              <w:left w:val="nil"/>
              <w:bottom w:val="single" w:sz="12" w:space="0" w:color="auto"/>
              <w:right w:val="nil"/>
            </w:tcBorders>
            <w:shd w:val="solid" w:color="FFFFFF" w:fill="auto"/>
          </w:tcPr>
          <w:p w:rsidR="00116054" w:rsidRPr="00BF4F50" w:rsidRDefault="00116054" w:rsidP="00D95F14">
            <w:pPr>
              <w:pStyle w:val="Tabletextnoindent"/>
            </w:pPr>
            <w:r>
              <w:t>Public sector resources will be invested in services and infrastructure to maximise the economic, social and environmental benefits.</w:t>
            </w:r>
          </w:p>
        </w:tc>
      </w:tr>
    </w:tbl>
    <w:p w:rsidR="00116054" w:rsidRPr="00BF4F50" w:rsidRDefault="00116054" w:rsidP="00AF321E">
      <w:pPr>
        <w:pStyle w:val="Source"/>
      </w:pPr>
    </w:p>
    <w:p w:rsidR="00116054" w:rsidRDefault="00116054" w:rsidP="002B2C48">
      <w:pPr>
        <w:pStyle w:val="BulletText"/>
        <w:numPr>
          <w:ilvl w:val="0"/>
          <w:numId w:val="0"/>
        </w:numPr>
      </w:pPr>
      <w:r>
        <w:t>Progress towards these long</w:t>
      </w:r>
      <w:r>
        <w:noBreakHyphen/>
        <w:t xml:space="preserve">term financial management objectives is supported by the following financial measures and targets (Table 1.3). </w:t>
      </w:r>
    </w:p>
    <w:p w:rsidR="00116054" w:rsidRPr="00BF4F50" w:rsidRDefault="00116054" w:rsidP="005409C5">
      <w:pPr>
        <w:pStyle w:val="Tableheading"/>
      </w:pPr>
      <w:r w:rsidRPr="00A178EE">
        <w:t>Table 1.3:</w:t>
      </w:r>
      <w:r w:rsidRPr="00A178EE">
        <w:tab/>
      </w:r>
      <w:r>
        <w:t xml:space="preserve">Financial measures and targets for </w:t>
      </w:r>
      <w:r w:rsidRPr="00F11535">
        <w:rPr>
          <w:i/>
        </w:rPr>
        <w:t>2015</w:t>
      </w:r>
      <w:r>
        <w:rPr>
          <w:i/>
        </w:rPr>
        <w:noBreakHyphen/>
      </w:r>
      <w:r w:rsidRPr="00F11535">
        <w:rPr>
          <w:i/>
        </w:rPr>
        <w:t>16 Budget</w:t>
      </w:r>
      <w:r w:rsidRPr="00BF4F50">
        <w:t xml:space="preserve"> </w:t>
      </w:r>
    </w:p>
    <w:tbl>
      <w:tblPr>
        <w:tblW w:w="0" w:type="auto"/>
        <w:tblInd w:w="29" w:type="dxa"/>
        <w:tblBorders>
          <w:bottom w:val="single" w:sz="12" w:space="0" w:color="auto"/>
        </w:tblBorders>
        <w:tblLayout w:type="fixed"/>
        <w:tblCellMar>
          <w:left w:w="43" w:type="dxa"/>
          <w:right w:w="43" w:type="dxa"/>
        </w:tblCellMar>
        <w:tblLook w:val="0000" w:firstRow="0" w:lastRow="0" w:firstColumn="0" w:lastColumn="0" w:noHBand="0" w:noVBand="0"/>
      </w:tblPr>
      <w:tblGrid>
        <w:gridCol w:w="2477"/>
        <w:gridCol w:w="5241"/>
      </w:tblGrid>
      <w:tr w:rsidR="00116054" w:rsidRPr="00BF4F50" w:rsidTr="00796B2A">
        <w:trPr>
          <w:trHeight w:val="262"/>
        </w:trPr>
        <w:tc>
          <w:tcPr>
            <w:tcW w:w="2477" w:type="dxa"/>
            <w:tcBorders>
              <w:top w:val="single" w:sz="6" w:space="0" w:color="000000"/>
              <w:left w:val="single" w:sz="6" w:space="0" w:color="000000"/>
              <w:bottom w:val="single" w:sz="6" w:space="0" w:color="000000"/>
            </w:tcBorders>
            <w:shd w:val="solid" w:color="000000" w:fill="auto"/>
          </w:tcPr>
          <w:p w:rsidR="00116054" w:rsidRPr="00BF4F50" w:rsidRDefault="00116054" w:rsidP="00463FDE">
            <w:pPr>
              <w:pStyle w:val="Tabletextheadingleft"/>
              <w:rPr>
                <w:rFonts w:eastAsiaTheme="minorEastAsia"/>
                <w:lang w:eastAsia="en-AU"/>
              </w:rPr>
            </w:pPr>
            <w:r w:rsidRPr="00BF4F50">
              <w:rPr>
                <w:rFonts w:eastAsiaTheme="minorEastAsia"/>
                <w:lang w:eastAsia="en-AU"/>
              </w:rPr>
              <w:t xml:space="preserve">Financial </w:t>
            </w:r>
            <w:r w:rsidRPr="00BF4F50">
              <w:rPr>
                <w:rFonts w:eastAsiaTheme="minorEastAsia"/>
              </w:rPr>
              <w:t>measures</w:t>
            </w:r>
          </w:p>
        </w:tc>
        <w:tc>
          <w:tcPr>
            <w:tcW w:w="5241" w:type="dxa"/>
            <w:tcBorders>
              <w:top w:val="single" w:sz="6" w:space="0" w:color="000000"/>
              <w:bottom w:val="single" w:sz="6" w:space="0" w:color="000000"/>
              <w:right w:val="single" w:sz="6" w:space="0" w:color="000000"/>
            </w:tcBorders>
            <w:shd w:val="solid" w:color="000000" w:fill="auto"/>
          </w:tcPr>
          <w:p w:rsidR="00116054" w:rsidRPr="00BF4F50" w:rsidRDefault="00116054" w:rsidP="00463FDE">
            <w:pPr>
              <w:pStyle w:val="Tabletextheadingleft"/>
              <w:rPr>
                <w:rFonts w:eastAsiaTheme="minorEastAsia"/>
                <w:lang w:eastAsia="en-AU"/>
              </w:rPr>
            </w:pPr>
            <w:r>
              <w:rPr>
                <w:rFonts w:eastAsiaTheme="minorEastAsia"/>
                <w:lang w:eastAsia="en-AU"/>
              </w:rPr>
              <w:t>Target</w:t>
            </w:r>
          </w:p>
        </w:tc>
      </w:tr>
      <w:tr w:rsidR="00116054" w:rsidRPr="00BF4F50" w:rsidTr="00796B2A">
        <w:trPr>
          <w:trHeight w:val="523"/>
        </w:trPr>
        <w:tc>
          <w:tcPr>
            <w:tcW w:w="2477" w:type="dxa"/>
            <w:tcBorders>
              <w:top w:val="single" w:sz="6" w:space="0" w:color="000000"/>
            </w:tcBorders>
            <w:shd w:val="solid" w:color="FFFFFF" w:fill="auto"/>
          </w:tcPr>
          <w:p w:rsidR="00116054" w:rsidRPr="00A178EE" w:rsidRDefault="00116054" w:rsidP="00463FDE">
            <w:pPr>
              <w:pStyle w:val="Tabletextnoindent"/>
              <w:rPr>
                <w:b/>
              </w:rPr>
            </w:pPr>
            <w:r w:rsidRPr="00A178EE">
              <w:rPr>
                <w:b/>
              </w:rPr>
              <w:t>Net debt</w:t>
            </w:r>
          </w:p>
        </w:tc>
        <w:tc>
          <w:tcPr>
            <w:tcW w:w="5241" w:type="dxa"/>
            <w:tcBorders>
              <w:top w:val="single" w:sz="6" w:space="0" w:color="000000"/>
            </w:tcBorders>
          </w:tcPr>
          <w:p w:rsidR="00116054" w:rsidRPr="00BF4F50" w:rsidRDefault="00116054" w:rsidP="00092BB3">
            <w:pPr>
              <w:pStyle w:val="Tabletextnoindent"/>
            </w:pPr>
            <w:r w:rsidRPr="00A178EE">
              <w:t>General government net debt</w:t>
            </w:r>
            <w:r>
              <w:fldChar w:fldCharType="begin"/>
            </w:r>
            <w:r>
              <w:instrText xml:space="preserve"> XE "</w:instrText>
            </w:r>
            <w:proofErr w:type="spellStart"/>
            <w:r>
              <w:instrText>D</w:instrText>
            </w:r>
            <w:r w:rsidRPr="00582107">
              <w:instrText>ebt:General</w:instrText>
            </w:r>
            <w:proofErr w:type="spellEnd"/>
            <w:r w:rsidRPr="00582107">
              <w:instrText xml:space="preserve"> government net debt</w:instrText>
            </w:r>
            <w:r>
              <w:instrText xml:space="preserve">" </w:instrText>
            </w:r>
            <w:r>
              <w:fldChar w:fldCharType="end"/>
            </w:r>
            <w:r w:rsidRPr="00A178EE">
              <w:t xml:space="preserve"> as a percentage of GSP to be maintained at a sustainable level over the medium</w:t>
            </w:r>
            <w:r>
              <w:noBreakHyphen/>
            </w:r>
            <w:r w:rsidRPr="00A178EE">
              <w:t>term.</w:t>
            </w:r>
            <w:r>
              <w:t xml:space="preserve"> </w:t>
            </w:r>
          </w:p>
        </w:tc>
      </w:tr>
      <w:tr w:rsidR="00116054" w:rsidRPr="00BF4F50" w:rsidTr="00463FDE">
        <w:trPr>
          <w:trHeight w:val="243"/>
        </w:trPr>
        <w:tc>
          <w:tcPr>
            <w:tcW w:w="2477" w:type="dxa"/>
            <w:shd w:val="solid" w:color="FFFFFF" w:fill="auto"/>
          </w:tcPr>
          <w:p w:rsidR="00116054" w:rsidRPr="00BF4F50" w:rsidRDefault="00116054" w:rsidP="00463FDE">
            <w:pPr>
              <w:pStyle w:val="Tabletextnoindent"/>
              <w:rPr>
                <w:b/>
              </w:rPr>
            </w:pPr>
            <w:r w:rsidRPr="00BF4F50">
              <w:rPr>
                <w:b/>
              </w:rPr>
              <w:t>Superannuation liabilities</w:t>
            </w:r>
          </w:p>
        </w:tc>
        <w:tc>
          <w:tcPr>
            <w:tcW w:w="5241" w:type="dxa"/>
          </w:tcPr>
          <w:p w:rsidR="00116054" w:rsidRPr="00BF4F50" w:rsidRDefault="00116054" w:rsidP="00463FDE">
            <w:pPr>
              <w:pStyle w:val="Tabletextnoindent"/>
            </w:pPr>
            <w:r w:rsidRPr="00BF4F50">
              <w:t>Fully fund the unfunded superannuation liability by 2035.</w:t>
            </w:r>
          </w:p>
        </w:tc>
      </w:tr>
      <w:tr w:rsidR="00116054" w:rsidRPr="00BF4F50" w:rsidTr="00463FDE">
        <w:trPr>
          <w:trHeight w:val="538"/>
        </w:trPr>
        <w:tc>
          <w:tcPr>
            <w:tcW w:w="2477" w:type="dxa"/>
            <w:shd w:val="solid" w:color="FFFFFF" w:fill="auto"/>
          </w:tcPr>
          <w:p w:rsidR="00116054" w:rsidRPr="00BF4F50" w:rsidRDefault="00116054" w:rsidP="00463FDE">
            <w:pPr>
              <w:pStyle w:val="Tabletextnoindent"/>
              <w:rPr>
                <w:b/>
              </w:rPr>
            </w:pPr>
            <w:r w:rsidRPr="00BF4F50">
              <w:rPr>
                <w:b/>
              </w:rPr>
              <w:t>Operating surplus</w:t>
            </w:r>
          </w:p>
        </w:tc>
        <w:tc>
          <w:tcPr>
            <w:tcW w:w="5241" w:type="dxa"/>
          </w:tcPr>
          <w:p w:rsidR="00116054" w:rsidRPr="00BF4F50" w:rsidRDefault="00116054" w:rsidP="001551C5">
            <w:pPr>
              <w:pStyle w:val="Tabletextnoindent"/>
            </w:pPr>
            <w:r w:rsidRPr="00BF4F50">
              <w:t xml:space="preserve">A net operating surplus consistent with </w:t>
            </w:r>
            <w:r>
              <w:t xml:space="preserve">maintaining general government net </w:t>
            </w:r>
            <w:r w:rsidRPr="00BF4F50">
              <w:t xml:space="preserve">debt </w:t>
            </w:r>
            <w:r>
              <w:t>at a sustainable level over the medium term</w:t>
            </w:r>
            <w:r w:rsidRPr="00BF4F50">
              <w:t>.</w:t>
            </w:r>
          </w:p>
        </w:tc>
      </w:tr>
    </w:tbl>
    <w:p w:rsidR="00116054" w:rsidRPr="00BF4F50" w:rsidRDefault="00116054" w:rsidP="005409C5">
      <w:pPr>
        <w:pStyle w:val="Notes"/>
      </w:pPr>
      <w:r>
        <w:fldChar w:fldCharType="begin"/>
      </w:r>
      <w:r>
        <w:instrText xml:space="preserve"> XE "</w:instrText>
      </w:r>
      <w:r w:rsidRPr="008B09D5">
        <w:instrText>Operating surplus</w:instrText>
      </w:r>
      <w:r>
        <w:instrText xml:space="preserve">" </w:instrText>
      </w:r>
      <w:r>
        <w:fldChar w:fldCharType="end"/>
      </w:r>
      <w:r>
        <w:fldChar w:fldCharType="begin"/>
      </w:r>
      <w:r>
        <w:instrText xml:space="preserve"> XE "</w:instrText>
      </w:r>
      <w:proofErr w:type="spellStart"/>
      <w:r w:rsidRPr="001773AA">
        <w:rPr>
          <w:lang w:val="en-US"/>
        </w:rPr>
        <w:instrText>Superannuation:</w:instrText>
      </w:r>
      <w:r>
        <w:rPr>
          <w:lang w:val="en-US"/>
        </w:rPr>
        <w:instrText>Unfunded</w:instrText>
      </w:r>
      <w:proofErr w:type="spellEnd"/>
      <w:r>
        <w:rPr>
          <w:lang w:val="en-US"/>
        </w:rPr>
        <w:instrText xml:space="preserve"> superannuation </w:instrText>
      </w:r>
      <w:r w:rsidRPr="001773AA">
        <w:rPr>
          <w:lang w:val="en-US"/>
        </w:rPr>
        <w:instrText>liability</w:instrText>
      </w:r>
      <w:r>
        <w:instrText xml:space="preserve">" </w:instrText>
      </w:r>
      <w:r>
        <w:fldChar w:fldCharType="end"/>
      </w:r>
    </w:p>
    <w:p w:rsidR="00116054" w:rsidRDefault="00116054" w:rsidP="00506808">
      <w:r>
        <w:t xml:space="preserve">Chapter 4 </w:t>
      </w:r>
      <w:r w:rsidRPr="00506808">
        <w:rPr>
          <w:i/>
        </w:rPr>
        <w:t>Budget Position and Outlook</w:t>
      </w:r>
      <w:r>
        <w:t xml:space="preserve"> provides an overview of the budget position for 2015</w:t>
      </w:r>
      <w:r>
        <w:noBreakHyphen/>
        <w:t>16 and the forward estimate years (2016</w:t>
      </w:r>
      <w:r>
        <w:noBreakHyphen/>
        <w:t>17 to 2018</w:t>
      </w:r>
      <w:r>
        <w:noBreakHyphen/>
        <w:t>19).</w:t>
      </w:r>
      <w:r>
        <w:fldChar w:fldCharType="begin"/>
      </w:r>
      <w:r>
        <w:instrText xml:space="preserve"> XE "</w:instrText>
      </w:r>
      <w:r w:rsidRPr="00064A08">
        <w:instrText>Financial management</w:instrText>
      </w:r>
      <w:r>
        <w:instrText xml:space="preserve">" \r "BP2Ch1FinMgmt" </w:instrText>
      </w:r>
      <w:r>
        <w:fldChar w:fldCharType="end"/>
      </w:r>
      <w:r>
        <w:t xml:space="preserve"> </w:t>
      </w:r>
    </w:p>
    <w:p w:rsidR="00116054" w:rsidRDefault="00116054" w:rsidP="008617BF">
      <w:pPr>
        <w:pStyle w:val="Heading1"/>
      </w:pPr>
      <w:bookmarkStart w:id="26" w:name="_Toc418081683"/>
      <w:bookmarkStart w:id="27" w:name="_Toc418255133"/>
      <w:bookmarkEnd w:id="24"/>
      <w:r>
        <w:t>Funding of the federation</w:t>
      </w:r>
      <w:bookmarkEnd w:id="26"/>
      <w:bookmarkEnd w:id="27"/>
    </w:p>
    <w:p w:rsidR="00116054" w:rsidRPr="00CE2C55" w:rsidRDefault="00116054" w:rsidP="00CE2C55">
      <w:pPr>
        <w:rPr>
          <w:rFonts w:cstheme="minorHAnsi"/>
        </w:rPr>
      </w:pPr>
      <w:r w:rsidRPr="00CE2C55">
        <w:rPr>
          <w:rFonts w:cstheme="minorHAnsi"/>
        </w:rPr>
        <w:t>The Government will strongly advocate for Victoria</w:t>
      </w:r>
      <w:r>
        <w:rPr>
          <w:rFonts w:cstheme="minorHAnsi"/>
        </w:rPr>
        <w:t>’</w:t>
      </w:r>
      <w:r w:rsidRPr="00CE2C55">
        <w:rPr>
          <w:rFonts w:cstheme="minorHAnsi"/>
        </w:rPr>
        <w:t xml:space="preserve">s interests and </w:t>
      </w:r>
      <w:r>
        <w:rPr>
          <w:rFonts w:cstheme="minorHAnsi"/>
        </w:rPr>
        <w:t>progressive</w:t>
      </w:r>
      <w:r w:rsidRPr="00CE2C55">
        <w:rPr>
          <w:rFonts w:cstheme="minorHAnsi"/>
        </w:rPr>
        <w:t xml:space="preserve"> national reform. Making the federation work more effectively and fairly is a high priority, but involves a number of significant challenges.</w:t>
      </w:r>
      <w:r>
        <w:rPr>
          <w:rFonts w:cstheme="minorHAnsi"/>
        </w:rPr>
        <w:t xml:space="preserve"> </w:t>
      </w:r>
    </w:p>
    <w:p w:rsidR="00116054" w:rsidRPr="00CE2C55" w:rsidRDefault="00116054" w:rsidP="00CE2C55">
      <w:pPr>
        <w:rPr>
          <w:rFonts w:cstheme="minorHAnsi"/>
        </w:rPr>
      </w:pPr>
      <w:r w:rsidRPr="00CE2C55">
        <w:rPr>
          <w:rFonts w:cstheme="minorHAnsi"/>
        </w:rPr>
        <w:t>The Commonwealth Government</w:t>
      </w:r>
      <w:r>
        <w:rPr>
          <w:rFonts w:cstheme="minorHAnsi"/>
        </w:rPr>
        <w:t>’</w:t>
      </w:r>
      <w:r w:rsidRPr="00CE2C55">
        <w:rPr>
          <w:rFonts w:cstheme="minorHAnsi"/>
        </w:rPr>
        <w:t>s 2014 decision to abandon existing funding agreements and reduce indexation on hea</w:t>
      </w:r>
      <w:r>
        <w:rPr>
          <w:rFonts w:cstheme="minorHAnsi"/>
        </w:rPr>
        <w:t>lth and school grants from 2017</w:t>
      </w:r>
      <w:r>
        <w:rPr>
          <w:rFonts w:cstheme="minorHAnsi"/>
        </w:rPr>
        <w:noBreakHyphen/>
      </w:r>
      <w:r w:rsidRPr="00CE2C55">
        <w:rPr>
          <w:rFonts w:cstheme="minorHAnsi"/>
        </w:rPr>
        <w:t>18 will strip</w:t>
      </w:r>
      <w:r>
        <w:rPr>
          <w:rFonts w:cstheme="minorHAnsi"/>
        </w:rPr>
        <w:t> billion</w:t>
      </w:r>
      <w:r w:rsidRPr="00CE2C55">
        <w:rPr>
          <w:rFonts w:cstheme="minorHAnsi"/>
        </w:rPr>
        <w:t>s from core services over the next 10 years. This is unsustainable. The Commonwealth needs to partner with states to address the fiscal pressures a</w:t>
      </w:r>
      <w:r>
        <w:rPr>
          <w:rFonts w:cstheme="minorHAnsi"/>
        </w:rPr>
        <w:t>ssociated with </w:t>
      </w:r>
      <w:r w:rsidRPr="00CE2C55">
        <w:rPr>
          <w:rFonts w:cstheme="minorHAnsi"/>
        </w:rPr>
        <w:t xml:space="preserve">population and economic change, not simply </w:t>
      </w:r>
      <w:r w:rsidRPr="00B34B32">
        <w:rPr>
          <w:rFonts w:cstheme="minorHAnsi"/>
        </w:rPr>
        <w:t>shift them</w:t>
      </w:r>
      <w:r w:rsidRPr="00CE2C55">
        <w:rPr>
          <w:rFonts w:cstheme="minorHAnsi"/>
        </w:rPr>
        <w:t xml:space="preserve"> to states.</w:t>
      </w:r>
    </w:p>
    <w:p w:rsidR="00116054" w:rsidRDefault="00116054">
      <w:pPr>
        <w:spacing w:after="0"/>
        <w:rPr>
          <w:rFonts w:cstheme="minorHAnsi"/>
        </w:rPr>
      </w:pPr>
      <w:r>
        <w:rPr>
          <w:rFonts w:cstheme="minorHAnsi"/>
        </w:rPr>
        <w:br w:type="page"/>
      </w:r>
    </w:p>
    <w:p w:rsidR="00116054" w:rsidRPr="00CE2C55" w:rsidRDefault="00116054" w:rsidP="00CE2C55">
      <w:pPr>
        <w:rPr>
          <w:rFonts w:cstheme="minorHAnsi"/>
        </w:rPr>
      </w:pPr>
      <w:r w:rsidRPr="00CE2C55">
        <w:rPr>
          <w:rFonts w:cstheme="minorHAnsi"/>
        </w:rPr>
        <w:lastRenderedPageBreak/>
        <w:t>States also need increased certainty in the handling of expiring National Partnership (NP) agreements. The Commonwealth</w:t>
      </w:r>
      <w:r>
        <w:rPr>
          <w:rFonts w:cstheme="minorHAnsi"/>
        </w:rPr>
        <w:t>’</w:t>
      </w:r>
      <w:r w:rsidRPr="00CE2C55">
        <w:rPr>
          <w:rFonts w:cstheme="minorHAnsi"/>
        </w:rPr>
        <w:t>s refusal to provide funding certainty for significant N</w:t>
      </w:r>
      <w:r>
        <w:rPr>
          <w:rFonts w:cstheme="minorHAnsi"/>
        </w:rPr>
        <w:t>P </w:t>
      </w:r>
      <w:r w:rsidRPr="00CE2C55">
        <w:rPr>
          <w:rFonts w:cstheme="minorHAnsi"/>
        </w:rPr>
        <w:t>agreements, including the NP on Universal Access to Early Childhood Education, compromises the effective planning and delivery of services by state governments and their non</w:t>
      </w:r>
      <w:r>
        <w:rPr>
          <w:rFonts w:cstheme="minorHAnsi"/>
        </w:rPr>
        <w:noBreakHyphen/>
      </w:r>
      <w:r w:rsidRPr="00CE2C55">
        <w:rPr>
          <w:rFonts w:cstheme="minorHAnsi"/>
        </w:rPr>
        <w:t>government partners.</w:t>
      </w:r>
    </w:p>
    <w:p w:rsidR="00116054" w:rsidRPr="00CE2C55" w:rsidRDefault="00116054" w:rsidP="00CE2C55">
      <w:pPr>
        <w:rPr>
          <w:rFonts w:cstheme="minorHAnsi"/>
        </w:rPr>
      </w:pPr>
      <w:r w:rsidRPr="00CE2C55">
        <w:rPr>
          <w:rFonts w:cstheme="minorHAnsi"/>
        </w:rPr>
        <w:t>The scale of Victoria</w:t>
      </w:r>
      <w:r>
        <w:rPr>
          <w:rFonts w:cstheme="minorHAnsi"/>
        </w:rPr>
        <w:t>’</w:t>
      </w:r>
      <w:r w:rsidRPr="00CE2C55">
        <w:rPr>
          <w:rFonts w:cstheme="minorHAnsi"/>
        </w:rPr>
        <w:t>s infrastructure program means that a fair share of Commonwealth funding is critical. In the five years from 2013</w:t>
      </w:r>
      <w:r>
        <w:rPr>
          <w:rFonts w:cstheme="minorHAnsi"/>
        </w:rPr>
        <w:noBreakHyphen/>
      </w:r>
      <w:r w:rsidRPr="00CE2C55">
        <w:rPr>
          <w:rFonts w:cstheme="minorHAnsi"/>
        </w:rPr>
        <w:t>14, Victoria</w:t>
      </w:r>
      <w:r>
        <w:rPr>
          <w:rFonts w:cstheme="minorHAnsi"/>
        </w:rPr>
        <w:t>’</w:t>
      </w:r>
      <w:r w:rsidRPr="00CE2C55">
        <w:rPr>
          <w:rFonts w:cstheme="minorHAnsi"/>
        </w:rPr>
        <w:t>s expected share of in</w:t>
      </w:r>
      <w:r>
        <w:rPr>
          <w:rFonts w:cstheme="minorHAnsi"/>
        </w:rPr>
        <w:t>frastructure funding is just 20 per cent</w:t>
      </w:r>
      <w:r w:rsidRPr="00CE2C55">
        <w:rPr>
          <w:rFonts w:cstheme="minorHAnsi"/>
        </w:rPr>
        <w:t>, below Victoria</w:t>
      </w:r>
      <w:r>
        <w:rPr>
          <w:rFonts w:cstheme="minorHAnsi"/>
        </w:rPr>
        <w:t>’s population share of around 25 per cent</w:t>
      </w:r>
      <w:r w:rsidRPr="00CE2C55">
        <w:rPr>
          <w:rFonts w:cstheme="minorHAnsi"/>
        </w:rPr>
        <w:t>. If the Commonwealth withdraws infrastructure funding previously allocated to the State for the East West Link, V</w:t>
      </w:r>
      <w:r>
        <w:rPr>
          <w:rFonts w:cstheme="minorHAnsi"/>
        </w:rPr>
        <w:t>ictoria’s share will drop to 13 per cent</w:t>
      </w:r>
      <w:r w:rsidRPr="00CE2C55">
        <w:rPr>
          <w:rFonts w:cstheme="minorHAnsi"/>
        </w:rPr>
        <w:t xml:space="preserve"> in that period. </w:t>
      </w:r>
    </w:p>
    <w:p w:rsidR="00116054" w:rsidRPr="00CE2C55" w:rsidRDefault="00116054" w:rsidP="00CE2C55">
      <w:pPr>
        <w:rPr>
          <w:rFonts w:cstheme="minorHAnsi"/>
        </w:rPr>
      </w:pPr>
      <w:r w:rsidRPr="00CE2C55">
        <w:rPr>
          <w:rFonts w:cstheme="minorHAnsi"/>
        </w:rPr>
        <w:t>GST is Victoria</w:t>
      </w:r>
      <w:r>
        <w:rPr>
          <w:rFonts w:cstheme="minorHAnsi"/>
        </w:rPr>
        <w:t>’</w:t>
      </w:r>
      <w:r w:rsidRPr="00CE2C55">
        <w:rPr>
          <w:rFonts w:cstheme="minorHAnsi"/>
        </w:rPr>
        <w:t>s single largest revenue source. The Commonwealth Grants Commission 2015</w:t>
      </w:r>
      <w:r>
        <w:rPr>
          <w:rFonts w:cstheme="minorHAnsi"/>
        </w:rPr>
        <w:t> </w:t>
      </w:r>
      <w:r w:rsidRPr="00CE2C55">
        <w:rPr>
          <w:rFonts w:cstheme="minorHAnsi"/>
        </w:rPr>
        <w:t>Methodology</w:t>
      </w:r>
      <w:r>
        <w:rPr>
          <w:rFonts w:cstheme="minorHAnsi"/>
        </w:rPr>
        <w:t> </w:t>
      </w:r>
      <w:r w:rsidRPr="00CE2C55">
        <w:rPr>
          <w:rFonts w:cstheme="minorHAnsi"/>
        </w:rPr>
        <w:t>Review recommended a number of important adjustments to the formula for distributing GST revenue between states and territories. Victoria particularly welcomes the Commission</w:t>
      </w:r>
      <w:r>
        <w:rPr>
          <w:rFonts w:cstheme="minorHAnsi"/>
        </w:rPr>
        <w:t>’</w:t>
      </w:r>
      <w:r w:rsidRPr="00CE2C55">
        <w:rPr>
          <w:rFonts w:cstheme="minorHAnsi"/>
        </w:rPr>
        <w:t>s recognition of the additional costs of providing critical infrastructure in urban centres such as Melbourne, and its more consistent treatment of Commonwealth funding for road and rail projects. These changes represent a substantial improvement to the model for allocating GST revenue. However, Victorians continue to subsidise other states and territories. Following the approach recommended by the 2015</w:t>
      </w:r>
      <w:r>
        <w:rPr>
          <w:rFonts w:cstheme="minorHAnsi"/>
        </w:rPr>
        <w:t> </w:t>
      </w:r>
      <w:r w:rsidRPr="00CE2C55">
        <w:rPr>
          <w:rFonts w:cstheme="minorHAnsi"/>
        </w:rPr>
        <w:t>Methodology</w:t>
      </w:r>
      <w:r>
        <w:rPr>
          <w:rFonts w:cstheme="minorHAnsi"/>
        </w:rPr>
        <w:t> </w:t>
      </w:r>
      <w:r w:rsidRPr="00CE2C55">
        <w:rPr>
          <w:rFonts w:cstheme="minorHAnsi"/>
        </w:rPr>
        <w:t>Review, approximately $1.5</w:t>
      </w:r>
      <w:r>
        <w:rPr>
          <w:rFonts w:cstheme="minorHAnsi"/>
        </w:rPr>
        <w:t> billion</w:t>
      </w:r>
      <w:r w:rsidRPr="00CE2C55">
        <w:rPr>
          <w:rFonts w:cstheme="minorHAnsi"/>
        </w:rPr>
        <w:t xml:space="preserve"> will be redistrib</w:t>
      </w:r>
      <w:r>
        <w:rPr>
          <w:rFonts w:cstheme="minorHAnsi"/>
        </w:rPr>
        <w:t>uted away from Victoria in 2015</w:t>
      </w:r>
      <w:r>
        <w:rPr>
          <w:rFonts w:cstheme="minorHAnsi"/>
        </w:rPr>
        <w:noBreakHyphen/>
      </w:r>
      <w:r w:rsidRPr="00CE2C55">
        <w:rPr>
          <w:rFonts w:cstheme="minorHAnsi"/>
        </w:rPr>
        <w:t>16, or $24</w:t>
      </w:r>
      <w:r>
        <w:rPr>
          <w:rFonts w:cstheme="minorHAnsi"/>
        </w:rPr>
        <w:t>7</w:t>
      </w:r>
      <w:r w:rsidRPr="00CE2C55">
        <w:rPr>
          <w:rFonts w:cstheme="minorHAnsi"/>
        </w:rPr>
        <w:t xml:space="preserve"> for every Victorian. In the longer term, Victoria supports re</w:t>
      </w:r>
      <w:r>
        <w:rPr>
          <w:rFonts w:cstheme="minorHAnsi"/>
        </w:rPr>
        <w:noBreakHyphen/>
      </w:r>
      <w:r w:rsidRPr="00CE2C55">
        <w:rPr>
          <w:rFonts w:cstheme="minorHAnsi"/>
        </w:rPr>
        <w:t>examining the system to ensure that it is more transparent, simple and fair for all jurisdictions.</w:t>
      </w:r>
    </w:p>
    <w:p w:rsidR="00116054" w:rsidRPr="00CE2C55" w:rsidRDefault="00116054" w:rsidP="00CE2C55">
      <w:pPr>
        <w:rPr>
          <w:rFonts w:cstheme="minorHAnsi"/>
        </w:rPr>
      </w:pPr>
      <w:r w:rsidRPr="00CE2C55">
        <w:rPr>
          <w:rFonts w:cstheme="minorHAnsi"/>
        </w:rPr>
        <w:t>Victoria will work constructively with all governments to address economic and fiscal challenges through processes including the Commonwealth Government</w:t>
      </w:r>
      <w:r>
        <w:rPr>
          <w:rFonts w:cstheme="minorHAnsi"/>
        </w:rPr>
        <w:t>’</w:t>
      </w:r>
      <w:r w:rsidRPr="00CE2C55">
        <w:rPr>
          <w:rFonts w:cstheme="minorHAnsi"/>
        </w:rPr>
        <w:t>s white papers on reform of the federation and tax reform. The Victorian Government will be focusing on tax reform as a priority in 2015</w:t>
      </w:r>
      <w:r>
        <w:rPr>
          <w:rFonts w:cstheme="minorHAnsi"/>
        </w:rPr>
        <w:noBreakHyphen/>
      </w:r>
      <w:r w:rsidRPr="00CE2C55">
        <w:rPr>
          <w:rFonts w:cstheme="minorHAnsi"/>
        </w:rPr>
        <w:t>16. The July</w:t>
      </w:r>
      <w:r>
        <w:rPr>
          <w:rFonts w:cstheme="minorHAnsi"/>
        </w:rPr>
        <w:t> 2015</w:t>
      </w:r>
      <w:r w:rsidRPr="00CE2C55">
        <w:rPr>
          <w:rFonts w:cstheme="minorHAnsi"/>
        </w:rPr>
        <w:t xml:space="preserve"> special meeting of the Council of Australian Governments (COAG) will provide an important opportunity to progress these issues, including discussing sustainable funding arrangements in major service areas.</w:t>
      </w:r>
    </w:p>
    <w:p w:rsidR="00116054" w:rsidRDefault="00116054" w:rsidP="00CE2C55">
      <w:pPr>
        <w:rPr>
          <w:rFonts w:cstheme="minorHAnsi"/>
        </w:rPr>
      </w:pPr>
      <w:r w:rsidRPr="00CE2C55">
        <w:rPr>
          <w:rFonts w:cstheme="minorHAnsi"/>
        </w:rPr>
        <w:t>The Government has a strong public transport</w:t>
      </w:r>
      <w:r>
        <w:fldChar w:fldCharType="begin"/>
      </w:r>
      <w:r>
        <w:instrText xml:space="preserve"> XE "</w:instrText>
      </w:r>
      <w:r w:rsidRPr="00FC4400">
        <w:instrText>Public transport</w:instrText>
      </w:r>
      <w:r>
        <w:instrText xml:space="preserve">" </w:instrText>
      </w:r>
      <w:r>
        <w:fldChar w:fldCharType="end"/>
      </w:r>
      <w:r w:rsidRPr="00CE2C55">
        <w:rPr>
          <w:rFonts w:cstheme="minorHAnsi"/>
        </w:rPr>
        <w:t xml:space="preserve"> and infrastructure agenda that will benefit Victoria and the nation, and welcomes the Commonwealth</w:t>
      </w:r>
      <w:r>
        <w:rPr>
          <w:rFonts w:cstheme="minorHAnsi"/>
        </w:rPr>
        <w:t>’</w:t>
      </w:r>
      <w:r w:rsidRPr="00CE2C55">
        <w:rPr>
          <w:rFonts w:cstheme="minorHAnsi"/>
        </w:rPr>
        <w:t>s commitment to partner with Victoria to build new infrastructure through the National Partnership on Asset Recycling. Victoria will continue to work with the Commonwealth to finalise arrangements under this agreement, and looks forward to a similar, constructive</w:t>
      </w:r>
      <w:r>
        <w:rPr>
          <w:rFonts w:cstheme="minorHAnsi"/>
        </w:rPr>
        <w:t xml:space="preserve"> approach on other Commonwealth</w:t>
      </w:r>
      <w:r>
        <w:rPr>
          <w:rFonts w:cstheme="minorHAnsi"/>
        </w:rPr>
        <w:noBreakHyphen/>
      </w:r>
      <w:r w:rsidRPr="00CE2C55">
        <w:rPr>
          <w:rFonts w:cstheme="minorHAnsi"/>
        </w:rPr>
        <w:t>State issues.</w:t>
      </w:r>
    </w:p>
    <w:p w:rsidR="00116054" w:rsidRDefault="00116054">
      <w:pPr>
        <w:spacing w:after="0"/>
        <w:rPr>
          <w:rFonts w:cstheme="minorHAnsi"/>
        </w:rPr>
      </w:pPr>
      <w:r>
        <w:rPr>
          <w:rFonts w:cstheme="minorHAnsi"/>
        </w:rPr>
        <w:br w:type="page"/>
      </w:r>
    </w:p>
    <w:p w:rsidR="00116054" w:rsidRPr="008617BF" w:rsidRDefault="00116054" w:rsidP="00CE2C55"/>
    <w:p w:rsidR="00116054" w:rsidRDefault="00116054" w:rsidP="000542A7"/>
    <w:p w:rsidR="00116054" w:rsidRDefault="00116054" w:rsidP="00EC4C51">
      <w:pPr>
        <w:sectPr w:rsidR="00116054" w:rsidSect="00EC4C51">
          <w:footerReference w:type="even" r:id="rId17"/>
          <w:footerReference w:type="default" r:id="rId18"/>
          <w:type w:val="oddPage"/>
          <w:pgSz w:w="9979" w:h="14181" w:code="138"/>
          <w:pgMar w:top="1138" w:right="1138" w:bottom="1138" w:left="1138" w:header="720" w:footer="432" w:gutter="0"/>
          <w:pgNumType w:start="1"/>
          <w:cols w:space="708"/>
          <w:docGrid w:linePitch="360"/>
        </w:sectPr>
      </w:pPr>
    </w:p>
    <w:p w:rsidR="00116054" w:rsidRPr="00F0495D" w:rsidRDefault="00116054" w:rsidP="00F0495D">
      <w:pPr>
        <w:pStyle w:val="ChapterHeading"/>
      </w:pPr>
      <w:bookmarkStart w:id="28" w:name="_Toc418255134"/>
      <w:r>
        <w:lastRenderedPageBreak/>
        <w:t>Chapter </w:t>
      </w:r>
      <w:r w:rsidRPr="00F0495D">
        <w:t>2 – Economic context</w:t>
      </w:r>
      <w:bookmarkEnd w:id="28"/>
    </w:p>
    <w:p w:rsidR="00116054" w:rsidRPr="00B152F7" w:rsidRDefault="00116054" w:rsidP="00B152F7">
      <w:pPr>
        <w:pStyle w:val="HighlightBoxBullet"/>
      </w:pPr>
      <w:r>
        <w:t>P</w:t>
      </w:r>
      <w:r w:rsidRPr="00B152F7">
        <w:t>ositive signs for Victoria</w:t>
      </w:r>
      <w:r>
        <w:t>’</w:t>
      </w:r>
      <w:r w:rsidRPr="00B152F7">
        <w:t xml:space="preserve">s economy have </w:t>
      </w:r>
      <w:r>
        <w:t xml:space="preserve">recently </w:t>
      </w:r>
      <w:r w:rsidRPr="00B152F7">
        <w:t xml:space="preserve">emerged as the national economy transitions to more balanced growth, assisted by low interest rates and a </w:t>
      </w:r>
      <w:r w:rsidRPr="00EB1C63">
        <w:t>depreciated Australian dollar. Victoria</w:t>
      </w:r>
      <w:r>
        <w:t>’</w:t>
      </w:r>
      <w:r w:rsidRPr="00EB1C63">
        <w:t xml:space="preserve">s traditional growth drivers of household consumption and dwelling </w:t>
      </w:r>
      <w:r w:rsidRPr="00C2547A">
        <w:t>construction are strengthening</w:t>
      </w:r>
      <w:r w:rsidRPr="00EB1C63">
        <w:t>, although</w:t>
      </w:r>
      <w:r w:rsidRPr="00B152F7">
        <w:t xml:space="preserve"> lab</w:t>
      </w:r>
      <w:r>
        <w:t>our income growth remains weak.</w:t>
      </w:r>
    </w:p>
    <w:p w:rsidR="00116054" w:rsidRPr="004F3AAD" w:rsidRDefault="00116054" w:rsidP="00FF37B9">
      <w:pPr>
        <w:pStyle w:val="HighlightBoxBullet"/>
      </w:pPr>
      <w:r w:rsidRPr="004F3AAD">
        <w:t>Other structural shifts are presenting challenges for some industries as well as growth opportunities in new and emerging sectors. Victoria</w:t>
      </w:r>
      <w:r>
        <w:t>’</w:t>
      </w:r>
      <w:r w:rsidRPr="004F3AAD">
        <w:t xml:space="preserve">s industry structure is diverse and able to adapt to these changes. </w:t>
      </w:r>
      <w:r>
        <w:t>S</w:t>
      </w:r>
      <w:r w:rsidRPr="004F3AAD">
        <w:t>tructural adjustment is a long</w:t>
      </w:r>
      <w:r>
        <w:noBreakHyphen/>
      </w:r>
      <w:r w:rsidRPr="004F3AAD">
        <w:t>standing characteristic of the Victorian economy.</w:t>
      </w:r>
    </w:p>
    <w:p w:rsidR="00116054" w:rsidRPr="004F3AAD" w:rsidRDefault="00116054" w:rsidP="00B152F7">
      <w:pPr>
        <w:pStyle w:val="HighlightBoxBullet"/>
      </w:pPr>
      <w:bookmarkStart w:id="29" w:name="BP2Ch2GSP"/>
      <w:r w:rsidRPr="004F3AAD">
        <w:t>Real gross state product (GSP) growth</w:t>
      </w:r>
      <w:r>
        <w:t xml:space="preserve"> </w:t>
      </w:r>
      <w:r w:rsidRPr="004F3AAD">
        <w:t>is forecast to rise to 2.50</w:t>
      </w:r>
      <w:r>
        <w:t> per cent</w:t>
      </w:r>
      <w:r w:rsidRPr="004F3AAD">
        <w:t xml:space="preserve"> in 2015</w:t>
      </w:r>
      <w:r>
        <w:noBreakHyphen/>
      </w:r>
      <w:r w:rsidRPr="004F3AAD">
        <w:t>16 from 2.25</w:t>
      </w:r>
      <w:r>
        <w:t> per cent</w:t>
      </w:r>
      <w:r w:rsidRPr="004F3AAD">
        <w:t xml:space="preserve"> in 2014</w:t>
      </w:r>
      <w:r>
        <w:noBreakHyphen/>
      </w:r>
      <w:r w:rsidRPr="004F3AAD">
        <w:t>15. This is expected to be driven by strengthening household consumption and export growth, the latter in response to the lower Australian dollar and increasing demand from Asia.</w:t>
      </w:r>
    </w:p>
    <w:p w:rsidR="00116054" w:rsidRDefault="00116054" w:rsidP="00A427C7">
      <w:pPr>
        <w:pStyle w:val="HighlightBoxBullet"/>
      </w:pPr>
      <w:bookmarkStart w:id="30" w:name="BP2Ch2ConsSpend1"/>
      <w:r>
        <w:t>Business investment</w:t>
      </w:r>
      <w:r>
        <w:fldChar w:fldCharType="begin"/>
      </w:r>
      <w:r>
        <w:instrText xml:space="preserve"> XE "</w:instrText>
      </w:r>
      <w:r w:rsidRPr="00F03D91">
        <w:instrText>Business investment</w:instrText>
      </w:r>
      <w:r>
        <w:instrText xml:space="preserve">" </w:instrText>
      </w:r>
      <w:r>
        <w:fldChar w:fldCharType="end"/>
      </w:r>
      <w:r>
        <w:t xml:space="preserve"> is expected to grow moderately </w:t>
      </w:r>
      <w:r w:rsidRPr="00A427C7">
        <w:t>as consumer spending improves and exports strengthen</w:t>
      </w:r>
      <w:r>
        <w:t xml:space="preserve">, supported by </w:t>
      </w:r>
      <w:r w:rsidRPr="00A427C7">
        <w:t>low borrowing costs and a more favourable exchange rate.</w:t>
      </w:r>
    </w:p>
    <w:p w:rsidR="00116054" w:rsidRPr="006E0BB4" w:rsidRDefault="00116054" w:rsidP="00883C27">
      <w:pPr>
        <w:pStyle w:val="HighlightBoxBullet"/>
      </w:pPr>
      <w:r w:rsidRPr="00B152F7">
        <w:t xml:space="preserve">The improvement in </w:t>
      </w:r>
      <w:r>
        <w:t xml:space="preserve">the </w:t>
      </w:r>
      <w:r w:rsidRPr="00B152F7">
        <w:t>lab</w:t>
      </w:r>
      <w:r>
        <w:t xml:space="preserve">our </w:t>
      </w:r>
      <w:r w:rsidRPr="004C3E01">
        <w:t>market</w:t>
      </w:r>
      <w:r>
        <w:fldChar w:fldCharType="begin"/>
      </w:r>
      <w:r>
        <w:instrText xml:space="preserve"> XE "</w:instrText>
      </w:r>
      <w:r w:rsidRPr="00B2137A">
        <w:instrText>Labour market</w:instrText>
      </w:r>
      <w:r>
        <w:instrText xml:space="preserve">" </w:instrText>
      </w:r>
      <w:r>
        <w:fldChar w:fldCharType="end"/>
      </w:r>
      <w:r w:rsidRPr="004C3E01">
        <w:t xml:space="preserve"> </w:t>
      </w:r>
      <w:r>
        <w:t>since late 2014</w:t>
      </w:r>
      <w:r w:rsidRPr="00B152F7">
        <w:t xml:space="preserve"> is </w:t>
      </w:r>
      <w:r>
        <w:t>expected to consolidate in 2015</w:t>
      </w:r>
      <w:r>
        <w:noBreakHyphen/>
      </w:r>
      <w:r w:rsidRPr="00B152F7">
        <w:t>16. Employment is foreca</w:t>
      </w:r>
      <w:r>
        <w:t>st to grow around its long</w:t>
      </w:r>
      <w:r>
        <w:noBreakHyphen/>
      </w:r>
      <w:r w:rsidRPr="00B152F7">
        <w:t>run average, supported by the Government</w:t>
      </w:r>
      <w:r>
        <w:t>’</w:t>
      </w:r>
      <w:r w:rsidRPr="00B152F7">
        <w:t xml:space="preserve">s Back to Work Plan. </w:t>
      </w:r>
      <w:r w:rsidRPr="006E0BB4">
        <w:t>The unemployment rate</w:t>
      </w:r>
      <w:r>
        <w:fldChar w:fldCharType="begin"/>
      </w:r>
      <w:r>
        <w:instrText xml:space="preserve"> XE "</w:instrText>
      </w:r>
      <w:r w:rsidRPr="0007568A">
        <w:rPr>
          <w:lang w:val="en-US"/>
        </w:rPr>
        <w:instrText>Unemployment:</w:instrText>
      </w:r>
      <w:r w:rsidRPr="0007568A">
        <w:instrText>Unemployment rate</w:instrText>
      </w:r>
      <w:r>
        <w:instrText xml:space="preserve">" </w:instrText>
      </w:r>
      <w:r>
        <w:fldChar w:fldCharType="end"/>
      </w:r>
      <w:r w:rsidRPr="006E0BB4">
        <w:t xml:space="preserve"> is </w:t>
      </w:r>
      <w:r w:rsidRPr="005C02A7">
        <w:t>expected to stabilise</w:t>
      </w:r>
      <w:r>
        <w:t xml:space="preserve"> </w:t>
      </w:r>
      <w:r w:rsidRPr="006E0BB4">
        <w:t xml:space="preserve">around its </w:t>
      </w:r>
      <w:r>
        <w:t xml:space="preserve">current level </w:t>
      </w:r>
      <w:r w:rsidRPr="006E0BB4">
        <w:t>in 2015</w:t>
      </w:r>
      <w:r>
        <w:noBreakHyphen/>
      </w:r>
      <w:r w:rsidRPr="006E0BB4">
        <w:t>16 and 2016</w:t>
      </w:r>
      <w:r>
        <w:noBreakHyphen/>
      </w:r>
      <w:r w:rsidRPr="006E0BB4">
        <w:t xml:space="preserve">17. Thereafter, </w:t>
      </w:r>
      <w:r>
        <w:t xml:space="preserve">it </w:t>
      </w:r>
      <w:r w:rsidRPr="006E0BB4">
        <w:t>is projected to ease as employment grows at trend and the participation rate moves lower.</w:t>
      </w:r>
    </w:p>
    <w:p w:rsidR="00116054" w:rsidRPr="00B152F7" w:rsidRDefault="00116054" w:rsidP="00B152F7">
      <w:pPr>
        <w:pStyle w:val="HighlightBoxBullet"/>
      </w:pPr>
      <w:bookmarkStart w:id="31" w:name="BP2Population"/>
      <w:r w:rsidRPr="00B152F7">
        <w:t xml:space="preserve">Population growth is </w:t>
      </w:r>
      <w:r>
        <w:t>projected</w:t>
      </w:r>
      <w:r w:rsidRPr="00B152F7">
        <w:t xml:space="preserve"> to remain high across the budget and forward estimates as Victoria continues to attract migrants from overseas and interstate.</w:t>
      </w:r>
    </w:p>
    <w:p w:rsidR="00116054" w:rsidRDefault="00116054">
      <w:pPr>
        <w:spacing w:after="0"/>
        <w:rPr>
          <w:rFonts w:ascii="Calibri" w:hAnsi="Calibri"/>
          <w:b/>
          <w:caps/>
          <w:sz w:val="26"/>
          <w:szCs w:val="22"/>
        </w:rPr>
      </w:pPr>
      <w:r>
        <w:br w:type="page"/>
      </w:r>
    </w:p>
    <w:p w:rsidR="00116054" w:rsidRDefault="00116054" w:rsidP="00AD3C8F">
      <w:pPr>
        <w:pStyle w:val="Heading1"/>
      </w:pPr>
      <w:bookmarkStart w:id="32" w:name="_Toc418255135"/>
      <w:bookmarkStart w:id="33" w:name="BP2Ch2VicEcoCond"/>
      <w:r>
        <w:lastRenderedPageBreak/>
        <w:t>Victorian economic conditions and outlook</w:t>
      </w:r>
      <w:bookmarkEnd w:id="32"/>
    </w:p>
    <w:p w:rsidR="00116054" w:rsidRPr="004F3AAD" w:rsidRDefault="00116054" w:rsidP="00B152F7">
      <w:r w:rsidRPr="004F52EA">
        <w:t>Victoria</w:t>
      </w:r>
      <w:r>
        <w:t>’</w:t>
      </w:r>
      <w:r w:rsidRPr="004F52EA">
        <w:t xml:space="preserve">s economic environment is improving, reflecting its continued resilience in light of recent challenging conditions. </w:t>
      </w:r>
      <w:r>
        <w:t>P</w:t>
      </w:r>
      <w:r w:rsidRPr="004F52EA">
        <w:t xml:space="preserve">ositive signs have emerged in </w:t>
      </w:r>
      <w:r>
        <w:t xml:space="preserve">the State’s traditional growth drivers of household consumption </w:t>
      </w:r>
      <w:r w:rsidRPr="001146D0">
        <w:t>and dwelling investment</w:t>
      </w:r>
      <w:r>
        <w:t xml:space="preserve"> </w:t>
      </w:r>
      <w:r w:rsidRPr="004F52EA">
        <w:t>as the national economy shifts from growth led by mining investment to broader</w:t>
      </w:r>
      <w:r>
        <w:noBreakHyphen/>
      </w:r>
      <w:r w:rsidRPr="004F52EA">
        <w:t>based drivers</w:t>
      </w:r>
      <w:r w:rsidRPr="001146D0">
        <w:t>. These are responding to low interest rates and strong asset price growth, while the lower Australian dollar is assisting business competitiveness. Other structural</w:t>
      </w:r>
      <w:r>
        <w:t xml:space="preserve"> shifts are presenting challenges for some industries as well as growth opportunities in new and developing sectors. The State’s diverse industry structure, its highly skilled workforce and strong population growth will help Victoria </w:t>
      </w:r>
      <w:r w:rsidRPr="004F3AAD">
        <w:t>adapt to external pressures and take advantage of emerging opportunities.</w:t>
      </w:r>
    </w:p>
    <w:p w:rsidR="00116054" w:rsidRDefault="00116054" w:rsidP="008C2B4B">
      <w:r w:rsidRPr="004F3AAD">
        <w:t>Low interest rates</w:t>
      </w:r>
      <w:r>
        <w:t>,</w:t>
      </w:r>
      <w:r w:rsidRPr="004F3AAD">
        <w:t xml:space="preserve"> combined with high population growth</w:t>
      </w:r>
      <w:r>
        <w:t>,</w:t>
      </w:r>
      <w:r w:rsidRPr="004F3AAD">
        <w:t xml:space="preserve"> have increased demand in Victoria</w:t>
      </w:r>
      <w:r>
        <w:t>’</w:t>
      </w:r>
      <w:r w:rsidRPr="004F3AAD">
        <w:t>s residential property market. Strong price growth among established dwellings is encouraging further residential construction. Likewise</w:t>
      </w:r>
      <w:r>
        <w:t xml:space="preserve">, financial asset prices </w:t>
      </w:r>
      <w:r w:rsidRPr="004E7238">
        <w:t>have grown solidly as investors</w:t>
      </w:r>
      <w:r>
        <w:t xml:space="preserve"> seek higher returns in a low interest rate environment</w:t>
      </w:r>
      <w:r w:rsidRPr="009B6F1E">
        <w:t xml:space="preserve">. </w:t>
      </w:r>
    </w:p>
    <w:p w:rsidR="00116054" w:rsidRDefault="00116054" w:rsidP="00A25C31">
      <w:bookmarkStart w:id="34" w:name="BP2Wages"/>
      <w:bookmarkStart w:id="35" w:name="BP2Ch2HoursWorked"/>
      <w:r>
        <w:t>Reduced interest payments and rising asset prices have strengthened household financial positions and supported consumer spending. In addition, lower petrol prices have bolstered household expenditure by allowing disposable income to be redirected towards other goods and services. However, the pick</w:t>
      </w:r>
      <w:r>
        <w:noBreakHyphen/>
        <w:t>up in consumption has come amid stalled growth in employee income, a result of subdued growth in wages and flat aggregate hours worked in the Victorian economy. Softness in the labour market has also been reflected in heightened job security concerns and weak consumer sentiment</w:t>
      </w:r>
      <w:r>
        <w:fldChar w:fldCharType="begin"/>
      </w:r>
      <w:r>
        <w:instrText xml:space="preserve"> XE "</w:instrText>
      </w:r>
      <w:r w:rsidRPr="00CC400F">
        <w:instrText>Consumer sentiment</w:instrText>
      </w:r>
      <w:r>
        <w:instrText xml:space="preserve">" </w:instrText>
      </w:r>
      <w:r>
        <w:fldChar w:fldCharType="end"/>
      </w:r>
      <w:r>
        <w:t>.</w:t>
      </w:r>
      <w:r>
        <w:fldChar w:fldCharType="begin"/>
      </w:r>
      <w:r>
        <w:instrText xml:space="preserve"> XE "</w:instrText>
      </w:r>
      <w:r w:rsidRPr="001B27D6">
        <w:instrText>Consumer spending</w:instrText>
      </w:r>
      <w:r>
        <w:instrText xml:space="preserve">" \r "BP2Ch2ConsSpend1" </w:instrText>
      </w:r>
      <w:r>
        <w:fldChar w:fldCharType="end"/>
      </w:r>
      <w:r>
        <w:t xml:space="preserve"> </w:t>
      </w:r>
    </w:p>
    <w:bookmarkEnd w:id="30"/>
    <w:p w:rsidR="00116054" w:rsidRDefault="00116054" w:rsidP="00A25C31">
      <w:r>
        <w:t>Household consumption and dwelling investment form a relatively large share of Victoria’s output compared with the other states. Together, these account for around two</w:t>
      </w:r>
      <w:r>
        <w:noBreakHyphen/>
        <w:t>thirds of Victoria’s GSP, and the share has increased over the past two decades.</w:t>
      </w:r>
    </w:p>
    <w:bookmarkEnd w:id="29"/>
    <w:p w:rsidR="00116054" w:rsidRDefault="00116054" w:rsidP="00A25C31">
      <w:r w:rsidRPr="00A25C31">
        <w:t xml:space="preserve">The </w:t>
      </w:r>
      <w:r w:rsidRPr="004F3AAD">
        <w:t xml:space="preserve">lower Australian dollar should </w:t>
      </w:r>
      <w:r>
        <w:t xml:space="preserve">also </w:t>
      </w:r>
      <w:r w:rsidRPr="004F3AAD">
        <w:t>assist the transition to more balanced economic growth</w:t>
      </w:r>
      <w:r>
        <w:fldChar w:fldCharType="begin"/>
      </w:r>
      <w:r>
        <w:instrText xml:space="preserve"> XE "</w:instrText>
      </w:r>
      <w:r w:rsidRPr="007A326F">
        <w:instrText>Economic growth</w:instrText>
      </w:r>
      <w:r>
        <w:instrText xml:space="preserve">" </w:instrText>
      </w:r>
      <w:r>
        <w:fldChar w:fldCharType="end"/>
      </w:r>
      <w:r w:rsidRPr="004F3AAD">
        <w:t>. The depreciati</w:t>
      </w:r>
      <w:r>
        <w:t xml:space="preserve">on has continued since the </w:t>
      </w:r>
      <w:r w:rsidRPr="00D77673">
        <w:rPr>
          <w:i/>
        </w:rPr>
        <w:t>2014</w:t>
      </w:r>
      <w:r>
        <w:rPr>
          <w:i/>
        </w:rPr>
        <w:noBreakHyphen/>
      </w:r>
      <w:r w:rsidRPr="00D77673">
        <w:rPr>
          <w:i/>
        </w:rPr>
        <w:t>15 Budget Update</w:t>
      </w:r>
      <w:r w:rsidRPr="004F3AAD">
        <w:t xml:space="preserve"> and in trade</w:t>
      </w:r>
      <w:r>
        <w:noBreakHyphen/>
      </w:r>
      <w:r w:rsidRPr="004F3AAD">
        <w:t xml:space="preserve">weighted terms is now </w:t>
      </w:r>
      <w:r>
        <w:t xml:space="preserve">around </w:t>
      </w:r>
      <w:r w:rsidRPr="004F3AAD">
        <w:t>20</w:t>
      </w:r>
      <w:r>
        <w:t> per cent</w:t>
      </w:r>
      <w:r w:rsidRPr="004F3AAD">
        <w:t xml:space="preserve"> below its peak in 2013. A lower exchange rate is a significant driver of competitiveness of Victorian businesses in global markets. This includes sectors which are key strengths of the State</w:t>
      </w:r>
      <w:r>
        <w:t>’</w:t>
      </w:r>
      <w:r w:rsidRPr="004F3AAD">
        <w:t>s economy such as p</w:t>
      </w:r>
      <w:r>
        <w:t xml:space="preserve">rofessional services, education, </w:t>
      </w:r>
      <w:r w:rsidRPr="004F3AAD">
        <w:t>agriculture</w:t>
      </w:r>
      <w:r>
        <w:t xml:space="preserve"> and advanced manufacturing</w:t>
      </w:r>
      <w:r w:rsidRPr="004F3AAD">
        <w:t xml:space="preserve">. </w:t>
      </w:r>
      <w:r>
        <w:t>Further, there should be a shift in domestic spending towards</w:t>
      </w:r>
      <w:r w:rsidRPr="004F3AAD">
        <w:t xml:space="preserve"> local products </w:t>
      </w:r>
      <w:r>
        <w:t xml:space="preserve">as </w:t>
      </w:r>
      <w:r w:rsidRPr="004F3AAD">
        <w:t>international alternatives</w:t>
      </w:r>
      <w:r>
        <w:t xml:space="preserve"> become relatively more expensive</w:t>
      </w:r>
      <w:r w:rsidRPr="004F3AAD">
        <w:t>.</w:t>
      </w:r>
    </w:p>
    <w:p w:rsidR="00116054" w:rsidRPr="004F52EA" w:rsidRDefault="00116054" w:rsidP="00A25C31">
      <w:r w:rsidRPr="004F52EA">
        <w:t>The outlook for Victoria</w:t>
      </w:r>
      <w:r>
        <w:t>’</w:t>
      </w:r>
      <w:r w:rsidRPr="004F52EA">
        <w:t>s economy over the medium term is positive, but varie</w:t>
      </w:r>
      <w:r>
        <w:t>s</w:t>
      </w:r>
      <w:r w:rsidRPr="004F52EA">
        <w:t xml:space="preserve"> across industries as structural changes continue to shape the economy</w:t>
      </w:r>
      <w:r>
        <w:t>’</w:t>
      </w:r>
      <w:r w:rsidRPr="004F52EA">
        <w:t xml:space="preserve">s composition. Household services industries have increased as a share of output over the past two decades, underpinned by shifting consumer preferences and an ageing population. Business services have also expanded above the </w:t>
      </w:r>
      <w:proofErr w:type="spellStart"/>
      <w:r w:rsidRPr="004F52EA">
        <w:t>statewide</w:t>
      </w:r>
      <w:proofErr w:type="spellEnd"/>
      <w:r w:rsidRPr="004F52EA">
        <w:t xml:space="preserve"> average over this period. Victoria</w:t>
      </w:r>
      <w:r>
        <w:t>’</w:t>
      </w:r>
      <w:r w:rsidRPr="004F52EA">
        <w:t>s population is highly educated and has the skill base to support additional growth in these knowledge</w:t>
      </w:r>
      <w:r>
        <w:noBreakHyphen/>
        <w:t>intensive</w:t>
      </w:r>
      <w:r w:rsidRPr="004F52EA">
        <w:t xml:space="preserve"> industries. Strong migration</w:t>
      </w:r>
      <w:r>
        <w:fldChar w:fldCharType="begin"/>
      </w:r>
      <w:r>
        <w:instrText xml:space="preserve"> XE "</w:instrText>
      </w:r>
      <w:r w:rsidRPr="00717B83">
        <w:instrText>Migration</w:instrText>
      </w:r>
      <w:r>
        <w:instrText xml:space="preserve">" </w:instrText>
      </w:r>
      <w:r>
        <w:fldChar w:fldCharType="end"/>
      </w:r>
      <w:r w:rsidRPr="004F52EA">
        <w:t xml:space="preserve"> inflows are further </w:t>
      </w:r>
      <w:r>
        <w:t>contributing</w:t>
      </w:r>
      <w:r w:rsidRPr="004F52EA">
        <w:t xml:space="preserve"> to the State</w:t>
      </w:r>
      <w:r>
        <w:t>’</w:t>
      </w:r>
      <w:r w:rsidRPr="004F52EA">
        <w:t>s skilled workforce.</w:t>
      </w:r>
      <w:r>
        <w:fldChar w:fldCharType="begin"/>
      </w:r>
      <w:r>
        <w:instrText xml:space="preserve"> XE "</w:instrText>
      </w:r>
      <w:proofErr w:type="spellStart"/>
      <w:r w:rsidRPr="0088092C">
        <w:rPr>
          <w:lang w:val="en-US"/>
        </w:rPr>
        <w:instrText>Population</w:instrText>
      </w:r>
      <w:r>
        <w:rPr>
          <w:lang w:val="en-US"/>
        </w:rPr>
        <w:instrText>:Growth</w:instrText>
      </w:r>
      <w:proofErr w:type="spellEnd"/>
      <w:r>
        <w:instrText xml:space="preserve">" \r "BP2Population" </w:instrText>
      </w:r>
      <w:r>
        <w:fldChar w:fldCharType="end"/>
      </w:r>
    </w:p>
    <w:bookmarkEnd w:id="31"/>
    <w:p w:rsidR="00116054" w:rsidRDefault="00116054">
      <w:pPr>
        <w:spacing w:after="0"/>
      </w:pPr>
      <w:r>
        <w:br w:type="page"/>
      </w:r>
    </w:p>
    <w:p w:rsidR="00116054" w:rsidRPr="004F3AAD" w:rsidRDefault="00116054" w:rsidP="004B05FE">
      <w:r w:rsidRPr="004F52EA">
        <w:lastRenderedPageBreak/>
        <w:t>Victoria is poised to take advantage of opportunities in other areas of comparative strength. For example, the State</w:t>
      </w:r>
      <w:r>
        <w:t>’</w:t>
      </w:r>
      <w:r w:rsidRPr="004F52EA">
        <w:t xml:space="preserve">s export </w:t>
      </w:r>
      <w:r>
        <w:t>sectors</w:t>
      </w:r>
      <w:r w:rsidRPr="004F52EA">
        <w:t xml:space="preserve"> are likely to benefit from the burgeoning Asian middle class and recently signed free trade agreements with China, Japan and </w:t>
      </w:r>
      <w:r w:rsidRPr="004F3AAD">
        <w:t>Korea.</w:t>
      </w:r>
    </w:p>
    <w:p w:rsidR="00116054" w:rsidRPr="00171989" w:rsidRDefault="00116054" w:rsidP="00027A86">
      <w:r w:rsidRPr="004F3AAD">
        <w:t xml:space="preserve">As outlined in </w:t>
      </w:r>
      <w:r>
        <w:t>Chapter </w:t>
      </w:r>
      <w:r w:rsidRPr="004F3AAD">
        <w:t xml:space="preserve">1 </w:t>
      </w:r>
      <w:r w:rsidRPr="004F3AAD">
        <w:rPr>
          <w:i/>
        </w:rPr>
        <w:t>Economic and fiscal overview</w:t>
      </w:r>
      <w:r w:rsidRPr="004F3AAD">
        <w:t>, the Government is encouraging growth in six key sectors with the potential to drive longer</w:t>
      </w:r>
      <w:r>
        <w:noBreakHyphen/>
      </w:r>
      <w:r w:rsidRPr="004F3AAD">
        <w:t>term economic growth</w:t>
      </w:r>
      <w:r>
        <w:fldChar w:fldCharType="begin"/>
      </w:r>
      <w:r>
        <w:instrText xml:space="preserve"> XE "</w:instrText>
      </w:r>
      <w:r w:rsidRPr="00EB7A38">
        <w:instrText>Economic growth</w:instrText>
      </w:r>
      <w:r>
        <w:instrText xml:space="preserve">" </w:instrText>
      </w:r>
      <w:r>
        <w:fldChar w:fldCharType="end"/>
      </w:r>
      <w:r w:rsidRPr="004F3AAD">
        <w:t>: medical technology and pharmaceuticals, new energy technology, food and fibre</w:t>
      </w:r>
      <w:r>
        <w:t xml:space="preserve">, </w:t>
      </w:r>
      <w:r w:rsidRPr="004F3AAD">
        <w:t>transport, defence and construction technology, internati</w:t>
      </w:r>
      <w:r>
        <w:t>onal education and professional </w:t>
      </w:r>
      <w:r w:rsidRPr="004F3AAD">
        <w:t>services.</w:t>
      </w:r>
    </w:p>
    <w:p w:rsidR="00116054" w:rsidRPr="00F12E43" w:rsidRDefault="00116054" w:rsidP="00B152F7">
      <w:pPr>
        <w:rPr>
          <w:highlight w:val="lightGray"/>
        </w:rPr>
      </w:pPr>
      <w:r>
        <w:t xml:space="preserve">Table 2.1 sets out the economic forecasts for the </w:t>
      </w:r>
      <w:r w:rsidRPr="005D46FE">
        <w:rPr>
          <w:i/>
        </w:rPr>
        <w:t>2015</w:t>
      </w:r>
      <w:r>
        <w:rPr>
          <w:i/>
        </w:rPr>
        <w:noBreakHyphen/>
      </w:r>
      <w:r w:rsidRPr="005D46FE">
        <w:rPr>
          <w:i/>
        </w:rPr>
        <w:t>16 Budget</w:t>
      </w:r>
      <w:r>
        <w:t>. The forecasts are projected to revert towards trend rates over the final two years of the forward estimates period.</w:t>
      </w:r>
    </w:p>
    <w:p w:rsidR="00116054" w:rsidRDefault="00116054" w:rsidP="00AD3C8F">
      <w:pPr>
        <w:pStyle w:val="Tableheading"/>
      </w:pPr>
      <w:r>
        <w:t>Table 2.1:</w:t>
      </w:r>
      <w:r>
        <w:tab/>
        <w:t>Victorian economic forecasts</w:t>
      </w:r>
      <w:r w:rsidRPr="008739EF">
        <w:rPr>
          <w:vertAlign w:val="superscript"/>
        </w:rPr>
        <w:t>(a)</w:t>
      </w:r>
    </w:p>
    <w:p w:rsidR="00116054" w:rsidRPr="00A47F20" w:rsidRDefault="00116054" w:rsidP="00A47F20">
      <w:pPr>
        <w:pStyle w:val="million"/>
      </w:pPr>
      <w:r w:rsidRPr="00B527E0">
        <w:t>(per cent</w:t>
      </w:r>
      <w:r>
        <w:t>)</w:t>
      </w:r>
    </w:p>
    <w:tbl>
      <w:tblPr>
        <w:tblW w:w="7776" w:type="dxa"/>
        <w:tblInd w:w="28" w:type="dxa"/>
        <w:tblLayout w:type="fixed"/>
        <w:tblCellMar>
          <w:left w:w="45" w:type="dxa"/>
          <w:right w:w="45" w:type="dxa"/>
        </w:tblCellMar>
        <w:tblLook w:val="0000" w:firstRow="0" w:lastRow="0" w:firstColumn="0" w:lastColumn="0" w:noHBand="0" w:noVBand="0"/>
      </w:tblPr>
      <w:tblGrid>
        <w:gridCol w:w="2267"/>
        <w:gridCol w:w="918"/>
        <w:gridCol w:w="918"/>
        <w:gridCol w:w="918"/>
        <w:gridCol w:w="918"/>
        <w:gridCol w:w="918"/>
        <w:gridCol w:w="919"/>
      </w:tblGrid>
      <w:tr w:rsidR="00116054" w:rsidRPr="00A47F20" w:rsidTr="00C16D16">
        <w:tc>
          <w:tcPr>
            <w:tcW w:w="2267" w:type="dxa"/>
            <w:tcBorders>
              <w:top w:val="single" w:sz="6" w:space="0" w:color="000000"/>
              <w:left w:val="single" w:sz="6" w:space="0" w:color="000000"/>
              <w:bottom w:val="nil"/>
              <w:right w:val="nil"/>
            </w:tcBorders>
            <w:shd w:val="clear" w:color="auto" w:fill="000000"/>
          </w:tcPr>
          <w:p w:rsidR="00116054" w:rsidRPr="00A47F20" w:rsidRDefault="00116054" w:rsidP="00A47F20">
            <w:pPr>
              <w:pStyle w:val="Tabletext"/>
              <w:rPr>
                <w:rFonts w:eastAsiaTheme="minorEastAsia"/>
                <w:lang w:eastAsia="en-AU"/>
              </w:rPr>
            </w:pPr>
          </w:p>
        </w:tc>
        <w:tc>
          <w:tcPr>
            <w:tcW w:w="918" w:type="dxa"/>
            <w:tcBorders>
              <w:top w:val="single" w:sz="6" w:space="0" w:color="000000"/>
              <w:left w:val="nil"/>
              <w:bottom w:val="nil"/>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2013</w:t>
            </w:r>
            <w:r>
              <w:rPr>
                <w:rFonts w:eastAsiaTheme="minorEastAsia"/>
                <w:lang w:eastAsia="en-AU"/>
              </w:rPr>
              <w:noBreakHyphen/>
            </w:r>
            <w:r w:rsidRPr="00A47F20">
              <w:rPr>
                <w:rFonts w:eastAsiaTheme="minorEastAsia"/>
                <w:lang w:eastAsia="en-AU"/>
              </w:rPr>
              <w:t>14</w:t>
            </w:r>
          </w:p>
        </w:tc>
        <w:tc>
          <w:tcPr>
            <w:tcW w:w="918" w:type="dxa"/>
            <w:tcBorders>
              <w:top w:val="single" w:sz="6" w:space="0" w:color="000000"/>
              <w:left w:val="nil"/>
              <w:bottom w:val="nil"/>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2014</w:t>
            </w:r>
            <w:r>
              <w:rPr>
                <w:rFonts w:eastAsiaTheme="minorEastAsia"/>
                <w:lang w:eastAsia="en-AU"/>
              </w:rPr>
              <w:noBreakHyphen/>
            </w:r>
            <w:r w:rsidRPr="00A47F20">
              <w:rPr>
                <w:rFonts w:eastAsiaTheme="minorEastAsia"/>
                <w:lang w:eastAsia="en-AU"/>
              </w:rPr>
              <w:t>15</w:t>
            </w:r>
          </w:p>
        </w:tc>
        <w:tc>
          <w:tcPr>
            <w:tcW w:w="918" w:type="dxa"/>
            <w:tcBorders>
              <w:top w:val="single" w:sz="6" w:space="0" w:color="000000"/>
              <w:left w:val="nil"/>
              <w:bottom w:val="nil"/>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2015</w:t>
            </w:r>
            <w:r>
              <w:rPr>
                <w:rFonts w:eastAsiaTheme="minorEastAsia"/>
                <w:lang w:eastAsia="en-AU"/>
              </w:rPr>
              <w:noBreakHyphen/>
            </w:r>
            <w:r w:rsidRPr="00A47F20">
              <w:rPr>
                <w:rFonts w:eastAsiaTheme="minorEastAsia"/>
                <w:lang w:eastAsia="en-AU"/>
              </w:rPr>
              <w:t>16</w:t>
            </w:r>
          </w:p>
        </w:tc>
        <w:tc>
          <w:tcPr>
            <w:tcW w:w="918" w:type="dxa"/>
            <w:tcBorders>
              <w:top w:val="single" w:sz="6" w:space="0" w:color="000000"/>
              <w:left w:val="nil"/>
              <w:bottom w:val="nil"/>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2016</w:t>
            </w:r>
            <w:r>
              <w:rPr>
                <w:rFonts w:eastAsiaTheme="minorEastAsia"/>
                <w:lang w:eastAsia="en-AU"/>
              </w:rPr>
              <w:noBreakHyphen/>
            </w:r>
            <w:r w:rsidRPr="00A47F20">
              <w:rPr>
                <w:rFonts w:eastAsiaTheme="minorEastAsia"/>
                <w:lang w:eastAsia="en-AU"/>
              </w:rPr>
              <w:t>17</w:t>
            </w:r>
          </w:p>
        </w:tc>
        <w:tc>
          <w:tcPr>
            <w:tcW w:w="918" w:type="dxa"/>
            <w:tcBorders>
              <w:top w:val="single" w:sz="6" w:space="0" w:color="000000"/>
              <w:left w:val="nil"/>
              <w:bottom w:val="nil"/>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2017</w:t>
            </w:r>
            <w:r>
              <w:rPr>
                <w:rFonts w:eastAsiaTheme="minorEastAsia"/>
                <w:lang w:eastAsia="en-AU"/>
              </w:rPr>
              <w:noBreakHyphen/>
            </w:r>
            <w:r w:rsidRPr="00A47F20">
              <w:rPr>
                <w:rFonts w:eastAsiaTheme="minorEastAsia"/>
                <w:lang w:eastAsia="en-AU"/>
              </w:rPr>
              <w:t>18</w:t>
            </w:r>
          </w:p>
        </w:tc>
        <w:tc>
          <w:tcPr>
            <w:tcW w:w="919" w:type="dxa"/>
            <w:tcBorders>
              <w:top w:val="single" w:sz="6" w:space="0" w:color="000000"/>
              <w:left w:val="nil"/>
              <w:bottom w:val="nil"/>
              <w:right w:val="single" w:sz="6" w:space="0" w:color="000000"/>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2018</w:t>
            </w:r>
            <w:r>
              <w:rPr>
                <w:rFonts w:eastAsiaTheme="minorEastAsia"/>
                <w:lang w:eastAsia="en-AU"/>
              </w:rPr>
              <w:noBreakHyphen/>
            </w:r>
            <w:r w:rsidRPr="00A47F20">
              <w:rPr>
                <w:rFonts w:eastAsiaTheme="minorEastAsia"/>
                <w:lang w:eastAsia="en-AU"/>
              </w:rPr>
              <w:t>19</w:t>
            </w:r>
          </w:p>
        </w:tc>
      </w:tr>
      <w:tr w:rsidR="00116054" w:rsidRPr="00A47F20" w:rsidTr="00C16D16">
        <w:tc>
          <w:tcPr>
            <w:tcW w:w="2267" w:type="dxa"/>
            <w:tcBorders>
              <w:top w:val="nil"/>
              <w:left w:val="single" w:sz="6" w:space="0" w:color="000000"/>
              <w:bottom w:val="single" w:sz="6" w:space="0" w:color="000000"/>
              <w:right w:val="nil"/>
            </w:tcBorders>
            <w:shd w:val="clear" w:color="auto" w:fill="000000"/>
          </w:tcPr>
          <w:p w:rsidR="00116054" w:rsidRPr="00A47F20" w:rsidRDefault="00116054" w:rsidP="00A47F20">
            <w:pPr>
              <w:pStyle w:val="Tabletext"/>
              <w:rPr>
                <w:rFonts w:eastAsiaTheme="minorEastAsia"/>
                <w:i/>
                <w:iCs/>
                <w:lang w:eastAsia="en-AU"/>
              </w:rPr>
            </w:pPr>
            <w:r w:rsidRPr="00A47F20">
              <w:rPr>
                <w:rFonts w:eastAsiaTheme="minorEastAsia"/>
                <w:i/>
                <w:iCs/>
                <w:lang w:eastAsia="en-AU"/>
              </w:rPr>
              <w:t xml:space="preserve"> </w:t>
            </w:r>
          </w:p>
        </w:tc>
        <w:tc>
          <w:tcPr>
            <w:tcW w:w="918" w:type="dxa"/>
            <w:tcBorders>
              <w:top w:val="nil"/>
              <w:left w:val="nil"/>
              <w:bottom w:val="single" w:sz="6" w:space="0" w:color="000000"/>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actual</w:t>
            </w:r>
          </w:p>
        </w:tc>
        <w:tc>
          <w:tcPr>
            <w:tcW w:w="918" w:type="dxa"/>
            <w:tcBorders>
              <w:top w:val="nil"/>
              <w:left w:val="nil"/>
              <w:bottom w:val="single" w:sz="6" w:space="0" w:color="000000"/>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forecast</w:t>
            </w:r>
          </w:p>
        </w:tc>
        <w:tc>
          <w:tcPr>
            <w:tcW w:w="918" w:type="dxa"/>
            <w:tcBorders>
              <w:top w:val="nil"/>
              <w:left w:val="nil"/>
              <w:bottom w:val="single" w:sz="6" w:space="0" w:color="000000"/>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forecast</w:t>
            </w:r>
          </w:p>
        </w:tc>
        <w:tc>
          <w:tcPr>
            <w:tcW w:w="918" w:type="dxa"/>
            <w:tcBorders>
              <w:top w:val="nil"/>
              <w:left w:val="nil"/>
              <w:bottom w:val="single" w:sz="6" w:space="0" w:color="000000"/>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forecast</w:t>
            </w:r>
          </w:p>
        </w:tc>
        <w:tc>
          <w:tcPr>
            <w:tcW w:w="918" w:type="dxa"/>
            <w:tcBorders>
              <w:top w:val="nil"/>
              <w:left w:val="nil"/>
              <w:bottom w:val="single" w:sz="6" w:space="0" w:color="000000"/>
              <w:right w:val="nil"/>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projection</w:t>
            </w:r>
          </w:p>
        </w:tc>
        <w:tc>
          <w:tcPr>
            <w:tcW w:w="919" w:type="dxa"/>
            <w:tcBorders>
              <w:top w:val="nil"/>
              <w:left w:val="nil"/>
              <w:bottom w:val="single" w:sz="6" w:space="0" w:color="000000"/>
              <w:right w:val="single" w:sz="6" w:space="0" w:color="000000"/>
            </w:tcBorders>
            <w:shd w:val="clear" w:color="auto" w:fill="000000"/>
          </w:tcPr>
          <w:p w:rsidR="00116054" w:rsidRPr="00A47F20" w:rsidRDefault="00116054" w:rsidP="00A47F20">
            <w:pPr>
              <w:pStyle w:val="Tabletextheading"/>
              <w:rPr>
                <w:rFonts w:eastAsiaTheme="minorEastAsia"/>
                <w:lang w:eastAsia="en-AU"/>
              </w:rPr>
            </w:pPr>
            <w:r w:rsidRPr="00A47F20">
              <w:rPr>
                <w:rFonts w:eastAsiaTheme="minorEastAsia"/>
                <w:lang w:eastAsia="en-AU"/>
              </w:rPr>
              <w:t>projection</w:t>
            </w:r>
          </w:p>
        </w:tc>
      </w:tr>
      <w:tr w:rsidR="00116054" w:rsidRPr="00A47F20" w:rsidTr="00C16D16">
        <w:tc>
          <w:tcPr>
            <w:tcW w:w="2267" w:type="dxa"/>
            <w:tcBorders>
              <w:top w:val="single" w:sz="6" w:space="0" w:color="000000"/>
              <w:left w:val="nil"/>
              <w:bottom w:val="nil"/>
              <w:right w:val="nil"/>
            </w:tcBorders>
          </w:tcPr>
          <w:p w:rsidR="00116054" w:rsidRPr="00A47F20" w:rsidRDefault="00116054" w:rsidP="00A47F20">
            <w:pPr>
              <w:pStyle w:val="Tabletext"/>
              <w:rPr>
                <w:rFonts w:eastAsiaTheme="minorEastAsia"/>
                <w:lang w:eastAsia="en-AU"/>
              </w:rPr>
            </w:pPr>
            <w:r w:rsidRPr="00A47F20">
              <w:rPr>
                <w:rFonts w:eastAsiaTheme="minorEastAsia"/>
                <w:lang w:eastAsia="en-AU"/>
              </w:rPr>
              <w:t>Real gross state product</w:t>
            </w:r>
          </w:p>
        </w:tc>
        <w:tc>
          <w:tcPr>
            <w:tcW w:w="918" w:type="dxa"/>
            <w:tcBorders>
              <w:top w:val="single" w:sz="6" w:space="0" w:color="000000"/>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1.7</w:t>
            </w:r>
          </w:p>
        </w:tc>
        <w:tc>
          <w:tcPr>
            <w:tcW w:w="918" w:type="dxa"/>
            <w:tcBorders>
              <w:top w:val="single" w:sz="6" w:space="0" w:color="000000"/>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2.25</w:t>
            </w:r>
          </w:p>
        </w:tc>
        <w:tc>
          <w:tcPr>
            <w:tcW w:w="918" w:type="dxa"/>
            <w:tcBorders>
              <w:top w:val="single" w:sz="6" w:space="0" w:color="000000"/>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2.50</w:t>
            </w:r>
          </w:p>
        </w:tc>
        <w:tc>
          <w:tcPr>
            <w:tcW w:w="918" w:type="dxa"/>
            <w:tcBorders>
              <w:top w:val="single" w:sz="6" w:space="0" w:color="000000"/>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2.75</w:t>
            </w:r>
          </w:p>
        </w:tc>
        <w:tc>
          <w:tcPr>
            <w:tcW w:w="918" w:type="dxa"/>
            <w:tcBorders>
              <w:top w:val="single" w:sz="6" w:space="0" w:color="000000"/>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2.75</w:t>
            </w:r>
          </w:p>
        </w:tc>
        <w:tc>
          <w:tcPr>
            <w:tcW w:w="919" w:type="dxa"/>
            <w:tcBorders>
              <w:top w:val="single" w:sz="6" w:space="0" w:color="000000"/>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2.75</w:t>
            </w:r>
          </w:p>
        </w:tc>
      </w:tr>
      <w:tr w:rsidR="00116054" w:rsidRPr="00A47F20" w:rsidTr="00C16D16">
        <w:tc>
          <w:tcPr>
            <w:tcW w:w="2267" w:type="dxa"/>
            <w:tcBorders>
              <w:top w:val="nil"/>
              <w:left w:val="nil"/>
              <w:bottom w:val="nil"/>
              <w:right w:val="nil"/>
            </w:tcBorders>
          </w:tcPr>
          <w:p w:rsidR="00116054" w:rsidRPr="00A47F20" w:rsidRDefault="00116054" w:rsidP="00A47F20">
            <w:pPr>
              <w:pStyle w:val="Tabletext"/>
              <w:rPr>
                <w:rFonts w:eastAsiaTheme="minorEastAsia"/>
                <w:lang w:eastAsia="en-AU"/>
              </w:rPr>
            </w:pPr>
            <w:r w:rsidRPr="00A47F20">
              <w:rPr>
                <w:rFonts w:eastAsiaTheme="minorEastAsia"/>
                <w:lang w:eastAsia="en-AU"/>
              </w:rPr>
              <w:t>Employment</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0.6</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2.00</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1.50</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1.50</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1.50</w:t>
            </w:r>
          </w:p>
        </w:tc>
        <w:tc>
          <w:tcPr>
            <w:tcW w:w="919"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1.50</w:t>
            </w:r>
          </w:p>
        </w:tc>
      </w:tr>
      <w:tr w:rsidR="00116054" w:rsidRPr="00A47F20" w:rsidTr="00C16D16">
        <w:tc>
          <w:tcPr>
            <w:tcW w:w="2267" w:type="dxa"/>
            <w:tcBorders>
              <w:top w:val="nil"/>
              <w:left w:val="nil"/>
              <w:bottom w:val="nil"/>
              <w:right w:val="nil"/>
            </w:tcBorders>
          </w:tcPr>
          <w:p w:rsidR="00116054" w:rsidRPr="00A47F20" w:rsidRDefault="00116054" w:rsidP="00A47F20">
            <w:pPr>
              <w:pStyle w:val="Tabletext"/>
              <w:rPr>
                <w:rFonts w:eastAsiaTheme="minorEastAsia"/>
                <w:vertAlign w:val="superscript"/>
                <w:lang w:eastAsia="en-AU"/>
              </w:rPr>
            </w:pPr>
            <w:r w:rsidRPr="00A47F20">
              <w:rPr>
                <w:rFonts w:eastAsiaTheme="minorEastAsia"/>
                <w:lang w:eastAsia="en-AU"/>
              </w:rPr>
              <w:t xml:space="preserve">Unemployment rate </w:t>
            </w:r>
            <w:r w:rsidRPr="00A47F20">
              <w:rPr>
                <w:rFonts w:eastAsiaTheme="minorEastAsia"/>
                <w:vertAlign w:val="superscript"/>
                <w:lang w:eastAsia="en-AU"/>
              </w:rPr>
              <w:t>(b)</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6.2</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6.50</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6.25</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6.25</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6.00</w:t>
            </w:r>
          </w:p>
        </w:tc>
        <w:tc>
          <w:tcPr>
            <w:tcW w:w="919"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5.75</w:t>
            </w:r>
          </w:p>
        </w:tc>
      </w:tr>
      <w:tr w:rsidR="00116054" w:rsidRPr="00A47F20" w:rsidTr="00C16D16">
        <w:tc>
          <w:tcPr>
            <w:tcW w:w="2267" w:type="dxa"/>
            <w:tcBorders>
              <w:top w:val="nil"/>
              <w:left w:val="nil"/>
              <w:bottom w:val="nil"/>
              <w:right w:val="nil"/>
            </w:tcBorders>
          </w:tcPr>
          <w:p w:rsidR="00116054" w:rsidRPr="00A47F20" w:rsidRDefault="00116054" w:rsidP="00A47F20">
            <w:pPr>
              <w:pStyle w:val="Tabletext"/>
              <w:rPr>
                <w:rFonts w:eastAsiaTheme="minorEastAsia"/>
                <w:vertAlign w:val="superscript"/>
                <w:lang w:eastAsia="en-AU"/>
              </w:rPr>
            </w:pPr>
            <w:r w:rsidRPr="00A47F20">
              <w:rPr>
                <w:rFonts w:eastAsiaTheme="minorEastAsia"/>
                <w:lang w:eastAsia="en-AU"/>
              </w:rPr>
              <w:t xml:space="preserve">Consumer price index </w:t>
            </w:r>
            <w:r w:rsidRPr="00A47F20">
              <w:rPr>
                <w:rFonts w:eastAsiaTheme="minorEastAsia"/>
                <w:vertAlign w:val="superscript"/>
                <w:lang w:eastAsia="en-AU"/>
              </w:rPr>
              <w:t>(c)</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2.8</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1.50</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2.75</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2.75</w:t>
            </w:r>
          </w:p>
        </w:tc>
        <w:tc>
          <w:tcPr>
            <w:tcW w:w="918"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2.50</w:t>
            </w:r>
          </w:p>
        </w:tc>
        <w:tc>
          <w:tcPr>
            <w:tcW w:w="919" w:type="dxa"/>
            <w:tcBorders>
              <w:top w:val="nil"/>
              <w:left w:val="nil"/>
              <w:bottom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2.50</w:t>
            </w:r>
          </w:p>
        </w:tc>
      </w:tr>
      <w:tr w:rsidR="00116054" w:rsidRPr="00A47F20" w:rsidTr="00C16D16">
        <w:tc>
          <w:tcPr>
            <w:tcW w:w="2267" w:type="dxa"/>
            <w:tcBorders>
              <w:top w:val="nil"/>
              <w:left w:val="nil"/>
              <w:right w:val="nil"/>
            </w:tcBorders>
          </w:tcPr>
          <w:p w:rsidR="00116054" w:rsidRPr="00A47F20" w:rsidRDefault="00116054" w:rsidP="00A47F20">
            <w:pPr>
              <w:pStyle w:val="Tabletext"/>
              <w:rPr>
                <w:rFonts w:eastAsiaTheme="minorEastAsia"/>
                <w:vertAlign w:val="superscript"/>
                <w:lang w:eastAsia="en-AU"/>
              </w:rPr>
            </w:pPr>
            <w:r w:rsidRPr="00A47F20">
              <w:rPr>
                <w:rFonts w:eastAsiaTheme="minorEastAsia"/>
                <w:lang w:eastAsia="en-AU"/>
              </w:rPr>
              <w:t xml:space="preserve">Wage price index </w:t>
            </w:r>
            <w:r w:rsidRPr="00A47F20">
              <w:rPr>
                <w:rFonts w:eastAsiaTheme="minorEastAsia"/>
                <w:vertAlign w:val="superscript"/>
                <w:lang w:eastAsia="en-AU"/>
              </w:rPr>
              <w:t>(d)</w:t>
            </w:r>
          </w:p>
        </w:tc>
        <w:tc>
          <w:tcPr>
            <w:tcW w:w="918" w:type="dxa"/>
            <w:tcBorders>
              <w:top w:val="nil"/>
              <w:left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w:t>
            </w:r>
          </w:p>
        </w:tc>
        <w:tc>
          <w:tcPr>
            <w:tcW w:w="918" w:type="dxa"/>
            <w:tcBorders>
              <w:top w:val="nil"/>
              <w:left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2.75</w:t>
            </w:r>
          </w:p>
        </w:tc>
        <w:tc>
          <w:tcPr>
            <w:tcW w:w="918" w:type="dxa"/>
            <w:tcBorders>
              <w:top w:val="nil"/>
              <w:left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3.25</w:t>
            </w:r>
          </w:p>
        </w:tc>
        <w:tc>
          <w:tcPr>
            <w:tcW w:w="918" w:type="dxa"/>
            <w:tcBorders>
              <w:top w:val="nil"/>
              <w:left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3.50</w:t>
            </w:r>
          </w:p>
        </w:tc>
        <w:tc>
          <w:tcPr>
            <w:tcW w:w="918" w:type="dxa"/>
            <w:tcBorders>
              <w:top w:val="nil"/>
              <w:left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3.50</w:t>
            </w:r>
          </w:p>
        </w:tc>
        <w:tc>
          <w:tcPr>
            <w:tcW w:w="919" w:type="dxa"/>
            <w:tcBorders>
              <w:top w:val="nil"/>
              <w:left w:val="nil"/>
              <w:right w:val="nil"/>
            </w:tcBorders>
          </w:tcPr>
          <w:p w:rsidR="00116054" w:rsidRPr="00A47F20" w:rsidRDefault="00116054" w:rsidP="00A47F20">
            <w:pPr>
              <w:pStyle w:val="TableofFigures"/>
              <w:rPr>
                <w:rFonts w:eastAsiaTheme="minorEastAsia"/>
                <w:lang w:eastAsia="en-AU"/>
              </w:rPr>
            </w:pPr>
            <w:r w:rsidRPr="00A47F20">
              <w:rPr>
                <w:rFonts w:eastAsiaTheme="minorEastAsia"/>
                <w:lang w:eastAsia="en-AU"/>
              </w:rPr>
              <w:t>3.50</w:t>
            </w:r>
          </w:p>
        </w:tc>
      </w:tr>
      <w:tr w:rsidR="00116054" w:rsidRPr="00A47F20" w:rsidTr="00C16D16">
        <w:tc>
          <w:tcPr>
            <w:tcW w:w="2267" w:type="dxa"/>
            <w:tcBorders>
              <w:top w:val="nil"/>
              <w:left w:val="nil"/>
              <w:bottom w:val="single" w:sz="12" w:space="0" w:color="000000"/>
              <w:right w:val="nil"/>
            </w:tcBorders>
            <w:shd w:val="clear" w:color="auto" w:fill="auto"/>
          </w:tcPr>
          <w:p w:rsidR="00116054" w:rsidRPr="00A47F20" w:rsidRDefault="00116054" w:rsidP="00A47F20">
            <w:pPr>
              <w:pStyle w:val="Tabletext"/>
              <w:rPr>
                <w:rFonts w:eastAsiaTheme="minorEastAsia"/>
                <w:vertAlign w:val="superscript"/>
                <w:lang w:eastAsia="en-AU"/>
              </w:rPr>
            </w:pPr>
            <w:r w:rsidRPr="00A47F20">
              <w:rPr>
                <w:rFonts w:eastAsiaTheme="minorEastAsia"/>
                <w:lang w:eastAsia="en-AU"/>
              </w:rPr>
              <w:t xml:space="preserve">Population </w:t>
            </w:r>
            <w:r w:rsidRPr="00A47F20">
              <w:rPr>
                <w:rFonts w:eastAsiaTheme="minorEastAsia"/>
                <w:vertAlign w:val="superscript"/>
                <w:lang w:eastAsia="en-AU"/>
              </w:rPr>
              <w:t>(e)</w:t>
            </w:r>
          </w:p>
        </w:tc>
        <w:tc>
          <w:tcPr>
            <w:tcW w:w="918" w:type="dxa"/>
            <w:tcBorders>
              <w:top w:val="nil"/>
              <w:left w:val="nil"/>
              <w:bottom w:val="single" w:sz="12" w:space="0" w:color="000000"/>
              <w:right w:val="nil"/>
            </w:tcBorders>
            <w:shd w:val="clear" w:color="auto" w:fill="auto"/>
          </w:tcPr>
          <w:p w:rsidR="00116054" w:rsidRPr="00A47F20" w:rsidRDefault="00116054" w:rsidP="00A47F20">
            <w:pPr>
              <w:pStyle w:val="TableofFigures"/>
              <w:rPr>
                <w:rFonts w:eastAsiaTheme="minorEastAsia"/>
                <w:lang w:eastAsia="en-AU"/>
              </w:rPr>
            </w:pPr>
            <w:r w:rsidRPr="00A47F20">
              <w:rPr>
                <w:rFonts w:eastAsiaTheme="minorEastAsia"/>
                <w:lang w:eastAsia="en-AU"/>
              </w:rPr>
              <w:t>1.9</w:t>
            </w:r>
          </w:p>
        </w:tc>
        <w:tc>
          <w:tcPr>
            <w:tcW w:w="918" w:type="dxa"/>
            <w:tcBorders>
              <w:top w:val="nil"/>
              <w:left w:val="nil"/>
              <w:bottom w:val="single" w:sz="12" w:space="0" w:color="000000"/>
              <w:right w:val="nil"/>
            </w:tcBorders>
            <w:shd w:val="clear" w:color="auto" w:fill="auto"/>
          </w:tcPr>
          <w:p w:rsidR="00116054" w:rsidRPr="00A47F20" w:rsidRDefault="00116054" w:rsidP="00A47F20">
            <w:pPr>
              <w:pStyle w:val="TableofFigures"/>
              <w:rPr>
                <w:rFonts w:eastAsiaTheme="minorEastAsia"/>
                <w:lang w:eastAsia="en-AU"/>
              </w:rPr>
            </w:pPr>
            <w:r w:rsidRPr="00A47F20">
              <w:rPr>
                <w:rFonts w:eastAsiaTheme="minorEastAsia"/>
                <w:lang w:eastAsia="en-AU"/>
              </w:rPr>
              <w:t>1.8</w:t>
            </w:r>
          </w:p>
        </w:tc>
        <w:tc>
          <w:tcPr>
            <w:tcW w:w="918" w:type="dxa"/>
            <w:tcBorders>
              <w:top w:val="nil"/>
              <w:left w:val="nil"/>
              <w:bottom w:val="single" w:sz="12" w:space="0" w:color="000000"/>
              <w:right w:val="nil"/>
            </w:tcBorders>
            <w:shd w:val="clear" w:color="auto" w:fill="auto"/>
          </w:tcPr>
          <w:p w:rsidR="00116054" w:rsidRPr="00A47F20" w:rsidRDefault="00116054" w:rsidP="00A47F20">
            <w:pPr>
              <w:pStyle w:val="TableofFigures"/>
              <w:rPr>
                <w:rFonts w:eastAsiaTheme="minorEastAsia"/>
                <w:lang w:eastAsia="en-AU"/>
              </w:rPr>
            </w:pPr>
            <w:r w:rsidRPr="00A47F20">
              <w:rPr>
                <w:rFonts w:eastAsiaTheme="minorEastAsia"/>
                <w:lang w:eastAsia="en-AU"/>
              </w:rPr>
              <w:t>1.8</w:t>
            </w:r>
          </w:p>
        </w:tc>
        <w:tc>
          <w:tcPr>
            <w:tcW w:w="918" w:type="dxa"/>
            <w:tcBorders>
              <w:top w:val="nil"/>
              <w:left w:val="nil"/>
              <w:bottom w:val="single" w:sz="12" w:space="0" w:color="000000"/>
              <w:right w:val="nil"/>
            </w:tcBorders>
            <w:shd w:val="clear" w:color="auto" w:fill="auto"/>
          </w:tcPr>
          <w:p w:rsidR="00116054" w:rsidRPr="00A47F20" w:rsidRDefault="00116054" w:rsidP="00A47F20">
            <w:pPr>
              <w:pStyle w:val="TableofFigures"/>
              <w:rPr>
                <w:rFonts w:eastAsiaTheme="minorEastAsia"/>
                <w:lang w:eastAsia="en-AU"/>
              </w:rPr>
            </w:pPr>
            <w:r w:rsidRPr="00A47F20">
              <w:rPr>
                <w:rFonts w:eastAsiaTheme="minorEastAsia"/>
                <w:lang w:eastAsia="en-AU"/>
              </w:rPr>
              <w:t>1.8</w:t>
            </w:r>
          </w:p>
        </w:tc>
        <w:tc>
          <w:tcPr>
            <w:tcW w:w="918" w:type="dxa"/>
            <w:tcBorders>
              <w:top w:val="nil"/>
              <w:left w:val="nil"/>
              <w:bottom w:val="single" w:sz="12" w:space="0" w:color="000000"/>
              <w:right w:val="nil"/>
            </w:tcBorders>
            <w:shd w:val="clear" w:color="auto" w:fill="auto"/>
          </w:tcPr>
          <w:p w:rsidR="00116054" w:rsidRPr="00A47F20" w:rsidRDefault="00116054" w:rsidP="00A47F20">
            <w:pPr>
              <w:pStyle w:val="TableofFigures"/>
              <w:rPr>
                <w:rFonts w:eastAsiaTheme="minorEastAsia"/>
                <w:lang w:eastAsia="en-AU"/>
              </w:rPr>
            </w:pPr>
            <w:r w:rsidRPr="00A47F20">
              <w:rPr>
                <w:rFonts w:eastAsiaTheme="minorEastAsia"/>
                <w:lang w:eastAsia="en-AU"/>
              </w:rPr>
              <w:t>1.8</w:t>
            </w:r>
          </w:p>
        </w:tc>
        <w:tc>
          <w:tcPr>
            <w:tcW w:w="919" w:type="dxa"/>
            <w:tcBorders>
              <w:top w:val="nil"/>
              <w:left w:val="nil"/>
              <w:bottom w:val="single" w:sz="12" w:space="0" w:color="000000"/>
              <w:right w:val="nil"/>
            </w:tcBorders>
            <w:shd w:val="clear" w:color="auto" w:fill="auto"/>
          </w:tcPr>
          <w:p w:rsidR="00116054" w:rsidRPr="00A47F20" w:rsidRDefault="00116054" w:rsidP="00A47F20">
            <w:pPr>
              <w:pStyle w:val="TableofFigures"/>
              <w:rPr>
                <w:rFonts w:eastAsiaTheme="minorEastAsia"/>
                <w:lang w:eastAsia="en-AU"/>
              </w:rPr>
            </w:pPr>
            <w:r w:rsidRPr="00A47F20">
              <w:rPr>
                <w:rFonts w:eastAsiaTheme="minorEastAsia"/>
                <w:lang w:eastAsia="en-AU"/>
              </w:rPr>
              <w:t>1.8</w:t>
            </w:r>
          </w:p>
        </w:tc>
      </w:tr>
    </w:tbl>
    <w:p w:rsidR="00116054" w:rsidRDefault="00116054" w:rsidP="00B05186">
      <w:pPr>
        <w:pStyle w:val="Source"/>
      </w:pPr>
      <w:r>
        <w:t>Sources: Department of Treasury and Finance; Australian Bureau of Statistics</w:t>
      </w:r>
      <w:r>
        <w:fldChar w:fldCharType="begin"/>
      </w:r>
      <w:r>
        <w:instrText xml:space="preserve"> XE "</w:instrText>
      </w:r>
      <w:r w:rsidRPr="00E73EA9">
        <w:instrText>Gross state product</w:instrText>
      </w:r>
      <w:r>
        <w:instrText xml:space="preserve">" </w:instrText>
      </w:r>
      <w:r>
        <w:fldChar w:fldCharType="end"/>
      </w:r>
      <w:r>
        <w:fldChar w:fldCharType="begin"/>
      </w:r>
      <w:r>
        <w:instrText xml:space="preserve"> XE "</w:instrText>
      </w:r>
      <w:r w:rsidRPr="008219EA">
        <w:instrText>Population</w:instrText>
      </w:r>
      <w:r>
        <w:instrText xml:space="preserve">" </w:instrText>
      </w:r>
      <w:r>
        <w:fldChar w:fldCharType="end"/>
      </w:r>
    </w:p>
    <w:p w:rsidR="00116054" w:rsidRDefault="00116054" w:rsidP="00AD3C8F">
      <w:pPr>
        <w:pStyle w:val="Notes"/>
      </w:pPr>
      <w:bookmarkStart w:id="36" w:name="BP2UnemploymentRate1"/>
      <w:r>
        <w:t>Notes:</w:t>
      </w:r>
    </w:p>
    <w:p w:rsidR="00116054" w:rsidRDefault="00116054" w:rsidP="00AD3C8F">
      <w:pPr>
        <w:pStyle w:val="Notes"/>
      </w:pPr>
      <w:r>
        <w:t>(a)</w:t>
      </w:r>
      <w:r>
        <w:tab/>
        <w:t>Per cent change in year</w:t>
      </w:r>
      <w:r>
        <w:noBreakHyphen/>
        <w:t xml:space="preserve">average compared with previous year, except </w:t>
      </w:r>
      <w:r w:rsidRPr="00AE6AB5">
        <w:t>for the unemployment</w:t>
      </w:r>
      <w:r>
        <w:t xml:space="preserve"> rate (see note (b)) and population (see note (e)). Forecasts are rounded to the nearest 0.25 percentage points, except for population (see note (e)).</w:t>
      </w:r>
    </w:p>
    <w:p w:rsidR="00116054" w:rsidRDefault="00116054" w:rsidP="00AD3C8F">
      <w:pPr>
        <w:pStyle w:val="Notes"/>
      </w:pPr>
      <w:r>
        <w:tab/>
        <w:t>Projections for 2017</w:t>
      </w:r>
      <w:r>
        <w:noBreakHyphen/>
        <w:t>18 and 2018</w:t>
      </w:r>
      <w:r>
        <w:noBreakHyphen/>
        <w:t>19 represent trend rates, except for the unemployment rate which shows a path towards trend.</w:t>
      </w:r>
    </w:p>
    <w:p w:rsidR="00116054" w:rsidRDefault="00116054" w:rsidP="00AD3C8F">
      <w:pPr>
        <w:pStyle w:val="Notes"/>
      </w:pPr>
      <w:r>
        <w:tab/>
        <w:t>The key assumptions underlying the economic forecasts include: interest rates that follow movements in market expectations in the short term, and stabilise thereafter; a trade</w:t>
      </w:r>
      <w:r>
        <w:noBreakHyphen/>
        <w:t>weighted index of 64.5; and oil prices that follow the path suggested by oil futures.</w:t>
      </w:r>
    </w:p>
    <w:p w:rsidR="00116054" w:rsidRDefault="00116054" w:rsidP="00AD3C8F">
      <w:pPr>
        <w:pStyle w:val="Notes"/>
      </w:pPr>
      <w:r>
        <w:t>(b)</w:t>
      </w:r>
      <w:r>
        <w:tab/>
        <w:t>Year</w:t>
      </w:r>
      <w:r>
        <w:noBreakHyphen/>
        <w:t>average rate.</w:t>
      </w:r>
    </w:p>
    <w:p w:rsidR="00116054" w:rsidRDefault="00116054" w:rsidP="00AD3C8F">
      <w:pPr>
        <w:pStyle w:val="Notes"/>
      </w:pPr>
      <w:r>
        <w:t>(c)</w:t>
      </w:r>
      <w:r>
        <w:tab/>
        <w:t>Melbourne consumer price index.</w:t>
      </w:r>
    </w:p>
    <w:p w:rsidR="00116054" w:rsidRDefault="00116054" w:rsidP="00AD3C8F">
      <w:pPr>
        <w:pStyle w:val="Notes"/>
      </w:pPr>
      <w:r>
        <w:t>(d)</w:t>
      </w:r>
      <w:r>
        <w:tab/>
        <w:t>Total hourly rate excluding bonuses.</w:t>
      </w:r>
    </w:p>
    <w:p w:rsidR="00116054" w:rsidRDefault="00116054" w:rsidP="00AD3C8F">
      <w:pPr>
        <w:pStyle w:val="Notes"/>
      </w:pPr>
      <w:r>
        <w:t>(e)</w:t>
      </w:r>
      <w:r>
        <w:tab/>
        <w:t>Per cent change over the year to 30 June. Forecasts are rounded to the nearest 0.1 percentage point.</w:t>
      </w:r>
    </w:p>
    <w:p w:rsidR="00116054" w:rsidRDefault="00116054" w:rsidP="00FE7D90">
      <w:pPr>
        <w:pStyle w:val="Heading2"/>
      </w:pPr>
      <w:bookmarkStart w:id="37" w:name="BP2GSP"/>
      <w:r>
        <w:t>Gross state product</w:t>
      </w:r>
    </w:p>
    <w:p w:rsidR="00116054" w:rsidRDefault="00116054" w:rsidP="00B152F7">
      <w:r w:rsidRPr="005C1E9C">
        <w:t>Victoria</w:t>
      </w:r>
      <w:r>
        <w:t>’</w:t>
      </w:r>
      <w:r w:rsidRPr="005C1E9C">
        <w:t>s real GSP growth is forecast to rise to 2.50</w:t>
      </w:r>
      <w:r>
        <w:t> per cent</w:t>
      </w:r>
      <w:r w:rsidRPr="005C1E9C">
        <w:t xml:space="preserve"> in 2015</w:t>
      </w:r>
      <w:r>
        <w:noBreakHyphen/>
      </w:r>
      <w:r w:rsidRPr="005C1E9C">
        <w:t>16 from 2.25</w:t>
      </w:r>
      <w:r>
        <w:t> per cent</w:t>
      </w:r>
      <w:r w:rsidRPr="005C1E9C">
        <w:t xml:space="preserve"> in 2014</w:t>
      </w:r>
      <w:r>
        <w:noBreakHyphen/>
      </w:r>
      <w:r w:rsidRPr="005C1E9C">
        <w:t>15. This reflects strengthening household consumption as well as higher export growth in response to the lower exchange rate and increasing overseas demand.</w:t>
      </w:r>
    </w:p>
    <w:p w:rsidR="00116054" w:rsidRPr="00B152F7" w:rsidRDefault="00116054" w:rsidP="00B152F7">
      <w:r w:rsidRPr="00B152F7">
        <w:t>Household consumption growth</w:t>
      </w:r>
      <w:r>
        <w:t xml:space="preserve"> is predicted to continue to </w:t>
      </w:r>
      <w:r w:rsidRPr="00323D47">
        <w:t>benefi</w:t>
      </w:r>
      <w:r>
        <w:t>t</w:t>
      </w:r>
      <w:r w:rsidRPr="00323D47">
        <w:t xml:space="preserve"> from</w:t>
      </w:r>
      <w:r w:rsidRPr="00B152F7">
        <w:t xml:space="preserve"> low interest rates and rising asset prices. Labour income growth is expected to recover as growth picks up in wages and aggregate hours worked. The </w:t>
      </w:r>
      <w:r>
        <w:t>forecasts assume a further near</w:t>
      </w:r>
      <w:r>
        <w:noBreakHyphen/>
      </w:r>
      <w:r w:rsidRPr="00B152F7">
        <w:t>term moderation of the household saving ratio to sustain spending growth, consistent with increasing household wealth.</w:t>
      </w:r>
      <w:r>
        <w:fldChar w:fldCharType="begin"/>
      </w:r>
      <w:r>
        <w:instrText xml:space="preserve"> XE "</w:instrText>
      </w:r>
      <w:r w:rsidRPr="00B65846">
        <w:instrText>Wages</w:instrText>
      </w:r>
      <w:r>
        <w:instrText xml:space="preserve">" \r "BP2Wages" </w:instrText>
      </w:r>
      <w:r>
        <w:fldChar w:fldCharType="end"/>
      </w:r>
    </w:p>
    <w:bookmarkEnd w:id="34"/>
    <w:p w:rsidR="00116054" w:rsidRPr="00B152F7" w:rsidRDefault="00116054" w:rsidP="00B152F7">
      <w:r w:rsidRPr="00B152F7">
        <w:lastRenderedPageBreak/>
        <w:t>Dwelling investment</w:t>
      </w:r>
      <w:r>
        <w:fldChar w:fldCharType="begin"/>
      </w:r>
      <w:r>
        <w:instrText xml:space="preserve"> XE "</w:instrText>
      </w:r>
      <w:r w:rsidRPr="00986BE8">
        <w:instrText>Dwelling investment</w:instrText>
      </w:r>
      <w:r>
        <w:instrText xml:space="preserve">" </w:instrText>
      </w:r>
      <w:r>
        <w:fldChar w:fldCharType="end"/>
      </w:r>
      <w:r w:rsidRPr="00B152F7">
        <w:t xml:space="preserve"> is forecast to grow solidly in the short term, </w:t>
      </w:r>
      <w:r>
        <w:t>in line</w:t>
      </w:r>
      <w:r w:rsidRPr="00B152F7">
        <w:t xml:space="preserve"> with </w:t>
      </w:r>
      <w:r>
        <w:t xml:space="preserve">recent </w:t>
      </w:r>
      <w:r w:rsidRPr="00B152F7">
        <w:t>strength in the established property market and supported by a surge in construction of multi</w:t>
      </w:r>
      <w:r>
        <w:noBreakHyphen/>
        <w:t>unit dwellings.</w:t>
      </w:r>
    </w:p>
    <w:p w:rsidR="00116054" w:rsidRDefault="00116054" w:rsidP="00B152F7">
      <w:r w:rsidRPr="00B152F7">
        <w:t>Business investment</w:t>
      </w:r>
      <w:r>
        <w:fldChar w:fldCharType="begin"/>
      </w:r>
      <w:r>
        <w:instrText xml:space="preserve"> XE "</w:instrText>
      </w:r>
      <w:r w:rsidRPr="00F03D91">
        <w:instrText>Business investment</w:instrText>
      </w:r>
      <w:r>
        <w:instrText xml:space="preserve">" </w:instrText>
      </w:r>
      <w:r>
        <w:fldChar w:fldCharType="end"/>
      </w:r>
      <w:r w:rsidRPr="00B152F7">
        <w:t xml:space="preserve"> is expected to grow moderately over the forecast period following a period of stagnation since the global financial crisis. </w:t>
      </w:r>
      <w:r>
        <w:t>Despite improved business conditions, firms have been reluctant to invest. However, given low borrowing costs and a more favourable exchange rate, firms</w:t>
      </w:r>
      <w:r w:rsidRPr="00B152F7">
        <w:t xml:space="preserve"> are </w:t>
      </w:r>
      <w:r>
        <w:t>predicted</w:t>
      </w:r>
      <w:r w:rsidRPr="00B152F7">
        <w:t xml:space="preserve"> to increase their capital expenditure as consumer spending</w:t>
      </w:r>
      <w:r>
        <w:fldChar w:fldCharType="begin"/>
      </w:r>
      <w:r>
        <w:instrText xml:space="preserve"> XE "</w:instrText>
      </w:r>
      <w:r w:rsidRPr="005376CE">
        <w:instrText>Consumer spending</w:instrText>
      </w:r>
      <w:r>
        <w:instrText xml:space="preserve">" </w:instrText>
      </w:r>
      <w:r>
        <w:fldChar w:fldCharType="end"/>
      </w:r>
      <w:r w:rsidRPr="00B152F7">
        <w:t xml:space="preserve"> improves and exports strengthen.</w:t>
      </w:r>
    </w:p>
    <w:p w:rsidR="00116054" w:rsidRPr="00B152F7" w:rsidRDefault="00116054" w:rsidP="00B152F7">
      <w:r w:rsidRPr="00B152F7">
        <w:t>Victoria</w:t>
      </w:r>
      <w:r>
        <w:t>’</w:t>
      </w:r>
      <w:r w:rsidRPr="00B152F7">
        <w:t xml:space="preserve">s trade deficit is predicted to widen more slowly than over the previous decade. Exporters will benefit from the Australian dollar </w:t>
      </w:r>
      <w:r>
        <w:t xml:space="preserve">depreciating </w:t>
      </w:r>
      <w:r w:rsidRPr="00B152F7">
        <w:t xml:space="preserve">as well as accelerating demand for Victorian products from Asia. Imported goods and services, such as outbound tourism, will become relatively more expensive due to the lower exchange rate but growth is expected to </w:t>
      </w:r>
      <w:r>
        <w:t xml:space="preserve">rise </w:t>
      </w:r>
      <w:r w:rsidRPr="00B152F7">
        <w:t>broadly in line with state final demand.</w:t>
      </w:r>
    </w:p>
    <w:p w:rsidR="00116054" w:rsidRDefault="00116054" w:rsidP="00B152F7">
      <w:pPr>
        <w:rPr>
          <w:b/>
        </w:rPr>
      </w:pPr>
      <w:r>
        <w:t>The wind</w:t>
      </w:r>
      <w:r>
        <w:noBreakHyphen/>
      </w:r>
      <w:r w:rsidRPr="00B152F7">
        <w:t>down in mining investment in Western Australia and Queensland may soften demand for professional services provided by Victorian firms to resource companies. However, a lower exchange rate will likely encourage a relative shift in prospective tourists travelling domestically rather than overseas, leading to more interstate visitors to Victoria.</w:t>
      </w:r>
      <w:r w:rsidRPr="00570B48">
        <w:t xml:space="preserve"> </w:t>
      </w:r>
      <w:r>
        <w:fldChar w:fldCharType="begin"/>
      </w:r>
      <w:r>
        <w:instrText xml:space="preserve"> XE "</w:instrText>
      </w:r>
      <w:r w:rsidRPr="00174839">
        <w:instrText>Gross state product</w:instrText>
      </w:r>
      <w:r>
        <w:instrText xml:space="preserve">" \r "BP2GSP" </w:instrText>
      </w:r>
      <w:r>
        <w:fldChar w:fldCharType="end"/>
      </w:r>
    </w:p>
    <w:bookmarkEnd w:id="37"/>
    <w:p w:rsidR="00116054" w:rsidRDefault="00116054" w:rsidP="00B152F7">
      <w:pPr>
        <w:pStyle w:val="Heading2"/>
      </w:pPr>
      <w:r>
        <w:t>Other economic indicators</w:t>
      </w:r>
    </w:p>
    <w:p w:rsidR="00116054" w:rsidRDefault="00116054" w:rsidP="00B152F7">
      <w:pPr>
        <w:pStyle w:val="Heading3"/>
        <w:tabs>
          <w:tab w:val="left" w:pos="2673"/>
        </w:tabs>
        <w:spacing w:before="120"/>
      </w:pPr>
      <w:bookmarkStart w:id="38" w:name="BP2Ch2LabourMkt1"/>
      <w:r>
        <w:t>Labour market</w:t>
      </w:r>
    </w:p>
    <w:p w:rsidR="00116054" w:rsidRDefault="00116054" w:rsidP="008E4E8E">
      <w:bookmarkStart w:id="39" w:name="BP2Ch2LabourMktCond"/>
      <w:r>
        <w:t>Victorian labour market conditions have been weak over the past four years. The unemployment rate has risen and broader measures of spare capacity are at 20</w:t>
      </w:r>
      <w:r>
        <w:noBreakHyphen/>
        <w:t>year highs. The bulk of employment growth</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t xml:space="preserve"> over this period has been in part</w:t>
      </w:r>
      <w:r>
        <w:noBreakHyphen/>
        <w:t>time rather than full</w:t>
      </w:r>
      <w:r>
        <w:noBreakHyphen/>
        <w:t xml:space="preserve">time positions, contributing to softness in the aggregate number of hours worked (see Chart 2.1 and Chapter 3 </w:t>
      </w:r>
      <w:r>
        <w:rPr>
          <w:i/>
        </w:rPr>
        <w:t>The jobs challenge</w:t>
      </w:r>
      <w:r>
        <w:t>).</w:t>
      </w:r>
      <w:r>
        <w:fldChar w:fldCharType="begin"/>
      </w:r>
      <w:r>
        <w:instrText xml:space="preserve"> XE "</w:instrText>
      </w:r>
      <w:proofErr w:type="spellStart"/>
      <w:r w:rsidRPr="00915363">
        <w:instrText>Unemployment:Unemployment</w:instrText>
      </w:r>
      <w:proofErr w:type="spellEnd"/>
      <w:r w:rsidRPr="00915363">
        <w:instrText xml:space="preserve"> rate</w:instrText>
      </w:r>
      <w:r>
        <w:instrText xml:space="preserve">" \r "BP2UnemploymentRate1" </w:instrText>
      </w:r>
      <w:r>
        <w:fldChar w:fldCharType="end"/>
      </w:r>
    </w:p>
    <w:bookmarkEnd w:id="36"/>
    <w:p w:rsidR="00116054" w:rsidRDefault="00116054" w:rsidP="009A57B7">
      <w:r>
        <w:t>Since late 2014, the labour market has shown tentative signs of improvement. Employment growth has lifted markedly and the unemployment rate has edged lower, although it remains elevated.</w:t>
      </w:r>
    </w:p>
    <w:p w:rsidR="00116054" w:rsidRDefault="00116054" w:rsidP="008E4E8E">
      <w:r>
        <w:t>Labour market conditions are expected to stabilise in 2015</w:t>
      </w:r>
      <w:r>
        <w:noBreakHyphen/>
        <w:t>16 and 2016</w:t>
      </w:r>
      <w:r>
        <w:noBreakHyphen/>
        <w:t>17. Employment is forecast to grow around its long</w:t>
      </w:r>
      <w:r>
        <w:noBreakHyphen/>
        <w:t>run average as consumer spending</w:t>
      </w:r>
      <w:r>
        <w:fldChar w:fldCharType="begin"/>
      </w:r>
      <w:r>
        <w:instrText xml:space="preserve"> XE "</w:instrText>
      </w:r>
      <w:r w:rsidRPr="005376CE">
        <w:instrText>Consumer spending</w:instrText>
      </w:r>
      <w:r>
        <w:instrText xml:space="preserve">" </w:instrText>
      </w:r>
      <w:r>
        <w:fldChar w:fldCharType="end"/>
      </w:r>
      <w:r>
        <w:t xml:space="preserve"> strengthens and businesses seek additional labour, supported by the Government’s Back to Work Plan and </w:t>
      </w:r>
      <w:r w:rsidRPr="001440B4">
        <w:t xml:space="preserve">other jobs initiatives contained in the </w:t>
      </w:r>
      <w:r>
        <w:t>budget</w:t>
      </w:r>
      <w:r w:rsidRPr="001440B4">
        <w:t>.</w:t>
      </w:r>
      <w:r>
        <w:t xml:space="preserve"> In the near term, there may be a relative shift towards full</w:t>
      </w:r>
      <w:r>
        <w:noBreakHyphen/>
        <w:t xml:space="preserve">time employment and more hours worked by existing employees. </w:t>
      </w:r>
    </w:p>
    <w:p w:rsidR="00116054" w:rsidRDefault="00116054" w:rsidP="008E4E8E">
      <w:r>
        <w:t>The unemployment rate is expected to stabilise around its current level across 2015</w:t>
      </w:r>
      <w:r>
        <w:noBreakHyphen/>
        <w:t xml:space="preserve">16 and </w:t>
      </w:r>
      <w:r w:rsidRPr="00571A09">
        <w:t>2016</w:t>
      </w:r>
      <w:r>
        <w:noBreakHyphen/>
      </w:r>
      <w:r w:rsidRPr="00571A09">
        <w:t>17 and is projected to ease thereafter as employment grows at trend and the participation rate moves lower.</w:t>
      </w:r>
    </w:p>
    <w:p w:rsidR="00116054" w:rsidRDefault="00116054" w:rsidP="00B152F7">
      <w:pPr>
        <w:pStyle w:val="Chartheading"/>
      </w:pPr>
      <w:r>
        <w:lastRenderedPageBreak/>
        <w:t>Chart 2.1:</w:t>
      </w:r>
      <w:r>
        <w:tab/>
        <w:t>Victorian employment and aggregate hours worked</w:t>
      </w:r>
    </w:p>
    <w:p w:rsidR="00116054" w:rsidRDefault="00CC5D46" w:rsidP="00037FAF">
      <w:pPr>
        <w:pStyle w:val="Chartpara"/>
      </w:pPr>
      <w:r>
        <w:rPr>
          <w:noProof/>
          <w:lang w:eastAsia="en-AU"/>
        </w:rPr>
        <w:pict>
          <v:shape id="_x0000_i1027" type="#_x0000_t75" style="width:382.55pt;height:225.15pt">
            <v:imagedata r:id="rId19" o:title=""/>
          </v:shape>
        </w:pict>
      </w:r>
    </w:p>
    <w:p w:rsidR="00116054" w:rsidRDefault="00116054" w:rsidP="007930D1">
      <w:pPr>
        <w:pStyle w:val="Source"/>
        <w:rPr>
          <w:b/>
        </w:rPr>
      </w:pPr>
      <w:r w:rsidRPr="007930D1">
        <w:t>Sources: De</w:t>
      </w:r>
      <w:r>
        <w:t xml:space="preserve">partment of Treasury and Finance; </w:t>
      </w:r>
      <w:r w:rsidRPr="007930D1">
        <w:t>Australian Bu</w:t>
      </w:r>
      <w:r>
        <w:t>reau of Statistics (trend data)</w:t>
      </w:r>
      <w:r>
        <w:fldChar w:fldCharType="begin"/>
      </w:r>
      <w:r>
        <w:instrText xml:space="preserve"> XE "</w:instrText>
      </w:r>
      <w:r w:rsidRPr="003617C6">
        <w:instrText>Labour market</w:instrText>
      </w:r>
      <w:r>
        <w:instrText xml:space="preserve">" \r "BP2Ch2LabourMkt1" </w:instrText>
      </w:r>
      <w:r>
        <w:fldChar w:fldCharType="end"/>
      </w:r>
      <w:r>
        <w:fldChar w:fldCharType="begin"/>
      </w:r>
      <w:r>
        <w:instrText xml:space="preserve"> XE "</w:instrText>
      </w:r>
      <w:r w:rsidRPr="009123E0">
        <w:instrText>Hours worked</w:instrText>
      </w:r>
      <w:r>
        <w:instrText xml:space="preserve">" \r "BP2Ch2HoursWorked" </w:instrText>
      </w:r>
      <w:r>
        <w:fldChar w:fldCharType="end"/>
      </w:r>
    </w:p>
    <w:bookmarkEnd w:id="35"/>
    <w:bookmarkEnd w:id="38"/>
    <w:p w:rsidR="00116054" w:rsidRDefault="00116054" w:rsidP="007930D1">
      <w:pPr>
        <w:pStyle w:val="Heading3"/>
      </w:pPr>
      <w:r>
        <w:t>Prices and wages</w:t>
      </w:r>
    </w:p>
    <w:p w:rsidR="00116054" w:rsidRDefault="00116054" w:rsidP="00B152F7">
      <w:r>
        <w:t>Melbourne inflation</w:t>
      </w:r>
      <w:r>
        <w:fldChar w:fldCharType="begin"/>
      </w:r>
      <w:r>
        <w:instrText xml:space="preserve"> XE "</w:instrText>
      </w:r>
      <w:r w:rsidRPr="007B17C2">
        <w:instrText>Inflation</w:instrText>
      </w:r>
      <w:r>
        <w:instrText xml:space="preserve">" </w:instrText>
      </w:r>
      <w:r>
        <w:fldChar w:fldCharType="end"/>
      </w:r>
      <w:r>
        <w:t xml:space="preserve"> is expected to lift in 2015</w:t>
      </w:r>
      <w:r>
        <w:noBreakHyphen/>
        <w:t>16, but be within the Reserve Bank’s national target band of 2–3 per cent. Declining global oil prices and the repeal of the carbon price have contributed to low inflation in 2014</w:t>
      </w:r>
      <w:r>
        <w:noBreakHyphen/>
        <w:t xml:space="preserve">15, but these effects should </w:t>
      </w:r>
      <w:r w:rsidRPr="000938CC">
        <w:t>largely</w:t>
      </w:r>
      <w:r>
        <w:t xml:space="preserve"> </w:t>
      </w:r>
      <w:r w:rsidRPr="00481135">
        <w:t>unwind</w:t>
      </w:r>
      <w:r>
        <w:t xml:space="preserve"> in 2015</w:t>
      </w:r>
      <w:r>
        <w:noBreakHyphen/>
        <w:t>16. The depreciation of the Australian dollar since early 2013 will continue to place upward pressure on the prices of trade</w:t>
      </w:r>
      <w:r>
        <w:noBreakHyphen/>
        <w:t>exposed items over the next few years, although the pass</w:t>
      </w:r>
      <w:r>
        <w:noBreakHyphen/>
        <w:t>through may be limited by heightened competition faced by businesses.</w:t>
      </w:r>
    </w:p>
    <w:p w:rsidR="00116054" w:rsidRDefault="00116054" w:rsidP="00B152F7">
      <w:r>
        <w:t>Improving labour market conditions and consumer demand are expected to gradually stimulate inflation among the non</w:t>
      </w:r>
      <w:r>
        <w:noBreakHyphen/>
        <w:t>tradable components of the consumer price index, although this is likely to take some time. Two further tobacco excise rises by the Commonwealth will add to inflation in 2015</w:t>
      </w:r>
      <w:r>
        <w:noBreakHyphen/>
        <w:t>16 and 2016</w:t>
      </w:r>
      <w:r>
        <w:noBreakHyphen/>
        <w:t>17.</w:t>
      </w:r>
      <w:r>
        <w:fldChar w:fldCharType="begin"/>
      </w:r>
      <w:r>
        <w:instrText xml:space="preserve"> XE "</w:instrText>
      </w:r>
      <w:proofErr w:type="spellStart"/>
      <w:r w:rsidRPr="009C5F7E">
        <w:rPr>
          <w:lang w:val="en-US"/>
        </w:rPr>
        <w:instrText>Labour</w:instrText>
      </w:r>
      <w:proofErr w:type="spellEnd"/>
      <w:r w:rsidRPr="009C5F7E">
        <w:rPr>
          <w:lang w:val="en-US"/>
        </w:rPr>
        <w:instrText xml:space="preserve"> </w:instrText>
      </w:r>
      <w:proofErr w:type="spellStart"/>
      <w:r w:rsidRPr="009C5F7E">
        <w:rPr>
          <w:lang w:val="en-US"/>
        </w:rPr>
        <w:instrText>market:Conditions</w:instrText>
      </w:r>
      <w:proofErr w:type="spellEnd"/>
      <w:r>
        <w:instrText xml:space="preserve">" \r "BP2Ch2LabourMktCond" </w:instrText>
      </w:r>
      <w:r>
        <w:fldChar w:fldCharType="end"/>
      </w:r>
    </w:p>
    <w:bookmarkEnd w:id="39"/>
    <w:p w:rsidR="00116054" w:rsidRPr="00FE7D90" w:rsidRDefault="00116054" w:rsidP="00B152F7">
      <w:r>
        <w:t>Annual wages</w:t>
      </w:r>
      <w:r>
        <w:fldChar w:fldCharType="begin"/>
      </w:r>
      <w:r>
        <w:instrText xml:space="preserve"> XE "</w:instrText>
      </w:r>
      <w:r w:rsidRPr="008111AB">
        <w:instrText>Wages</w:instrText>
      </w:r>
      <w:r>
        <w:instrText xml:space="preserve">" </w:instrText>
      </w:r>
      <w:r>
        <w:fldChar w:fldCharType="end"/>
      </w:r>
      <w:r>
        <w:t xml:space="preserve"> growth has been </w:t>
      </w:r>
      <w:r w:rsidRPr="00B947FC">
        <w:t>historically low given elevated unemployment and constrained bargaining power of employees in seeking additional</w:t>
      </w:r>
      <w:r>
        <w:t xml:space="preserve"> wage increases. Growth is forecast to improve in 2015</w:t>
      </w:r>
      <w:r>
        <w:noBreakHyphen/>
        <w:t>16 and 2016</w:t>
      </w:r>
      <w:r>
        <w:noBreakHyphen/>
        <w:t>17 as economic conditions strengthen and spare capacity in the labour market eases.</w:t>
      </w:r>
    </w:p>
    <w:p w:rsidR="00116054" w:rsidRDefault="00116054">
      <w:pPr>
        <w:spacing w:after="0"/>
        <w:rPr>
          <w:rFonts w:ascii="Calibri" w:hAnsi="Calibri"/>
          <w:b/>
          <w:i/>
          <w:sz w:val="24"/>
          <w:szCs w:val="22"/>
        </w:rPr>
      </w:pPr>
      <w:r>
        <w:br w:type="page"/>
      </w:r>
    </w:p>
    <w:p w:rsidR="00116054" w:rsidRDefault="00116054" w:rsidP="007930D1">
      <w:pPr>
        <w:pStyle w:val="Heading3"/>
      </w:pPr>
      <w:r>
        <w:lastRenderedPageBreak/>
        <w:t>Population</w:t>
      </w:r>
    </w:p>
    <w:p w:rsidR="00116054" w:rsidRDefault="00116054" w:rsidP="00B152F7">
      <w:pPr>
        <w:rPr>
          <w:b/>
        </w:rPr>
      </w:pPr>
      <w:r w:rsidRPr="00B152F7">
        <w:t>Population growth</w:t>
      </w:r>
      <w:r>
        <w:fldChar w:fldCharType="begin"/>
      </w:r>
      <w:r>
        <w:instrText xml:space="preserve"> XE "</w:instrText>
      </w:r>
      <w:proofErr w:type="spellStart"/>
      <w:r w:rsidRPr="008219EA">
        <w:instrText>Population</w:instrText>
      </w:r>
      <w:r>
        <w:instrText>:Growth</w:instrText>
      </w:r>
      <w:proofErr w:type="spellEnd"/>
      <w:r>
        <w:instrText xml:space="preserve">" </w:instrText>
      </w:r>
      <w:r>
        <w:fldChar w:fldCharType="end"/>
      </w:r>
      <w:r w:rsidRPr="00B152F7">
        <w:t xml:space="preserve"> is expected to remain high over the forecast period as Victoria continues to be a favoured destination for international and interstate migrants. The State accounted for 28</w:t>
      </w:r>
      <w:r>
        <w:t> per cent</w:t>
      </w:r>
      <w:r w:rsidRPr="00B152F7">
        <w:t xml:space="preserve"> of national net overseas migra</w:t>
      </w:r>
      <w:r>
        <w:t>tion</w:t>
      </w:r>
      <w:r>
        <w:fldChar w:fldCharType="begin"/>
      </w:r>
      <w:r>
        <w:instrText xml:space="preserve"> XE "</w:instrText>
      </w:r>
      <w:r w:rsidRPr="00717B83">
        <w:instrText>Migration</w:instrText>
      </w:r>
      <w:r>
        <w:instrText xml:space="preserve">" </w:instrText>
      </w:r>
      <w:r>
        <w:fldChar w:fldCharType="end"/>
      </w:r>
      <w:r>
        <w:t xml:space="preserve"> over the year to September </w:t>
      </w:r>
      <w:r w:rsidRPr="00B152F7">
        <w:t>2014. It also recorded the highest net interstate migration of all jurisdictions</w:t>
      </w:r>
      <w:r>
        <w:t xml:space="preserve"> </w:t>
      </w:r>
      <w:r w:rsidRPr="00AE6AB5">
        <w:t xml:space="preserve">(see </w:t>
      </w:r>
      <w:r>
        <w:t>Chart 2.2</w:t>
      </w:r>
      <w:r w:rsidRPr="00AE6AB5">
        <w:t>),</w:t>
      </w:r>
      <w:r w:rsidRPr="00B152F7">
        <w:t xml:space="preserve"> with a net inflow to Victoria from each state and territory except the Northern Territory</w:t>
      </w:r>
      <w:r>
        <w:t>.</w:t>
      </w:r>
      <w:r w:rsidRPr="00B152F7">
        <w:t xml:space="preserve"> This highlights the attractiveness of Victoria as a place to live and work, and confidence in the State</w:t>
      </w:r>
      <w:r>
        <w:t>’</w:t>
      </w:r>
      <w:r w:rsidRPr="00B152F7">
        <w:t>s economic outlook.</w:t>
      </w:r>
      <w:r w:rsidRPr="000F6CCB">
        <w:t xml:space="preserve"> </w:t>
      </w:r>
      <w:r>
        <w:fldChar w:fldCharType="begin"/>
      </w:r>
      <w:r>
        <w:instrText xml:space="preserve"> XE "</w:instrText>
      </w:r>
      <w:r w:rsidRPr="008219EA">
        <w:instrText>Population</w:instrText>
      </w:r>
      <w:r>
        <w:instrText xml:space="preserve">" </w:instrText>
      </w:r>
      <w:r>
        <w:fldChar w:fldCharType="end"/>
      </w:r>
    </w:p>
    <w:p w:rsidR="00116054" w:rsidRDefault="00116054" w:rsidP="007930D1">
      <w:pPr>
        <w:pStyle w:val="Chartheading"/>
      </w:pPr>
      <w:r>
        <w:t>Chart 2.2:</w:t>
      </w:r>
      <w:r>
        <w:tab/>
        <w:t>Net interstate migration, year to September 2014</w:t>
      </w:r>
    </w:p>
    <w:p w:rsidR="00116054" w:rsidRDefault="00CC5D46" w:rsidP="00037FAF">
      <w:pPr>
        <w:pStyle w:val="Chartpara"/>
      </w:pPr>
      <w:r>
        <w:pict>
          <v:shape id="_x0000_i1028" type="#_x0000_t75" style="width:383.65pt;height:225.15pt">
            <v:imagedata r:id="rId20" o:title=""/>
          </v:shape>
        </w:pict>
      </w:r>
    </w:p>
    <w:p w:rsidR="00116054" w:rsidRDefault="00116054" w:rsidP="007930D1">
      <w:pPr>
        <w:pStyle w:val="Source"/>
      </w:pPr>
      <w:r w:rsidRPr="00B527E0">
        <w:t>Source</w:t>
      </w:r>
      <w:r>
        <w:t>s</w:t>
      </w:r>
      <w:r w:rsidRPr="00B527E0">
        <w:t>:</w:t>
      </w:r>
      <w:r>
        <w:t xml:space="preserve"> Department of Treasury and Finance;</w:t>
      </w:r>
      <w:r w:rsidRPr="00B527E0">
        <w:t xml:space="preserve"> Australian Bureau of Statistics</w:t>
      </w:r>
      <w:r>
        <w:fldChar w:fldCharType="begin"/>
      </w:r>
      <w:r>
        <w:instrText xml:space="preserve"> XE "</w:instrText>
      </w:r>
      <w:r w:rsidRPr="00700600">
        <w:instrText xml:space="preserve">Economic </w:instrText>
      </w:r>
      <w:proofErr w:type="spellStart"/>
      <w:r w:rsidRPr="00700600">
        <w:instrText>conditions:Victoria</w:instrText>
      </w:r>
      <w:proofErr w:type="spellEnd"/>
      <w:r>
        <w:instrText xml:space="preserve">" \r "BP2Ch2VicEcoCond" </w:instrText>
      </w:r>
      <w:r>
        <w:fldChar w:fldCharType="end"/>
      </w:r>
    </w:p>
    <w:p w:rsidR="00116054" w:rsidRDefault="00116054" w:rsidP="00AD3C8F">
      <w:pPr>
        <w:pStyle w:val="Heading1"/>
      </w:pPr>
      <w:bookmarkStart w:id="40" w:name="_Toc418255136"/>
      <w:bookmarkStart w:id="41" w:name="BP2Ch2AusEcoCond"/>
      <w:bookmarkEnd w:id="33"/>
      <w:r>
        <w:t>Australian economic conditions and outlook</w:t>
      </w:r>
      <w:bookmarkEnd w:id="40"/>
    </w:p>
    <w:p w:rsidR="00116054" w:rsidRDefault="00116054" w:rsidP="00831E35">
      <w:r>
        <w:t>Australia’s economic growth</w:t>
      </w:r>
      <w:r>
        <w:fldChar w:fldCharType="begin"/>
      </w:r>
      <w:r>
        <w:instrText xml:space="preserve"> XE "</w:instrText>
      </w:r>
      <w:r w:rsidRPr="00834CFC">
        <w:instrText xml:space="preserve">Economic </w:instrText>
      </w:r>
      <w:proofErr w:type="spellStart"/>
      <w:r w:rsidRPr="00834CFC">
        <w:instrText>growth:Australia</w:instrText>
      </w:r>
      <w:proofErr w:type="spellEnd"/>
      <w:r>
        <w:instrText xml:space="preserve">" </w:instrText>
      </w:r>
      <w:r>
        <w:fldChar w:fldCharType="end"/>
      </w:r>
      <w:r>
        <w:t xml:space="preserve"> is likely to be below trend in the near term as the transition towards more balanced growth continues. Consensus forecasts suggest growth in gross domestic product</w:t>
      </w:r>
      <w:r>
        <w:fldChar w:fldCharType="begin"/>
      </w:r>
      <w:r>
        <w:instrText xml:space="preserve"> XE "</w:instrText>
      </w:r>
      <w:r w:rsidRPr="003B6E69">
        <w:instrText xml:space="preserve">Gross domestic </w:instrText>
      </w:r>
      <w:proofErr w:type="spellStart"/>
      <w:r w:rsidRPr="003B6E69">
        <w:instrText>product</w:instrText>
      </w:r>
      <w:r>
        <w:instrText>:Growth</w:instrText>
      </w:r>
      <w:proofErr w:type="spellEnd"/>
      <w:r>
        <w:instrText xml:space="preserve">" </w:instrText>
      </w:r>
      <w:r>
        <w:fldChar w:fldCharType="end"/>
      </w:r>
      <w:r>
        <w:t xml:space="preserve"> will ease slightly to 2.6 per cent in 2015 before improving to 3.1 per cent in 2016.</w:t>
      </w:r>
    </w:p>
    <w:p w:rsidR="00116054" w:rsidRDefault="00116054" w:rsidP="00B152F7">
      <w:r>
        <w:t>The composition of growth across the states in 2013</w:t>
      </w:r>
      <w:r>
        <w:noBreakHyphen/>
        <w:t xml:space="preserve">14 reflected the dynamics of this transition. </w:t>
      </w:r>
      <w:r w:rsidRPr="009F631F">
        <w:t>State final demand, which includes mining</w:t>
      </w:r>
      <w:r>
        <w:noBreakHyphen/>
      </w:r>
      <w:r w:rsidRPr="009F631F">
        <w:t xml:space="preserve">related business investment, </w:t>
      </w:r>
      <w:r w:rsidRPr="00AE6AB5">
        <w:t>detracted from GSP growth in Western Australia and made a small contribution in Queensland</w:t>
      </w:r>
      <w:r>
        <w:t xml:space="preserve">. Conversely, the trade sector contributed strongly to growth as the mining boom entered its production phase </w:t>
      </w:r>
      <w:r w:rsidRPr="009F631F">
        <w:t xml:space="preserve">(see </w:t>
      </w:r>
      <w:r>
        <w:t>Chart 2.3). This inverted the pattern of the previous decade when mining investment accelerated in response to surging commodity prices. Growth for these states combined was lower than the decade average, yet remained higher than in the non</w:t>
      </w:r>
      <w:r>
        <w:noBreakHyphen/>
        <w:t>mining states.</w:t>
      </w:r>
    </w:p>
    <w:p w:rsidR="00116054" w:rsidRDefault="00116054" w:rsidP="007930D1">
      <w:pPr>
        <w:pStyle w:val="Chartheading"/>
      </w:pPr>
      <w:r>
        <w:lastRenderedPageBreak/>
        <w:t>Chart 2.3:</w:t>
      </w:r>
      <w:r>
        <w:tab/>
        <w:t>Contributions to GSP growth</w:t>
      </w:r>
    </w:p>
    <w:p w:rsidR="00116054" w:rsidRDefault="00CC5D46" w:rsidP="00037FAF">
      <w:pPr>
        <w:pStyle w:val="Chartpara"/>
      </w:pPr>
      <w:r>
        <w:rPr>
          <w:noProof/>
          <w:lang w:eastAsia="en-AU"/>
        </w:rPr>
        <w:pict>
          <v:shape id="_x0000_i1029" type="#_x0000_t75" style="width:384.2pt;height:232.1pt">
            <v:imagedata r:id="rId21" o:title=""/>
          </v:shape>
        </w:pict>
      </w:r>
    </w:p>
    <w:p w:rsidR="00116054" w:rsidRDefault="00116054" w:rsidP="007930D1">
      <w:pPr>
        <w:pStyle w:val="Source"/>
      </w:pPr>
      <w:r>
        <w:t>Sources: Department of Treasury and Finance; Australian Bureau of Statistics</w:t>
      </w:r>
    </w:p>
    <w:p w:rsidR="00116054" w:rsidRDefault="00116054" w:rsidP="007930D1">
      <w:pPr>
        <w:pStyle w:val="Notes"/>
      </w:pPr>
      <w:r>
        <w:t>Notes:</w:t>
      </w:r>
    </w:p>
    <w:p w:rsidR="00116054" w:rsidRDefault="00116054" w:rsidP="007A6EB2">
      <w:pPr>
        <w:pStyle w:val="Notes"/>
      </w:pPr>
      <w:r>
        <w:t>(a)</w:t>
      </w:r>
      <w:r>
        <w:tab/>
        <w:t>Victoria, New South Wales, South Australia and Tasmania.</w:t>
      </w:r>
    </w:p>
    <w:p w:rsidR="00116054" w:rsidRDefault="00116054" w:rsidP="007930D1">
      <w:pPr>
        <w:pStyle w:val="Notes"/>
      </w:pPr>
      <w:r>
        <w:t>(b)</w:t>
      </w:r>
      <w:r>
        <w:tab/>
        <w:t>Queensland and Western Australia.</w:t>
      </w:r>
    </w:p>
    <w:p w:rsidR="00116054" w:rsidRDefault="00116054" w:rsidP="007930D1">
      <w:pPr>
        <w:pStyle w:val="Notes"/>
      </w:pPr>
      <w:r>
        <w:t>(c)</w:t>
      </w:r>
      <w:r>
        <w:tab/>
        <w:t>Includes changes in inventories, an adjustment for net household expenditure interstate, the balancing item discrepancy and statistical discrepancies.</w:t>
      </w:r>
    </w:p>
    <w:p w:rsidR="00116054" w:rsidRDefault="00116054" w:rsidP="00245CF6">
      <w:pPr>
        <w:pStyle w:val="Notes"/>
      </w:pPr>
    </w:p>
    <w:p w:rsidR="00116054" w:rsidRPr="00B152F7" w:rsidRDefault="00116054" w:rsidP="00B152F7">
      <w:r w:rsidRPr="00B152F7">
        <w:t>The production phase of the mining boom has strongly increased the supply of mineral resources, particularly iron ore. Combined with softening demand from China and expanded supply from other countries, there has been a significant fall in commodity prices and Australia</w:t>
      </w:r>
      <w:r>
        <w:t>’</w:t>
      </w:r>
      <w:r w:rsidRPr="00B152F7">
        <w:t>s terms of trade. The decline in imported oil prices has only partially offset this trend. The falling terms of trade has softened national income growth and may constrain consumer spending</w:t>
      </w:r>
      <w:r>
        <w:fldChar w:fldCharType="begin"/>
      </w:r>
      <w:r>
        <w:instrText xml:space="preserve"> XE "</w:instrText>
      </w:r>
      <w:r w:rsidRPr="005376CE">
        <w:instrText>Consumer spending</w:instrText>
      </w:r>
      <w:r>
        <w:instrText xml:space="preserve">" </w:instrText>
      </w:r>
      <w:r>
        <w:fldChar w:fldCharType="end"/>
      </w:r>
      <w:r w:rsidRPr="00B152F7">
        <w:t xml:space="preserve">. </w:t>
      </w:r>
    </w:p>
    <w:p w:rsidR="00116054" w:rsidRPr="00B152F7" w:rsidRDefault="00116054" w:rsidP="00B152F7">
      <w:r w:rsidRPr="00B152F7">
        <w:t>Low interest rates have stimulated the national property market, particularly in Sydney where investor activity has intensified, and in Melbourne to a lesser extent. Robust price growth is encouraging stronger dwelling investment. Consumer demand growth ha</w:t>
      </w:r>
      <w:r>
        <w:t>s also picked up across the non</w:t>
      </w:r>
      <w:r>
        <w:noBreakHyphen/>
      </w:r>
      <w:r w:rsidRPr="00B152F7">
        <w:t xml:space="preserve">mining states, but eased in Western Australia and Queensland. </w:t>
      </w:r>
    </w:p>
    <w:p w:rsidR="00116054" w:rsidRPr="00B152F7" w:rsidRDefault="00116054" w:rsidP="00B152F7">
      <w:r>
        <w:t>Non</w:t>
      </w:r>
      <w:r>
        <w:noBreakHyphen/>
      </w:r>
      <w:r w:rsidRPr="00B152F7">
        <w:t>mining business investment has bee</w:t>
      </w:r>
      <w:r>
        <w:t xml:space="preserve">n less responsive than expected </w:t>
      </w:r>
      <w:r w:rsidRPr="00B152F7">
        <w:t>to low borrowing costs</w:t>
      </w:r>
      <w:r>
        <w:t>,</w:t>
      </w:r>
      <w:r w:rsidRPr="00B152F7">
        <w:t xml:space="preserve"> and more recently, the depreciated exchange rate. Surveyed expectations of capi</w:t>
      </w:r>
      <w:r>
        <w:t>tal expenditure suggest that a</w:t>
      </w:r>
      <w:r w:rsidRPr="00B152F7">
        <w:t xml:space="preserve"> </w:t>
      </w:r>
      <w:r>
        <w:t>recovery in non</w:t>
      </w:r>
      <w:r>
        <w:noBreakHyphen/>
      </w:r>
      <w:r w:rsidRPr="00B152F7">
        <w:t xml:space="preserve">mining investment may be delayed. </w:t>
      </w:r>
    </w:p>
    <w:p w:rsidR="00116054" w:rsidRDefault="00116054">
      <w:pPr>
        <w:spacing w:after="0"/>
      </w:pPr>
      <w:r>
        <w:br w:type="page"/>
      </w:r>
    </w:p>
    <w:p w:rsidR="00116054" w:rsidRDefault="00116054" w:rsidP="00B152F7">
      <w:pPr>
        <w:rPr>
          <w:b/>
        </w:rPr>
      </w:pPr>
      <w:r w:rsidRPr="00B152F7">
        <w:lastRenderedPageBreak/>
        <w:t>The national labour market is expected to remain subdued in the near term as the growth transition progresses. The mining industry accounted for almost 20</w:t>
      </w:r>
      <w:r>
        <w:t> per cent</w:t>
      </w:r>
      <w:r w:rsidRPr="00B152F7">
        <w:t xml:space="preserve"> of the increase in national employment from 2009 to </w:t>
      </w:r>
      <w:r w:rsidRPr="00AE6AB5">
        <w:t>2012, despite</w:t>
      </w:r>
      <w:r w:rsidRPr="00B152F7">
        <w:t xml:space="preserve"> representing only 2</w:t>
      </w:r>
      <w:r>
        <w:t> per cent</w:t>
      </w:r>
      <w:r w:rsidRPr="00B152F7">
        <w:t xml:space="preserve"> of those employed. However, the production phase of the mining boom is less labour intensive than the investment phase, leading to lower employment in the industry and placing pressure on the labour markets in Western Australia and Queens</w:t>
      </w:r>
      <w:r>
        <w:t>land (see Chart </w:t>
      </w:r>
      <w:r w:rsidRPr="00AE6AB5">
        <w:t>2.4)</w:t>
      </w:r>
      <w:r>
        <w:t>. Spare capacity in the non</w:t>
      </w:r>
      <w:r>
        <w:noBreakHyphen/>
      </w:r>
      <w:r w:rsidRPr="00B152F7">
        <w:t>mining states is likely to ease over time as broader economic conditions improve. This is consistent with a relative shift in interstate migration flows towards non</w:t>
      </w:r>
      <w:r>
        <w:noBreakHyphen/>
      </w:r>
      <w:r w:rsidRPr="00B152F7">
        <w:t>mining states.</w:t>
      </w:r>
    </w:p>
    <w:p w:rsidR="00116054" w:rsidRDefault="00116054" w:rsidP="00B152F7">
      <w:pPr>
        <w:pStyle w:val="Chartheading"/>
      </w:pPr>
      <w:r>
        <w:t>Chart 2.4:</w:t>
      </w:r>
      <w:r>
        <w:tab/>
        <w:t>Industry employment, Australia</w:t>
      </w:r>
    </w:p>
    <w:p w:rsidR="00116054" w:rsidRDefault="00CC5D46" w:rsidP="00037FAF">
      <w:pPr>
        <w:pStyle w:val="Chartpara"/>
      </w:pPr>
      <w:r>
        <w:rPr>
          <w:noProof/>
          <w:lang w:eastAsia="en-AU"/>
        </w:rPr>
        <w:pict>
          <v:shape id="_x0000_i1030" type="#_x0000_t75" style="width:387.4pt;height:225.15pt">
            <v:imagedata r:id="rId22" o:title=""/>
          </v:shape>
        </w:pict>
      </w:r>
    </w:p>
    <w:p w:rsidR="00116054" w:rsidRDefault="00116054" w:rsidP="00037FAF">
      <w:pPr>
        <w:pStyle w:val="Source"/>
      </w:pPr>
      <w:r>
        <w:fldChar w:fldCharType="begin"/>
      </w:r>
      <w:r>
        <w:instrText xml:space="preserve"> XE "</w:instrText>
      </w:r>
      <w:proofErr w:type="spellStart"/>
      <w:r w:rsidRPr="00AA5CCD">
        <w:instrText>Employment:</w:instrText>
      </w:r>
      <w:r>
        <w:instrText>Industry</w:instrText>
      </w:r>
      <w:proofErr w:type="spellEnd"/>
      <w:r>
        <w:instrText xml:space="preserve">" </w:instrText>
      </w:r>
      <w:r>
        <w:fldChar w:fldCharType="end"/>
      </w:r>
      <w:r w:rsidRPr="008C71DF">
        <w:t>Sources: Department of Treasury and Finance</w:t>
      </w:r>
      <w:r>
        <w:t>;</w:t>
      </w:r>
      <w:r w:rsidRPr="00A85B59">
        <w:t xml:space="preserve"> </w:t>
      </w:r>
      <w:r>
        <w:t>Australian Bureau of Statistics</w:t>
      </w:r>
    </w:p>
    <w:p w:rsidR="00116054" w:rsidRPr="00FE7D90" w:rsidRDefault="00116054" w:rsidP="002F34D2">
      <w:pPr>
        <w:pStyle w:val="Notes"/>
      </w:pPr>
    </w:p>
    <w:p w:rsidR="00116054" w:rsidRDefault="00116054" w:rsidP="00B152F7">
      <w:pPr>
        <w:rPr>
          <w:b/>
          <w:caps/>
        </w:rPr>
      </w:pPr>
      <w:r w:rsidRPr="00B152F7">
        <w:t>National inflation</w:t>
      </w:r>
      <w:r>
        <w:fldChar w:fldCharType="begin"/>
      </w:r>
      <w:r>
        <w:instrText xml:space="preserve"> XE "</w:instrText>
      </w:r>
      <w:r w:rsidRPr="007B17C2">
        <w:instrText>Inflation</w:instrText>
      </w:r>
      <w:r>
        <w:instrText xml:space="preserve">" </w:instrText>
      </w:r>
      <w:r>
        <w:fldChar w:fldCharType="end"/>
      </w:r>
      <w:r w:rsidRPr="00B152F7">
        <w:t xml:space="preserve"> is likely to remain contained over the forecast period. The depreciation of the exchange rate will place upward pressure on import prices, but will be counterbalanced by spare capacity in the labour market and muted inflation expectations.</w:t>
      </w:r>
      <w:r>
        <w:fldChar w:fldCharType="begin"/>
      </w:r>
      <w:r>
        <w:instrText xml:space="preserve"> XE "</w:instrText>
      </w:r>
      <w:r w:rsidRPr="004436AF">
        <w:instrText xml:space="preserve">Economic </w:instrText>
      </w:r>
      <w:proofErr w:type="spellStart"/>
      <w:r w:rsidRPr="004436AF">
        <w:instrText>conditions:Australia</w:instrText>
      </w:r>
      <w:proofErr w:type="spellEnd"/>
      <w:r>
        <w:instrText xml:space="preserve">" \r "BP2Ch2AusEcoCond" </w:instrText>
      </w:r>
      <w:r>
        <w:fldChar w:fldCharType="end"/>
      </w:r>
    </w:p>
    <w:p w:rsidR="00116054" w:rsidRDefault="00116054" w:rsidP="007930D1">
      <w:pPr>
        <w:pStyle w:val="Heading1"/>
      </w:pPr>
      <w:bookmarkStart w:id="42" w:name="_Toc418255137"/>
      <w:bookmarkStart w:id="43" w:name="BP2Ch2InternEcoCond"/>
      <w:bookmarkEnd w:id="41"/>
      <w:r>
        <w:t>International economic conditions and outlook</w:t>
      </w:r>
      <w:bookmarkEnd w:id="42"/>
    </w:p>
    <w:p w:rsidR="00116054" w:rsidRDefault="00116054" w:rsidP="002126AE">
      <w:bookmarkStart w:id="44" w:name="BP2IMF"/>
      <w:r w:rsidRPr="00B152F7">
        <w:t>The global economic outlo</w:t>
      </w:r>
      <w:r>
        <w:t xml:space="preserve">ok has moderated since the </w:t>
      </w:r>
      <w:r w:rsidRPr="005D46FE">
        <w:rPr>
          <w:i/>
        </w:rPr>
        <w:t>2014</w:t>
      </w:r>
      <w:r>
        <w:rPr>
          <w:i/>
        </w:rPr>
        <w:noBreakHyphen/>
      </w:r>
      <w:r w:rsidRPr="005D46FE">
        <w:rPr>
          <w:i/>
        </w:rPr>
        <w:t>15 Budget Update</w:t>
      </w:r>
      <w:r w:rsidRPr="00B152F7">
        <w:t>, due to weaker growth prospects for emerging economies including China, Russia and Brazil. The sharp fall in oil prices, a result of subdued global demand and increased supply, is negatively affecting oil exporters but benefiting net oil importers, including most advanced economies. The International Monetary Fund</w:t>
      </w:r>
      <w:r>
        <w:t xml:space="preserve"> </w:t>
      </w:r>
      <w:r w:rsidRPr="00B152F7">
        <w:t xml:space="preserve">predicts global growth will </w:t>
      </w:r>
      <w:r>
        <w:t>rise</w:t>
      </w:r>
      <w:r w:rsidRPr="00B152F7">
        <w:t xml:space="preserve"> marginally in 2015 and further in 2016 (see </w:t>
      </w:r>
      <w:r>
        <w:t>Chart 2.5</w:t>
      </w:r>
      <w:r w:rsidRPr="00B152F7">
        <w:t>).</w:t>
      </w:r>
    </w:p>
    <w:p w:rsidR="00116054" w:rsidRDefault="00116054" w:rsidP="007930D1">
      <w:pPr>
        <w:pStyle w:val="Chartheading"/>
      </w:pPr>
      <w:r>
        <w:lastRenderedPageBreak/>
        <w:t>Chart 2.5:</w:t>
      </w:r>
      <w:r>
        <w:tab/>
      </w:r>
      <w:r w:rsidRPr="007930D1">
        <w:t>IMF economic growth forecasts for some major trading partners</w:t>
      </w:r>
    </w:p>
    <w:p w:rsidR="00116054" w:rsidRDefault="00CC5D46" w:rsidP="00037FAF">
      <w:pPr>
        <w:pStyle w:val="Chartpara"/>
        <w:tabs>
          <w:tab w:val="left" w:pos="7020"/>
        </w:tabs>
        <w:rPr>
          <w:noProof/>
          <w:lang w:eastAsia="en-AU"/>
        </w:rPr>
      </w:pPr>
      <w:r>
        <w:rPr>
          <w:noProof/>
          <w:lang w:eastAsia="en-AU"/>
        </w:rPr>
        <w:pict>
          <v:shape id="_x0000_i1031" type="#_x0000_t75" style="width:382.55pt;height:232.1pt">
            <v:imagedata r:id="rId23" o:title=""/>
          </v:shape>
        </w:pict>
      </w:r>
    </w:p>
    <w:p w:rsidR="00116054" w:rsidRDefault="00116054" w:rsidP="008C71DF">
      <w:pPr>
        <w:pStyle w:val="Source"/>
      </w:pPr>
      <w:r w:rsidRPr="008C71DF">
        <w:t xml:space="preserve">Source: International Monetary Fund, World Economic Outlook, </w:t>
      </w:r>
      <w:r>
        <w:t>April</w:t>
      </w:r>
      <w:r w:rsidRPr="008C71DF">
        <w:t xml:space="preserve"> 2015</w:t>
      </w:r>
      <w:r>
        <w:fldChar w:fldCharType="begin"/>
      </w:r>
      <w:r>
        <w:instrText xml:space="preserve"> XE "</w:instrText>
      </w:r>
      <w:r w:rsidRPr="006A0BF0">
        <w:instrText>International Monetary Fund</w:instrText>
      </w:r>
      <w:r>
        <w:instrText xml:space="preserve">" \r "BP2IMF" </w:instrText>
      </w:r>
      <w:r>
        <w:fldChar w:fldCharType="end"/>
      </w:r>
    </w:p>
    <w:bookmarkEnd w:id="44"/>
    <w:p w:rsidR="00116054" w:rsidRPr="00245CF6" w:rsidRDefault="00116054" w:rsidP="008C71DF">
      <w:pPr>
        <w:pStyle w:val="Notes"/>
      </w:pPr>
    </w:p>
    <w:p w:rsidR="00116054" w:rsidRPr="00281687" w:rsidRDefault="00116054" w:rsidP="00281687">
      <w:r w:rsidRPr="00281687">
        <w:t>The U</w:t>
      </w:r>
      <w:r>
        <w:t>nited States</w:t>
      </w:r>
      <w:r w:rsidRPr="00281687">
        <w:t xml:space="preserve"> recovery continues </w:t>
      </w:r>
      <w:r w:rsidRPr="00E85CA3">
        <w:t xml:space="preserve">to </w:t>
      </w:r>
      <w:r>
        <w:t>progress</w:t>
      </w:r>
      <w:r w:rsidRPr="00281687">
        <w:t xml:space="preserve"> as labour market conditions</w:t>
      </w:r>
      <w:r>
        <w:fldChar w:fldCharType="begin"/>
      </w:r>
      <w:r>
        <w:instrText xml:space="preserve"> XE "</w:instrText>
      </w:r>
      <w:r w:rsidRPr="00023C30">
        <w:instrText xml:space="preserve">Labour </w:instrText>
      </w:r>
      <w:proofErr w:type="spellStart"/>
      <w:r w:rsidRPr="00023C30">
        <w:instrText>market:Conditions</w:instrText>
      </w:r>
      <w:proofErr w:type="spellEnd"/>
      <w:r>
        <w:instrText xml:space="preserve">" </w:instrText>
      </w:r>
      <w:r>
        <w:fldChar w:fldCharType="end"/>
      </w:r>
      <w:r w:rsidRPr="00281687">
        <w:t xml:space="preserve"> and household spending improve, assisted by accommodative monetary policy and lower oil prices. The unemployment rate</w:t>
      </w:r>
      <w:r>
        <w:fldChar w:fldCharType="begin"/>
      </w:r>
      <w:r>
        <w:instrText xml:space="preserve"> XE "</w:instrText>
      </w:r>
      <w:r w:rsidRPr="0007568A">
        <w:rPr>
          <w:lang w:val="en-US"/>
        </w:rPr>
        <w:instrText>Unemployment:</w:instrText>
      </w:r>
      <w:r w:rsidRPr="0007568A">
        <w:instrText>Unemployment rate</w:instrText>
      </w:r>
      <w:r>
        <w:instrText xml:space="preserve">" </w:instrText>
      </w:r>
      <w:r>
        <w:fldChar w:fldCharType="end"/>
      </w:r>
      <w:r w:rsidRPr="00281687">
        <w:t xml:space="preserve"> has almost halved since its peak in 2009, although this reflects</w:t>
      </w:r>
      <w:r>
        <w:t>, in part,</w:t>
      </w:r>
      <w:r w:rsidRPr="00281687">
        <w:t xml:space="preserve"> declining labour force participation</w:t>
      </w:r>
      <w:r>
        <w:fldChar w:fldCharType="begin"/>
      </w:r>
      <w:r>
        <w:instrText xml:space="preserve"> XE "</w:instrText>
      </w:r>
      <w:r w:rsidRPr="00E819C6">
        <w:instrText>Labour force participation</w:instrText>
      </w:r>
      <w:r>
        <w:instrText xml:space="preserve">" </w:instrText>
      </w:r>
      <w:r>
        <w:fldChar w:fldCharType="end"/>
      </w:r>
      <w:r w:rsidRPr="00281687">
        <w:t xml:space="preserve">. The recent appreciation of the US dollar will inhibit international competitiveness, but overall economic conditions are expected </w:t>
      </w:r>
      <w:r w:rsidRPr="00BD58DF">
        <w:t xml:space="preserve">to </w:t>
      </w:r>
      <w:r>
        <w:t>strengthen</w:t>
      </w:r>
      <w:r w:rsidRPr="00281687">
        <w:t xml:space="preserve">, providing scope for interest rates to be lifted later in 2015. </w:t>
      </w:r>
    </w:p>
    <w:p w:rsidR="00116054" w:rsidRPr="00281687" w:rsidRDefault="00116054" w:rsidP="00281687">
      <w:r w:rsidRPr="00281687">
        <w:t>The moderation in China</w:t>
      </w:r>
      <w:r>
        <w:t>’</w:t>
      </w:r>
      <w:r w:rsidRPr="00281687">
        <w:t>s growth is expected to continue as it transitions away from residential construction and infrastructure investment</w:t>
      </w:r>
      <w:r>
        <w:fldChar w:fldCharType="begin"/>
      </w:r>
      <w:r>
        <w:instrText xml:space="preserve"> XE "</w:instrText>
      </w:r>
      <w:r w:rsidRPr="000D11FA">
        <w:instrText>Infrastructure investment</w:instrText>
      </w:r>
      <w:r>
        <w:instrText xml:space="preserve">" </w:instrText>
      </w:r>
      <w:r>
        <w:fldChar w:fldCharType="end"/>
      </w:r>
      <w:r w:rsidRPr="00281687">
        <w:t xml:space="preserve"> towards a more consumer</w:t>
      </w:r>
      <w:r>
        <w:noBreakHyphen/>
      </w:r>
      <w:r w:rsidRPr="00281687">
        <w:t>led economy. However, growth will remain high compared with other countries. Demand for Australia</w:t>
      </w:r>
      <w:r>
        <w:t>’</w:t>
      </w:r>
      <w:r w:rsidRPr="00281687">
        <w:t>s minerals will be negatively affected by this transition while consumer</w:t>
      </w:r>
      <w:r>
        <w:noBreakHyphen/>
      </w:r>
      <w:r w:rsidRPr="00281687">
        <w:t xml:space="preserve">focused export sectors </w:t>
      </w:r>
      <w:r>
        <w:t xml:space="preserve">should </w:t>
      </w:r>
      <w:r w:rsidRPr="00281687">
        <w:t xml:space="preserve">benefit. </w:t>
      </w:r>
    </w:p>
    <w:p w:rsidR="00116054" w:rsidRPr="00281687" w:rsidRDefault="00116054" w:rsidP="00281687">
      <w:r w:rsidRPr="00281687">
        <w:t xml:space="preserve">Japan entered a recession in 2014 following the increase in its consumption tax rate, but returned to </w:t>
      </w:r>
      <w:r>
        <w:t xml:space="preserve">positive </w:t>
      </w:r>
      <w:r w:rsidRPr="00281687">
        <w:t xml:space="preserve">growth towards the end of the year. Monetary stimulus, the depreciation of the yen, and the reduction in oil prices should support a </w:t>
      </w:r>
      <w:r>
        <w:t xml:space="preserve">gradual </w:t>
      </w:r>
      <w:r w:rsidRPr="00281687">
        <w:t xml:space="preserve">recovery in activity, as will the postponement of the second consumption tax rise to 2017. </w:t>
      </w:r>
    </w:p>
    <w:p w:rsidR="00116054" w:rsidRPr="00281687" w:rsidRDefault="00116054" w:rsidP="00281687">
      <w:r w:rsidRPr="00281687">
        <w:t xml:space="preserve">Modest growth in the euro area is gaining momentum, with support from lower oil prices, monetary stimulus and the recent euro depreciation. However, the recovery is fragile and susceptible to further financial market instability. The euro area unemployment rate, while moderating, remains high. </w:t>
      </w:r>
    </w:p>
    <w:p w:rsidR="00116054" w:rsidRDefault="00116054" w:rsidP="00281687">
      <w:pPr>
        <w:rPr>
          <w:b/>
          <w:caps/>
        </w:rPr>
      </w:pPr>
      <w:r w:rsidRPr="00281687">
        <w:t>New Zealand</w:t>
      </w:r>
      <w:r>
        <w:t>’</w:t>
      </w:r>
      <w:r w:rsidRPr="00281687">
        <w:t>s economy expanded solidly in 2014 with growth driven by private demand, particularly private investment. Growth is expected to moderate over the near term.</w:t>
      </w:r>
      <w:r>
        <w:fldChar w:fldCharType="begin"/>
      </w:r>
      <w:r>
        <w:instrText xml:space="preserve"> XE "</w:instrText>
      </w:r>
      <w:r w:rsidRPr="00CB6AE4">
        <w:rPr>
          <w:lang w:val="en-US"/>
        </w:rPr>
        <w:instrText xml:space="preserve">Economic </w:instrText>
      </w:r>
      <w:proofErr w:type="spellStart"/>
      <w:r w:rsidRPr="00CB6AE4">
        <w:rPr>
          <w:lang w:val="en-US"/>
        </w:rPr>
        <w:instrText>conditions:International</w:instrText>
      </w:r>
      <w:proofErr w:type="spellEnd"/>
      <w:r>
        <w:instrText xml:space="preserve">" \r "BP2Ch2InternEcoCond" </w:instrText>
      </w:r>
      <w:r>
        <w:fldChar w:fldCharType="end"/>
      </w:r>
    </w:p>
    <w:p w:rsidR="00116054" w:rsidRDefault="00116054" w:rsidP="00281687">
      <w:pPr>
        <w:pStyle w:val="Heading1"/>
      </w:pPr>
      <w:bookmarkStart w:id="45" w:name="_Toc418255138"/>
      <w:bookmarkStart w:id="46" w:name="BP2EcoRisks"/>
      <w:bookmarkEnd w:id="43"/>
      <w:r>
        <w:lastRenderedPageBreak/>
        <w:t>Risks to the outlook</w:t>
      </w:r>
      <w:bookmarkEnd w:id="45"/>
    </w:p>
    <w:p w:rsidR="00116054" w:rsidRDefault="00116054" w:rsidP="00281687">
      <w:r>
        <w:t>The risks to Victoria’s economic outlook are broadly balanced.</w:t>
      </w:r>
    </w:p>
    <w:p w:rsidR="00116054" w:rsidRDefault="00116054" w:rsidP="00281687">
      <w:r>
        <w:t>The lower Australian dollar has the potential to underpin Victoria’s competitiveness and economic growth</w:t>
      </w:r>
      <w:r>
        <w:fldChar w:fldCharType="begin"/>
      </w:r>
      <w:r>
        <w:instrText xml:space="preserve"> XE "</w:instrText>
      </w:r>
      <w:r w:rsidRPr="00725B8B">
        <w:instrText xml:space="preserve">Economic </w:instrText>
      </w:r>
      <w:proofErr w:type="spellStart"/>
      <w:r w:rsidRPr="00725B8B">
        <w:instrText>growth:Victoria</w:instrText>
      </w:r>
      <w:proofErr w:type="spellEnd"/>
      <w:r>
        <w:instrText xml:space="preserve">" </w:instrText>
      </w:r>
      <w:r>
        <w:fldChar w:fldCharType="end"/>
      </w:r>
      <w:r>
        <w:t xml:space="preserve"> but the benefits are yet to be fully realised. Business investment</w:t>
      </w:r>
      <w:r>
        <w:fldChar w:fldCharType="begin"/>
      </w:r>
      <w:r>
        <w:instrText xml:space="preserve"> XE "</w:instrText>
      </w:r>
      <w:r w:rsidRPr="00F03D91">
        <w:instrText>Business investment</w:instrText>
      </w:r>
      <w:r>
        <w:instrText xml:space="preserve">" </w:instrText>
      </w:r>
      <w:r>
        <w:fldChar w:fldCharType="end"/>
      </w:r>
      <w:r>
        <w:t xml:space="preserve"> and export growth may respond more strongly than expected to the improved conditions resulting from the depreciation, as well as low interest rates.</w:t>
      </w:r>
    </w:p>
    <w:p w:rsidR="00116054" w:rsidRDefault="00116054" w:rsidP="00281687">
      <w:r>
        <w:t>On the other hand, any protracted weakness in the labour market</w:t>
      </w:r>
      <w:r>
        <w:fldChar w:fldCharType="begin"/>
      </w:r>
      <w:r>
        <w:instrText xml:space="preserve"> XE "</w:instrText>
      </w:r>
      <w:r w:rsidRPr="00A174E3">
        <w:instrText>Labour market</w:instrText>
      </w:r>
      <w:r>
        <w:instrText xml:space="preserve">" </w:instrText>
      </w:r>
      <w:r>
        <w:fldChar w:fldCharType="end"/>
      </w:r>
      <w:r>
        <w:t xml:space="preserve"> could further constrain labour income and household consumption</w:t>
      </w:r>
      <w:r>
        <w:fldChar w:fldCharType="begin"/>
      </w:r>
      <w:r>
        <w:instrText xml:space="preserve"> XE "</w:instrText>
      </w:r>
      <w:r w:rsidRPr="00690AA3">
        <w:instrText>Household consumption</w:instrText>
      </w:r>
      <w:r>
        <w:instrText xml:space="preserve">" </w:instrText>
      </w:r>
      <w:r>
        <w:fldChar w:fldCharType="end"/>
      </w:r>
      <w:r>
        <w:t xml:space="preserve"> growth. Consumers may also become more risk averse and save a greater share of income if there is persistent unease surrounding the economic outlook. Similarly, businesses may remain reluctant to invest or hire additional workers without consistent signs of rising demand.</w:t>
      </w:r>
    </w:p>
    <w:p w:rsidR="00116054" w:rsidRDefault="00116054" w:rsidP="00281687">
      <w:r>
        <w:t xml:space="preserve">An extended period of low interest rates and possible further cuts may overstimulate asset prices, particularly in the property market. A sharp price correction would adversely affect household balance sheets and likely constrain consumption growth. However, if asset prices record sustained and higher than expected growth, there may be a more rapid decline in the household saving ratio and greater spending. </w:t>
      </w:r>
    </w:p>
    <w:p w:rsidR="00116054" w:rsidRDefault="00116054" w:rsidP="00281687">
      <w:r w:rsidRPr="00F844B2">
        <w:t xml:space="preserve">Globally, a </w:t>
      </w:r>
      <w:r>
        <w:t xml:space="preserve">prolonged </w:t>
      </w:r>
      <w:r w:rsidRPr="00F844B2">
        <w:t xml:space="preserve">downturn </w:t>
      </w:r>
      <w:r>
        <w:t>in the Chinese property market w</w:t>
      </w:r>
      <w:r w:rsidRPr="00F844B2">
        <w:t>ould limit construction growth and reduce demand for Australia</w:t>
      </w:r>
      <w:r>
        <w:t>’</w:t>
      </w:r>
      <w:r w:rsidRPr="00F844B2">
        <w:t>s mineral resources, leading</w:t>
      </w:r>
      <w:r>
        <w:t xml:space="preserve"> to further declines in commodity prices and the terms of trade. However, a more rapid transition to consumer</w:t>
      </w:r>
      <w:r>
        <w:noBreakHyphen/>
        <w:t>led growth in China would likely boost Victorian exports.</w:t>
      </w:r>
    </w:p>
    <w:p w:rsidR="00116054" w:rsidRDefault="00116054" w:rsidP="00281687">
      <w:r>
        <w:t>The risk of Greece exiting the euro zone resurfaced in early 2015, with management of the nation’s debt subject to ongoing deliberations. An exit could unsettle equity markets and confidence. Geopolitical tensions in the Ukraine and instability in the Middle East may also escalate.</w:t>
      </w:r>
    </w:p>
    <w:p w:rsidR="00116054" w:rsidRPr="004F3AAD" w:rsidRDefault="00116054" w:rsidP="00281687">
      <w:r>
        <w:t xml:space="preserve">A faster than expected recovery and lifting of interest rates in the US could lead to a further depreciation of the Australian dollar. This would deliver additional support to </w:t>
      </w:r>
      <w:r w:rsidRPr="004F3AAD">
        <w:t>Victoria</w:t>
      </w:r>
      <w:r>
        <w:t>’</w:t>
      </w:r>
      <w:r w:rsidRPr="004F3AAD">
        <w:t>s trade</w:t>
      </w:r>
      <w:r>
        <w:noBreakHyphen/>
      </w:r>
      <w:r w:rsidRPr="004F3AAD">
        <w:t>exposed businesses and likely see a more pronounced shift in household spending towards domestically</w:t>
      </w:r>
      <w:r>
        <w:t xml:space="preserve"> </w:t>
      </w:r>
      <w:r w:rsidRPr="004F3AAD">
        <w:t xml:space="preserve">produced goods and services. </w:t>
      </w:r>
    </w:p>
    <w:p w:rsidR="00116054" w:rsidRDefault="00116054" w:rsidP="00281687">
      <w:r>
        <w:t>P</w:t>
      </w:r>
      <w:r w:rsidRPr="004F3AAD">
        <w:t xml:space="preserve">rolonged weakness in global oil prices would keep local petrol prices low, placing downward pressure on </w:t>
      </w:r>
      <w:proofErr w:type="spellStart"/>
      <w:r w:rsidRPr="004F3AAD">
        <w:t>inflatio</w:t>
      </w:r>
      <w:proofErr w:type="spellEnd"/>
      <w:r>
        <w:fldChar w:fldCharType="begin"/>
      </w:r>
      <w:r>
        <w:instrText xml:space="preserve"> XE "</w:instrText>
      </w:r>
      <w:r w:rsidRPr="007B17C2">
        <w:instrText>Inflation</w:instrText>
      </w:r>
      <w:r>
        <w:instrText xml:space="preserve">" </w:instrText>
      </w:r>
      <w:r>
        <w:fldChar w:fldCharType="end"/>
      </w:r>
      <w:r w:rsidRPr="004F3AAD">
        <w:t>n and supporting Victorian household consumption.</w:t>
      </w:r>
      <w:r>
        <w:fldChar w:fldCharType="begin"/>
      </w:r>
      <w:r>
        <w:instrText xml:space="preserve"> XE "</w:instrText>
      </w:r>
      <w:proofErr w:type="spellStart"/>
      <w:r w:rsidRPr="00EF6CD0">
        <w:instrText>Risks:Economic</w:instrText>
      </w:r>
      <w:proofErr w:type="spellEnd"/>
      <w:r>
        <w:instrText xml:space="preserve">" \r "BP2EcoRisks" </w:instrText>
      </w:r>
      <w:r>
        <w:fldChar w:fldCharType="end"/>
      </w:r>
      <w:bookmarkEnd w:id="46"/>
    </w:p>
    <w:p w:rsidR="00116054" w:rsidRDefault="00116054" w:rsidP="000542A7"/>
    <w:p w:rsidR="00116054" w:rsidRDefault="00116054" w:rsidP="00EC4C51">
      <w:pPr>
        <w:sectPr w:rsidR="00116054" w:rsidSect="006E2CEC">
          <w:footerReference w:type="even" r:id="rId24"/>
          <w:footerReference w:type="default" r:id="rId25"/>
          <w:type w:val="oddPage"/>
          <w:pgSz w:w="9979" w:h="14170" w:code="34"/>
          <w:pgMar w:top="1138" w:right="1138" w:bottom="1138" w:left="1138" w:header="720" w:footer="432" w:gutter="0"/>
          <w:cols w:space="708"/>
          <w:docGrid w:linePitch="360"/>
        </w:sectPr>
      </w:pPr>
    </w:p>
    <w:p w:rsidR="00116054" w:rsidRPr="009074F4" w:rsidRDefault="00116054" w:rsidP="00F0495D">
      <w:pPr>
        <w:pStyle w:val="ChapterHeading"/>
      </w:pPr>
      <w:bookmarkStart w:id="47" w:name="_Toc418255139"/>
      <w:r>
        <w:lastRenderedPageBreak/>
        <w:t>Chapter </w:t>
      </w:r>
      <w:r w:rsidRPr="009074F4">
        <w:t xml:space="preserve">3 – </w:t>
      </w:r>
      <w:r>
        <w:t>T</w:t>
      </w:r>
      <w:r w:rsidRPr="00F0495D">
        <w:t>he</w:t>
      </w:r>
      <w:r>
        <w:rPr>
          <w:caps w:val="0"/>
        </w:rPr>
        <w:t xml:space="preserve"> </w:t>
      </w:r>
      <w:r>
        <w:t>jobs challenge</w:t>
      </w:r>
      <w:bookmarkEnd w:id="47"/>
    </w:p>
    <w:p w:rsidR="00116054" w:rsidRDefault="00116054" w:rsidP="002F02CE">
      <w:pPr>
        <w:pStyle w:val="HighlightBoxBullet"/>
        <w:spacing w:after="80"/>
        <w:ind w:left="357" w:right="45" w:hanging="357"/>
      </w:pPr>
      <w:bookmarkStart w:id="48" w:name="BP2StructureChange"/>
      <w:bookmarkStart w:id="49" w:name="BP2Ch3LabourMkt1"/>
      <w:r>
        <w:t>Victoria’s labour market is constantly undergoing structural change as well as cyclical fluctuations. Key structural trends in recent decades include rising female labour force participation</w:t>
      </w:r>
      <w:r>
        <w:fldChar w:fldCharType="begin"/>
      </w:r>
      <w:r>
        <w:instrText xml:space="preserve"> XE "</w:instrText>
      </w:r>
      <w:r w:rsidRPr="00E819C6">
        <w:instrText>Labour force participation</w:instrText>
      </w:r>
      <w:r>
        <w:instrText xml:space="preserve">" </w:instrText>
      </w:r>
      <w:r>
        <w:fldChar w:fldCharType="end"/>
      </w:r>
      <w:r>
        <w:t>, an associated increase in the part</w:t>
      </w:r>
      <w:r>
        <w:noBreakHyphen/>
        <w:t>time share of total employment, and jobs growth</w:t>
      </w:r>
      <w:r>
        <w:fldChar w:fldCharType="begin"/>
      </w:r>
      <w:r>
        <w:instrText xml:space="preserve"> XE "</w:instrText>
      </w:r>
      <w:proofErr w:type="spellStart"/>
      <w:r w:rsidRPr="00D242F7">
        <w:instrText>Jobs</w:instrText>
      </w:r>
      <w:r>
        <w:instrText>:Growth</w:instrText>
      </w:r>
      <w:proofErr w:type="spellEnd"/>
      <w:r>
        <w:instrText xml:space="preserve">" </w:instrText>
      </w:r>
      <w:r>
        <w:fldChar w:fldCharType="end"/>
      </w:r>
      <w:r>
        <w:t xml:space="preserve"> driven by industries predominantly employing workers with post</w:t>
      </w:r>
      <w:r>
        <w:noBreakHyphen/>
        <w:t>school qualifications.</w:t>
      </w:r>
    </w:p>
    <w:p w:rsidR="00116054" w:rsidRDefault="00116054" w:rsidP="002F02CE">
      <w:pPr>
        <w:pStyle w:val="HighlightBoxBullet"/>
        <w:spacing w:after="80"/>
        <w:ind w:left="357" w:right="45" w:hanging="357"/>
      </w:pPr>
      <w:r>
        <w:t>A near 20</w:t>
      </w:r>
      <w:r>
        <w:noBreakHyphen/>
        <w:t>year run of fairly consistent full</w:t>
      </w:r>
      <w:r>
        <w:noBreakHyphen/>
        <w:t>time jobs growth ended in early 2011. Since then, employment growth</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t xml:space="preserve"> has slowed and aggregate hours worked</w:t>
      </w:r>
      <w:r>
        <w:fldChar w:fldCharType="begin"/>
      </w:r>
      <w:r>
        <w:instrText xml:space="preserve"> XE "</w:instrText>
      </w:r>
      <w:r w:rsidRPr="003E0E32">
        <w:instrText>Hours worked</w:instrText>
      </w:r>
      <w:r>
        <w:instrText xml:space="preserve">" </w:instrText>
      </w:r>
      <w:r>
        <w:fldChar w:fldCharType="end"/>
      </w:r>
      <w:r>
        <w:t xml:space="preserve"> in the economy have remained relatively flat, despite the addition of 140 000 mostly part</w:t>
      </w:r>
      <w:r>
        <w:noBreakHyphen/>
        <w:t>time jobs.</w:t>
      </w:r>
    </w:p>
    <w:p w:rsidR="00116054" w:rsidRDefault="00116054" w:rsidP="002F02CE">
      <w:pPr>
        <w:pStyle w:val="HighlightBoxBullet"/>
        <w:spacing w:after="80"/>
        <w:ind w:left="357" w:right="45" w:hanging="357"/>
      </w:pPr>
      <w:r>
        <w:t>Victoria has recently experienced a cyclical labour market event with some similarities to past recessions, albeit on a smaller scale. But relative to previous downturns, recent weakness has been absorbed in part by falling average hours worked rather than increasing unemployment.</w:t>
      </w:r>
    </w:p>
    <w:p w:rsidR="00116054" w:rsidRDefault="00116054" w:rsidP="00B150D9">
      <w:pPr>
        <w:pStyle w:val="HighlightBoxBullet"/>
        <w:spacing w:after="80"/>
        <w:ind w:left="357" w:right="45" w:hanging="357"/>
      </w:pPr>
      <w:r>
        <w:t>This appears to have disproportionately affected young people, with youth hours worked and employment falling sharply in recent years. Importantly, participation of young people in full</w:t>
      </w:r>
      <w:r>
        <w:noBreakHyphen/>
        <w:t>time education continued to rise over the same period.</w:t>
      </w:r>
    </w:p>
    <w:p w:rsidR="00116054" w:rsidRDefault="00116054" w:rsidP="00B150D9">
      <w:pPr>
        <w:pStyle w:val="HighlightBoxBullet"/>
        <w:spacing w:after="80"/>
        <w:ind w:left="357" w:right="45" w:hanging="357"/>
      </w:pPr>
      <w:r>
        <w:t>Policy needs to be geared towards lifting overall economic activity to support job creation by boosting confidence, encouraging new business formation, undertaking regulatory reform and improving linkages between people and jobs.</w:t>
      </w:r>
    </w:p>
    <w:p w:rsidR="00116054" w:rsidRDefault="00116054" w:rsidP="00B150D9">
      <w:pPr>
        <w:pStyle w:val="HighlightBoxBullet"/>
        <w:spacing w:after="80"/>
        <w:ind w:left="357" w:right="45" w:hanging="357"/>
      </w:pPr>
      <w:r>
        <w:t>Increasing demand for skills</w:t>
      </w:r>
      <w:r>
        <w:fldChar w:fldCharType="begin"/>
      </w:r>
      <w:r>
        <w:instrText xml:space="preserve"> XE "</w:instrText>
      </w:r>
      <w:r w:rsidRPr="00EE62D6">
        <w:instrText>Skills</w:instrText>
      </w:r>
      <w:r>
        <w:instrText xml:space="preserve">" </w:instrText>
      </w:r>
      <w:r>
        <w:fldChar w:fldCharType="end"/>
      </w:r>
      <w:r>
        <w:t xml:space="preserve"> highlights the importance of quality outcomes from the education and training system. This is also relevant to workers in occupations vulnerable to the adjustment pressures associated with structural change, as well as young people who are either disengaged or at risk of becoming disengaged from the education system and the labour market.</w:t>
      </w:r>
    </w:p>
    <w:p w:rsidR="00116054" w:rsidRDefault="00116054" w:rsidP="00B150D9">
      <w:pPr>
        <w:pStyle w:val="HighlightBoxBullet"/>
        <w:spacing w:after="80"/>
        <w:ind w:left="357" w:right="45" w:hanging="357"/>
      </w:pPr>
      <w:r>
        <w:t xml:space="preserve">The Government is implementing measures to help create 100 000 jobs over two years, including the </w:t>
      </w:r>
      <w:r w:rsidRPr="001E2315">
        <w:t xml:space="preserve">Back to Work </w:t>
      </w:r>
      <w:r>
        <w:t xml:space="preserve">Scheme which will support those at risk of extended periods of unemployment, including young people and retrenched workers. The Government has committed to infrastructure projects that will improve linkages between people and work and create construction jobs. The Government is also investing </w:t>
      </w:r>
      <w:r w:rsidRPr="00A2799B">
        <w:t>significantly in education and skills</w:t>
      </w:r>
      <w:r>
        <w:t>, including a focus on re</w:t>
      </w:r>
      <w:r w:rsidRPr="00A2799B">
        <w:t>skilling workers</w:t>
      </w:r>
      <w:r>
        <w:t>.</w:t>
      </w:r>
    </w:p>
    <w:p w:rsidR="00116054" w:rsidRDefault="00116054">
      <w:pPr>
        <w:spacing w:after="0"/>
        <w:rPr>
          <w:rFonts w:ascii="Calibri" w:hAnsi="Calibri"/>
          <w:b/>
          <w:caps/>
          <w:sz w:val="26"/>
          <w:szCs w:val="22"/>
        </w:rPr>
      </w:pPr>
      <w:r>
        <w:br w:type="page"/>
      </w:r>
    </w:p>
    <w:p w:rsidR="00116054" w:rsidRDefault="00116054" w:rsidP="0080026D">
      <w:pPr>
        <w:pStyle w:val="Heading1"/>
      </w:pPr>
      <w:bookmarkStart w:id="50" w:name="_Toc418255140"/>
      <w:r>
        <w:lastRenderedPageBreak/>
        <w:t>Overview of the Victorian labour market</w:t>
      </w:r>
      <w:bookmarkEnd w:id="50"/>
    </w:p>
    <w:p w:rsidR="00116054" w:rsidRPr="0080026D" w:rsidRDefault="00116054" w:rsidP="0080026D">
      <w:r w:rsidRPr="0080026D">
        <w:t>Victoria</w:t>
      </w:r>
      <w:r>
        <w:t>’</w:t>
      </w:r>
      <w:r w:rsidRPr="0080026D">
        <w:t>s labour market is constantly undergoing structural change</w:t>
      </w:r>
      <w:r>
        <w:t xml:space="preserve"> as well as cyclical fluctuations</w:t>
      </w:r>
      <w:r w:rsidRPr="0080026D">
        <w:t>.</w:t>
      </w:r>
      <w:r>
        <w:t xml:space="preserve"> Both aspects are captured in the</w:t>
      </w:r>
      <w:r w:rsidRPr="0080026D">
        <w:t xml:space="preserve"> </w:t>
      </w:r>
      <w:r>
        <w:t>changing</w:t>
      </w:r>
      <w:r w:rsidRPr="0080026D">
        <w:t xml:space="preserve"> composition of the population</w:t>
      </w:r>
      <w:r>
        <w:fldChar w:fldCharType="begin"/>
      </w:r>
      <w:r>
        <w:instrText xml:space="preserve"> XE "</w:instrText>
      </w:r>
      <w:r w:rsidRPr="008219EA">
        <w:instrText>Population</w:instrText>
      </w:r>
      <w:r>
        <w:instrText xml:space="preserve">" </w:instrText>
      </w:r>
      <w:r>
        <w:fldChar w:fldCharType="end"/>
      </w:r>
      <w:r w:rsidRPr="0080026D">
        <w:t xml:space="preserve"> aged 15 years and over </w:t>
      </w:r>
      <w:r>
        <w:t>(see Chart </w:t>
      </w:r>
      <w:r w:rsidRPr="0080026D">
        <w:t>3.1).</w:t>
      </w:r>
      <w:r>
        <w:fldChar w:fldCharType="begin"/>
      </w:r>
      <w:r>
        <w:instrText xml:space="preserve"> XE "</w:instrText>
      </w:r>
      <w:r w:rsidRPr="00374CD8">
        <w:rPr>
          <w:lang w:val="en-US"/>
        </w:rPr>
        <w:instrText>Structural change</w:instrText>
      </w:r>
      <w:r>
        <w:instrText xml:space="preserve">" \r "BP2StructureChange" </w:instrText>
      </w:r>
      <w:r>
        <w:fldChar w:fldCharType="end"/>
      </w:r>
    </w:p>
    <w:bookmarkEnd w:id="48"/>
    <w:p w:rsidR="00116054" w:rsidRDefault="00116054" w:rsidP="0080026D">
      <w:pPr>
        <w:pStyle w:val="Chartheading"/>
      </w:pPr>
      <w:r>
        <w:t>Chart </w:t>
      </w:r>
      <w:r w:rsidRPr="0080026D">
        <w:t xml:space="preserve">3.1: </w:t>
      </w:r>
      <w:r>
        <w:tab/>
      </w:r>
      <w:r w:rsidRPr="0080026D">
        <w:t>Composition of Victoria</w:t>
      </w:r>
      <w:r>
        <w:t>’</w:t>
      </w:r>
      <w:r w:rsidRPr="0080026D">
        <w:t>s civilian population aged 15 years and over</w:t>
      </w:r>
    </w:p>
    <w:p w:rsidR="00116054" w:rsidRPr="00B670CE" w:rsidRDefault="00CC5D46" w:rsidP="0011282E">
      <w:pPr>
        <w:pStyle w:val="Chartpara"/>
      </w:pPr>
      <w:r>
        <w:rPr>
          <w:noProof/>
          <w:lang w:eastAsia="en-AU"/>
        </w:rPr>
        <w:pict>
          <v:shape id="_x0000_i1032" type="#_x0000_t75" style="width:384.7pt;height:262.2pt">
            <v:imagedata r:id="rId26" o:title=""/>
          </v:shape>
        </w:pict>
      </w:r>
    </w:p>
    <w:p w:rsidR="00116054" w:rsidRDefault="00116054" w:rsidP="0080026D">
      <w:pPr>
        <w:pStyle w:val="Source"/>
      </w:pPr>
      <w:r w:rsidRPr="0080026D">
        <w:t>Sources: Department of Treasury and Finance; Australian Bureau of Statistics</w:t>
      </w:r>
    </w:p>
    <w:p w:rsidR="00116054" w:rsidRDefault="00116054" w:rsidP="006F7F5F">
      <w:pPr>
        <w:pStyle w:val="Notes"/>
      </w:pPr>
    </w:p>
    <w:p w:rsidR="00116054" w:rsidRDefault="00116054" w:rsidP="0080026D">
      <w:r>
        <w:t>A key feature of the Victorian labour market is the long</w:t>
      </w:r>
      <w:r>
        <w:noBreakHyphen/>
        <w:t>term shift in the composition of employment in favour of part</w:t>
      </w:r>
      <w:r>
        <w:noBreakHyphen/>
        <w:t>time jobs</w:t>
      </w:r>
      <w:r>
        <w:fldChar w:fldCharType="begin"/>
      </w:r>
      <w:r>
        <w:instrText xml:space="preserve"> XE "</w:instrText>
      </w:r>
      <w:r w:rsidRPr="00D242F7">
        <w:instrText>Jobs</w:instrText>
      </w:r>
      <w:r>
        <w:instrText xml:space="preserve">" </w:instrText>
      </w:r>
      <w:r>
        <w:fldChar w:fldCharType="end"/>
      </w:r>
      <w:r>
        <w:t>. This is associated with the rising participation of women in the labour market, which has resulted in the female share of total employment increasing to 45.8 per cent, up from 38.7 per cent 30 years ago. Coupled with rising male part</w:t>
      </w:r>
      <w:r>
        <w:noBreakHyphen/>
        <w:t>time employment, the part</w:t>
      </w:r>
      <w:r>
        <w:noBreakHyphen/>
        <w:t>time share of total jobs has almost doubled over the past three decades, and now comprises one</w:t>
      </w:r>
      <w:r>
        <w:noBreakHyphen/>
        <w:t>third of all employment.</w:t>
      </w:r>
    </w:p>
    <w:p w:rsidR="00116054" w:rsidRDefault="00116054" w:rsidP="0023478F">
      <w:r>
        <w:t>This long</w:t>
      </w:r>
      <w:r>
        <w:noBreakHyphen/>
        <w:t>term compositional shift has recently accelerated. This reflects the level of full</w:t>
      </w:r>
      <w:r>
        <w:noBreakHyphen/>
        <w:t xml:space="preserve">time employment remaining broadly flat over the past four years, following nearly 20 years of fairly consistent growth. </w:t>
      </w:r>
    </w:p>
    <w:p w:rsidR="00116054" w:rsidRDefault="00116054" w:rsidP="0019382D">
      <w:bookmarkStart w:id="51" w:name="BP2UnemploymentRate2"/>
      <w:r>
        <w:t>It should also be noted that the proportion of the population</w:t>
      </w:r>
      <w:r>
        <w:fldChar w:fldCharType="begin"/>
      </w:r>
      <w:r>
        <w:instrText xml:space="preserve"> XE "</w:instrText>
      </w:r>
      <w:r w:rsidRPr="008219EA">
        <w:instrText>Population</w:instrText>
      </w:r>
      <w:r>
        <w:instrText xml:space="preserve">" </w:instrText>
      </w:r>
      <w:r>
        <w:fldChar w:fldCharType="end"/>
      </w:r>
      <w:r>
        <w:t xml:space="preserve"> aged 15 years and over who are not working is much larger than those classified as unemployed. The size of the cohort outside the labour force represents one of the inherent limitations of relying on the unemployment rate as a sole indicator of the strength or weakness of the labour market. </w:t>
      </w:r>
    </w:p>
    <w:p w:rsidR="00116054" w:rsidRDefault="00116054">
      <w:pPr>
        <w:spacing w:after="0"/>
      </w:pPr>
      <w:r>
        <w:br w:type="page"/>
      </w:r>
    </w:p>
    <w:p w:rsidR="00116054" w:rsidRDefault="00116054" w:rsidP="0080026D">
      <w:r>
        <w:lastRenderedPageBreak/>
        <w:t>This cohort primarily includes retirees, stay</w:t>
      </w:r>
      <w:r>
        <w:noBreakHyphen/>
        <w:t>at</w:t>
      </w:r>
      <w:r>
        <w:noBreakHyphen/>
        <w:t>home parents and a growing number of full</w:t>
      </w:r>
      <w:r>
        <w:noBreakHyphen/>
        <w:t>time students as youth participation in education increases and young people remain in education for longer. However, it also includes people who want to work but are no longer actively seeking employment (i.e. ‘discouraged workers’).</w:t>
      </w:r>
    </w:p>
    <w:p w:rsidR="00116054" w:rsidRDefault="00116054" w:rsidP="0080026D">
      <w:r>
        <w:t>T</w:t>
      </w:r>
      <w:r w:rsidRPr="0080026D">
        <w:t>h</w:t>
      </w:r>
      <w:r>
        <w:t>e</w:t>
      </w:r>
      <w:r w:rsidRPr="0080026D">
        <w:t xml:space="preserve"> </w:t>
      </w:r>
      <w:r>
        <w:t xml:space="preserve">proportion of the population outside the labour force has increased significantly in recent years. </w:t>
      </w:r>
      <w:r w:rsidRPr="0080026D">
        <w:t>Victoria</w:t>
      </w:r>
      <w:r>
        <w:t>’</w:t>
      </w:r>
      <w:r w:rsidRPr="0080026D">
        <w:t>s pop</w:t>
      </w:r>
      <w:r>
        <w:t>ulation aged 15 years and over has grown by around 340 000 </w:t>
      </w:r>
      <w:r w:rsidRPr="0080026D">
        <w:t>pe</w:t>
      </w:r>
      <w:r>
        <w:t>ople</w:t>
      </w:r>
      <w:r w:rsidRPr="0080026D">
        <w:t xml:space="preserve"> since early 2011, while employment</w:t>
      </w:r>
      <w:r>
        <w:t xml:space="preserve"> has</w:t>
      </w:r>
      <w:r w:rsidRPr="0080026D">
        <w:t xml:space="preserve"> only increased by around 1</w:t>
      </w:r>
      <w:r>
        <w:t>40 000 </w:t>
      </w:r>
      <w:r w:rsidRPr="0080026D">
        <w:t>pe</w:t>
      </w:r>
      <w:r>
        <w:t>ople</w:t>
      </w:r>
      <w:r w:rsidRPr="0080026D">
        <w:t xml:space="preserve"> over the same period. Of the remainder, around </w:t>
      </w:r>
      <w:r>
        <w:t>50 </w:t>
      </w:r>
      <w:r w:rsidRPr="0080026D">
        <w:t>000 pe</w:t>
      </w:r>
      <w:r>
        <w:t>ople</w:t>
      </w:r>
      <w:r w:rsidRPr="0080026D">
        <w:t xml:space="preserve"> are </w:t>
      </w:r>
      <w:r>
        <w:t>currently unemployed, while 150 </w:t>
      </w:r>
      <w:r w:rsidRPr="0080026D">
        <w:t>000 pe</w:t>
      </w:r>
      <w:r>
        <w:t>ople</w:t>
      </w:r>
      <w:r w:rsidRPr="0080026D">
        <w:t xml:space="preserve"> are classified as outside the labour force.</w:t>
      </w:r>
    </w:p>
    <w:p w:rsidR="00116054" w:rsidRDefault="00116054" w:rsidP="0023478F">
      <w:pPr>
        <w:pStyle w:val="Heading1"/>
      </w:pPr>
      <w:bookmarkStart w:id="52" w:name="_Toc418255141"/>
      <w:r>
        <w:t>The recent Victorian labour market downturn</w:t>
      </w:r>
      <w:bookmarkEnd w:id="52"/>
    </w:p>
    <w:p w:rsidR="00116054" w:rsidRDefault="00116054" w:rsidP="0023478F">
      <w:r>
        <w:t>Victoria’s unemployment rate rose to 6.9 per cent in July 2014, the highest recorded since October 2001 in</w:t>
      </w:r>
      <w:r w:rsidRPr="00090A1C">
        <w:t xml:space="preserve"> </w:t>
      </w:r>
      <w:r>
        <w:t>the wake of the collapse of Ansett. It also exceeded the immediate post</w:t>
      </w:r>
      <w:r>
        <w:noBreakHyphen/>
        <w:t>global financial crisis high, and was the culmination of a three</w:t>
      </w:r>
      <w:r>
        <w:noBreakHyphen/>
        <w:t>year period in which the unemployment rate consistently trended upwards (see Chart 3.2).</w:t>
      </w:r>
    </w:p>
    <w:p w:rsidR="00116054" w:rsidRDefault="00116054" w:rsidP="0023478F">
      <w:pPr>
        <w:pStyle w:val="Chartheading"/>
      </w:pPr>
      <w:r>
        <w:t>Chart </w:t>
      </w:r>
      <w:r w:rsidRPr="00C25FC2">
        <w:t>3.</w:t>
      </w:r>
      <w:r>
        <w:t>2</w:t>
      </w:r>
      <w:r w:rsidRPr="00C25FC2">
        <w:t xml:space="preserve">: </w:t>
      </w:r>
      <w:r>
        <w:tab/>
        <w:t>Victorian t</w:t>
      </w:r>
      <w:r w:rsidRPr="00C25FC2">
        <w:t>rend unemployment</w:t>
      </w:r>
      <w:r>
        <w:t xml:space="preserve"> rate</w:t>
      </w:r>
    </w:p>
    <w:p w:rsidR="00116054" w:rsidRPr="009F0CC8" w:rsidRDefault="00CC5D46" w:rsidP="006F7F5F">
      <w:pPr>
        <w:pStyle w:val="Chartpara"/>
      </w:pPr>
      <w:r>
        <w:pict>
          <v:shape id="_x0000_i1033" type="#_x0000_t75" style="width:379.9pt;height:259pt">
            <v:imagedata r:id="rId27" o:title=""/>
          </v:shape>
        </w:pict>
      </w:r>
    </w:p>
    <w:p w:rsidR="00116054" w:rsidRPr="008D3AEE" w:rsidRDefault="00116054" w:rsidP="000E7CB5">
      <w:pPr>
        <w:pStyle w:val="Chartpara"/>
        <w:rPr>
          <w:rStyle w:val="SourceChar"/>
          <w:i w:val="0"/>
        </w:rPr>
      </w:pPr>
      <w:r w:rsidRPr="008D3AEE">
        <w:rPr>
          <w:rStyle w:val="SourceChar"/>
        </w:rPr>
        <w:t>Source: Australian Bureau of Statistics</w:t>
      </w:r>
    </w:p>
    <w:p w:rsidR="00116054" w:rsidRDefault="00116054" w:rsidP="00497708"/>
    <w:p w:rsidR="00116054" w:rsidRDefault="00116054">
      <w:pPr>
        <w:spacing w:after="0"/>
      </w:pPr>
      <w:r>
        <w:br w:type="page"/>
      </w:r>
    </w:p>
    <w:p w:rsidR="00116054" w:rsidRDefault="00116054" w:rsidP="0021282E">
      <w:bookmarkStart w:id="53" w:name="BP2Ch3HoursWorked"/>
      <w:r>
        <w:lastRenderedPageBreak/>
        <w:t xml:space="preserve">However, </w:t>
      </w:r>
      <w:r w:rsidRPr="00B150D9">
        <w:t xml:space="preserve">the unemployment rate is, in isolation, </w:t>
      </w:r>
      <w:r>
        <w:t>only a partial</w:t>
      </w:r>
      <w:r w:rsidRPr="00B150D9">
        <w:t xml:space="preserve"> indicator of the strength or softness of the labour market.</w:t>
      </w:r>
      <w:r>
        <w:t xml:space="preserve"> Other </w:t>
      </w:r>
      <w:r w:rsidRPr="00B150D9">
        <w:t>metrics indicate that the Victorian labour market has experienced a significant cyclical event in recent years, albeit on a smaller scale relative to the recessions of the 1980s and 1990s.</w:t>
      </w:r>
      <w:r>
        <w:t xml:space="preserve"> These include:</w:t>
      </w:r>
      <w:r>
        <w:fldChar w:fldCharType="begin"/>
      </w:r>
      <w:r>
        <w:instrText xml:space="preserve"> XE "</w:instrText>
      </w:r>
      <w:proofErr w:type="spellStart"/>
      <w:r w:rsidRPr="00A51FC8">
        <w:instrText>Unemployment:Unemployment</w:instrText>
      </w:r>
      <w:proofErr w:type="spellEnd"/>
      <w:r w:rsidRPr="00A51FC8">
        <w:instrText xml:space="preserve"> rate</w:instrText>
      </w:r>
      <w:r>
        <w:instrText xml:space="preserve">" \r "BP2UnemploymentRate2" </w:instrText>
      </w:r>
      <w:r>
        <w:fldChar w:fldCharType="end"/>
      </w:r>
    </w:p>
    <w:bookmarkEnd w:id="51"/>
    <w:p w:rsidR="00116054" w:rsidRDefault="00116054" w:rsidP="00B150D9">
      <w:pPr>
        <w:pStyle w:val="BulletText"/>
      </w:pPr>
      <w:r>
        <w:t xml:space="preserve">aggregate and average hours worked (indicators of the overall utilisation of labour); and </w:t>
      </w:r>
    </w:p>
    <w:p w:rsidR="00116054" w:rsidRDefault="00116054" w:rsidP="00B150D9">
      <w:pPr>
        <w:pStyle w:val="BulletText"/>
      </w:pPr>
      <w:r>
        <w:t>the underemployment</w:t>
      </w:r>
      <w:r>
        <w:fldChar w:fldCharType="begin"/>
      </w:r>
      <w:r>
        <w:instrText xml:space="preserve"> XE "</w:instrText>
      </w:r>
      <w:r w:rsidRPr="0003243D">
        <w:rPr>
          <w:lang w:val="en-US"/>
        </w:rPr>
        <w:instrText>Unemployment:</w:instrText>
      </w:r>
      <w:r w:rsidRPr="0003243D">
        <w:instrText>Underemployment</w:instrText>
      </w:r>
      <w:r>
        <w:instrText xml:space="preserve">" </w:instrText>
      </w:r>
      <w:r>
        <w:fldChar w:fldCharType="end"/>
      </w:r>
      <w:r>
        <w:t xml:space="preserve"> rate (</w:t>
      </w:r>
      <w:r w:rsidRPr="007531E5">
        <w:t xml:space="preserve">a measure of people </w:t>
      </w:r>
      <w:r>
        <w:t>who have a job and would like to work additional hours) and labour force underutilisation</w:t>
      </w:r>
      <w:r>
        <w:fldChar w:fldCharType="begin"/>
      </w:r>
      <w:r>
        <w:instrText xml:space="preserve"> XE "</w:instrText>
      </w:r>
      <w:r w:rsidRPr="0003243D">
        <w:rPr>
          <w:lang w:val="en-US"/>
        </w:rPr>
        <w:instrText>Unemployment:</w:instrText>
      </w:r>
      <w:r>
        <w:instrText xml:space="preserve">Underutilisation" </w:instrText>
      </w:r>
      <w:r>
        <w:fldChar w:fldCharType="end"/>
      </w:r>
      <w:r>
        <w:t xml:space="preserve"> rate (the sum of the unemployment and underemployment rates).</w:t>
      </w:r>
    </w:p>
    <w:p w:rsidR="00116054" w:rsidRDefault="00116054" w:rsidP="0021282E">
      <w:r>
        <w:t>Average hours worked per Victorian aged 15 years and over have fallen sharply over the past four years, and are approaching levels not seen since the recessions of the early 1980s and 1990s (see Chart 3.3). This is a strong indicator of the labour market softness experienced in Victoria in recent years.</w:t>
      </w:r>
    </w:p>
    <w:p w:rsidR="00116054" w:rsidRDefault="00116054" w:rsidP="0021282E">
      <w:pPr>
        <w:pStyle w:val="Chartheading"/>
      </w:pPr>
      <w:r>
        <w:t xml:space="preserve">Chart 3.3: </w:t>
      </w:r>
      <w:r>
        <w:tab/>
        <w:t>Annual hours worked per Victorian aged 15 years and over</w:t>
      </w:r>
    </w:p>
    <w:p w:rsidR="00116054" w:rsidRDefault="00CC5D46" w:rsidP="0021282E">
      <w:pPr>
        <w:pStyle w:val="Chartpara"/>
      </w:pPr>
      <w:r>
        <w:pict>
          <v:shape id="_x0000_i1034" type="#_x0000_t75" style="width:382.55pt;height:274.55pt">
            <v:imagedata r:id="rId28" o:title=""/>
          </v:shape>
        </w:pict>
      </w:r>
    </w:p>
    <w:p w:rsidR="00116054" w:rsidRDefault="00116054" w:rsidP="0021282E">
      <w:pPr>
        <w:pStyle w:val="Source"/>
      </w:pPr>
      <w:r w:rsidRPr="007531E5">
        <w:t>Sources: Department of Treasury and Finance; Australian Bureau of Statistics</w:t>
      </w:r>
    </w:p>
    <w:p w:rsidR="00116054" w:rsidRDefault="00116054" w:rsidP="006F7F5F">
      <w:pPr>
        <w:pStyle w:val="Notes"/>
      </w:pPr>
    </w:p>
    <w:p w:rsidR="00116054" w:rsidRDefault="00116054" w:rsidP="0021282E">
      <w:r>
        <w:t>Significantly, the fall in average hours worked has not been evenly spread across all age groups, but has been concentrated in the youth (15</w:t>
      </w:r>
      <w:r>
        <w:noBreakHyphen/>
        <w:t xml:space="preserve">24 years) cohorts. </w:t>
      </w:r>
    </w:p>
    <w:p w:rsidR="00116054" w:rsidRDefault="00116054">
      <w:pPr>
        <w:spacing w:after="0"/>
      </w:pPr>
      <w:r>
        <w:br w:type="page"/>
      </w:r>
    </w:p>
    <w:p w:rsidR="00116054" w:rsidRDefault="00116054" w:rsidP="0021282E">
      <w:r>
        <w:lastRenderedPageBreak/>
        <w:t>The 5.1 per cent reduction in average hours worked per Victorian aged 15 years and over since early 2011 comprises a:</w:t>
      </w:r>
    </w:p>
    <w:p w:rsidR="00116054" w:rsidRDefault="00116054" w:rsidP="0021282E">
      <w:pPr>
        <w:pStyle w:val="BulletText"/>
      </w:pPr>
      <w:r>
        <w:t>14.3 per cent decline among those aged 15</w:t>
      </w:r>
      <w:r>
        <w:noBreakHyphen/>
        <w:t>19 years;</w:t>
      </w:r>
    </w:p>
    <w:p w:rsidR="00116054" w:rsidRDefault="00116054" w:rsidP="0021282E">
      <w:pPr>
        <w:pStyle w:val="BulletText"/>
      </w:pPr>
      <w:r>
        <w:t>9.4 per cent decline among those aged 20</w:t>
      </w:r>
      <w:r>
        <w:noBreakHyphen/>
        <w:t>24 years;</w:t>
      </w:r>
    </w:p>
    <w:p w:rsidR="00116054" w:rsidRDefault="00116054" w:rsidP="0021282E">
      <w:pPr>
        <w:pStyle w:val="BulletText"/>
      </w:pPr>
      <w:r>
        <w:t>2.6 per cent decline among those aged 25</w:t>
      </w:r>
      <w:r>
        <w:noBreakHyphen/>
        <w:t>64 years; but a</w:t>
      </w:r>
    </w:p>
    <w:p w:rsidR="00116054" w:rsidRDefault="00116054" w:rsidP="0021282E">
      <w:pPr>
        <w:pStyle w:val="BulletText"/>
      </w:pPr>
      <w:r>
        <w:t>4.9 per cent increase among those aged 65 years and over.</w:t>
      </w:r>
    </w:p>
    <w:p w:rsidR="00116054" w:rsidRDefault="00116054" w:rsidP="004A43E5">
      <w:r>
        <w:t>Reflecting this, aggregate hours worked in the Victorian economy have been relatively flat over the past four years, despite the addition of around 140 000 mostly part</w:t>
      </w:r>
      <w:r>
        <w:noBreakHyphen/>
        <w:t>time jobs</w:t>
      </w:r>
      <w:r>
        <w:fldChar w:fldCharType="begin"/>
      </w:r>
      <w:r>
        <w:instrText xml:space="preserve"> XE "</w:instrText>
      </w:r>
      <w:r w:rsidRPr="00D242F7">
        <w:instrText>Jobs</w:instrText>
      </w:r>
      <w:r>
        <w:instrText xml:space="preserve">" </w:instrText>
      </w:r>
      <w:r>
        <w:fldChar w:fldCharType="end"/>
      </w:r>
      <w:r>
        <w:t xml:space="preserve">. </w:t>
      </w:r>
    </w:p>
    <w:p w:rsidR="00116054" w:rsidRDefault="00116054" w:rsidP="0021282E">
      <w:pPr>
        <w:pStyle w:val="Chartheading"/>
      </w:pPr>
      <w:r>
        <w:t xml:space="preserve">Chart 3.4: </w:t>
      </w:r>
      <w:r>
        <w:tab/>
        <w:t>Victorian industry aggregate hours worked, year average (original data)</w:t>
      </w:r>
    </w:p>
    <w:p w:rsidR="00116054" w:rsidRDefault="00CC5D46" w:rsidP="0021282E">
      <w:pPr>
        <w:pStyle w:val="Chartpara"/>
      </w:pPr>
      <w:r>
        <w:pict>
          <v:shape id="_x0000_i1035" type="#_x0000_t75" style="width:381.5pt;height:263.3pt">
            <v:imagedata r:id="rId29" o:title=""/>
          </v:shape>
        </w:pict>
      </w:r>
    </w:p>
    <w:p w:rsidR="00116054" w:rsidRDefault="00116054" w:rsidP="0021282E">
      <w:pPr>
        <w:pStyle w:val="Source"/>
      </w:pPr>
      <w:r w:rsidRPr="007531E5">
        <w:t>Sources: Department of Treasury and Finance; Australian Bureau of Statistics</w:t>
      </w:r>
    </w:p>
    <w:p w:rsidR="00116054" w:rsidRDefault="00116054" w:rsidP="006F7F5F">
      <w:pPr>
        <w:pStyle w:val="Notes"/>
      </w:pPr>
    </w:p>
    <w:p w:rsidR="00116054" w:rsidRDefault="00116054" w:rsidP="00C26CC8">
      <w:r>
        <w:t>R</w:t>
      </w:r>
      <w:r w:rsidRPr="00864BF2">
        <w:t xml:space="preserve">ecent softness in aggregate hours worked can be attributed to a combination of structural and cyclical factors operating across </w:t>
      </w:r>
      <w:r>
        <w:t>individual</w:t>
      </w:r>
      <w:r w:rsidRPr="00864BF2">
        <w:t xml:space="preserve"> industries</w:t>
      </w:r>
      <w:r>
        <w:t xml:space="preserve"> (see Chart 3.4)</w:t>
      </w:r>
      <w:r w:rsidRPr="00864BF2">
        <w:t>, including:</w:t>
      </w:r>
    </w:p>
    <w:p w:rsidR="00116054" w:rsidRDefault="00116054" w:rsidP="00864BF2">
      <w:pPr>
        <w:pStyle w:val="BulletText"/>
      </w:pPr>
      <w:r>
        <w:t>manufacturing, where a decline in hours worked accelerated between late 2012 and 2014, affected by the high Australian dollar;</w:t>
      </w:r>
    </w:p>
    <w:p w:rsidR="00116054" w:rsidRDefault="00116054" w:rsidP="00864BF2">
      <w:pPr>
        <w:pStyle w:val="BulletText"/>
      </w:pPr>
      <w:r>
        <w:t>construction, where activity and hours worked moderated from the immediate post</w:t>
      </w:r>
      <w:r>
        <w:noBreakHyphen/>
        <w:t>global financial crisis highs, but remain well above the levels of a decade ago;</w:t>
      </w:r>
    </w:p>
    <w:p w:rsidR="00116054" w:rsidRDefault="00116054" w:rsidP="00864BF2">
      <w:pPr>
        <w:pStyle w:val="BulletText"/>
      </w:pPr>
      <w:r>
        <w:t>retail trade, where Victorian hours worked stabilised between 2010 and 2014, but have nevertheless out</w:t>
      </w:r>
      <w:r>
        <w:noBreakHyphen/>
        <w:t>performed the national average (nationally, retail hours worked have yet to recover to their pre</w:t>
      </w:r>
      <w:r>
        <w:noBreakHyphen/>
        <w:t>global financial crisis peak);</w:t>
      </w:r>
    </w:p>
    <w:p w:rsidR="00116054" w:rsidRDefault="00116054" w:rsidP="00864BF2">
      <w:pPr>
        <w:pStyle w:val="BulletText"/>
      </w:pPr>
      <w:r>
        <w:lastRenderedPageBreak/>
        <w:t>professional, scientific and technical services, where hours worked grew significantly over the past decade, but have fallen from their 2013 peak, partly affected by the end of the mining construction boom (e.g. affecting engineering and other specialist consulting services); and</w:t>
      </w:r>
    </w:p>
    <w:p w:rsidR="00116054" w:rsidRDefault="00116054" w:rsidP="00864BF2">
      <w:pPr>
        <w:pStyle w:val="BulletText"/>
      </w:pPr>
      <w:r>
        <w:t>health care</w:t>
      </w:r>
      <w:r>
        <w:fldChar w:fldCharType="begin"/>
      </w:r>
      <w:r>
        <w:instrText xml:space="preserve"> XE "</w:instrText>
      </w:r>
      <w:r w:rsidRPr="00785608">
        <w:instrText>Health:</w:instrText>
      </w:r>
      <w:r w:rsidRPr="00785608">
        <w:rPr>
          <w:lang w:val="en-US"/>
        </w:rPr>
        <w:instrText>Care</w:instrText>
      </w:r>
      <w:r>
        <w:instrText xml:space="preserve">" </w:instrText>
      </w:r>
      <w:r>
        <w:fldChar w:fldCharType="end"/>
      </w:r>
      <w:r>
        <w:t xml:space="preserve"> and social assistance and education and training, where hours worked have grown less rapidly over the past four years than they did over the preceding six.</w:t>
      </w:r>
    </w:p>
    <w:p w:rsidR="00116054" w:rsidRPr="001F1B45" w:rsidRDefault="00116054" w:rsidP="001F1B45">
      <w:r w:rsidRPr="001F1B45">
        <w:t>The moderation of growth in hours worked in industries</w:t>
      </w:r>
      <w:r>
        <w:t xml:space="preserve"> broadly linked to population growth</w:t>
      </w:r>
      <w:r>
        <w:fldChar w:fldCharType="begin"/>
      </w:r>
      <w:r>
        <w:instrText xml:space="preserve"> XE "</w:instrText>
      </w:r>
      <w:r w:rsidRPr="008219EA">
        <w:instrText>Population</w:instrText>
      </w:r>
      <w:r>
        <w:instrText xml:space="preserve">" </w:instrText>
      </w:r>
      <w:r>
        <w:fldChar w:fldCharType="end"/>
      </w:r>
      <w:r w:rsidRPr="001F1B45">
        <w:t>, coupled with the decline in manufacturing and construction hours worked in recent years, largely explains recent softness in aggregate hours worked</w:t>
      </w:r>
      <w:r>
        <w:t xml:space="preserve"> in the Victorian economy</w:t>
      </w:r>
      <w:r w:rsidRPr="001F1B45">
        <w:t xml:space="preserve">. </w:t>
      </w:r>
    </w:p>
    <w:p w:rsidR="00116054" w:rsidRDefault="00116054" w:rsidP="0023478F">
      <w:bookmarkStart w:id="54" w:name="BP2Underemployment1"/>
      <w:bookmarkStart w:id="55" w:name="BP2Underutilisation"/>
      <w:r w:rsidRPr="00D925BC">
        <w:t>The associated decline in average hours worked coincided with a rise in the level of the underemployment and labour force underutilisation rates. From 6.6</w:t>
      </w:r>
      <w:r>
        <w:t> per cent</w:t>
      </w:r>
      <w:r w:rsidRPr="00D925BC">
        <w:t xml:space="preserve"> in mid</w:t>
      </w:r>
      <w:r>
        <w:noBreakHyphen/>
      </w:r>
      <w:r w:rsidRPr="00D925BC">
        <w:t>2011, Victoria</w:t>
      </w:r>
      <w:r>
        <w:t>’</w:t>
      </w:r>
      <w:r w:rsidRPr="00D925BC">
        <w:t>s underemployment rate (a measure of people who have a job and would like to work additional hours) rose to 9.6</w:t>
      </w:r>
      <w:r>
        <w:t> per cent</w:t>
      </w:r>
      <w:r w:rsidRPr="00D925BC">
        <w:t xml:space="preserve"> in February 2015, the highest in the history of the series (see Chart 3.</w:t>
      </w:r>
      <w:r>
        <w:t>5</w:t>
      </w:r>
      <w:r w:rsidRPr="00D925BC">
        <w:t>).</w:t>
      </w:r>
      <w:r>
        <w:t xml:space="preserve"> </w:t>
      </w:r>
    </w:p>
    <w:p w:rsidR="00116054" w:rsidRDefault="00116054" w:rsidP="0023478F">
      <w:pPr>
        <w:pStyle w:val="Chartheading"/>
      </w:pPr>
      <w:r>
        <w:t>Chart </w:t>
      </w:r>
      <w:r w:rsidRPr="007531E5">
        <w:t>3.</w:t>
      </w:r>
      <w:r>
        <w:t>5</w:t>
      </w:r>
      <w:r w:rsidRPr="007531E5">
        <w:t xml:space="preserve">: </w:t>
      </w:r>
      <w:r>
        <w:tab/>
      </w:r>
      <w:r w:rsidRPr="007531E5">
        <w:t>Victorian</w:t>
      </w:r>
      <w:r>
        <w:t xml:space="preserve"> </w:t>
      </w:r>
      <w:r w:rsidRPr="007531E5">
        <w:t>underemployment and</w:t>
      </w:r>
      <w:r>
        <w:t xml:space="preserve"> labour force</w:t>
      </w:r>
      <w:r w:rsidRPr="007531E5">
        <w:t xml:space="preserve"> underutilisation rates </w:t>
      </w:r>
    </w:p>
    <w:p w:rsidR="00116054" w:rsidRDefault="00CC5D46" w:rsidP="009F0CC8">
      <w:pPr>
        <w:pStyle w:val="Chartpara"/>
        <w:rPr>
          <w:rStyle w:val="SourceChar"/>
        </w:rPr>
      </w:pPr>
      <w:r>
        <w:pict>
          <v:shape id="_x0000_i1036" type="#_x0000_t75" style="width:391.15pt;height:275.65pt">
            <v:imagedata r:id="rId30" o:title=""/>
          </v:shape>
        </w:pict>
      </w:r>
      <w:r w:rsidR="00116054" w:rsidRPr="008D3AEE">
        <w:rPr>
          <w:rStyle w:val="SourceChar"/>
        </w:rPr>
        <w:t>Source: Australian Bureau of Statistics</w:t>
      </w:r>
    </w:p>
    <w:p w:rsidR="00116054" w:rsidRPr="008D3AEE" w:rsidRDefault="00116054" w:rsidP="0004464B">
      <w:pPr>
        <w:pStyle w:val="Notes"/>
        <w:rPr>
          <w:rStyle w:val="SourceChar"/>
          <w:i/>
        </w:rPr>
      </w:pPr>
    </w:p>
    <w:p w:rsidR="00116054" w:rsidRDefault="00116054">
      <w:pPr>
        <w:spacing w:after="0"/>
      </w:pPr>
      <w:r>
        <w:br w:type="page"/>
      </w:r>
    </w:p>
    <w:p w:rsidR="00116054" w:rsidRDefault="00116054" w:rsidP="00A838F6">
      <w:r>
        <w:lastRenderedPageBreak/>
        <w:t>The labour force underutilisation rate (the sum of the unemployment and underemployment rates) increased to 16.4 per cent in February 2015, its highest level in over 20 years. This implies that spare capacity in the Victorian labour market is now at its highest level since the early stages of the recovery from the 1990s recession.</w:t>
      </w:r>
      <w:r>
        <w:fldChar w:fldCharType="begin"/>
      </w:r>
      <w:r>
        <w:instrText xml:space="preserve"> XE "</w:instrText>
      </w:r>
      <w:proofErr w:type="spellStart"/>
      <w:r w:rsidRPr="009D3E08">
        <w:instrText>Unemployment:Underemployment</w:instrText>
      </w:r>
      <w:proofErr w:type="spellEnd"/>
      <w:r>
        <w:instrText xml:space="preserve">" \r "BP2Underemployment1" </w:instrText>
      </w:r>
      <w:r>
        <w:fldChar w:fldCharType="end"/>
      </w:r>
      <w:r>
        <w:t xml:space="preserve"> </w:t>
      </w:r>
      <w:r>
        <w:fldChar w:fldCharType="begin"/>
      </w:r>
      <w:r>
        <w:instrText xml:space="preserve"> XE "</w:instrText>
      </w:r>
      <w:proofErr w:type="spellStart"/>
      <w:r w:rsidRPr="009D3E08">
        <w:instrText>Unemployment:</w:instrText>
      </w:r>
      <w:r>
        <w:instrText>Underutilisation</w:instrText>
      </w:r>
      <w:proofErr w:type="spellEnd"/>
      <w:r>
        <w:instrText xml:space="preserve">" \r "BP2Underutilisation" </w:instrText>
      </w:r>
      <w:r>
        <w:fldChar w:fldCharType="end"/>
      </w:r>
    </w:p>
    <w:bookmarkEnd w:id="54"/>
    <w:bookmarkEnd w:id="55"/>
    <w:p w:rsidR="00116054" w:rsidRDefault="00116054" w:rsidP="00A838F6">
      <w:r w:rsidRPr="0083647F">
        <w:t>However,</w:t>
      </w:r>
      <w:r>
        <w:t xml:space="preserve"> it is important to note</w:t>
      </w:r>
      <w:r w:rsidRPr="0083647F">
        <w:t xml:space="preserve"> that</w:t>
      </w:r>
      <w:r>
        <w:t xml:space="preserve"> as</w:t>
      </w:r>
      <w:r w:rsidRPr="0083647F">
        <w:t xml:space="preserve"> the unemployment rate</w:t>
      </w:r>
      <w:r>
        <w:fldChar w:fldCharType="begin"/>
      </w:r>
      <w:r>
        <w:instrText xml:space="preserve"> XE "</w:instrText>
      </w:r>
      <w:r w:rsidRPr="0007568A">
        <w:rPr>
          <w:lang w:val="en-US"/>
        </w:rPr>
        <w:instrText>Unemployment:</w:instrText>
      </w:r>
      <w:r w:rsidRPr="0007568A">
        <w:instrText>Unemployment rate</w:instrText>
      </w:r>
      <w:r>
        <w:instrText xml:space="preserve">" </w:instrText>
      </w:r>
      <w:r>
        <w:fldChar w:fldCharType="end"/>
      </w:r>
      <w:r w:rsidRPr="0083647F">
        <w:t xml:space="preserve"> is well below </w:t>
      </w:r>
      <w:r>
        <w:t>levels</w:t>
      </w:r>
      <w:r w:rsidRPr="0083647F">
        <w:t xml:space="preserve"> associated with previous cyclical downturns, recent weakness has been more weighted towards underemployment (i.e. a reduction in average hours worked) than unemployment (i.e. mass retrenchments).</w:t>
      </w:r>
    </w:p>
    <w:p w:rsidR="00116054" w:rsidRDefault="00116054" w:rsidP="00A838F6">
      <w:r w:rsidRPr="0083647F">
        <w:t xml:space="preserve">Indeed, </w:t>
      </w:r>
      <w:r>
        <w:t>of</w:t>
      </w:r>
      <w:r w:rsidRPr="0083647F">
        <w:t xml:space="preserve"> the half a</w:t>
      </w:r>
      <w:r>
        <w:t> million</w:t>
      </w:r>
      <w:r w:rsidRPr="0083647F">
        <w:t xml:space="preserve"> Victorians</w:t>
      </w:r>
      <w:r>
        <w:t xml:space="preserve"> currently</w:t>
      </w:r>
      <w:r w:rsidRPr="0083647F">
        <w:t xml:space="preserve"> classif</w:t>
      </w:r>
      <w:r>
        <w:t>ied as underutilised, around 60 per cent</w:t>
      </w:r>
      <w:r w:rsidRPr="0083647F">
        <w:t xml:space="preserve"> are</w:t>
      </w:r>
      <w:r>
        <w:t xml:space="preserve"> employed and would like to work additional hours.</w:t>
      </w:r>
      <w:r w:rsidRPr="0083647F">
        <w:t xml:space="preserve"> While this may</w:t>
      </w:r>
      <w:r>
        <w:t xml:space="preserve"> reflect, in part, </w:t>
      </w:r>
      <w:r w:rsidRPr="0083647F">
        <w:t xml:space="preserve">greater labour market flexibility, it also </w:t>
      </w:r>
      <w:r>
        <w:t>implies</w:t>
      </w:r>
      <w:r w:rsidRPr="0083647F">
        <w:t xml:space="preserve"> that</w:t>
      </w:r>
      <w:r>
        <w:t xml:space="preserve"> </w:t>
      </w:r>
      <w:r w:rsidRPr="0083647F">
        <w:t>employment</w:t>
      </w:r>
      <w:r>
        <w:t xml:space="preserve"> growth can improve without a</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rsidRPr="0083647F">
        <w:t xml:space="preserve"> commensurate improvement in</w:t>
      </w:r>
      <w:r>
        <w:t xml:space="preserve"> broader</w:t>
      </w:r>
      <w:r w:rsidRPr="0083647F">
        <w:t xml:space="preserve"> </w:t>
      </w:r>
      <w:r>
        <w:t>measures of labour market spare capacity</w:t>
      </w:r>
      <w:r w:rsidRPr="0083647F">
        <w:t>.</w:t>
      </w:r>
      <w:r w:rsidRPr="0065678D">
        <w:t xml:space="preserve"> </w:t>
      </w:r>
    </w:p>
    <w:p w:rsidR="00116054" w:rsidRDefault="00116054" w:rsidP="0023478F">
      <w:pPr>
        <w:pStyle w:val="Heading1"/>
      </w:pPr>
      <w:bookmarkStart w:id="56" w:name="_Toc418255142"/>
      <w:bookmarkStart w:id="57" w:name="BP2Ch3Jobs3"/>
      <w:bookmarkStart w:id="58" w:name="BP2Ch3LabourForce1"/>
      <w:r>
        <w:t>Trends in youth labour force participation and education</w:t>
      </w:r>
      <w:bookmarkEnd w:id="56"/>
    </w:p>
    <w:p w:rsidR="00116054" w:rsidRDefault="00116054" w:rsidP="0023478F">
      <w:r>
        <w:t>While the level of Victorian employment has increased by around 10 per cent since the onset of the global financial crisis, the level of youth employment</w:t>
      </w:r>
      <w:r>
        <w:fldChar w:fldCharType="begin"/>
      </w:r>
      <w:r>
        <w:instrText xml:space="preserve"> XE "</w:instrText>
      </w:r>
      <w:r w:rsidRPr="00B32FB6">
        <w:rPr>
          <w:lang w:val="en-US"/>
        </w:rPr>
        <w:instrText>Employment:</w:instrText>
      </w:r>
      <w:r w:rsidRPr="00B32FB6">
        <w:instrText>Youth</w:instrText>
      </w:r>
      <w:r>
        <w:instrText xml:space="preserve">" </w:instrText>
      </w:r>
      <w:r>
        <w:fldChar w:fldCharType="end"/>
      </w:r>
      <w:r>
        <w:t xml:space="preserve"> is down nearly 5 per cent over the same period, with the bulk of this decline occurring over the past four years (see Chart 3.6). This corresponds to over 20 000 fewer young Victorians in jobs.</w:t>
      </w:r>
    </w:p>
    <w:p w:rsidR="00116054" w:rsidRDefault="00116054" w:rsidP="00497708">
      <w:pPr>
        <w:pStyle w:val="Chartheading"/>
      </w:pPr>
      <w:r>
        <w:t xml:space="preserve">Chart 3.6: </w:t>
      </w:r>
      <w:r>
        <w:tab/>
        <w:t>Victorian youth employment, 12 month average (original data)</w:t>
      </w:r>
    </w:p>
    <w:p w:rsidR="00116054" w:rsidRDefault="00CC5D46" w:rsidP="00497708">
      <w:pPr>
        <w:pStyle w:val="Chartpara"/>
      </w:pPr>
      <w:r>
        <w:pict>
          <v:shape id="_x0000_i1037" type="#_x0000_t75" style="width:383.65pt;height:273.5pt">
            <v:imagedata r:id="rId31" o:title=""/>
          </v:shape>
        </w:pict>
      </w:r>
    </w:p>
    <w:p w:rsidR="00116054" w:rsidRPr="008D3AEE" w:rsidRDefault="00116054" w:rsidP="008D3AEE">
      <w:pPr>
        <w:pStyle w:val="Source"/>
      </w:pPr>
      <w:r w:rsidRPr="008D3AEE">
        <w:t>Sources: Department of Treasury and Finance; Australian Bureau of Statistics</w:t>
      </w:r>
    </w:p>
    <w:p w:rsidR="00116054" w:rsidRDefault="00116054" w:rsidP="006F7F5F">
      <w:pPr>
        <w:pStyle w:val="Notes"/>
      </w:pPr>
    </w:p>
    <w:p w:rsidR="00116054" w:rsidRDefault="00116054" w:rsidP="0019382D">
      <w:r>
        <w:lastRenderedPageBreak/>
        <w:t>Average hours worked by young Victorians have fallen by more than 10 per cent</w:t>
      </w:r>
      <w:r w:rsidRPr="007531E5">
        <w:t xml:space="preserve"> </w:t>
      </w:r>
      <w:r>
        <w:t xml:space="preserve">over the past four years, </w:t>
      </w:r>
      <w:r w:rsidRPr="007531E5">
        <w:t xml:space="preserve">driven by a </w:t>
      </w:r>
      <w:r>
        <w:t>16</w:t>
      </w:r>
      <w:r w:rsidRPr="007531E5">
        <w:t>.</w:t>
      </w:r>
      <w:r>
        <w:t>5 per cent</w:t>
      </w:r>
      <w:r w:rsidRPr="007531E5">
        <w:t xml:space="preserve"> decline in average full</w:t>
      </w:r>
      <w:r>
        <w:noBreakHyphen/>
      </w:r>
      <w:r w:rsidRPr="007531E5">
        <w:t>time hours worked</w:t>
      </w:r>
      <w:r>
        <w:t>,</w:t>
      </w:r>
      <w:r w:rsidRPr="007531E5">
        <w:t xml:space="preserve"> partially offset by a </w:t>
      </w:r>
      <w:r>
        <w:t>7.1 per cent</w:t>
      </w:r>
      <w:r w:rsidRPr="007531E5">
        <w:t xml:space="preserve"> rise in average part</w:t>
      </w:r>
      <w:r>
        <w:noBreakHyphen/>
        <w:t>time hours worked.</w:t>
      </w:r>
    </w:p>
    <w:p w:rsidR="00116054" w:rsidRDefault="00116054" w:rsidP="0019382D">
      <w:r>
        <w:t>Consistent with trends in industry hours worked, the decline in youth employment</w:t>
      </w:r>
      <w:r>
        <w:fldChar w:fldCharType="begin"/>
      </w:r>
      <w:r>
        <w:instrText xml:space="preserve"> XE "</w:instrText>
      </w:r>
      <w:proofErr w:type="spellStart"/>
      <w:r w:rsidRPr="00AA5CCD">
        <w:instrText>Employment:Youth</w:instrText>
      </w:r>
      <w:proofErr w:type="spellEnd"/>
      <w:r>
        <w:instrText xml:space="preserve">" </w:instrText>
      </w:r>
      <w:r>
        <w:fldChar w:fldCharType="end"/>
      </w:r>
      <w:r>
        <w:t xml:space="preserve"> has been led by falls in manufacturing. Youth jobs have also declined in the retail trade industry, which accounts for nearly a quarter of all youth employment in the State.</w:t>
      </w:r>
      <w:r>
        <w:fldChar w:fldCharType="begin"/>
      </w:r>
      <w:r>
        <w:instrText xml:space="preserve"> XE "</w:instrText>
      </w:r>
      <w:r w:rsidRPr="00305A55">
        <w:rPr>
          <w:lang w:val="en-US"/>
        </w:rPr>
        <w:instrText>Jobs</w:instrText>
      </w:r>
      <w:r>
        <w:instrText xml:space="preserve">" \r "BP2Ch3Jobs3" </w:instrText>
      </w:r>
      <w:r>
        <w:fldChar w:fldCharType="end"/>
      </w:r>
    </w:p>
    <w:bookmarkEnd w:id="57"/>
    <w:p w:rsidR="00116054" w:rsidRDefault="00116054" w:rsidP="00356124">
      <w:r>
        <w:t>However, the proportion of young Victorians in full</w:t>
      </w:r>
      <w:r>
        <w:noBreakHyphen/>
        <w:t>time education rose to 58.3 per cent in 2013</w:t>
      </w:r>
      <w:r>
        <w:noBreakHyphen/>
        <w:t>14. This was the highest of all states, above the national average (51.8 per cent), and up from 53.5 per cent in 2011</w:t>
      </w:r>
      <w:r>
        <w:noBreakHyphen/>
        <w:t>12. Given that the number of young Victorians in full</w:t>
      </w:r>
      <w:r>
        <w:noBreakHyphen/>
        <w:t>time education increased by over 40 000 people over the two years to 2013</w:t>
      </w:r>
      <w:r>
        <w:noBreakHyphen/>
        <w:t>14, this supports the notion that a substitution between full</w:t>
      </w:r>
      <w:r>
        <w:noBreakHyphen/>
        <w:t>time work and full</w:t>
      </w:r>
      <w:r>
        <w:noBreakHyphen/>
        <w:t xml:space="preserve">time education is occurring among Victoria’s youth. </w:t>
      </w:r>
    </w:p>
    <w:p w:rsidR="00116054" w:rsidRDefault="00116054" w:rsidP="00A6338C">
      <w:r>
        <w:t>This may reflect, in part, a response to the recent softness in the Victorian labour market, as well as the recovery in international student numbers from early 2014 following the moderation in the level of the domestic currency. However, young Victorians may also be responding to signals that job opportunities are increasingly in sectors requiring higher levels of skills</w:t>
      </w:r>
      <w:r>
        <w:fldChar w:fldCharType="begin"/>
      </w:r>
      <w:r>
        <w:instrText xml:space="preserve"> XE "</w:instrText>
      </w:r>
      <w:r w:rsidRPr="00EE62D6">
        <w:instrText>Skills</w:instrText>
      </w:r>
      <w:r>
        <w:instrText xml:space="preserve">" </w:instrText>
      </w:r>
      <w:r>
        <w:fldChar w:fldCharType="end"/>
      </w:r>
      <w:r>
        <w:t xml:space="preserve"> and training</w:t>
      </w:r>
      <w:r>
        <w:fldChar w:fldCharType="begin"/>
      </w:r>
      <w:r>
        <w:instrText xml:space="preserve"> XE "</w:instrText>
      </w:r>
      <w:r w:rsidRPr="004474AF">
        <w:instrText>Training</w:instrText>
      </w:r>
      <w:r>
        <w:instrText xml:space="preserve">" </w:instrText>
      </w:r>
      <w:r>
        <w:fldChar w:fldCharType="end"/>
      </w:r>
      <w:r>
        <w:t>.</w:t>
      </w:r>
      <w:r>
        <w:fldChar w:fldCharType="begin"/>
      </w:r>
      <w:r>
        <w:instrText xml:space="preserve"> XE "</w:instrText>
      </w:r>
      <w:r w:rsidRPr="00F37CAD">
        <w:instrText>Hours worked</w:instrText>
      </w:r>
      <w:r>
        <w:instrText xml:space="preserve">" \r "BP2Ch3HoursWorked" </w:instrText>
      </w:r>
      <w:r>
        <w:fldChar w:fldCharType="end"/>
      </w:r>
    </w:p>
    <w:bookmarkEnd w:id="53"/>
    <w:p w:rsidR="00116054" w:rsidRDefault="00116054" w:rsidP="00A6338C">
      <w:r>
        <w:t>The share of youth in full</w:t>
      </w:r>
      <w:r>
        <w:noBreakHyphen/>
        <w:t>time education rose strongly in 2012</w:t>
      </w:r>
      <w:r>
        <w:noBreakHyphen/>
        <w:t>13, a year in which average youth hours worked fell by over 6 per cent. The increase coincided with the Commonwealth Government uncapping the number of university places for domestic students, which may also be reflected in the outcome for the following year.</w:t>
      </w:r>
    </w:p>
    <w:p w:rsidR="00116054" w:rsidRDefault="00116054" w:rsidP="00A6338C">
      <w:r>
        <w:t>Importantly, the rise in the number of unemployed youth over the past year has been driven by the sub</w:t>
      </w:r>
      <w:r>
        <w:noBreakHyphen/>
        <w:t>cohort who are in full</w:t>
      </w:r>
      <w:r>
        <w:noBreakHyphen/>
        <w:t>time education (see Chart 3.7). This signals that despite falling youth employment, many young Victorians are remaining engaged with both the education system and the labour market.</w:t>
      </w:r>
      <w:r w:rsidRPr="004D0D78">
        <w:t xml:space="preserve"> </w:t>
      </w:r>
      <w:r>
        <w:fldChar w:fldCharType="begin"/>
      </w:r>
      <w:r>
        <w:instrText xml:space="preserve"> XE "</w:instrText>
      </w:r>
      <w:r w:rsidRPr="00D42D8F">
        <w:instrText>Labour market</w:instrText>
      </w:r>
      <w:r>
        <w:instrText xml:space="preserve">" \r "BP2Ch3LabourMkt1" </w:instrText>
      </w:r>
      <w:r>
        <w:fldChar w:fldCharType="end"/>
      </w:r>
    </w:p>
    <w:bookmarkEnd w:id="49"/>
    <w:p w:rsidR="00116054" w:rsidRDefault="00116054" w:rsidP="00EB2B9F">
      <w:pPr>
        <w:pStyle w:val="Chartheading"/>
      </w:pPr>
      <w:r>
        <w:lastRenderedPageBreak/>
        <w:t>Chart 3.7</w:t>
      </w:r>
      <w:r w:rsidRPr="007E0DD7">
        <w:t xml:space="preserve">: </w:t>
      </w:r>
      <w:r>
        <w:tab/>
      </w:r>
      <w:r w:rsidRPr="007E0DD7">
        <w:t>Composition of</w:t>
      </w:r>
      <w:r>
        <w:t xml:space="preserve"> Victorian</w:t>
      </w:r>
      <w:r w:rsidRPr="007E0DD7">
        <w:t xml:space="preserve"> unemployed youth</w:t>
      </w:r>
      <w:r>
        <w:t xml:space="preserve"> – </w:t>
      </w:r>
      <w:r w:rsidRPr="007E0DD7">
        <w:t>year average (original data)</w:t>
      </w:r>
    </w:p>
    <w:p w:rsidR="00116054" w:rsidRPr="00356124" w:rsidRDefault="00CC5D46" w:rsidP="00EB2B9F">
      <w:pPr>
        <w:pStyle w:val="Chartpara"/>
      </w:pPr>
      <w:r>
        <w:pict>
          <v:shape id="_x0000_i1038" type="#_x0000_t75" style="width:382.55pt;height:273.5pt">
            <v:imagedata r:id="rId32" o:title=""/>
          </v:shape>
        </w:pict>
      </w:r>
    </w:p>
    <w:p w:rsidR="00116054" w:rsidRDefault="00116054" w:rsidP="00A6338C">
      <w:pPr>
        <w:pStyle w:val="Source"/>
      </w:pPr>
      <w:r w:rsidRPr="007E0DD7">
        <w:t>Sources: Department of Treasury and Finance; Australian Bureau of Statistics</w:t>
      </w:r>
    </w:p>
    <w:p w:rsidR="00116054" w:rsidRPr="00EB2B9F" w:rsidRDefault="00116054" w:rsidP="006F7F5F">
      <w:pPr>
        <w:pStyle w:val="Notes"/>
      </w:pPr>
    </w:p>
    <w:p w:rsidR="00116054" w:rsidRPr="006F7F5F" w:rsidRDefault="00116054" w:rsidP="0023478F">
      <w:r>
        <w:t>A proxy for youth underutilisation</w:t>
      </w:r>
      <w:r>
        <w:fldChar w:fldCharType="begin"/>
      </w:r>
      <w:r>
        <w:instrText xml:space="preserve"> XE "</w:instrText>
      </w:r>
      <w:r w:rsidRPr="0003243D">
        <w:rPr>
          <w:lang w:val="en-US"/>
        </w:rPr>
        <w:instrText>Unemployment:</w:instrText>
      </w:r>
      <w:r>
        <w:instrText xml:space="preserve">Underutilisation" </w:instrText>
      </w:r>
      <w:r>
        <w:fldChar w:fldCharType="end"/>
      </w:r>
      <w:r>
        <w:t>, the proportion of Victorian young people both not in full</w:t>
      </w:r>
      <w:r>
        <w:noBreakHyphen/>
        <w:t>time education and either unemployed or outside the labour force is currently 10.4 per cent, the lowest of all states. Although this metric</w:t>
      </w:r>
      <w:r w:rsidRPr="00090A1C">
        <w:t xml:space="preserve"> </w:t>
      </w:r>
      <w:r>
        <w:t>remains below the national average (11.6 per cent), it has nevertheless increased from 9.4 per cent over the past year.</w:t>
      </w:r>
    </w:p>
    <w:p w:rsidR="00116054" w:rsidRDefault="00116054" w:rsidP="0023478F">
      <w:r>
        <w:t>Recent trends in the youth labour market therefore</w:t>
      </w:r>
      <w:r>
        <w:fldChar w:fldCharType="begin"/>
      </w:r>
      <w:r>
        <w:instrText xml:space="preserve"> XE "</w:instrText>
      </w:r>
      <w:r w:rsidRPr="00AA46A9">
        <w:instrText xml:space="preserve">Labour </w:instrText>
      </w:r>
      <w:proofErr w:type="spellStart"/>
      <w:r w:rsidRPr="00AA46A9">
        <w:instrText>market</w:instrText>
      </w:r>
      <w:r>
        <w:instrText>:Youth</w:instrText>
      </w:r>
      <w:proofErr w:type="spellEnd"/>
      <w:r>
        <w:instrText xml:space="preserve">" </w:instrText>
      </w:r>
      <w:r>
        <w:fldChar w:fldCharType="end"/>
      </w:r>
      <w:r>
        <w:t xml:space="preserve"> appear to reflect the structural shift in employment patterns towards skilled occupations and a greater uptake of higher qualifications, exacerbated by recent cyclical weakness.</w:t>
      </w:r>
    </w:p>
    <w:p w:rsidR="00116054" w:rsidRDefault="00116054" w:rsidP="0019382D">
      <w:pPr>
        <w:rPr>
          <w:rFonts w:ascii="Calibri" w:hAnsi="Calibri"/>
          <w:b/>
          <w:caps/>
          <w:sz w:val="26"/>
          <w:szCs w:val="22"/>
        </w:rPr>
      </w:pPr>
      <w:r>
        <w:t xml:space="preserve">The Government’s Back to Work Plan and significant investment in education and skills will support those young people who are either disengaged or at risk of being disengaged from both the labour market and the education system. </w:t>
      </w:r>
      <w:r>
        <w:fldChar w:fldCharType="begin"/>
      </w:r>
      <w:r>
        <w:instrText xml:space="preserve"> XE "</w:instrText>
      </w:r>
      <w:r w:rsidRPr="006F0180">
        <w:instrText xml:space="preserve">Labour </w:instrText>
      </w:r>
      <w:proofErr w:type="spellStart"/>
      <w:r w:rsidRPr="006F0180">
        <w:instrText>market:Labour</w:instrText>
      </w:r>
      <w:proofErr w:type="spellEnd"/>
      <w:r w:rsidRPr="006F0180">
        <w:instrText xml:space="preserve"> force participation</w:instrText>
      </w:r>
      <w:r>
        <w:instrText xml:space="preserve">" \r "BP2Ch3LabourForce1" </w:instrText>
      </w:r>
      <w:r>
        <w:fldChar w:fldCharType="end"/>
      </w:r>
    </w:p>
    <w:p w:rsidR="00116054" w:rsidRDefault="00116054">
      <w:pPr>
        <w:spacing w:after="0"/>
        <w:rPr>
          <w:rFonts w:ascii="Calibri" w:hAnsi="Calibri"/>
          <w:b/>
          <w:caps/>
          <w:sz w:val="26"/>
          <w:szCs w:val="22"/>
        </w:rPr>
      </w:pPr>
      <w:r>
        <w:br w:type="page"/>
      </w:r>
    </w:p>
    <w:p w:rsidR="00116054" w:rsidRDefault="00116054" w:rsidP="00DF7D3A">
      <w:pPr>
        <w:pStyle w:val="Heading1"/>
      </w:pPr>
      <w:bookmarkStart w:id="59" w:name="_Toc418255143"/>
      <w:bookmarkStart w:id="60" w:name="BP2Ch3IndEmpl"/>
      <w:bookmarkStart w:id="61" w:name="BP2Ch3Skills"/>
      <w:bookmarkEnd w:id="58"/>
      <w:r>
        <w:lastRenderedPageBreak/>
        <w:t>Industry employment trends and skills</w:t>
      </w:r>
      <w:bookmarkEnd w:id="59"/>
    </w:p>
    <w:p w:rsidR="00116054" w:rsidRDefault="00116054" w:rsidP="0023478F">
      <w:r>
        <w:t>The share of the Victorian population aged 15 years and over</w:t>
      </w:r>
      <w:r>
        <w:fldChar w:fldCharType="begin"/>
      </w:r>
      <w:r>
        <w:instrText xml:space="preserve"> XE "</w:instrText>
      </w:r>
      <w:r w:rsidRPr="008219EA">
        <w:instrText>Population</w:instrText>
      </w:r>
      <w:r>
        <w:instrText xml:space="preserve">" </w:instrText>
      </w:r>
      <w:r>
        <w:fldChar w:fldCharType="end"/>
      </w:r>
      <w:r>
        <w:t xml:space="preserve"> with a post</w:t>
      </w:r>
      <w:r>
        <w:noBreakHyphen/>
        <w:t>school qualification rose significantly over the decade to 2011, with large increases in the proportion of the population holding a bachelor degree or higher (see Chart 3.8).</w:t>
      </w:r>
    </w:p>
    <w:p w:rsidR="00116054" w:rsidRDefault="00116054" w:rsidP="00EB2B9F">
      <w:pPr>
        <w:pStyle w:val="Chartheading"/>
        <w:rPr>
          <w:rFonts w:ascii="Garamond" w:hAnsi="Garamond"/>
          <w:b w:val="0"/>
        </w:rPr>
      </w:pPr>
      <w:r>
        <w:t>Chart </w:t>
      </w:r>
      <w:r w:rsidRPr="00C25FC2">
        <w:t>3.</w:t>
      </w:r>
      <w:r>
        <w:t>8</w:t>
      </w:r>
      <w:r w:rsidRPr="00C25FC2">
        <w:t xml:space="preserve">: </w:t>
      </w:r>
      <w:r>
        <w:tab/>
      </w:r>
      <w:r w:rsidRPr="00C25FC2">
        <w:t>Proportion of</w:t>
      </w:r>
      <w:r>
        <w:t xml:space="preserve"> Victorians aged 15 years and over</w:t>
      </w:r>
      <w:r w:rsidRPr="00C25FC2">
        <w:t xml:space="preserve"> with</w:t>
      </w:r>
      <w:r>
        <w:t xml:space="preserve"> a</w:t>
      </w:r>
      <w:r w:rsidRPr="00C25FC2">
        <w:t xml:space="preserve"> post</w:t>
      </w:r>
      <w:r>
        <w:noBreakHyphen/>
        <w:t>school qualification</w:t>
      </w:r>
    </w:p>
    <w:p w:rsidR="00116054" w:rsidRDefault="00CC5D46" w:rsidP="00EB2B9F">
      <w:pPr>
        <w:pStyle w:val="Chartpara"/>
      </w:pPr>
      <w:r>
        <w:pict>
          <v:shape id="_x0000_i1039" type="#_x0000_t75" style="width:382.55pt;height:274.55pt">
            <v:imagedata r:id="rId33" o:title=""/>
          </v:shape>
        </w:pict>
      </w:r>
    </w:p>
    <w:p w:rsidR="00116054" w:rsidRDefault="00116054" w:rsidP="00EB2B9F">
      <w:pPr>
        <w:pStyle w:val="Source"/>
      </w:pPr>
      <w:r w:rsidRPr="007531E5">
        <w:t>Sources: Department of Treasury and Finance; Australian Bureau of Statistics</w:t>
      </w:r>
    </w:p>
    <w:p w:rsidR="00116054" w:rsidRDefault="00116054" w:rsidP="006F7F5F">
      <w:pPr>
        <w:pStyle w:val="Notes"/>
      </w:pPr>
    </w:p>
    <w:p w:rsidR="00116054" w:rsidRDefault="00116054" w:rsidP="0023478F">
      <w:bookmarkStart w:id="62" w:name="BP2Ch3JobsGrowth"/>
      <w:r>
        <w:t>The industry drivers of employment growth</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t xml:space="preserve"> are increasingly those with highly skilled workforces (see Chart 3.9). In addition to parts of manufacturing </w:t>
      </w:r>
      <w:r w:rsidRPr="00A578F2">
        <w:t>(e.g. specialised machinery and equipment manufacturing, and pharmaceutical and medicinal product manufacturing)</w:t>
      </w:r>
      <w:r>
        <w:t>, health care</w:t>
      </w:r>
      <w:r>
        <w:fldChar w:fldCharType="begin"/>
      </w:r>
      <w:r>
        <w:instrText xml:space="preserve"> XE "</w:instrText>
      </w:r>
      <w:proofErr w:type="spellStart"/>
      <w:r w:rsidRPr="001A2487">
        <w:rPr>
          <w:lang w:val="en-US"/>
        </w:rPr>
        <w:instrText>Health:Care</w:instrText>
      </w:r>
      <w:proofErr w:type="spellEnd"/>
      <w:r>
        <w:instrText xml:space="preserve">" </w:instrText>
      </w:r>
      <w:r>
        <w:fldChar w:fldCharType="end"/>
      </w:r>
      <w:r>
        <w:t xml:space="preserve"> and social assistance, professional, scientific and technical services, education and training, construction, and public administration and safety industries accounted for nearly two</w:t>
      </w:r>
      <w:r>
        <w:noBreakHyphen/>
        <w:t>thirds of net jobs growth over the past decade, and predominantly employ workers with post</w:t>
      </w:r>
      <w:r>
        <w:noBreakHyphen/>
        <w:t xml:space="preserve">school qualifications. </w:t>
      </w:r>
    </w:p>
    <w:p w:rsidR="00116054" w:rsidRDefault="00116054" w:rsidP="008F6983">
      <w:pPr>
        <w:pStyle w:val="Chartheading"/>
      </w:pPr>
      <w:r>
        <w:lastRenderedPageBreak/>
        <w:t>Chart </w:t>
      </w:r>
      <w:r w:rsidRPr="00C25FC2">
        <w:t>3.</w:t>
      </w:r>
      <w:r>
        <w:t>9</w:t>
      </w:r>
      <w:r w:rsidRPr="00C25FC2">
        <w:t xml:space="preserve">: </w:t>
      </w:r>
      <w:r>
        <w:tab/>
        <w:t>Victorian jobs</w:t>
      </w:r>
      <w:r w:rsidRPr="00C57C60">
        <w:t xml:space="preserve"> growth</w:t>
      </w:r>
      <w:r>
        <w:t xml:space="preserve"> by share of industry</w:t>
      </w:r>
      <w:r w:rsidRPr="00C57C60">
        <w:t xml:space="preserve"> </w:t>
      </w:r>
      <w:r>
        <w:t>workforce with a post</w:t>
      </w:r>
      <w:r>
        <w:noBreakHyphen/>
        <w:t>school qualification</w:t>
      </w:r>
      <w:r w:rsidRPr="00526C1A">
        <w:rPr>
          <w:vertAlign w:val="superscript"/>
        </w:rPr>
        <w:t>(a)(b)(c)</w:t>
      </w:r>
    </w:p>
    <w:p w:rsidR="00116054" w:rsidRDefault="00CC5D46" w:rsidP="008F6983">
      <w:pPr>
        <w:pStyle w:val="Chartpara"/>
      </w:pPr>
      <w:r>
        <w:pict>
          <v:shape id="_x0000_i1040" type="#_x0000_t75" style="width:384.7pt;height:262.2pt">
            <v:imagedata r:id="rId34" o:title=""/>
          </v:shape>
        </w:pict>
      </w:r>
    </w:p>
    <w:p w:rsidR="00116054" w:rsidRDefault="00116054" w:rsidP="008F6983">
      <w:pPr>
        <w:pStyle w:val="Source"/>
      </w:pPr>
      <w:r w:rsidRPr="00C25FC2">
        <w:t>Sources: Department of Treasury and Finance; Australian Bureau of Statistics</w:t>
      </w:r>
    </w:p>
    <w:p w:rsidR="00116054" w:rsidRDefault="00116054" w:rsidP="005F5131">
      <w:pPr>
        <w:pStyle w:val="Notes"/>
      </w:pPr>
      <w:r>
        <w:t>Notes:</w:t>
      </w:r>
    </w:p>
    <w:p w:rsidR="00116054" w:rsidRDefault="00116054" w:rsidP="005F5131">
      <w:pPr>
        <w:pStyle w:val="Notes"/>
      </w:pPr>
      <w:r>
        <w:t xml:space="preserve">(a) </w:t>
      </w:r>
      <w:r>
        <w:tab/>
        <w:t>63.9 per cent of Victorian workers aged 15 years and over had a post</w:t>
      </w:r>
      <w:r>
        <w:noBreakHyphen/>
        <w:t>school qualification at the 2011 Census.</w:t>
      </w:r>
    </w:p>
    <w:p w:rsidR="00116054" w:rsidRDefault="00116054" w:rsidP="005F5131">
      <w:pPr>
        <w:pStyle w:val="Notes"/>
      </w:pPr>
      <w:r>
        <w:t xml:space="preserve">(b) </w:t>
      </w:r>
      <w:r>
        <w:tab/>
        <w:t>Above</w:t>
      </w:r>
      <w:r>
        <w:noBreakHyphen/>
        <w:t>average industries include: health care and social assistance, professional, scientific and technical services, construction, education and training, public administration and safety, financial and insurance services, other services, information media and telecommunications, rental, hiring and real estate services, electricity, gas, water and waste services, and mining.</w:t>
      </w:r>
    </w:p>
    <w:p w:rsidR="00116054" w:rsidRPr="005F5131" w:rsidRDefault="00116054" w:rsidP="005F5131">
      <w:pPr>
        <w:pStyle w:val="Notes"/>
      </w:pPr>
      <w:r>
        <w:t>(c)</w:t>
      </w:r>
      <w:r>
        <w:tab/>
        <w:t>Below average industries include: retail trade, manufacturing, accommodation and food services, transport, postal and warehousing, wholesale trade, administrative and support services, agriculture forestry and fishing, and arts and recreation services.</w:t>
      </w:r>
    </w:p>
    <w:p w:rsidR="00116054" w:rsidRDefault="00116054" w:rsidP="008F6983"/>
    <w:p w:rsidR="00116054" w:rsidRDefault="00116054" w:rsidP="001E2315">
      <w:r>
        <w:t>Reflecting this trend, the aggregated employment share of these five industries is 42.0 per cent, up from 37.3 per cent a decade ago. As</w:t>
      </w:r>
      <w:r w:rsidRPr="001843EB">
        <w:t xml:space="preserve"> the industries driving jobs growth increasingly require post</w:t>
      </w:r>
      <w:r>
        <w:noBreakHyphen/>
      </w:r>
      <w:r w:rsidRPr="001843EB">
        <w:t xml:space="preserve">school qualifications, </w:t>
      </w:r>
      <w:r>
        <w:t xml:space="preserve">this further indicates that </w:t>
      </w:r>
      <w:r w:rsidRPr="001843EB">
        <w:t>a substitution between work and</w:t>
      </w:r>
      <w:r>
        <w:t xml:space="preserve"> full</w:t>
      </w:r>
      <w:r>
        <w:noBreakHyphen/>
        <w:t>time</w:t>
      </w:r>
      <w:r w:rsidRPr="001843EB">
        <w:t xml:space="preserve"> education may explain part of the</w:t>
      </w:r>
      <w:r>
        <w:t xml:space="preserve"> recent</w:t>
      </w:r>
      <w:r w:rsidRPr="001843EB">
        <w:t xml:space="preserve"> decline in hours worked</w:t>
      </w:r>
      <w:r>
        <w:fldChar w:fldCharType="begin"/>
      </w:r>
      <w:r>
        <w:instrText xml:space="preserve"> XE "</w:instrText>
      </w:r>
      <w:r w:rsidRPr="003E0E32">
        <w:instrText>Hours worked</w:instrText>
      </w:r>
      <w:r>
        <w:instrText xml:space="preserve">" </w:instrText>
      </w:r>
      <w:r>
        <w:fldChar w:fldCharType="end"/>
      </w:r>
      <w:r w:rsidRPr="001843EB">
        <w:t xml:space="preserve"> by</w:t>
      </w:r>
      <w:r>
        <w:t xml:space="preserve"> young</w:t>
      </w:r>
      <w:r w:rsidRPr="001843EB">
        <w:t xml:space="preserve"> Victorian</w:t>
      </w:r>
      <w:r>
        <w:t>s</w:t>
      </w:r>
      <w:r w:rsidRPr="001843EB">
        <w:t>.</w:t>
      </w:r>
    </w:p>
    <w:p w:rsidR="00116054" w:rsidRPr="008F6983" w:rsidRDefault="00116054" w:rsidP="008F6983">
      <w:r>
        <w:t xml:space="preserve">The shift in industry employment patterns has implications for some occupations. For example, employment of </w:t>
      </w:r>
      <w:r w:rsidRPr="008F6983">
        <w:t>technicians</w:t>
      </w:r>
      <w:r>
        <w:t>,</w:t>
      </w:r>
      <w:r w:rsidRPr="008F6983">
        <w:t xml:space="preserve"> trade workers, machinery operators</w:t>
      </w:r>
      <w:r>
        <w:t>,</w:t>
      </w:r>
      <w:r w:rsidRPr="008F6983">
        <w:t xml:space="preserve"> drivers, and labourers increased by an annual average of 0.6</w:t>
      </w:r>
      <w:r>
        <w:t> per cent</w:t>
      </w:r>
      <w:r w:rsidRPr="008F6983">
        <w:t xml:space="preserve"> over the past decade, well below the rate of growth for all occupations (2.0</w:t>
      </w:r>
      <w:r>
        <w:t> per cent</w:t>
      </w:r>
      <w:r w:rsidRPr="008F6983">
        <w:t xml:space="preserve">). </w:t>
      </w:r>
      <w:r w:rsidRPr="00186E3F">
        <w:t>This trend reinforces the need for a strong, responsive and high quality training system.</w:t>
      </w:r>
    </w:p>
    <w:p w:rsidR="00116054" w:rsidRDefault="00116054">
      <w:pPr>
        <w:spacing w:after="0"/>
      </w:pPr>
      <w:r>
        <w:br w:type="page"/>
      </w:r>
    </w:p>
    <w:p w:rsidR="00116054" w:rsidRPr="008F6983" w:rsidRDefault="00116054" w:rsidP="008F6983">
      <w:r>
        <w:lastRenderedPageBreak/>
        <w:t>S</w:t>
      </w:r>
      <w:r w:rsidRPr="008F6983">
        <w:t xml:space="preserve">ince 2012, employment in </w:t>
      </w:r>
      <w:r>
        <w:t xml:space="preserve">these </w:t>
      </w:r>
      <w:r w:rsidRPr="008F6983">
        <w:t>occup</w:t>
      </w:r>
      <w:r>
        <w:t>ations has been in decline (see </w:t>
      </w:r>
      <w:r w:rsidRPr="008F6983">
        <w:t>Chart 3.1</w:t>
      </w:r>
      <w:r>
        <w:t>0</w:t>
      </w:r>
      <w:r w:rsidRPr="008F6983">
        <w:t>). This can</w:t>
      </w:r>
      <w:r>
        <w:t xml:space="preserve"> be largely</w:t>
      </w:r>
      <w:r w:rsidRPr="008F6983">
        <w:t xml:space="preserve"> attributed to the recent fall in manufacturing industry employment, reinforced by a cyclical moderation in</w:t>
      </w:r>
      <w:r>
        <w:t xml:space="preserve"> the</w:t>
      </w:r>
      <w:r w:rsidRPr="008F6983">
        <w:t xml:space="preserve"> construction industry</w:t>
      </w:r>
      <w:r>
        <w:t>.</w:t>
      </w:r>
      <w:r w:rsidRPr="008F6983">
        <w:t xml:space="preserve"> </w:t>
      </w:r>
    </w:p>
    <w:p w:rsidR="00116054" w:rsidRDefault="00116054" w:rsidP="008F6983">
      <w:pPr>
        <w:pStyle w:val="Chartheading"/>
      </w:pPr>
      <w:r>
        <w:t>Chart </w:t>
      </w:r>
      <w:r w:rsidRPr="00C25FC2">
        <w:t>3.</w:t>
      </w:r>
      <w:r>
        <w:t>10</w:t>
      </w:r>
      <w:r w:rsidRPr="00C25FC2">
        <w:t xml:space="preserve">: </w:t>
      </w:r>
      <w:r>
        <w:tab/>
      </w:r>
      <w:r w:rsidRPr="00C25FC2">
        <w:t xml:space="preserve">Cumulative change in Victorian </w:t>
      </w:r>
      <w:r>
        <w:t>employment in selected occupations</w:t>
      </w:r>
      <w:r w:rsidRPr="00526C1A">
        <w:rPr>
          <w:vertAlign w:val="superscript"/>
        </w:rPr>
        <w:t>(a)</w:t>
      </w:r>
    </w:p>
    <w:p w:rsidR="00116054" w:rsidRDefault="00CC5D46" w:rsidP="008F6983">
      <w:pPr>
        <w:pStyle w:val="Chartpara"/>
        <w:rPr>
          <w:noProof/>
          <w:lang w:eastAsia="en-AU"/>
        </w:rPr>
      </w:pPr>
      <w:r>
        <w:rPr>
          <w:noProof/>
          <w:lang w:eastAsia="en-AU"/>
        </w:rPr>
        <w:pict>
          <v:shape id="_x0000_i1041" type="#_x0000_t75" style="width:386.35pt;height:274.55pt">
            <v:imagedata r:id="rId35" o:title=""/>
          </v:shape>
        </w:pict>
      </w:r>
    </w:p>
    <w:p w:rsidR="00116054" w:rsidRPr="00356124" w:rsidRDefault="00116054" w:rsidP="008F6983">
      <w:pPr>
        <w:pStyle w:val="Chartpara"/>
      </w:pPr>
      <w:r w:rsidRPr="00356124">
        <w:rPr>
          <w:rStyle w:val="SourceChar"/>
        </w:rPr>
        <w:t>Sources: Australian Bureau of Statistics; Department of Treasury and Finance</w:t>
      </w:r>
    </w:p>
    <w:p w:rsidR="00116054" w:rsidRDefault="00116054" w:rsidP="003E0619">
      <w:pPr>
        <w:pStyle w:val="Notes"/>
      </w:pPr>
    </w:p>
    <w:p w:rsidR="00116054" w:rsidRDefault="00116054" w:rsidP="003E0619">
      <w:pPr>
        <w:pStyle w:val="Notes"/>
      </w:pPr>
      <w:r>
        <w:t xml:space="preserve">Note: </w:t>
      </w:r>
    </w:p>
    <w:p w:rsidR="00116054" w:rsidRDefault="00116054" w:rsidP="003E0619">
      <w:pPr>
        <w:pStyle w:val="Notes"/>
      </w:pPr>
      <w:r>
        <w:t>(a)</w:t>
      </w:r>
      <w:r>
        <w:tab/>
        <w:t>Selected occupations refers to technicians, trade workers, machinery operators, drivers and labourers.</w:t>
      </w:r>
    </w:p>
    <w:p w:rsidR="00116054" w:rsidRDefault="00116054" w:rsidP="004A43E5"/>
    <w:p w:rsidR="00116054" w:rsidRDefault="00116054" w:rsidP="004A43E5">
      <w:bookmarkStart w:id="63" w:name="BP2LabourMkt2"/>
      <w:r>
        <w:t>Given the industries driving jobs growth are increasingly demanding higher skills, the Government is supporting Victoria’s youth through improvements to the education and training system. The Government is also addressing cyclical weakness in the labour market as an immediate priority, given the challenges posed by upcoming closures and associated retrenchments within the automotive manufacturing sector.</w:t>
      </w:r>
    </w:p>
    <w:p w:rsidR="00116054" w:rsidRDefault="00116054" w:rsidP="004A43E5">
      <w:pPr>
        <w:rPr>
          <w:b/>
          <w:u w:val="single"/>
        </w:rPr>
      </w:pPr>
    </w:p>
    <w:p w:rsidR="00116054" w:rsidRDefault="00116054">
      <w:pPr>
        <w:spacing w:after="0"/>
        <w:rPr>
          <w:rFonts w:ascii="Calibri" w:hAnsi="Calibri"/>
          <w:b/>
        </w:rPr>
      </w:pPr>
      <w:r>
        <w:rPr>
          <w:b/>
          <w:i/>
        </w:rPr>
        <w:br w:type="page"/>
      </w:r>
    </w:p>
    <w:p w:rsidR="00116054" w:rsidRPr="00CF7B81" w:rsidRDefault="00116054" w:rsidP="0088203F">
      <w:pPr>
        <w:shd w:val="pct10" w:color="auto" w:fill="auto"/>
        <w:tabs>
          <w:tab w:val="left" w:pos="900"/>
        </w:tabs>
        <w:rPr>
          <w:rFonts w:asciiTheme="minorHAnsi" w:hAnsiTheme="minorHAnsi" w:cstheme="minorHAnsi"/>
          <w:b/>
          <w:i/>
        </w:rPr>
      </w:pPr>
      <w:r w:rsidRPr="00CF7B81">
        <w:rPr>
          <w:rFonts w:asciiTheme="minorHAnsi" w:hAnsiTheme="minorHAnsi" w:cstheme="minorHAnsi"/>
          <w:b/>
        </w:rPr>
        <w:lastRenderedPageBreak/>
        <w:t>Box 3.1:</w:t>
      </w:r>
      <w:r>
        <w:rPr>
          <w:rFonts w:asciiTheme="minorHAnsi" w:hAnsiTheme="minorHAnsi" w:cstheme="minorHAnsi"/>
          <w:b/>
        </w:rPr>
        <w:tab/>
      </w:r>
      <w:r w:rsidRPr="00CF7B81">
        <w:rPr>
          <w:rFonts w:asciiTheme="minorHAnsi" w:hAnsiTheme="minorHAnsi" w:cstheme="minorHAnsi"/>
          <w:b/>
        </w:rPr>
        <w:t>The impact of automotive manufacturing sector closures</w:t>
      </w:r>
    </w:p>
    <w:p w:rsidR="00116054" w:rsidRPr="004C3470" w:rsidRDefault="00116054" w:rsidP="00CF7B81">
      <w:pPr>
        <w:shd w:val="pct10" w:color="auto" w:fill="auto"/>
        <w:rPr>
          <w:i/>
        </w:rPr>
      </w:pPr>
      <w:r w:rsidRPr="004C3470">
        <w:t xml:space="preserve">There were over 40 000 workers employed in the Victorian automotive manufacturing sector in 2006, representing more than half of the national automotive manufacturing workforce. By early 2015, Victorian jobs in automotive manufacturing had decreased by </w:t>
      </w:r>
      <w:r>
        <w:t>nearly</w:t>
      </w:r>
      <w:r w:rsidRPr="004C3470">
        <w:t xml:space="preserve"> 40</w:t>
      </w:r>
      <w:r>
        <w:t> per cent</w:t>
      </w:r>
      <w:r w:rsidRPr="004C3470">
        <w:t xml:space="preserve"> to approximately 25 000 persons, representing around 0.8</w:t>
      </w:r>
      <w:r>
        <w:t> per cent</w:t>
      </w:r>
      <w:r w:rsidRPr="004C3470">
        <w:t xml:space="preserve"> of total employment in the State. </w:t>
      </w:r>
    </w:p>
    <w:p w:rsidR="00116054" w:rsidRPr="004C3470" w:rsidRDefault="00116054" w:rsidP="00CF7B81">
      <w:pPr>
        <w:shd w:val="pct10" w:color="auto" w:fill="auto"/>
        <w:rPr>
          <w:i/>
        </w:rPr>
      </w:pPr>
      <w:r w:rsidRPr="004C3470">
        <w:t>The job losses resulting from the closures of the manufacturing plants of Ford, Holden and Toyota between now and 2017 will</w:t>
      </w:r>
      <w:r>
        <w:t xml:space="preserve"> be significant, and</w:t>
      </w:r>
      <w:r w:rsidRPr="004C3470">
        <w:t xml:space="preserve"> have an impact concentrated in the local labour markets in which the manufacturers and their suppliers operate. </w:t>
      </w:r>
    </w:p>
    <w:p w:rsidR="00116054" w:rsidRDefault="00116054" w:rsidP="00CF7B81">
      <w:pPr>
        <w:shd w:val="pct10" w:color="auto" w:fill="auto"/>
        <w:rPr>
          <w:i/>
        </w:rPr>
      </w:pPr>
      <w:r>
        <w:t>However, t</w:t>
      </w:r>
      <w:r w:rsidRPr="004C3470">
        <w:t xml:space="preserve">he skills and capabilities of </w:t>
      </w:r>
      <w:r>
        <w:t>many</w:t>
      </w:r>
      <w:r w:rsidRPr="004C3470">
        <w:t xml:space="preserve"> workers affected by the closures may be transferable to other sectors (e.g. fabrication engineering trades workers, construction, distribution and production managers,</w:t>
      </w:r>
      <w:r>
        <w:t xml:space="preserve"> and engineering professionals).</w:t>
      </w:r>
    </w:p>
    <w:p w:rsidR="00116054" w:rsidRPr="004C3470" w:rsidRDefault="00116054" w:rsidP="00CF7B81">
      <w:pPr>
        <w:shd w:val="pct10" w:color="auto" w:fill="auto"/>
        <w:rPr>
          <w:i/>
        </w:rPr>
      </w:pPr>
      <w:bookmarkStart w:id="64" w:name="BP2Ch3Jobs4"/>
      <w:r w:rsidRPr="004C3470">
        <w:t>The 2014 Commonwealth Review of the Victorian and South Australian economies reported that 25</w:t>
      </w:r>
      <w:r>
        <w:t> per cent</w:t>
      </w:r>
      <w:r w:rsidRPr="004C3470">
        <w:t xml:space="preserve"> of </w:t>
      </w:r>
      <w:r>
        <w:t>workers</w:t>
      </w:r>
      <w:r w:rsidRPr="004C3470">
        <w:t xml:space="preserve"> who left the automotive manufacturing industry between 2006 and 2011 moved to jobs in the transport, postal and warehousing, retail trade or wholesale trade industries. Approximately 8</w:t>
      </w:r>
      <w:r>
        <w:t> per cent</w:t>
      </w:r>
      <w:r w:rsidRPr="004C3470">
        <w:t xml:space="preserve"> of </w:t>
      </w:r>
      <w:r>
        <w:t>male workers</w:t>
      </w:r>
      <w:r w:rsidRPr="004C3470">
        <w:t xml:space="preserve"> who exited the automotive manufacturing sector moved into the construction industry.</w:t>
      </w:r>
    </w:p>
    <w:p w:rsidR="00116054" w:rsidRPr="006F7F5F" w:rsidRDefault="00116054" w:rsidP="00CF7B81">
      <w:pPr>
        <w:shd w:val="pct10" w:color="auto" w:fill="auto"/>
        <w:rPr>
          <w:i/>
        </w:rPr>
      </w:pPr>
      <w:r w:rsidRPr="004C3470">
        <w:t>These sectors will be critical in providing alternative jobs for those affected workers, along with the six growth industries identified by the Government. The Government</w:t>
      </w:r>
      <w:r>
        <w:t>’</w:t>
      </w:r>
      <w:r w:rsidRPr="004C3470">
        <w:t>s</w:t>
      </w:r>
      <w:r>
        <w:t xml:space="preserve"> upcoming plan for automotive industry transition, </w:t>
      </w:r>
      <w:r w:rsidRPr="004C3470">
        <w:t xml:space="preserve">Back to Work Plan and </w:t>
      </w:r>
      <w:r>
        <w:t>up to $22 billion total estimated investment (TEI) in new asset initiatives,</w:t>
      </w:r>
      <w:r w:rsidRPr="004C3470">
        <w:t xml:space="preserve"> will support jobs growth in the industries best placed to accommodate the workers expected to be displaced between now and 2017</w:t>
      </w:r>
      <w:r w:rsidRPr="007554D3">
        <w:t>.</w:t>
      </w:r>
      <w:r w:rsidRPr="007554D3">
        <w:fldChar w:fldCharType="begin"/>
      </w:r>
      <w:r w:rsidRPr="007554D3">
        <w:instrText xml:space="preserve"> XE "</w:instrText>
      </w:r>
      <w:proofErr w:type="spellStart"/>
      <w:r w:rsidRPr="007554D3">
        <w:rPr>
          <w:lang w:val="en-US"/>
        </w:rPr>
        <w:instrText>Employment:Industry</w:instrText>
      </w:r>
      <w:proofErr w:type="spellEnd"/>
      <w:r w:rsidRPr="007554D3">
        <w:instrText xml:space="preserve">" \r "BP2Ch3IndEmpl" </w:instrText>
      </w:r>
      <w:r w:rsidRPr="007554D3">
        <w:fldChar w:fldCharType="end"/>
      </w:r>
      <w:r w:rsidRPr="007554D3">
        <w:fldChar w:fldCharType="begin"/>
      </w:r>
      <w:r w:rsidRPr="007554D3">
        <w:instrText xml:space="preserve"> XE "</w:instrText>
      </w:r>
      <w:r w:rsidRPr="007554D3">
        <w:rPr>
          <w:lang w:val="en-US"/>
        </w:rPr>
        <w:instrText>Skills</w:instrText>
      </w:r>
      <w:r w:rsidRPr="007554D3">
        <w:instrText xml:space="preserve">" \r "BP2Ch3Skills" </w:instrText>
      </w:r>
      <w:r w:rsidRPr="007554D3">
        <w:fldChar w:fldCharType="end"/>
      </w:r>
      <w:r w:rsidRPr="007554D3">
        <w:fldChar w:fldCharType="begin"/>
      </w:r>
      <w:r w:rsidRPr="007554D3">
        <w:instrText xml:space="preserve"> XE "</w:instrText>
      </w:r>
      <w:proofErr w:type="spellStart"/>
      <w:r w:rsidRPr="007554D3">
        <w:rPr>
          <w:lang w:val="en-US"/>
        </w:rPr>
        <w:instrText>Jobs:Growth</w:instrText>
      </w:r>
      <w:proofErr w:type="spellEnd"/>
      <w:r w:rsidRPr="007554D3">
        <w:instrText xml:space="preserve">" \r "BP2Ch3JobsGrowth" </w:instrText>
      </w:r>
      <w:r w:rsidRPr="007554D3">
        <w:fldChar w:fldCharType="end"/>
      </w:r>
    </w:p>
    <w:p w:rsidR="00116054" w:rsidRDefault="00116054" w:rsidP="00CF7B81">
      <w:pPr>
        <w:pStyle w:val="Heading1"/>
        <w:spacing w:before="240"/>
      </w:pPr>
      <w:bookmarkStart w:id="65" w:name="_Toc418255144"/>
      <w:bookmarkEnd w:id="60"/>
      <w:bookmarkEnd w:id="61"/>
      <w:bookmarkEnd w:id="62"/>
      <w:r>
        <w:t xml:space="preserve">The Government’s plan to drive jobs growth </w:t>
      </w:r>
      <w:r w:rsidRPr="00F0495D">
        <w:t>by investing in quality education, skills and infrastructure</w:t>
      </w:r>
      <w:bookmarkEnd w:id="65"/>
    </w:p>
    <w:p w:rsidR="00116054" w:rsidRPr="005A335B" w:rsidRDefault="00116054" w:rsidP="00CF7B81">
      <w:pPr>
        <w:spacing w:after="100"/>
      </w:pPr>
      <w:r>
        <w:t>Given the state of the labour market, the Government is taking a series of actions that are</w:t>
      </w:r>
      <w:r w:rsidRPr="005A335B">
        <w:t xml:space="preserve"> geared towards lifting overall economic activity to support job creation by boosting confidence, encouraging new business formation, undertaking regulatory reform and improving linkages between people and jobs.</w:t>
      </w:r>
    </w:p>
    <w:p w:rsidR="00116054" w:rsidRPr="005A335B" w:rsidRDefault="00116054" w:rsidP="00CF7B81">
      <w:pPr>
        <w:spacing w:after="100"/>
      </w:pPr>
      <w:r w:rsidRPr="005A335B">
        <w:t xml:space="preserve">There is also an increasing need to focus on </w:t>
      </w:r>
      <w:r>
        <w:t>young people</w:t>
      </w:r>
      <w:r w:rsidRPr="005A335B">
        <w:t xml:space="preserve"> who are either disengaged or at risk of becoming disengaged from both the education system and the labour market. </w:t>
      </w:r>
    </w:p>
    <w:p w:rsidR="00116054" w:rsidRDefault="00116054" w:rsidP="00CF7B81">
      <w:pPr>
        <w:spacing w:after="100"/>
      </w:pPr>
      <w:r w:rsidRPr="005A335B">
        <w:t>Finally, the growing demand for skills highlights the importance of quality outcomes from the education and training system. This is also relevant with respect to those workers vulnerable to the adjustment pressures associated with structural change</w:t>
      </w:r>
      <w:r>
        <w:fldChar w:fldCharType="begin"/>
      </w:r>
      <w:r>
        <w:instrText xml:space="preserve"> XE "</w:instrText>
      </w:r>
      <w:r w:rsidRPr="00855B8E">
        <w:instrText>Structural change</w:instrText>
      </w:r>
      <w:r>
        <w:instrText xml:space="preserve">" </w:instrText>
      </w:r>
      <w:r>
        <w:fldChar w:fldCharType="end"/>
      </w:r>
      <w:r w:rsidRPr="005A335B">
        <w:t>.</w:t>
      </w:r>
      <w:r>
        <w:t xml:space="preserve"> These challenges require a comprehensive policy response.</w:t>
      </w:r>
    </w:p>
    <w:p w:rsidR="00116054" w:rsidRDefault="00116054" w:rsidP="00CF7B81">
      <w:pPr>
        <w:spacing w:after="100"/>
      </w:pPr>
      <w:r>
        <w:t xml:space="preserve">Accordingly, the </w:t>
      </w:r>
      <w:r>
        <w:rPr>
          <w:i/>
        </w:rPr>
        <w:t>2015</w:t>
      </w:r>
      <w:r>
        <w:rPr>
          <w:i/>
        </w:rPr>
        <w:noBreakHyphen/>
        <w:t>16 Budget</w:t>
      </w:r>
      <w:r>
        <w:t xml:space="preserve"> is focused on creating jobs, and investing in education and skills to provide employment opportunities for all Victorians. This includes vulnerable groups such as young people at risk of not successfully transitioning from the education system to the workforce as quality skills become increasingly important.</w:t>
      </w:r>
    </w:p>
    <w:p w:rsidR="00116054" w:rsidRDefault="00116054" w:rsidP="00CF7B81">
      <w:pPr>
        <w:spacing w:after="0"/>
      </w:pPr>
      <w:r>
        <w:lastRenderedPageBreak/>
        <w:t>Coupled with the Government’s investment in education and skills is a significant major projects agenda to create local jobs. These measures will help create 100 000 jobs and stimulate economic growth</w:t>
      </w:r>
      <w:r>
        <w:fldChar w:fldCharType="begin"/>
      </w:r>
      <w:r>
        <w:instrText xml:space="preserve"> XE "</w:instrText>
      </w:r>
      <w:r w:rsidRPr="00F548A2">
        <w:instrText xml:space="preserve">Economic </w:instrText>
      </w:r>
      <w:proofErr w:type="spellStart"/>
      <w:r w:rsidRPr="00F548A2">
        <w:instrText>growth:Victoria</w:instrText>
      </w:r>
      <w:proofErr w:type="spellEnd"/>
      <w:r>
        <w:instrText xml:space="preserve">" </w:instrText>
      </w:r>
      <w:r>
        <w:fldChar w:fldCharType="end"/>
      </w:r>
      <w:r>
        <w:t xml:space="preserve"> across the State.</w:t>
      </w:r>
    </w:p>
    <w:p w:rsidR="00116054" w:rsidRDefault="00116054" w:rsidP="00250140">
      <w:pPr>
        <w:pStyle w:val="Heading2"/>
      </w:pPr>
      <w:r>
        <w:t>A comprehensive jobs package</w:t>
      </w:r>
    </w:p>
    <w:p w:rsidR="00116054" w:rsidRDefault="00116054" w:rsidP="0016648B">
      <w:r>
        <w:t xml:space="preserve">The Government has committed $100 million over two years to deliver the </w:t>
      </w:r>
      <w:r w:rsidRPr="009A1798">
        <w:t>Back to Work Scheme</w:t>
      </w:r>
      <w:r>
        <w:t>, which will provide financial assistance to businesses hiring those at risk of extended periods of unemployment, including young people and retrenched workers. This will provide support to those most affected by the recent cyclical labour market downturn.</w:t>
      </w:r>
    </w:p>
    <w:p w:rsidR="00116054" w:rsidRDefault="00116054" w:rsidP="0023478F">
      <w:r>
        <w:t xml:space="preserve">The Government has also identified six growth industries (medical technology and pharmaceuticals, new energy technology, food and fibre, transport, defence and construction technology, international education and professional services) based on the shift in employment patterns across industries towards higher skilled occupations. </w:t>
      </w:r>
    </w:p>
    <w:p w:rsidR="00116054" w:rsidRDefault="00116054" w:rsidP="0023478F">
      <w:r>
        <w:t xml:space="preserve">As part of the </w:t>
      </w:r>
      <w:r w:rsidRPr="009A1798">
        <w:t>Back To Work Plan</w:t>
      </w:r>
      <w:r>
        <w:t>, the Future Industries Fund will provide $200 million over four years in targeted support to develop these key industries. Additionally, the Premier’s Jobs and Investment Panel – an independent body of senior business and industry leaders – will provide direct advice to the Premier on the allocation of $508 million over five years for jobs and investment, and the $200 million Regional Jobs Fund will support job</w:t>
      </w:r>
      <w:r>
        <w:noBreakHyphen/>
        <w:t>creating projects in Regional Victoria.</w:t>
      </w:r>
    </w:p>
    <w:p w:rsidR="00116054" w:rsidRDefault="00116054" w:rsidP="00250140">
      <w:pPr>
        <w:pStyle w:val="Heading2"/>
      </w:pPr>
      <w:r w:rsidRPr="005E10CA">
        <w:t>Access to finance</w:t>
      </w:r>
      <w:r>
        <w:t xml:space="preserve"> to drive innovation in new industries</w:t>
      </w:r>
    </w:p>
    <w:p w:rsidR="00116054" w:rsidRDefault="00116054" w:rsidP="009367C5">
      <w:r w:rsidRPr="0085056E">
        <w:t>The Government will establish a body to support the development and delivery of innovative ideas in Victoria.</w:t>
      </w:r>
      <w:r>
        <w:t xml:space="preserve"> The </w:t>
      </w:r>
      <w:r w:rsidRPr="0085056E">
        <w:t>‘start</w:t>
      </w:r>
      <w:r>
        <w:noBreakHyphen/>
      </w:r>
      <w:r w:rsidRPr="0085056E">
        <w:t>up’ initiative</w:t>
      </w:r>
      <w:r>
        <w:t xml:space="preserve"> </w:t>
      </w:r>
      <w:r w:rsidRPr="0085056E">
        <w:t>will help innovative businesses develop business cases, deal with Government, get IP advice, manage finances and attract investment.</w:t>
      </w:r>
    </w:p>
    <w:p w:rsidR="00116054" w:rsidRDefault="00116054" w:rsidP="00250140">
      <w:pPr>
        <w:pStyle w:val="Heading2"/>
      </w:pPr>
      <w:r>
        <w:t>Education and training</w:t>
      </w:r>
    </w:p>
    <w:p w:rsidR="00116054" w:rsidRDefault="00116054" w:rsidP="0023478F">
      <w:r>
        <w:t>The Government is preparing Victoria’s workforce for an increasingly knowledge</w:t>
      </w:r>
      <w:r>
        <w:noBreakHyphen/>
        <w:t>based economy. Recognising that</w:t>
      </w:r>
      <w:r w:rsidRPr="00A04880">
        <w:t xml:space="preserve"> the industry drivers of employment growth</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rsidRPr="00A04880">
        <w:t xml:space="preserve"> are increasingly those with highly skilled workforces</w:t>
      </w:r>
      <w:r>
        <w:t>, the Government is:</w:t>
      </w:r>
    </w:p>
    <w:p w:rsidR="00116054" w:rsidRDefault="00116054" w:rsidP="0023478F">
      <w:pPr>
        <w:pStyle w:val="BulletText"/>
      </w:pPr>
      <w:r>
        <w:t>investing significantly in education and skills, including a focus on reskilling workers;</w:t>
      </w:r>
    </w:p>
    <w:p w:rsidR="00116054" w:rsidRDefault="00116054" w:rsidP="0023478F">
      <w:pPr>
        <w:pStyle w:val="BulletText"/>
      </w:pPr>
      <w:r>
        <w:t xml:space="preserve">providing $300 million to complete the $320 million </w:t>
      </w:r>
      <w:r w:rsidRPr="009E6060">
        <w:t>TAFE Rescue Fund</w:t>
      </w:r>
      <w:r>
        <w:t>, helping campuses across the state reopen closed buildings, upgrade workshops and classrooms and become more financially sustainable;</w:t>
      </w:r>
    </w:p>
    <w:p w:rsidR="00116054" w:rsidRDefault="00116054" w:rsidP="0023478F">
      <w:pPr>
        <w:pStyle w:val="BulletText"/>
      </w:pPr>
      <w:r>
        <w:t>providing young people and displaced workers with opportunities to develop the skills they need to get a job in the industries that will drive Victoria’s future prosperity; and</w:t>
      </w:r>
    </w:p>
    <w:p w:rsidR="00116054" w:rsidRDefault="00116054" w:rsidP="0044121E">
      <w:pPr>
        <w:pStyle w:val="BulletText"/>
      </w:pPr>
      <w:r>
        <w:t>delivering community service obligations and enhancing the regulation of training</w:t>
      </w:r>
      <w:r>
        <w:fldChar w:fldCharType="begin"/>
      </w:r>
      <w:r>
        <w:instrText xml:space="preserve"> XE "</w:instrText>
      </w:r>
      <w:r w:rsidRPr="004474AF">
        <w:instrText>Training</w:instrText>
      </w:r>
      <w:r>
        <w:instrText xml:space="preserve">" </w:instrText>
      </w:r>
      <w:r>
        <w:fldChar w:fldCharType="end"/>
      </w:r>
      <w:r>
        <w:t xml:space="preserve"> providers.</w:t>
      </w:r>
    </w:p>
    <w:p w:rsidR="00116054" w:rsidRDefault="00116054">
      <w:pPr>
        <w:spacing w:after="0"/>
        <w:rPr>
          <w:rFonts w:ascii="Calibri" w:hAnsi="Calibri"/>
          <w:b/>
          <w:sz w:val="26"/>
          <w:szCs w:val="22"/>
        </w:rPr>
      </w:pPr>
      <w:r>
        <w:br w:type="page"/>
      </w:r>
    </w:p>
    <w:p w:rsidR="00116054" w:rsidRDefault="00116054" w:rsidP="00250140">
      <w:pPr>
        <w:pStyle w:val="Heading2"/>
      </w:pPr>
      <w:r w:rsidRPr="005E10CA">
        <w:lastRenderedPageBreak/>
        <w:t>Regulatory reform</w:t>
      </w:r>
    </w:p>
    <w:p w:rsidR="00116054" w:rsidRDefault="00116054" w:rsidP="00D6074D">
      <w:r w:rsidRPr="005E10CA">
        <w:t>Victoria relies on a strong and competitive business sector to sustain a high level of employment and economic growth</w:t>
      </w:r>
      <w:r>
        <w:fldChar w:fldCharType="begin"/>
      </w:r>
      <w:r>
        <w:instrText xml:space="preserve"> XE "</w:instrText>
      </w:r>
      <w:r w:rsidRPr="00AE3DF6">
        <w:instrText>Economic growth:</w:instrText>
      </w:r>
      <w:r w:rsidRPr="00AE3DF6">
        <w:rPr>
          <w:lang w:val="en-US"/>
        </w:rPr>
        <w:instrText>Victoria</w:instrText>
      </w:r>
      <w:r>
        <w:instrText xml:space="preserve">" </w:instrText>
      </w:r>
      <w:r>
        <w:fldChar w:fldCharType="end"/>
      </w:r>
      <w:r w:rsidRPr="005E10CA">
        <w:t>.</w:t>
      </w:r>
      <w:r>
        <w:t xml:space="preserve"> </w:t>
      </w:r>
    </w:p>
    <w:p w:rsidR="00116054" w:rsidRDefault="00116054" w:rsidP="00D6074D">
      <w:r w:rsidRPr="005E10CA">
        <w:t xml:space="preserve">The Government </w:t>
      </w:r>
      <w:r>
        <w:t xml:space="preserve">will strengthen the business environment </w:t>
      </w:r>
      <w:r w:rsidRPr="005E10CA">
        <w:t>by keeping taxes and other charges as low as possible and by minimising the burden of regulation.</w:t>
      </w:r>
    </w:p>
    <w:p w:rsidR="00116054" w:rsidRDefault="00116054" w:rsidP="00250140">
      <w:pPr>
        <w:pStyle w:val="Heading2"/>
      </w:pPr>
      <w:r>
        <w:t>Infrastructure investment</w:t>
      </w:r>
    </w:p>
    <w:p w:rsidR="00116054" w:rsidRDefault="00116054" w:rsidP="0023478F">
      <w:r>
        <w:fldChar w:fldCharType="begin"/>
      </w:r>
      <w:r>
        <w:instrText xml:space="preserve"> XE "</w:instrText>
      </w:r>
      <w:r w:rsidRPr="000D11FA">
        <w:instrText>Infrastructure investment</w:instrText>
      </w:r>
      <w:r>
        <w:instrText xml:space="preserve">" </w:instrText>
      </w:r>
      <w:r>
        <w:fldChar w:fldCharType="end"/>
      </w:r>
      <w:r>
        <w:t xml:space="preserve">Investment in infrastructure is an important stimulant for the economy, supporting direct jobs created through construction and indirect jobs in the construction supply chain (including manufacturing, transport and logistics and professional services). </w:t>
      </w:r>
    </w:p>
    <w:p w:rsidR="00116054" w:rsidRDefault="00116054" w:rsidP="0023478F">
      <w:r>
        <w:t>Infrastructure investment also enhances productivity</w:t>
      </w:r>
      <w:r>
        <w:fldChar w:fldCharType="begin"/>
      </w:r>
      <w:r>
        <w:instrText xml:space="preserve"> XE "</w:instrText>
      </w:r>
      <w:r w:rsidRPr="008B27FA">
        <w:instrText>Productivity</w:instrText>
      </w:r>
      <w:r>
        <w:instrText xml:space="preserve">" </w:instrText>
      </w:r>
      <w:r>
        <w:fldChar w:fldCharType="end"/>
      </w:r>
      <w:r>
        <w:t>, thereby increasing the long</w:t>
      </w:r>
      <w:r>
        <w:noBreakHyphen/>
        <w:t>term growth potential of the Victorian economy and labour market. The provision of appropriate and economically justifiable transport infrastructure is also critical to improving the linkages between people and jobs across the State.</w:t>
      </w:r>
      <w:r>
        <w:fldChar w:fldCharType="begin"/>
      </w:r>
      <w:r>
        <w:instrText xml:space="preserve"> XE "</w:instrText>
      </w:r>
      <w:proofErr w:type="spellStart"/>
      <w:r w:rsidRPr="00902F6D">
        <w:rPr>
          <w:lang w:val="en-US"/>
        </w:rPr>
        <w:instrText>Labour</w:instrText>
      </w:r>
      <w:proofErr w:type="spellEnd"/>
      <w:r w:rsidRPr="00902F6D">
        <w:rPr>
          <w:lang w:val="en-US"/>
        </w:rPr>
        <w:instrText xml:space="preserve"> market</w:instrText>
      </w:r>
      <w:r>
        <w:instrText xml:space="preserve">" \r "BP2LabourMkt2" </w:instrText>
      </w:r>
      <w:r>
        <w:fldChar w:fldCharType="end"/>
      </w:r>
    </w:p>
    <w:bookmarkEnd w:id="63"/>
    <w:p w:rsidR="00116054" w:rsidRDefault="00116054" w:rsidP="0023478F">
      <w:r>
        <w:t>The Government has committed to fund major projects in a way that is responsible and sustainable. To support this, the Government will establish:</w:t>
      </w:r>
    </w:p>
    <w:p w:rsidR="00116054" w:rsidRDefault="00116054" w:rsidP="00494825">
      <w:pPr>
        <w:pStyle w:val="BulletText"/>
      </w:pPr>
      <w:r>
        <w:t>Infrastructure Victoria</w:t>
      </w:r>
      <w:r>
        <w:fldChar w:fldCharType="begin"/>
      </w:r>
      <w:r>
        <w:instrText xml:space="preserve"> XE "</w:instrText>
      </w:r>
      <w:r w:rsidRPr="009E1A2C">
        <w:instrText>Infrastructure Victoria</w:instrText>
      </w:r>
      <w:r>
        <w:instrText xml:space="preserve">" </w:instrText>
      </w:r>
      <w:r>
        <w:fldChar w:fldCharType="end"/>
      </w:r>
      <w:r>
        <w:t>, an independent body to advise on long</w:t>
      </w:r>
      <w:r>
        <w:noBreakHyphen/>
        <w:t>term priorities; and</w:t>
      </w:r>
    </w:p>
    <w:p w:rsidR="00116054" w:rsidRDefault="00116054" w:rsidP="00494825">
      <w:pPr>
        <w:pStyle w:val="BulletText"/>
      </w:pPr>
      <w:r>
        <w:t>Projects Victoria, to further ensure that infrastructure projects are well planned and efficiently delivered.</w:t>
      </w:r>
    </w:p>
    <w:p w:rsidR="00116054" w:rsidRDefault="00116054" w:rsidP="0023478F">
      <w:r>
        <w:t>The Government is acting now to support investments in projects that will build economic capacity, and create the jobs needed to keep Victoria growing, including:</w:t>
      </w:r>
    </w:p>
    <w:p w:rsidR="00116054" w:rsidRDefault="00116054" w:rsidP="00E11A5A">
      <w:pPr>
        <w:pStyle w:val="BulletText"/>
      </w:pPr>
      <w:r>
        <w:t xml:space="preserve">the removal of </w:t>
      </w:r>
      <w:r w:rsidRPr="00CC5B9B">
        <w:t>50 of the most dangerous and congested level crossings in metropolitan Melbourne over the next eight years</w:t>
      </w:r>
      <w:r>
        <w:t>;</w:t>
      </w:r>
    </w:p>
    <w:p w:rsidR="00116054" w:rsidRDefault="00116054" w:rsidP="00EC746A">
      <w:pPr>
        <w:pStyle w:val="BulletText"/>
      </w:pPr>
      <w:r w:rsidRPr="00CC5B9B">
        <w:t xml:space="preserve">priority road </w:t>
      </w:r>
      <w:r>
        <w:t>initiatives</w:t>
      </w:r>
      <w:r w:rsidRPr="00CC5B9B">
        <w:t xml:space="preserve"> such as</w:t>
      </w:r>
      <w:r>
        <w:t xml:space="preserve"> the</w:t>
      </w:r>
      <w:r w:rsidRPr="005F722E">
        <w:t xml:space="preserve"> </w:t>
      </w:r>
      <w:r w:rsidRPr="00CC5B9B">
        <w:t>West Gate Distributor</w:t>
      </w:r>
      <w:r>
        <w:t xml:space="preserve"> project and </w:t>
      </w:r>
      <w:r w:rsidRPr="00CC5B9B">
        <w:t>Chandler Highway</w:t>
      </w:r>
      <w:r>
        <w:t xml:space="preserve"> Bridge duplication. Over the next eight years, the Government has guaranteed a total of $1 billion for the repair and upgrade of roads in outer suburban areas, and $1 billion for the repair and upgrade of roads and level crossings in regional areas; and</w:t>
      </w:r>
    </w:p>
    <w:p w:rsidR="00116054" w:rsidRDefault="00116054" w:rsidP="009367C5">
      <w:pPr>
        <w:pStyle w:val="BulletText"/>
      </w:pPr>
      <w:r>
        <w:t>the Melbourne Metro Rail Project</w:t>
      </w:r>
      <w:r>
        <w:fldChar w:fldCharType="begin"/>
      </w:r>
      <w:r>
        <w:instrText xml:space="preserve"> XE "</w:instrText>
      </w:r>
      <w:r w:rsidRPr="00962399">
        <w:instrText>Melbourne Metro Rail Project</w:instrText>
      </w:r>
      <w:r>
        <w:instrText xml:space="preserve">" </w:instrText>
      </w:r>
      <w:r>
        <w:fldChar w:fldCharType="end"/>
      </w:r>
      <w:r>
        <w:t xml:space="preserve">, which </w:t>
      </w:r>
      <w:r w:rsidRPr="00EC746A">
        <w:t>will increase the capacity</w:t>
      </w:r>
      <w:r>
        <w:t>,</w:t>
      </w:r>
      <w:r w:rsidRPr="00EC746A">
        <w:t xml:space="preserve"> reliability</w:t>
      </w:r>
      <w:r>
        <w:t xml:space="preserve"> and efficiency of Melbourne’s busiest train lines, allowing</w:t>
      </w:r>
      <w:r>
        <w:fldChar w:fldCharType="begin"/>
      </w:r>
      <w:r>
        <w:instrText xml:space="preserve"> XE "</w:instrText>
      </w:r>
      <w:r w:rsidRPr="00EB7605">
        <w:instrText>Public transport</w:instrText>
      </w:r>
      <w:r>
        <w:instrText xml:space="preserve">" </w:instrText>
      </w:r>
      <w:r>
        <w:fldChar w:fldCharType="end"/>
      </w:r>
      <w:r w:rsidRPr="00EC746A">
        <w:t xml:space="preserve"> more people to get to jobs, education and other services more easily.</w:t>
      </w:r>
      <w:r>
        <w:fldChar w:fldCharType="begin"/>
      </w:r>
      <w:r>
        <w:instrText xml:space="preserve"> XE "</w:instrText>
      </w:r>
      <w:r w:rsidRPr="00183D25">
        <w:rPr>
          <w:lang w:val="en-US"/>
        </w:rPr>
        <w:instrText>Jobs</w:instrText>
      </w:r>
      <w:r>
        <w:instrText xml:space="preserve">" \r "BP2Ch3Jobs4" </w:instrText>
      </w:r>
      <w:r>
        <w:fldChar w:fldCharType="end"/>
      </w:r>
    </w:p>
    <w:bookmarkEnd w:id="64"/>
    <w:p w:rsidR="00116054" w:rsidRDefault="00116054">
      <w:pPr>
        <w:spacing w:after="0"/>
      </w:pPr>
      <w:r>
        <w:br w:type="page"/>
      </w:r>
    </w:p>
    <w:p w:rsidR="00116054" w:rsidRDefault="00116054" w:rsidP="004A5C9F"/>
    <w:p w:rsidR="00116054" w:rsidRDefault="00116054" w:rsidP="004A5C9F"/>
    <w:p w:rsidR="00116054" w:rsidRDefault="00116054" w:rsidP="000542A7"/>
    <w:p w:rsidR="00116054" w:rsidRDefault="00116054" w:rsidP="00EC4C51">
      <w:pPr>
        <w:sectPr w:rsidR="00116054" w:rsidSect="006E2CEC">
          <w:footerReference w:type="even" r:id="rId36"/>
          <w:footerReference w:type="default" r:id="rId37"/>
          <w:type w:val="oddPage"/>
          <w:pgSz w:w="9979" w:h="14181" w:code="138"/>
          <w:pgMar w:top="1138" w:right="1138" w:bottom="1138" w:left="1138" w:header="720" w:footer="432" w:gutter="0"/>
          <w:cols w:space="708"/>
          <w:docGrid w:linePitch="360"/>
        </w:sectPr>
      </w:pPr>
    </w:p>
    <w:p w:rsidR="00116054" w:rsidRPr="007E4E2E" w:rsidRDefault="00116054" w:rsidP="00765E46">
      <w:pPr>
        <w:pStyle w:val="ChapterHeading"/>
      </w:pPr>
      <w:bookmarkStart w:id="66" w:name="_Toc418081695"/>
      <w:bookmarkStart w:id="67" w:name="_Toc418255145"/>
      <w:r>
        <w:lastRenderedPageBreak/>
        <w:t>Chapter </w:t>
      </w:r>
      <w:r w:rsidRPr="007E4E2E">
        <w:t xml:space="preserve">4 – Budget </w:t>
      </w:r>
      <w:r w:rsidRPr="006565A2">
        <w:t>position and outlook</w:t>
      </w:r>
      <w:bookmarkEnd w:id="66"/>
      <w:bookmarkEnd w:id="67"/>
    </w:p>
    <w:p w:rsidR="00116054" w:rsidRPr="007E4E2E" w:rsidRDefault="00116054" w:rsidP="00B478DE">
      <w:pPr>
        <w:pStyle w:val="HighlightBoxBullet"/>
      </w:pPr>
      <w:bookmarkStart w:id="68" w:name="_Toc406162087"/>
      <w:bookmarkStart w:id="69" w:name="_Toc406670370"/>
      <w:r w:rsidRPr="007E4E2E">
        <w:t xml:space="preserve">The </w:t>
      </w:r>
      <w:r w:rsidRPr="007E4E2E">
        <w:rPr>
          <w:i/>
        </w:rPr>
        <w:t>2015</w:t>
      </w:r>
      <w:r>
        <w:rPr>
          <w:i/>
        </w:rPr>
        <w:noBreakHyphen/>
      </w:r>
      <w:r w:rsidRPr="007E4E2E">
        <w:rPr>
          <w:i/>
        </w:rPr>
        <w:t>16 Budget</w:t>
      </w:r>
      <w:r w:rsidRPr="007E4E2E">
        <w:t xml:space="preserve"> delivers</w:t>
      </w:r>
      <w:r>
        <w:t xml:space="preserve"> on</w:t>
      </w:r>
      <w:r w:rsidRPr="007E4E2E">
        <w:t xml:space="preserve"> the </w:t>
      </w:r>
      <w:r>
        <w:t xml:space="preserve">Government’s </w:t>
      </w:r>
      <w:r w:rsidRPr="007E4E2E">
        <w:t>ele</w:t>
      </w:r>
      <w:r>
        <w:t>ction commitments which include</w:t>
      </w:r>
      <w:r w:rsidRPr="007E4E2E">
        <w:t xml:space="preserve"> $</w:t>
      </w:r>
      <w:r>
        <w:t>9.2 billion</w:t>
      </w:r>
      <w:r w:rsidRPr="007E4E2E">
        <w:t xml:space="preserve"> in new output initiatives and </w:t>
      </w:r>
      <w:r>
        <w:t>up to $22 billion</w:t>
      </w:r>
      <w:r w:rsidRPr="007E4E2E">
        <w:t xml:space="preserve"> </w:t>
      </w:r>
      <w:r>
        <w:t xml:space="preserve">total estimated investment (TEI) </w:t>
      </w:r>
      <w:r w:rsidRPr="007E4E2E">
        <w:t xml:space="preserve">in new asset </w:t>
      </w:r>
      <w:r w:rsidRPr="00B478DE">
        <w:t>initiatives</w:t>
      </w:r>
      <w:r>
        <w:t>.</w:t>
      </w:r>
    </w:p>
    <w:p w:rsidR="00116054" w:rsidRPr="007E4E2E" w:rsidRDefault="00116054" w:rsidP="00A672E7">
      <w:pPr>
        <w:pStyle w:val="HighlightBoxBullet"/>
      </w:pPr>
      <w:r w:rsidRPr="007E4E2E">
        <w:t>The general government sector operati</w:t>
      </w:r>
      <w:r>
        <w:t>ng surplus</w:t>
      </w:r>
      <w:r>
        <w:fldChar w:fldCharType="begin"/>
      </w:r>
      <w:r>
        <w:instrText xml:space="preserve"> XE "</w:instrText>
      </w:r>
      <w:r w:rsidRPr="00907264">
        <w:instrText>Operating surplus</w:instrText>
      </w:r>
      <w:r>
        <w:instrText xml:space="preserve">" </w:instrText>
      </w:r>
      <w:r>
        <w:fldChar w:fldCharType="end"/>
      </w:r>
      <w:r>
        <w:t xml:space="preserve"> is estimated to be $1.2 billion in 2015</w:t>
      </w:r>
      <w:r>
        <w:noBreakHyphen/>
        <w:t>16, growing to</w:t>
      </w:r>
      <w:r w:rsidRPr="007E4E2E">
        <w:t xml:space="preserve"> $</w:t>
      </w:r>
      <w:r>
        <w:t>1.8 billion</w:t>
      </w:r>
      <w:r w:rsidRPr="007E4E2E">
        <w:t xml:space="preserve"> in 2018</w:t>
      </w:r>
      <w:r>
        <w:noBreakHyphen/>
      </w:r>
      <w:r w:rsidRPr="007E4E2E">
        <w:t>19. These surpluses reflect the Government</w:t>
      </w:r>
      <w:r>
        <w:t>’</w:t>
      </w:r>
      <w:r w:rsidRPr="007E4E2E">
        <w:t xml:space="preserve">s </w:t>
      </w:r>
      <w:r>
        <w:t>commitment to provide high</w:t>
      </w:r>
      <w:r>
        <w:noBreakHyphen/>
      </w:r>
      <w:r w:rsidRPr="007E4E2E">
        <w:t>qual</w:t>
      </w:r>
      <w:r>
        <w:t>ity services for all Victorians in a fiscally responsible manner.</w:t>
      </w:r>
    </w:p>
    <w:p w:rsidR="00116054" w:rsidRPr="007E4E2E" w:rsidRDefault="00116054" w:rsidP="00A672E7">
      <w:pPr>
        <w:pStyle w:val="HighlightBoxBullet"/>
      </w:pPr>
      <w:r w:rsidRPr="007E4E2E">
        <w:t xml:space="preserve">Net debt to </w:t>
      </w:r>
      <w:r>
        <w:t>gross state product</w:t>
      </w:r>
      <w:r>
        <w:fldChar w:fldCharType="begin"/>
      </w:r>
      <w:r>
        <w:instrText xml:space="preserve"> XE "</w:instrText>
      </w:r>
      <w:r w:rsidRPr="00A85F65">
        <w:instrText>Gross state product</w:instrText>
      </w:r>
      <w:r>
        <w:instrText xml:space="preserve">" </w:instrText>
      </w:r>
      <w:r>
        <w:fldChar w:fldCharType="end"/>
      </w:r>
      <w:r>
        <w:t xml:space="preserve"> (</w:t>
      </w:r>
      <w:r w:rsidRPr="007E4E2E">
        <w:t>GSP</w:t>
      </w:r>
      <w:r>
        <w:t>)</w:t>
      </w:r>
      <w:r w:rsidRPr="007E4E2E">
        <w:t xml:space="preserve"> is projected to decre</w:t>
      </w:r>
      <w:r>
        <w:t>ase from its June 2015 level of 5.8 per cent</w:t>
      </w:r>
      <w:r w:rsidRPr="007E4E2E">
        <w:t xml:space="preserve"> to 4.</w:t>
      </w:r>
      <w:r>
        <w:t>4 per cent by June 2019. The June</w:t>
      </w:r>
      <w:r w:rsidRPr="007E4E2E">
        <w:t xml:space="preserve"> 2019 estimate is lo</w:t>
      </w:r>
      <w:r>
        <w:t>wer than the June 2018 estimate of 4.5 per cent</w:t>
      </w:r>
      <w:r w:rsidRPr="007E4E2E">
        <w:t xml:space="preserve"> published in the </w:t>
      </w:r>
      <w:r w:rsidRPr="007E4E2E">
        <w:rPr>
          <w:i/>
        </w:rPr>
        <w:t>2014 Pre</w:t>
      </w:r>
      <w:r>
        <w:rPr>
          <w:i/>
        </w:rPr>
        <w:noBreakHyphen/>
      </w:r>
      <w:r w:rsidRPr="007E4E2E">
        <w:rPr>
          <w:i/>
        </w:rPr>
        <w:t>E</w:t>
      </w:r>
      <w:r>
        <w:rPr>
          <w:i/>
        </w:rPr>
        <w:t xml:space="preserve">lection </w:t>
      </w:r>
      <w:r w:rsidRPr="007E4E2E">
        <w:rPr>
          <w:i/>
        </w:rPr>
        <w:t>Budget</w:t>
      </w:r>
      <w:r>
        <w:rPr>
          <w:i/>
        </w:rPr>
        <w:t xml:space="preserve"> </w:t>
      </w:r>
      <w:r w:rsidRPr="007E4E2E">
        <w:rPr>
          <w:i/>
        </w:rPr>
        <w:t>Update,</w:t>
      </w:r>
      <w:r w:rsidRPr="007E4E2E">
        <w:t xml:space="preserve"> consistent with the Government</w:t>
      </w:r>
      <w:r>
        <w:t>’</w:t>
      </w:r>
      <w:r w:rsidRPr="007E4E2E">
        <w:t xml:space="preserve">s commitment to maintain </w:t>
      </w:r>
      <w:r>
        <w:t>the State’s</w:t>
      </w:r>
      <w:r w:rsidRPr="007E4E2E">
        <w:t xml:space="preserve"> triple</w:t>
      </w:r>
      <w:r>
        <w:noBreakHyphen/>
      </w:r>
      <w:r w:rsidRPr="007E4E2E">
        <w:t>A credit rating</w:t>
      </w:r>
      <w:r>
        <w:fldChar w:fldCharType="begin"/>
      </w:r>
      <w:r>
        <w:instrText xml:space="preserve"> XE "</w:instrText>
      </w:r>
      <w:r w:rsidRPr="00DE7E32">
        <w:instrText>Triple</w:instrText>
      </w:r>
      <w:r w:rsidRPr="00DE7E32">
        <w:noBreakHyphen/>
        <w:instrText>A credit rating</w:instrText>
      </w:r>
      <w:r>
        <w:instrText xml:space="preserve">" </w:instrText>
      </w:r>
      <w:r>
        <w:fldChar w:fldCharType="end"/>
      </w:r>
      <w:r w:rsidRPr="007E4E2E">
        <w:t xml:space="preserve">. </w:t>
      </w:r>
    </w:p>
    <w:p w:rsidR="00116054" w:rsidRDefault="00116054" w:rsidP="009F2EBA">
      <w:pPr>
        <w:pStyle w:val="HighlightBoxBullet"/>
      </w:pPr>
      <w:r w:rsidRPr="009F2EBA">
        <w:t>The Government is on track to fully fund the State’s unfunded superannuation liability by 2035. The general government superannuation funding ratio – the proportion of liabilities of the former State Superannuation Fund which is backed by superannuation plan assets – is projected to increase from 46.0</w:t>
      </w:r>
      <w:r>
        <w:t> per cent</w:t>
      </w:r>
      <w:r w:rsidRPr="009F2EBA">
        <w:t xml:space="preserve"> at June 2015 to 48.9</w:t>
      </w:r>
      <w:r>
        <w:t> per cent</w:t>
      </w:r>
      <w:r w:rsidRPr="009F2EBA">
        <w:t xml:space="preserve"> by June 2019. </w:t>
      </w:r>
    </w:p>
    <w:p w:rsidR="00116054" w:rsidRPr="007E4E2E" w:rsidRDefault="00116054" w:rsidP="009F2EBA">
      <w:pPr>
        <w:pStyle w:val="HighlightBoxBullet"/>
      </w:pPr>
      <w:r w:rsidRPr="007E4E2E">
        <w:t>As a</w:t>
      </w:r>
      <w:r>
        <w:t xml:space="preserve"> result of the decrease in net debt and improvement in the superannuation funding ratio, net financial liabilities</w:t>
      </w:r>
      <w:r>
        <w:fldChar w:fldCharType="begin"/>
      </w:r>
      <w:r>
        <w:instrText xml:space="preserve"> XE "</w:instrText>
      </w:r>
      <w:r w:rsidRPr="003D43CF">
        <w:instrText>Net financial liabilities</w:instrText>
      </w:r>
      <w:r>
        <w:instrText xml:space="preserve">" </w:instrText>
      </w:r>
      <w:r>
        <w:fldChar w:fldCharType="end"/>
      </w:r>
      <w:r>
        <w:t xml:space="preserve"> as a</w:t>
      </w:r>
      <w:r w:rsidRPr="007E4E2E">
        <w:t xml:space="preserve"> proportion of GSP</w:t>
      </w:r>
      <w:r>
        <w:t xml:space="preserve"> are expected to decrease from a peak of 16.4 per cent</w:t>
      </w:r>
      <w:r w:rsidRPr="007E4E2E">
        <w:t xml:space="preserve"> at June 2015, to </w:t>
      </w:r>
      <w:r>
        <w:t>12.1 per cent</w:t>
      </w:r>
      <w:r w:rsidRPr="007E4E2E">
        <w:t xml:space="preserve"> by June 2019.</w:t>
      </w:r>
    </w:p>
    <w:p w:rsidR="00116054" w:rsidRPr="007E4E2E" w:rsidRDefault="00116054" w:rsidP="00E05CCE"/>
    <w:p w:rsidR="00116054" w:rsidRPr="007E4E2E" w:rsidRDefault="00116054" w:rsidP="00013901">
      <w:r w:rsidRPr="007E4E2E">
        <w:t xml:space="preserve">This chapter outlines the budget position of the general government sector. The broader public sector is covered in </w:t>
      </w:r>
      <w:r>
        <w:t>Chapter </w:t>
      </w:r>
      <w:r w:rsidRPr="007E4E2E">
        <w:t xml:space="preserve">5 </w:t>
      </w:r>
      <w:r w:rsidRPr="007E4E2E">
        <w:rPr>
          <w:i/>
        </w:rPr>
        <w:t>Position and outlook of the broader public sector.</w:t>
      </w:r>
      <w:r w:rsidRPr="007E4E2E">
        <w:t xml:space="preserve"> This budget paper takes into accou</w:t>
      </w:r>
      <w:r>
        <w:t xml:space="preserve">nt the financial </w:t>
      </w:r>
      <w:r w:rsidRPr="009C4F9E">
        <w:t xml:space="preserve">impacts as at </w:t>
      </w:r>
      <w:r>
        <w:t>28</w:t>
      </w:r>
      <w:r w:rsidRPr="009C4F9E">
        <w:t xml:space="preserve"> April 201</w:t>
      </w:r>
      <w:r>
        <w:t>5</w:t>
      </w:r>
      <w:r w:rsidRPr="007E4E2E">
        <w:t xml:space="preserve"> of all policy decisions taken by the Victorian Government, as well as Commonwealth Government funding revisions and other information that affects the financial statements, unless otherwise stated.</w:t>
      </w:r>
    </w:p>
    <w:p w:rsidR="00116054" w:rsidRDefault="00116054">
      <w:pPr>
        <w:spacing w:after="0"/>
        <w:rPr>
          <w:rFonts w:ascii="Calibri" w:hAnsi="Calibri"/>
          <w:b/>
          <w:caps/>
          <w:sz w:val="26"/>
          <w:szCs w:val="22"/>
        </w:rPr>
      </w:pPr>
      <w:r>
        <w:rPr>
          <w:rFonts w:ascii="Calibri" w:hAnsi="Calibri"/>
          <w:b/>
          <w:caps/>
          <w:sz w:val="26"/>
          <w:szCs w:val="22"/>
        </w:rPr>
        <w:br w:type="page"/>
      </w:r>
    </w:p>
    <w:p w:rsidR="00116054" w:rsidRPr="007E4E2E" w:rsidRDefault="00116054" w:rsidP="006D3D36">
      <w:pPr>
        <w:keepNext/>
        <w:spacing w:before="360"/>
        <w:outlineLvl w:val="0"/>
        <w:rPr>
          <w:rFonts w:ascii="Calibri" w:hAnsi="Calibri"/>
          <w:b/>
          <w:caps/>
          <w:sz w:val="26"/>
          <w:szCs w:val="22"/>
        </w:rPr>
      </w:pPr>
      <w:r w:rsidRPr="007E4E2E">
        <w:rPr>
          <w:rFonts w:ascii="Calibri" w:hAnsi="Calibri"/>
          <w:b/>
          <w:caps/>
          <w:sz w:val="26"/>
          <w:szCs w:val="22"/>
        </w:rPr>
        <w:lastRenderedPageBreak/>
        <w:t>General government sector</w:t>
      </w:r>
      <w:bookmarkEnd w:id="68"/>
      <w:bookmarkEnd w:id="69"/>
    </w:p>
    <w:p w:rsidR="00116054" w:rsidRPr="001D7BBA" w:rsidRDefault="00116054" w:rsidP="001D7BBA">
      <w:pPr>
        <w:keepNext/>
        <w:spacing w:before="240"/>
        <w:outlineLvl w:val="1"/>
        <w:rPr>
          <w:rFonts w:ascii="Calibri" w:hAnsi="Calibri"/>
          <w:b/>
          <w:kern w:val="28"/>
          <w:sz w:val="26"/>
          <w:szCs w:val="22"/>
        </w:rPr>
      </w:pPr>
      <w:r>
        <w:rPr>
          <w:rFonts w:ascii="Calibri" w:hAnsi="Calibri"/>
          <w:b/>
          <w:kern w:val="28"/>
          <w:sz w:val="26"/>
          <w:szCs w:val="22"/>
        </w:rPr>
        <w:t>Overview</w:t>
      </w:r>
    </w:p>
    <w:p w:rsidR="00116054" w:rsidRPr="007E4E2E" w:rsidRDefault="00116054" w:rsidP="000A63C1">
      <w:r w:rsidRPr="007E4E2E">
        <w:t xml:space="preserve">The </w:t>
      </w:r>
      <w:r w:rsidRPr="007E4E2E">
        <w:rPr>
          <w:i/>
        </w:rPr>
        <w:t>2015</w:t>
      </w:r>
      <w:r>
        <w:rPr>
          <w:i/>
        </w:rPr>
        <w:noBreakHyphen/>
      </w:r>
      <w:r w:rsidRPr="007E4E2E">
        <w:rPr>
          <w:i/>
        </w:rPr>
        <w:t xml:space="preserve">16 Budget </w:t>
      </w:r>
      <w:r>
        <w:t>projects strong surpluses and declining net debt as a percentage of GSP over the forward estimates (Table 4.1)</w:t>
      </w:r>
      <w:r w:rsidRPr="007E4E2E">
        <w:t>.</w:t>
      </w:r>
    </w:p>
    <w:p w:rsidR="00116054" w:rsidRDefault="00116054" w:rsidP="004F5F3D">
      <w:pPr>
        <w:pStyle w:val="Tableheading"/>
        <w:rPr>
          <w:rFonts w:ascii="Times New Roman" w:hAnsi="Times New Roman"/>
          <w:i/>
          <w:sz w:val="20"/>
          <w:lang w:eastAsia="en-AU"/>
        </w:rPr>
      </w:pPr>
      <w:r w:rsidRPr="001869AB">
        <w:t>Table 4.</w:t>
      </w:r>
      <w:r>
        <w:t>1</w:t>
      </w:r>
      <w:r w:rsidRPr="001869AB">
        <w:t xml:space="preserve">: </w:t>
      </w:r>
      <w:r w:rsidRPr="001869AB">
        <w:tab/>
        <w:t>Gener</w:t>
      </w:r>
      <w:r>
        <w:t>al government fiscal aggregates</w:t>
      </w:r>
    </w:p>
    <w:tbl>
      <w:tblPr>
        <w:tblW w:w="7776" w:type="dxa"/>
        <w:tblInd w:w="29" w:type="dxa"/>
        <w:tblLayout w:type="fixed"/>
        <w:tblCellMar>
          <w:left w:w="43" w:type="dxa"/>
          <w:right w:w="43" w:type="dxa"/>
        </w:tblCellMar>
        <w:tblLook w:val="0000" w:firstRow="0" w:lastRow="0" w:firstColumn="0" w:lastColumn="0" w:noHBand="0" w:noVBand="0"/>
      </w:tblPr>
      <w:tblGrid>
        <w:gridCol w:w="1728"/>
        <w:gridCol w:w="864"/>
        <w:gridCol w:w="864"/>
        <w:gridCol w:w="864"/>
        <w:gridCol w:w="864"/>
        <w:gridCol w:w="864"/>
        <w:gridCol w:w="864"/>
        <w:gridCol w:w="864"/>
      </w:tblGrid>
      <w:tr w:rsidR="00116054" w:rsidRPr="004F5F3D" w:rsidTr="004F5F3D">
        <w:tc>
          <w:tcPr>
            <w:tcW w:w="1728" w:type="dxa"/>
            <w:tcBorders>
              <w:top w:val="single" w:sz="4" w:space="0" w:color="auto"/>
              <w:left w:val="single" w:sz="4" w:space="0" w:color="auto"/>
              <w:bottom w:val="nil"/>
              <w:right w:val="nil"/>
            </w:tcBorders>
            <w:shd w:val="clear" w:color="auto" w:fill="000000"/>
          </w:tcPr>
          <w:p w:rsidR="00116054" w:rsidRPr="004F5F3D" w:rsidRDefault="00116054" w:rsidP="004F5F3D">
            <w:pPr>
              <w:pStyle w:val="Tabletext"/>
              <w:rPr>
                <w:rFonts w:eastAsiaTheme="minorEastAsia"/>
                <w:lang w:eastAsia="en-AU"/>
              </w:rPr>
            </w:pPr>
            <w:r w:rsidRPr="004F5F3D">
              <w:rPr>
                <w:rFonts w:eastAsiaTheme="minorEastAsia"/>
                <w:lang w:eastAsia="en-AU"/>
              </w:rPr>
              <w:t xml:space="preserve"> </w:t>
            </w:r>
          </w:p>
        </w:tc>
        <w:tc>
          <w:tcPr>
            <w:tcW w:w="864" w:type="dxa"/>
            <w:tcBorders>
              <w:top w:val="single" w:sz="4" w:space="0" w:color="auto"/>
              <w:left w:val="nil"/>
              <w:bottom w:val="nil"/>
              <w:right w:val="nil"/>
            </w:tcBorders>
            <w:shd w:val="clear" w:color="auto" w:fill="000000"/>
          </w:tcPr>
          <w:p w:rsidR="00116054" w:rsidRPr="004F5F3D" w:rsidRDefault="00116054" w:rsidP="004F5F3D">
            <w:pPr>
              <w:pStyle w:val="Tabletextheadingcentred"/>
              <w:rPr>
                <w:rFonts w:eastAsiaTheme="minorEastAsia"/>
                <w:lang w:eastAsia="en-AU"/>
              </w:rPr>
            </w:pPr>
            <w:r w:rsidRPr="004F5F3D">
              <w:rPr>
                <w:rFonts w:eastAsiaTheme="minorEastAsia"/>
                <w:lang w:eastAsia="en-AU"/>
              </w:rPr>
              <w:t>Unit of</w:t>
            </w:r>
          </w:p>
        </w:tc>
        <w:tc>
          <w:tcPr>
            <w:tcW w:w="864" w:type="dxa"/>
            <w:tcBorders>
              <w:top w:val="single" w:sz="4" w:space="0" w:color="auto"/>
              <w:left w:val="nil"/>
              <w:bottom w:val="nil"/>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2013</w:t>
            </w:r>
            <w:r>
              <w:rPr>
                <w:rFonts w:eastAsiaTheme="minorEastAsia"/>
                <w:lang w:eastAsia="en-AU"/>
              </w:rPr>
              <w:noBreakHyphen/>
            </w:r>
            <w:r w:rsidRPr="004F5F3D">
              <w:rPr>
                <w:rFonts w:eastAsiaTheme="minorEastAsia"/>
                <w:lang w:eastAsia="en-AU"/>
              </w:rPr>
              <w:t>14</w:t>
            </w:r>
          </w:p>
        </w:tc>
        <w:tc>
          <w:tcPr>
            <w:tcW w:w="864" w:type="dxa"/>
            <w:tcBorders>
              <w:top w:val="single" w:sz="4" w:space="0" w:color="auto"/>
              <w:left w:val="nil"/>
              <w:bottom w:val="nil"/>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2014</w:t>
            </w:r>
            <w:r>
              <w:rPr>
                <w:rFonts w:eastAsiaTheme="minorEastAsia"/>
                <w:lang w:eastAsia="en-AU"/>
              </w:rPr>
              <w:noBreakHyphen/>
            </w:r>
            <w:r w:rsidRPr="004F5F3D">
              <w:rPr>
                <w:rFonts w:eastAsiaTheme="minorEastAsia"/>
                <w:lang w:eastAsia="en-AU"/>
              </w:rPr>
              <w:t>15</w:t>
            </w:r>
          </w:p>
        </w:tc>
        <w:tc>
          <w:tcPr>
            <w:tcW w:w="864" w:type="dxa"/>
            <w:tcBorders>
              <w:top w:val="single" w:sz="4" w:space="0" w:color="auto"/>
              <w:left w:val="nil"/>
              <w:bottom w:val="nil"/>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2015</w:t>
            </w:r>
            <w:r>
              <w:rPr>
                <w:rFonts w:eastAsiaTheme="minorEastAsia"/>
                <w:lang w:eastAsia="en-AU"/>
              </w:rPr>
              <w:noBreakHyphen/>
            </w:r>
            <w:r w:rsidRPr="004F5F3D">
              <w:rPr>
                <w:rFonts w:eastAsiaTheme="minorEastAsia"/>
                <w:lang w:eastAsia="en-AU"/>
              </w:rPr>
              <w:t>16</w:t>
            </w:r>
          </w:p>
        </w:tc>
        <w:tc>
          <w:tcPr>
            <w:tcW w:w="864" w:type="dxa"/>
            <w:tcBorders>
              <w:top w:val="single" w:sz="4" w:space="0" w:color="auto"/>
              <w:left w:val="nil"/>
              <w:bottom w:val="nil"/>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2016</w:t>
            </w:r>
            <w:r>
              <w:rPr>
                <w:rFonts w:eastAsiaTheme="minorEastAsia"/>
                <w:lang w:eastAsia="en-AU"/>
              </w:rPr>
              <w:noBreakHyphen/>
            </w:r>
            <w:r w:rsidRPr="004F5F3D">
              <w:rPr>
                <w:rFonts w:eastAsiaTheme="minorEastAsia"/>
                <w:lang w:eastAsia="en-AU"/>
              </w:rPr>
              <w:t>17</w:t>
            </w:r>
          </w:p>
        </w:tc>
        <w:tc>
          <w:tcPr>
            <w:tcW w:w="864" w:type="dxa"/>
            <w:tcBorders>
              <w:top w:val="single" w:sz="4" w:space="0" w:color="auto"/>
              <w:left w:val="nil"/>
              <w:bottom w:val="nil"/>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2017</w:t>
            </w:r>
            <w:r>
              <w:rPr>
                <w:rFonts w:eastAsiaTheme="minorEastAsia"/>
                <w:lang w:eastAsia="en-AU"/>
              </w:rPr>
              <w:noBreakHyphen/>
            </w:r>
            <w:r w:rsidRPr="004F5F3D">
              <w:rPr>
                <w:rFonts w:eastAsiaTheme="minorEastAsia"/>
                <w:lang w:eastAsia="en-AU"/>
              </w:rPr>
              <w:t>18</w:t>
            </w:r>
          </w:p>
        </w:tc>
        <w:tc>
          <w:tcPr>
            <w:tcW w:w="864" w:type="dxa"/>
            <w:tcBorders>
              <w:top w:val="single" w:sz="4" w:space="0" w:color="auto"/>
              <w:left w:val="nil"/>
              <w:bottom w:val="nil"/>
              <w:right w:val="single" w:sz="4" w:space="0" w:color="auto"/>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2018</w:t>
            </w:r>
            <w:r>
              <w:rPr>
                <w:rFonts w:eastAsiaTheme="minorEastAsia"/>
                <w:lang w:eastAsia="en-AU"/>
              </w:rPr>
              <w:noBreakHyphen/>
            </w:r>
            <w:r w:rsidRPr="004F5F3D">
              <w:rPr>
                <w:rFonts w:eastAsiaTheme="minorEastAsia"/>
                <w:lang w:eastAsia="en-AU"/>
              </w:rPr>
              <w:t>19</w:t>
            </w:r>
          </w:p>
        </w:tc>
      </w:tr>
      <w:tr w:rsidR="00116054" w:rsidRPr="004F5F3D" w:rsidTr="004F5F3D">
        <w:tc>
          <w:tcPr>
            <w:tcW w:w="1728" w:type="dxa"/>
            <w:tcBorders>
              <w:top w:val="nil"/>
              <w:left w:val="single" w:sz="4" w:space="0" w:color="auto"/>
              <w:bottom w:val="single" w:sz="4" w:space="0" w:color="auto"/>
              <w:right w:val="nil"/>
            </w:tcBorders>
            <w:shd w:val="clear" w:color="auto" w:fill="000000"/>
          </w:tcPr>
          <w:p w:rsidR="00116054" w:rsidRPr="004F5F3D" w:rsidRDefault="00116054" w:rsidP="004F5F3D">
            <w:pPr>
              <w:pStyle w:val="Tabletext"/>
              <w:rPr>
                <w:rFonts w:eastAsiaTheme="minorEastAsia"/>
                <w:lang w:eastAsia="en-AU"/>
              </w:rPr>
            </w:pPr>
            <w:r w:rsidRPr="004F5F3D">
              <w:rPr>
                <w:rFonts w:eastAsiaTheme="minorEastAsia"/>
                <w:lang w:eastAsia="en-AU"/>
              </w:rPr>
              <w:t xml:space="preserve"> </w:t>
            </w:r>
          </w:p>
        </w:tc>
        <w:tc>
          <w:tcPr>
            <w:tcW w:w="864" w:type="dxa"/>
            <w:tcBorders>
              <w:top w:val="nil"/>
              <w:left w:val="nil"/>
              <w:bottom w:val="single" w:sz="4" w:space="0" w:color="auto"/>
              <w:right w:val="nil"/>
            </w:tcBorders>
            <w:shd w:val="clear" w:color="auto" w:fill="000000"/>
          </w:tcPr>
          <w:p w:rsidR="00116054" w:rsidRPr="004F5F3D" w:rsidRDefault="00116054" w:rsidP="004F5F3D">
            <w:pPr>
              <w:pStyle w:val="Tabletextheadingcentred"/>
              <w:rPr>
                <w:rFonts w:eastAsiaTheme="minorEastAsia"/>
                <w:lang w:eastAsia="en-AU"/>
              </w:rPr>
            </w:pPr>
            <w:r w:rsidRPr="004F5F3D">
              <w:rPr>
                <w:rFonts w:eastAsiaTheme="minorEastAsia"/>
                <w:lang w:eastAsia="en-AU"/>
              </w:rPr>
              <w:t>measure</w:t>
            </w:r>
          </w:p>
        </w:tc>
        <w:tc>
          <w:tcPr>
            <w:tcW w:w="864" w:type="dxa"/>
            <w:tcBorders>
              <w:top w:val="nil"/>
              <w:left w:val="nil"/>
              <w:bottom w:val="single" w:sz="4" w:space="0" w:color="auto"/>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actual</w:t>
            </w:r>
          </w:p>
        </w:tc>
        <w:tc>
          <w:tcPr>
            <w:tcW w:w="864" w:type="dxa"/>
            <w:tcBorders>
              <w:top w:val="nil"/>
              <w:left w:val="nil"/>
              <w:bottom w:val="single" w:sz="4" w:space="0" w:color="auto"/>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revised</w:t>
            </w:r>
          </w:p>
        </w:tc>
        <w:tc>
          <w:tcPr>
            <w:tcW w:w="864" w:type="dxa"/>
            <w:tcBorders>
              <w:top w:val="nil"/>
              <w:left w:val="nil"/>
              <w:bottom w:val="single" w:sz="4" w:space="0" w:color="auto"/>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budget</w:t>
            </w:r>
          </w:p>
        </w:tc>
        <w:tc>
          <w:tcPr>
            <w:tcW w:w="864" w:type="dxa"/>
            <w:tcBorders>
              <w:top w:val="nil"/>
              <w:left w:val="nil"/>
              <w:bottom w:val="single" w:sz="4" w:space="0" w:color="auto"/>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estimate</w:t>
            </w:r>
          </w:p>
        </w:tc>
        <w:tc>
          <w:tcPr>
            <w:tcW w:w="864" w:type="dxa"/>
            <w:tcBorders>
              <w:top w:val="nil"/>
              <w:left w:val="nil"/>
              <w:bottom w:val="single" w:sz="4" w:space="0" w:color="auto"/>
              <w:right w:val="nil"/>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estimate</w:t>
            </w:r>
          </w:p>
        </w:tc>
        <w:tc>
          <w:tcPr>
            <w:tcW w:w="864" w:type="dxa"/>
            <w:tcBorders>
              <w:top w:val="nil"/>
              <w:left w:val="nil"/>
              <w:bottom w:val="single" w:sz="4" w:space="0" w:color="auto"/>
              <w:right w:val="single" w:sz="4" w:space="0" w:color="auto"/>
            </w:tcBorders>
            <w:shd w:val="clear" w:color="auto" w:fill="000000"/>
          </w:tcPr>
          <w:p w:rsidR="00116054" w:rsidRPr="004F5F3D" w:rsidRDefault="00116054" w:rsidP="004F5F3D">
            <w:pPr>
              <w:pStyle w:val="Tabletextheading"/>
              <w:rPr>
                <w:rFonts w:eastAsiaTheme="minorEastAsia"/>
                <w:lang w:eastAsia="en-AU"/>
              </w:rPr>
            </w:pPr>
            <w:r w:rsidRPr="004F5F3D">
              <w:rPr>
                <w:rFonts w:eastAsiaTheme="minorEastAsia"/>
                <w:lang w:eastAsia="en-AU"/>
              </w:rPr>
              <w:t>estimate</w:t>
            </w:r>
          </w:p>
        </w:tc>
      </w:tr>
      <w:tr w:rsidR="00116054" w:rsidRPr="004F5F3D" w:rsidTr="004F5F3D">
        <w:tc>
          <w:tcPr>
            <w:tcW w:w="1728" w:type="dxa"/>
            <w:tcBorders>
              <w:top w:val="single" w:sz="4" w:space="0" w:color="auto"/>
              <w:left w:val="nil"/>
              <w:bottom w:val="nil"/>
              <w:right w:val="nil"/>
            </w:tcBorders>
            <w:shd w:val="solid" w:color="FFFFFF" w:fill="auto"/>
          </w:tcPr>
          <w:p w:rsidR="00116054" w:rsidRPr="004F5F3D" w:rsidRDefault="00116054" w:rsidP="004F5F3D">
            <w:pPr>
              <w:pStyle w:val="Tabletext"/>
              <w:rPr>
                <w:rFonts w:eastAsiaTheme="minorEastAsia"/>
                <w:color w:val="000000"/>
                <w:lang w:eastAsia="en-AU"/>
              </w:rPr>
            </w:pPr>
            <w:r w:rsidRPr="004F5F3D">
              <w:rPr>
                <w:rFonts w:eastAsiaTheme="minorEastAsia"/>
                <w:color w:val="000000"/>
                <w:lang w:eastAsia="en-AU"/>
              </w:rPr>
              <w:t>Net result from transactions</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textcentred"/>
              <w:rPr>
                <w:rFonts w:eastAsiaTheme="minorEastAsia"/>
                <w:lang w:eastAsia="en-AU"/>
              </w:rPr>
            </w:pPr>
            <w:r w:rsidRPr="004F5F3D">
              <w:rPr>
                <w:rFonts w:eastAsiaTheme="minorEastAsia"/>
                <w:lang w:eastAsia="en-AU"/>
              </w:rPr>
              <w:t>$</w:t>
            </w:r>
            <w:r>
              <w:rPr>
                <w:rFonts w:eastAsiaTheme="minorEastAsia"/>
                <w:lang w:eastAsia="en-AU"/>
              </w:rPr>
              <w:t> billion</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2.0</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0.9</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1.2</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1.4</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1.4</w:t>
            </w:r>
          </w:p>
        </w:tc>
        <w:tc>
          <w:tcPr>
            <w:tcW w:w="864" w:type="dxa"/>
            <w:tcBorders>
              <w:top w:val="single" w:sz="4" w:space="0" w:color="auto"/>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1.8</w:t>
            </w:r>
          </w:p>
        </w:tc>
      </w:tr>
      <w:tr w:rsidR="00116054" w:rsidRPr="004F5F3D" w:rsidTr="004F5F3D">
        <w:tc>
          <w:tcPr>
            <w:tcW w:w="1728" w:type="dxa"/>
            <w:tcBorders>
              <w:top w:val="nil"/>
              <w:left w:val="nil"/>
              <w:bottom w:val="nil"/>
              <w:right w:val="nil"/>
            </w:tcBorders>
            <w:shd w:val="solid" w:color="FFFFFF" w:fill="auto"/>
          </w:tcPr>
          <w:p w:rsidR="00116054" w:rsidRPr="004F5F3D" w:rsidRDefault="00116054" w:rsidP="004F5F3D">
            <w:pPr>
              <w:pStyle w:val="Tabletext"/>
              <w:rPr>
                <w:rFonts w:eastAsiaTheme="minorEastAsia"/>
                <w:color w:val="000000"/>
                <w:vertAlign w:val="superscript"/>
                <w:lang w:eastAsia="en-AU"/>
              </w:rPr>
            </w:pPr>
            <w:r w:rsidRPr="004F5F3D">
              <w:rPr>
                <w:rFonts w:eastAsiaTheme="minorEastAsia"/>
                <w:color w:val="000000"/>
                <w:lang w:eastAsia="en-AU"/>
              </w:rPr>
              <w:t xml:space="preserve">Government infrastructure investment </w:t>
            </w:r>
            <w:r w:rsidRPr="004F5F3D">
              <w:rPr>
                <w:rFonts w:eastAsiaTheme="minorEastAsia"/>
                <w:color w:val="000000"/>
                <w:vertAlign w:val="superscript"/>
                <w:lang w:eastAsia="en-AU"/>
              </w:rPr>
              <w:t>(a)(b)</w:t>
            </w:r>
          </w:p>
        </w:tc>
        <w:tc>
          <w:tcPr>
            <w:tcW w:w="864" w:type="dxa"/>
            <w:tcBorders>
              <w:top w:val="nil"/>
              <w:left w:val="nil"/>
              <w:bottom w:val="nil"/>
              <w:right w:val="nil"/>
            </w:tcBorders>
            <w:shd w:val="solid" w:color="FFFFFF" w:fill="auto"/>
          </w:tcPr>
          <w:p w:rsidR="00116054" w:rsidRPr="004F5F3D" w:rsidRDefault="00116054" w:rsidP="004F5F3D">
            <w:pPr>
              <w:pStyle w:val="Tabletextcentred"/>
              <w:rPr>
                <w:rFonts w:eastAsiaTheme="minorEastAsia"/>
                <w:lang w:eastAsia="en-AU"/>
              </w:rPr>
            </w:pPr>
            <w:r w:rsidRPr="004F5F3D">
              <w:rPr>
                <w:rFonts w:eastAsiaTheme="minorEastAsia"/>
                <w:lang w:eastAsia="en-AU"/>
              </w:rPr>
              <w:t>$</w:t>
            </w:r>
            <w:r>
              <w:rPr>
                <w:rFonts w:eastAsiaTheme="minorEastAsia"/>
                <w:lang w:eastAsia="en-AU"/>
              </w:rPr>
              <w:t> billion</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5.5</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4.2</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5.2</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6.5</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4.5</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5.1</w:t>
            </w:r>
          </w:p>
        </w:tc>
      </w:tr>
      <w:tr w:rsidR="00116054" w:rsidRPr="004F5F3D" w:rsidTr="004F5F3D">
        <w:tc>
          <w:tcPr>
            <w:tcW w:w="1728" w:type="dxa"/>
            <w:tcBorders>
              <w:top w:val="nil"/>
              <w:left w:val="nil"/>
              <w:bottom w:val="nil"/>
              <w:right w:val="nil"/>
            </w:tcBorders>
            <w:shd w:val="solid" w:color="FFFFFF" w:fill="auto"/>
          </w:tcPr>
          <w:p w:rsidR="00116054" w:rsidRPr="004F5F3D" w:rsidRDefault="00116054" w:rsidP="004F5F3D">
            <w:pPr>
              <w:pStyle w:val="Tabletext"/>
              <w:rPr>
                <w:rFonts w:eastAsiaTheme="minorEastAsia"/>
                <w:color w:val="000000"/>
                <w:lang w:eastAsia="en-AU"/>
              </w:rPr>
            </w:pPr>
            <w:r w:rsidRPr="004F5F3D">
              <w:rPr>
                <w:rFonts w:eastAsiaTheme="minorEastAsia"/>
                <w:color w:val="000000"/>
                <w:lang w:eastAsia="en-AU"/>
              </w:rPr>
              <w:t>Net debt</w:t>
            </w:r>
          </w:p>
        </w:tc>
        <w:tc>
          <w:tcPr>
            <w:tcW w:w="864" w:type="dxa"/>
            <w:tcBorders>
              <w:top w:val="nil"/>
              <w:left w:val="nil"/>
              <w:bottom w:val="nil"/>
              <w:right w:val="nil"/>
            </w:tcBorders>
            <w:shd w:val="solid" w:color="FFFFFF" w:fill="auto"/>
          </w:tcPr>
          <w:p w:rsidR="00116054" w:rsidRPr="004F5F3D" w:rsidRDefault="00116054" w:rsidP="004F5F3D">
            <w:pPr>
              <w:pStyle w:val="Tabletextcentred"/>
              <w:rPr>
                <w:rFonts w:eastAsiaTheme="minorEastAsia"/>
                <w:lang w:eastAsia="en-AU"/>
              </w:rPr>
            </w:pPr>
            <w:r w:rsidRPr="004F5F3D">
              <w:rPr>
                <w:rFonts w:eastAsiaTheme="minorEastAsia"/>
                <w:lang w:eastAsia="en-AU"/>
              </w:rPr>
              <w:t>$</w:t>
            </w:r>
            <w:r>
              <w:rPr>
                <w:rFonts w:eastAsiaTheme="minorEastAsia"/>
                <w:lang w:eastAsia="en-AU"/>
              </w:rPr>
              <w:t> billion</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21.2</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21.2</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16.9</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19.3</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19.5</w:t>
            </w:r>
          </w:p>
        </w:tc>
        <w:tc>
          <w:tcPr>
            <w:tcW w:w="864" w:type="dxa"/>
            <w:tcBorders>
              <w:top w:val="nil"/>
              <w:left w:val="nil"/>
              <w:bottom w:val="nil"/>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 xml:space="preserve"> 19.8</w:t>
            </w:r>
          </w:p>
        </w:tc>
      </w:tr>
      <w:tr w:rsidR="00116054" w:rsidRPr="004F5F3D" w:rsidTr="004F5F3D">
        <w:tc>
          <w:tcPr>
            <w:tcW w:w="1728" w:type="dxa"/>
            <w:tcBorders>
              <w:top w:val="nil"/>
              <w:left w:val="nil"/>
              <w:bottom w:val="single" w:sz="12" w:space="0" w:color="auto"/>
              <w:right w:val="nil"/>
            </w:tcBorders>
            <w:shd w:val="solid" w:color="FFFFFF" w:fill="auto"/>
          </w:tcPr>
          <w:p w:rsidR="00116054" w:rsidRPr="004F5F3D" w:rsidRDefault="00116054" w:rsidP="004F5F3D">
            <w:pPr>
              <w:pStyle w:val="Tabletext"/>
              <w:rPr>
                <w:rFonts w:eastAsiaTheme="minorEastAsia"/>
                <w:color w:val="000000"/>
                <w:lang w:eastAsia="en-AU"/>
              </w:rPr>
            </w:pPr>
            <w:r w:rsidRPr="004F5F3D">
              <w:rPr>
                <w:rFonts w:eastAsiaTheme="minorEastAsia"/>
                <w:color w:val="000000"/>
                <w:lang w:eastAsia="en-AU"/>
              </w:rPr>
              <w:t>Net debt to GSP</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textcentred"/>
              <w:rPr>
                <w:rFonts w:eastAsiaTheme="minorEastAsia"/>
                <w:lang w:eastAsia="en-AU"/>
              </w:rPr>
            </w:pPr>
            <w:r w:rsidRPr="004F5F3D">
              <w:rPr>
                <w:rFonts w:eastAsiaTheme="minorEastAsia"/>
                <w:lang w:eastAsia="en-AU"/>
              </w:rPr>
              <w:t>per cent</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6.0</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5.8</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4.4</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4.8</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4.6</w:t>
            </w:r>
          </w:p>
        </w:tc>
        <w:tc>
          <w:tcPr>
            <w:tcW w:w="864" w:type="dxa"/>
            <w:tcBorders>
              <w:top w:val="nil"/>
              <w:left w:val="nil"/>
              <w:bottom w:val="single" w:sz="12" w:space="0" w:color="auto"/>
              <w:right w:val="nil"/>
            </w:tcBorders>
            <w:shd w:val="solid" w:color="FFFFFF" w:fill="auto"/>
          </w:tcPr>
          <w:p w:rsidR="00116054" w:rsidRPr="004F5F3D" w:rsidRDefault="00116054" w:rsidP="004F5F3D">
            <w:pPr>
              <w:pStyle w:val="TableofFigures"/>
              <w:rPr>
                <w:rFonts w:eastAsiaTheme="minorEastAsia"/>
                <w:color w:val="000000"/>
                <w:lang w:eastAsia="en-AU"/>
              </w:rPr>
            </w:pPr>
            <w:r w:rsidRPr="004F5F3D">
              <w:rPr>
                <w:rFonts w:eastAsiaTheme="minorEastAsia"/>
                <w:color w:val="000000"/>
                <w:lang w:eastAsia="en-AU"/>
              </w:rPr>
              <w:t>4.4</w:t>
            </w:r>
          </w:p>
        </w:tc>
      </w:tr>
    </w:tbl>
    <w:p w:rsidR="00116054" w:rsidRDefault="00116054" w:rsidP="0008703D">
      <w:pPr>
        <w:pStyle w:val="Source"/>
      </w:pPr>
      <w:r w:rsidRPr="007E4E2E">
        <w:t>Source: Department of Treasury and Finance</w:t>
      </w:r>
      <w:bookmarkStart w:id="70" w:name="_Toc406162088"/>
      <w:bookmarkStart w:id="71" w:name="_Toc406670371"/>
      <w:r>
        <w:fldChar w:fldCharType="begin"/>
      </w:r>
      <w:r>
        <w:instrText xml:space="preserve"> XE "</w:instrText>
      </w:r>
      <w:r w:rsidRPr="000D11FA">
        <w:instrText>Infrastructure investment</w:instrText>
      </w:r>
      <w:r>
        <w:instrText xml:space="preserve">" </w:instrText>
      </w:r>
      <w:r>
        <w:fldChar w:fldCharType="end"/>
      </w:r>
    </w:p>
    <w:p w:rsidR="00116054" w:rsidRDefault="00116054" w:rsidP="001869AB">
      <w:pPr>
        <w:pStyle w:val="Notes"/>
      </w:pPr>
      <w:r>
        <w:t>Notes:</w:t>
      </w:r>
    </w:p>
    <w:p w:rsidR="00116054" w:rsidRDefault="00116054" w:rsidP="005062B0">
      <w:pPr>
        <w:pStyle w:val="Notes"/>
      </w:pPr>
      <w:r>
        <w:t xml:space="preserve">(a) </w:t>
      </w:r>
      <w:r>
        <w:tab/>
        <w:t xml:space="preserve">Includes general government net infrastructure investment and estimated </w:t>
      </w:r>
      <w:proofErr w:type="spellStart"/>
      <w:r>
        <w:t>cashflows</w:t>
      </w:r>
      <w:proofErr w:type="spellEnd"/>
      <w:r>
        <w:t xml:space="preserve"> for </w:t>
      </w:r>
      <w:r w:rsidRPr="00F843CD">
        <w:rPr>
          <w:i w:val="0"/>
        </w:rPr>
        <w:t>Partnerships Victoria</w:t>
      </w:r>
      <w:r>
        <w:t xml:space="preserve"> projects.</w:t>
      </w:r>
    </w:p>
    <w:p w:rsidR="00116054" w:rsidRDefault="00116054" w:rsidP="00B747C5">
      <w:pPr>
        <w:pStyle w:val="Notes"/>
      </w:pPr>
      <w:r>
        <w:t>(b)</w:t>
      </w:r>
      <w:r>
        <w:tab/>
        <w:t>Excludes the impact in 2015</w:t>
      </w:r>
      <w:r>
        <w:noBreakHyphen/>
        <w:t>16 of the medium</w:t>
      </w:r>
      <w:r>
        <w:noBreakHyphen/>
        <w:t>term lease over the operations of the Port of Melbourne</w:t>
      </w:r>
      <w:r>
        <w:fldChar w:fldCharType="begin"/>
      </w:r>
      <w:r>
        <w:instrText xml:space="preserve"> XE "</w:instrText>
      </w:r>
      <w:r w:rsidRPr="00DE4970">
        <w:instrText>Port of Melbourne</w:instrText>
      </w:r>
      <w:r>
        <w:instrText xml:space="preserve">" </w:instrText>
      </w:r>
      <w:r>
        <w:fldChar w:fldCharType="end"/>
      </w:r>
      <w:r>
        <w:t>.</w:t>
      </w:r>
    </w:p>
    <w:p w:rsidR="00116054" w:rsidRDefault="00116054" w:rsidP="00B747C5">
      <w:pPr>
        <w:pStyle w:val="Notes"/>
      </w:pPr>
    </w:p>
    <w:p w:rsidR="00116054" w:rsidRDefault="00116054" w:rsidP="00B87B4B">
      <w:pPr>
        <w:rPr>
          <w:rFonts w:asciiTheme="minorHAnsi" w:hAnsiTheme="minorHAnsi" w:cstheme="minorHAnsi"/>
          <w:b/>
          <w:szCs w:val="22"/>
        </w:rPr>
      </w:pPr>
      <w:r>
        <w:t xml:space="preserve">These </w:t>
      </w:r>
      <w:r w:rsidRPr="002F6BC4">
        <w:t>fiscal projection</w:t>
      </w:r>
      <w:r>
        <w:t>s reflect</w:t>
      </w:r>
      <w:r w:rsidRPr="002F6BC4">
        <w:t xml:space="preserve"> the Government</w:t>
      </w:r>
      <w:r>
        <w:t>’</w:t>
      </w:r>
      <w:r w:rsidRPr="002F6BC4">
        <w:t xml:space="preserve">s budget strategy which focuses on </w:t>
      </w:r>
      <w:r>
        <w:t>investing in high</w:t>
      </w:r>
      <w:r>
        <w:noBreakHyphen/>
      </w:r>
      <w:r w:rsidRPr="002F6BC4">
        <w:t>quality services and productivity enhancing,</w:t>
      </w:r>
      <w:r>
        <w:t xml:space="preserve"> value</w:t>
      </w:r>
      <w:r>
        <w:noBreakHyphen/>
        <w:t>for</w:t>
      </w:r>
      <w:r>
        <w:noBreakHyphen/>
        <w:t>money infrastructure (Box 4.1).</w:t>
      </w:r>
    </w:p>
    <w:p w:rsidR="00116054" w:rsidRDefault="00116054">
      <w:pPr>
        <w:spacing w:after="0"/>
        <w:rPr>
          <w:rFonts w:asciiTheme="minorHAnsi" w:hAnsiTheme="minorHAnsi" w:cstheme="minorHAnsi"/>
          <w:b/>
          <w:szCs w:val="22"/>
        </w:rPr>
      </w:pPr>
      <w:r>
        <w:rPr>
          <w:rFonts w:asciiTheme="minorHAnsi" w:hAnsiTheme="minorHAnsi" w:cstheme="minorHAnsi"/>
          <w:b/>
          <w:i/>
          <w:szCs w:val="22"/>
        </w:rPr>
        <w:br w:type="page"/>
      </w:r>
    </w:p>
    <w:p w:rsidR="00116054" w:rsidRPr="009575D5" w:rsidRDefault="00116054" w:rsidP="009575D5">
      <w:pPr>
        <w:pStyle w:val="HighlightBoxHeading"/>
        <w:rPr>
          <w:rFonts w:asciiTheme="minorHAnsi" w:hAnsiTheme="minorHAnsi" w:cstheme="minorHAnsi"/>
          <w:b/>
          <w:i w:val="0"/>
          <w:sz w:val="22"/>
          <w:szCs w:val="22"/>
        </w:rPr>
      </w:pPr>
      <w:r w:rsidRPr="009575D5">
        <w:rPr>
          <w:rFonts w:asciiTheme="minorHAnsi" w:hAnsiTheme="minorHAnsi" w:cstheme="minorHAnsi"/>
          <w:b/>
          <w:i w:val="0"/>
          <w:sz w:val="22"/>
          <w:szCs w:val="22"/>
        </w:rPr>
        <w:lastRenderedPageBreak/>
        <w:t>Box 4.1: Budget strategy</w:t>
      </w:r>
    </w:p>
    <w:p w:rsidR="00116054" w:rsidRPr="00F11535" w:rsidRDefault="00116054" w:rsidP="00C51ABD">
      <w:pPr>
        <w:pStyle w:val="HighlightBoxText"/>
      </w:pPr>
      <w:r w:rsidRPr="009B6FC0">
        <w:t>The Government</w:t>
      </w:r>
      <w:r>
        <w:t>’</w:t>
      </w:r>
      <w:r w:rsidRPr="009B6FC0">
        <w:t xml:space="preserve">s budget strategy has been adopted to address the shortfall in funding for services inherited from the former government. </w:t>
      </w:r>
      <w:r>
        <w:t>At</w:t>
      </w:r>
      <w:r w:rsidRPr="00B937D5">
        <w:t xml:space="preserve"> the </w:t>
      </w:r>
      <w:r w:rsidRPr="00F11535">
        <w:rPr>
          <w:i/>
        </w:rPr>
        <w:t>2014 Pre</w:t>
      </w:r>
      <w:r>
        <w:rPr>
          <w:i/>
        </w:rPr>
        <w:noBreakHyphen/>
      </w:r>
      <w:r w:rsidRPr="00F11535">
        <w:rPr>
          <w:i/>
        </w:rPr>
        <w:t>Election Budget Update</w:t>
      </w:r>
      <w:r w:rsidRPr="00C06EA8">
        <w:t>, expenses</w:t>
      </w:r>
      <w:r>
        <w:t xml:space="preserve"> were forecast to grow by an average of just 2.5 per cent</w:t>
      </w:r>
      <w:r w:rsidRPr="00F11535">
        <w:t xml:space="preserve"> a year </w:t>
      </w:r>
      <w:r>
        <w:t>over the four years to 2017</w:t>
      </w:r>
      <w:r>
        <w:noBreakHyphen/>
        <w:t>18 at a time when population growth is expected to average 1.8</w:t>
      </w:r>
      <w:r w:rsidRPr="008700A3">
        <w:t> per cent</w:t>
      </w:r>
      <w:r>
        <w:t xml:space="preserve"> and inflation o</w:t>
      </w:r>
      <w:r w:rsidRPr="00F11535">
        <w:t>f 2.</w:t>
      </w:r>
      <w:r>
        <w:t>6 per cent</w:t>
      </w:r>
      <w:r w:rsidRPr="00F11535">
        <w:t>.</w:t>
      </w:r>
    </w:p>
    <w:p w:rsidR="00116054" w:rsidRDefault="00116054" w:rsidP="00C51ABD">
      <w:pPr>
        <w:pStyle w:val="HighlightBoxText"/>
        <w:rPr>
          <w:i/>
        </w:rPr>
      </w:pPr>
      <w:r w:rsidRPr="00C06EA8">
        <w:t>The previous government</w:t>
      </w:r>
      <w:r>
        <w:t>’</w:t>
      </w:r>
      <w:r w:rsidRPr="00C06EA8">
        <w:t xml:space="preserve">s strategy to constrain expenses growth would have resulted in an unsustainable shortfall in the levels of expenditure required to meet the growing demand on core services for families, including on health, education and frontline social services. The </w:t>
      </w:r>
      <w:r w:rsidRPr="002D1E1C">
        <w:rPr>
          <w:i/>
        </w:rPr>
        <w:t>2015</w:t>
      </w:r>
      <w:r>
        <w:rPr>
          <w:i/>
        </w:rPr>
        <w:noBreakHyphen/>
      </w:r>
      <w:r w:rsidRPr="002D1E1C">
        <w:rPr>
          <w:i/>
        </w:rPr>
        <w:t>16 Budget</w:t>
      </w:r>
      <w:r w:rsidRPr="00C06EA8">
        <w:t xml:space="preserve"> begins to correct this shortfall with responsible growth in operating expenses of 3</w:t>
      </w:r>
      <w:r w:rsidRPr="00F11535">
        <w:t>.0</w:t>
      </w:r>
      <w:r>
        <w:t> per cent</w:t>
      </w:r>
      <w:r w:rsidRPr="00F11535">
        <w:t xml:space="preserve"> a</w:t>
      </w:r>
      <w:r w:rsidRPr="00C06EA8">
        <w:t xml:space="preserve"> year, </w:t>
      </w:r>
      <w:r>
        <w:t xml:space="preserve">as compared with revenue growth of 3.4 per cent </w:t>
      </w:r>
      <w:r w:rsidRPr="00C06EA8">
        <w:t>on average</w:t>
      </w:r>
      <w:r>
        <w:t xml:space="preserve"> a year</w:t>
      </w:r>
      <w:r w:rsidRPr="00C06EA8">
        <w:t xml:space="preserve"> over the budget and forward estimates (Chart 4.1).</w:t>
      </w:r>
    </w:p>
    <w:p w:rsidR="00116054" w:rsidRDefault="00116054" w:rsidP="00304F13">
      <w:pPr>
        <w:pStyle w:val="HighlightBoxHeading"/>
        <w:tabs>
          <w:tab w:val="left" w:pos="720"/>
          <w:tab w:val="left" w:pos="1800"/>
        </w:tabs>
        <w:spacing w:after="0"/>
        <w:ind w:left="1170" w:hanging="1170"/>
        <w:jc w:val="both"/>
      </w:pPr>
      <w:r>
        <w:rPr>
          <w:b/>
          <w:i w:val="0"/>
          <w:sz w:val="22"/>
          <w:szCs w:val="22"/>
        </w:rPr>
        <w:tab/>
      </w:r>
      <w:r w:rsidRPr="00B87B4B">
        <w:rPr>
          <w:b/>
          <w:i w:val="0"/>
          <w:sz w:val="22"/>
          <w:szCs w:val="22"/>
        </w:rPr>
        <w:t>Chart 4.1</w:t>
      </w:r>
      <w:r>
        <w:rPr>
          <w:b/>
          <w:i w:val="0"/>
          <w:sz w:val="22"/>
          <w:szCs w:val="22"/>
        </w:rPr>
        <w:t>:</w:t>
      </w:r>
      <w:r>
        <w:rPr>
          <w:b/>
          <w:i w:val="0"/>
          <w:sz w:val="22"/>
          <w:szCs w:val="22"/>
        </w:rPr>
        <w:tab/>
      </w:r>
      <w:r w:rsidRPr="00C06EA8">
        <w:rPr>
          <w:b/>
          <w:i w:val="0"/>
          <w:sz w:val="22"/>
          <w:szCs w:val="22"/>
        </w:rPr>
        <w:t>Average growth in expenses</w:t>
      </w:r>
      <w:r w:rsidRPr="000504DC">
        <w:rPr>
          <w:b/>
          <w:i w:val="0"/>
          <w:sz w:val="22"/>
          <w:szCs w:val="22"/>
          <w:vertAlign w:val="superscript"/>
        </w:rPr>
        <w:t>(a)</w:t>
      </w:r>
      <w:r>
        <w:rPr>
          <w:b/>
          <w:i w:val="0"/>
          <w:sz w:val="22"/>
          <w:szCs w:val="22"/>
          <w:vertAlign w:val="superscript"/>
        </w:rPr>
        <w:t>(b)</w:t>
      </w:r>
    </w:p>
    <w:p w:rsidR="00116054" w:rsidRPr="001866D7" w:rsidRDefault="00CC5D46" w:rsidP="00304F13">
      <w:pPr>
        <w:pStyle w:val="HighlightBoxText"/>
        <w:spacing w:after="0"/>
        <w:jc w:val="center"/>
      </w:pPr>
      <w:r>
        <w:pict>
          <v:shape id="_x0000_i1042" type="#_x0000_t75" style="width:276.2pt;height:232.1pt">
            <v:imagedata r:id="rId38" o:title=""/>
          </v:shape>
        </w:pict>
      </w:r>
    </w:p>
    <w:p w:rsidR="00116054" w:rsidRDefault="00116054" w:rsidP="00304F13">
      <w:pPr>
        <w:pStyle w:val="HighlightBoxHeading"/>
        <w:tabs>
          <w:tab w:val="left" w:pos="1080"/>
        </w:tabs>
        <w:spacing w:after="80"/>
        <w:ind w:right="45"/>
        <w:rPr>
          <w:sz w:val="15"/>
          <w:szCs w:val="15"/>
        </w:rPr>
      </w:pPr>
      <w:r>
        <w:rPr>
          <w:sz w:val="15"/>
          <w:szCs w:val="15"/>
        </w:rPr>
        <w:tab/>
      </w:r>
      <w:r w:rsidRPr="001B19B4">
        <w:rPr>
          <w:sz w:val="15"/>
          <w:szCs w:val="15"/>
        </w:rPr>
        <w:t>Source: Department of Treasury and Finance</w:t>
      </w:r>
    </w:p>
    <w:p w:rsidR="00116054" w:rsidRPr="001B19B4" w:rsidRDefault="00116054" w:rsidP="00304F13">
      <w:pPr>
        <w:pStyle w:val="HighlightBoxHeading"/>
        <w:tabs>
          <w:tab w:val="left" w:pos="1080"/>
        </w:tabs>
        <w:spacing w:after="0"/>
        <w:ind w:left="1440" w:right="45" w:hanging="1440"/>
        <w:rPr>
          <w:sz w:val="15"/>
          <w:szCs w:val="15"/>
        </w:rPr>
      </w:pPr>
      <w:r>
        <w:rPr>
          <w:sz w:val="15"/>
          <w:szCs w:val="15"/>
        </w:rPr>
        <w:tab/>
        <w:t>Notes:</w:t>
      </w:r>
    </w:p>
    <w:p w:rsidR="00116054" w:rsidRDefault="00116054" w:rsidP="00304F13">
      <w:pPr>
        <w:pStyle w:val="HighlightBoxText"/>
        <w:tabs>
          <w:tab w:val="left" w:pos="1080"/>
        </w:tabs>
        <w:spacing w:after="0"/>
        <w:ind w:left="1440" w:right="45" w:hanging="1440"/>
        <w:rPr>
          <w:rFonts w:ascii="Calibri" w:hAnsi="Calibri"/>
          <w:i/>
          <w:sz w:val="15"/>
        </w:rPr>
      </w:pPr>
      <w:r>
        <w:rPr>
          <w:rFonts w:ascii="Calibri" w:hAnsi="Calibri"/>
          <w:i/>
          <w:sz w:val="15"/>
        </w:rPr>
        <w:tab/>
      </w:r>
      <w:r w:rsidRPr="00F11535">
        <w:rPr>
          <w:rFonts w:ascii="Calibri" w:hAnsi="Calibri"/>
          <w:i/>
          <w:sz w:val="15"/>
        </w:rPr>
        <w:t>(a)</w:t>
      </w:r>
      <w:r w:rsidRPr="00F11535">
        <w:rPr>
          <w:rFonts w:ascii="Calibri" w:hAnsi="Calibri"/>
          <w:i/>
          <w:sz w:val="15"/>
        </w:rPr>
        <w:tab/>
        <w:t>Growth in expenses in t</w:t>
      </w:r>
      <w:r>
        <w:rPr>
          <w:rFonts w:ascii="Calibri" w:hAnsi="Calibri"/>
          <w:i/>
          <w:sz w:val="15"/>
        </w:rPr>
        <w:t>he period to 2014</w:t>
      </w:r>
      <w:r>
        <w:rPr>
          <w:rFonts w:ascii="Calibri" w:hAnsi="Calibri"/>
          <w:i/>
          <w:sz w:val="15"/>
        </w:rPr>
        <w:noBreakHyphen/>
      </w:r>
      <w:r w:rsidRPr="00F11535">
        <w:rPr>
          <w:rFonts w:ascii="Calibri" w:hAnsi="Calibri"/>
          <w:i/>
          <w:sz w:val="15"/>
        </w:rPr>
        <w:t>1</w:t>
      </w:r>
      <w:r>
        <w:rPr>
          <w:rFonts w:ascii="Calibri" w:hAnsi="Calibri"/>
          <w:i/>
          <w:sz w:val="15"/>
        </w:rPr>
        <w:t>5</w:t>
      </w:r>
      <w:r w:rsidRPr="00F11535">
        <w:rPr>
          <w:rFonts w:ascii="Calibri" w:hAnsi="Calibri"/>
          <w:i/>
          <w:sz w:val="15"/>
        </w:rPr>
        <w:t xml:space="preserve"> excludes</w:t>
      </w:r>
      <w:r>
        <w:rPr>
          <w:rFonts w:ascii="Calibri" w:hAnsi="Calibri"/>
          <w:i/>
          <w:sz w:val="15"/>
        </w:rPr>
        <w:t xml:space="preserve"> the impact of the revised AASB 119 </w:t>
      </w:r>
      <w:r>
        <w:rPr>
          <w:rFonts w:ascii="Calibri" w:hAnsi="Calibri"/>
          <w:sz w:val="15"/>
        </w:rPr>
        <w:t>Employee </w:t>
      </w:r>
      <w:r w:rsidRPr="00F11535">
        <w:rPr>
          <w:rFonts w:ascii="Calibri" w:hAnsi="Calibri"/>
          <w:sz w:val="15"/>
        </w:rPr>
        <w:t>Benefits</w:t>
      </w:r>
      <w:r w:rsidRPr="00F11535">
        <w:rPr>
          <w:rFonts w:ascii="Calibri" w:hAnsi="Calibri"/>
          <w:i/>
          <w:sz w:val="15"/>
        </w:rPr>
        <w:t>.</w:t>
      </w:r>
    </w:p>
    <w:p w:rsidR="00116054" w:rsidRDefault="00116054" w:rsidP="00304F13">
      <w:pPr>
        <w:pStyle w:val="HighlightBoxText"/>
        <w:tabs>
          <w:tab w:val="left" w:pos="1080"/>
        </w:tabs>
        <w:spacing w:after="0"/>
        <w:ind w:left="1440" w:right="45" w:hanging="1440"/>
        <w:rPr>
          <w:rFonts w:ascii="Calibri" w:hAnsi="Calibri"/>
          <w:i/>
          <w:sz w:val="15"/>
        </w:rPr>
      </w:pPr>
      <w:r>
        <w:rPr>
          <w:rFonts w:ascii="Calibri" w:hAnsi="Calibri"/>
          <w:i/>
          <w:sz w:val="15"/>
        </w:rPr>
        <w:tab/>
        <w:t>(b)</w:t>
      </w:r>
      <w:r>
        <w:rPr>
          <w:rFonts w:ascii="Calibri" w:hAnsi="Calibri"/>
          <w:i/>
          <w:sz w:val="15"/>
        </w:rPr>
        <w:tab/>
        <w:t>The figure for 2014</w:t>
      </w:r>
      <w:r>
        <w:rPr>
          <w:rFonts w:ascii="Calibri" w:hAnsi="Calibri"/>
          <w:i/>
          <w:sz w:val="15"/>
        </w:rPr>
        <w:noBreakHyphen/>
        <w:t>15 used in the calculation of the historical average is an estimate.</w:t>
      </w:r>
    </w:p>
    <w:p w:rsidR="00116054" w:rsidRPr="00F11535" w:rsidRDefault="00116054" w:rsidP="00C51ABD">
      <w:pPr>
        <w:pStyle w:val="HighlightBoxText"/>
        <w:rPr>
          <w:rFonts w:ascii="Calibri" w:hAnsi="Calibri"/>
          <w:i/>
          <w:sz w:val="15"/>
        </w:rPr>
      </w:pPr>
    </w:p>
    <w:p w:rsidR="00116054" w:rsidRDefault="00116054" w:rsidP="00B937D5">
      <w:pPr>
        <w:pStyle w:val="HighlightBoxHeading"/>
        <w:rPr>
          <w:rFonts w:ascii="Garamond" w:hAnsi="Garamond"/>
          <w:i w:val="0"/>
          <w:sz w:val="22"/>
          <w:szCs w:val="22"/>
        </w:rPr>
      </w:pPr>
      <w:r w:rsidRPr="00C06EA8">
        <w:rPr>
          <w:rFonts w:ascii="Garamond" w:hAnsi="Garamond"/>
          <w:i w:val="0"/>
          <w:sz w:val="22"/>
          <w:szCs w:val="22"/>
        </w:rPr>
        <w:t>The Government is committed</w:t>
      </w:r>
      <w:r>
        <w:rPr>
          <w:rFonts w:ascii="Garamond" w:hAnsi="Garamond"/>
          <w:i w:val="0"/>
          <w:sz w:val="22"/>
          <w:szCs w:val="22"/>
        </w:rPr>
        <w:t xml:space="preserve"> </w:t>
      </w:r>
      <w:r w:rsidRPr="00C06EA8">
        <w:rPr>
          <w:rFonts w:ascii="Garamond" w:hAnsi="Garamond"/>
          <w:i w:val="0"/>
          <w:sz w:val="22"/>
          <w:szCs w:val="22"/>
        </w:rPr>
        <w:t>to delivering high quality services and infrastructure for all Victorians in a fiscally responsible manner. Forecast expenditure growth remains low by historical standards and below the corresponding r</w:t>
      </w:r>
      <w:r>
        <w:rPr>
          <w:rFonts w:ascii="Garamond" w:hAnsi="Garamond"/>
          <w:i w:val="0"/>
          <w:sz w:val="22"/>
          <w:szCs w:val="22"/>
        </w:rPr>
        <w:t>ate of growth in revenue</w:t>
      </w:r>
      <w:r w:rsidRPr="00C06EA8">
        <w:rPr>
          <w:rFonts w:ascii="Garamond" w:hAnsi="Garamond"/>
          <w:i w:val="0"/>
          <w:sz w:val="22"/>
          <w:szCs w:val="22"/>
        </w:rPr>
        <w:t>. As a result, the general government sector operating surplus (net result from transactions) is estim</w:t>
      </w:r>
      <w:r>
        <w:rPr>
          <w:rFonts w:ascii="Garamond" w:hAnsi="Garamond"/>
          <w:i w:val="0"/>
          <w:sz w:val="22"/>
          <w:szCs w:val="22"/>
        </w:rPr>
        <w:t>ated to be $1.2 billion in 2015</w:t>
      </w:r>
      <w:r>
        <w:rPr>
          <w:rFonts w:ascii="Garamond" w:hAnsi="Garamond"/>
          <w:i w:val="0"/>
          <w:sz w:val="22"/>
          <w:szCs w:val="22"/>
        </w:rPr>
        <w:noBreakHyphen/>
      </w:r>
      <w:r w:rsidRPr="00C06EA8">
        <w:rPr>
          <w:rFonts w:ascii="Garamond" w:hAnsi="Garamond"/>
          <w:i w:val="0"/>
          <w:sz w:val="22"/>
          <w:szCs w:val="22"/>
        </w:rPr>
        <w:t>16, and grow to $1.8</w:t>
      </w:r>
      <w:r>
        <w:rPr>
          <w:rFonts w:ascii="Garamond" w:hAnsi="Garamond"/>
          <w:i w:val="0"/>
          <w:sz w:val="22"/>
          <w:szCs w:val="22"/>
        </w:rPr>
        <w:t> billion</w:t>
      </w:r>
      <w:r w:rsidRPr="00C06EA8">
        <w:rPr>
          <w:rFonts w:ascii="Garamond" w:hAnsi="Garamond"/>
          <w:i w:val="0"/>
          <w:sz w:val="22"/>
          <w:szCs w:val="22"/>
        </w:rPr>
        <w:t xml:space="preserve"> in 2018</w:t>
      </w:r>
      <w:r>
        <w:rPr>
          <w:rFonts w:ascii="Garamond" w:hAnsi="Garamond"/>
          <w:i w:val="0"/>
          <w:sz w:val="22"/>
          <w:szCs w:val="22"/>
        </w:rPr>
        <w:noBreakHyphen/>
      </w:r>
      <w:r w:rsidRPr="00C06EA8">
        <w:rPr>
          <w:rFonts w:ascii="Garamond" w:hAnsi="Garamond"/>
          <w:i w:val="0"/>
          <w:sz w:val="22"/>
          <w:szCs w:val="22"/>
        </w:rPr>
        <w:t xml:space="preserve">19. </w:t>
      </w:r>
    </w:p>
    <w:p w:rsidR="00116054" w:rsidRDefault="00116054" w:rsidP="00B937D5">
      <w:pPr>
        <w:pStyle w:val="HighlightBoxHeading"/>
        <w:rPr>
          <w:rFonts w:ascii="Garamond" w:hAnsi="Garamond"/>
          <w:i w:val="0"/>
          <w:sz w:val="22"/>
          <w:szCs w:val="22"/>
        </w:rPr>
      </w:pPr>
      <w:r w:rsidRPr="008A5916">
        <w:rPr>
          <w:rFonts w:ascii="Garamond" w:hAnsi="Garamond"/>
          <w:i w:val="0"/>
          <w:sz w:val="22"/>
          <w:szCs w:val="22"/>
        </w:rPr>
        <w:t>Importantly, the cost of providing additional core services does not add to the State</w:t>
      </w:r>
      <w:r>
        <w:rPr>
          <w:rFonts w:ascii="Garamond" w:hAnsi="Garamond"/>
          <w:i w:val="0"/>
          <w:sz w:val="22"/>
          <w:szCs w:val="22"/>
        </w:rPr>
        <w:t>’</w:t>
      </w:r>
      <w:r w:rsidRPr="008A5916">
        <w:rPr>
          <w:rFonts w:ascii="Garamond" w:hAnsi="Garamond"/>
          <w:i w:val="0"/>
          <w:sz w:val="22"/>
          <w:szCs w:val="22"/>
        </w:rPr>
        <w:t>s debt burden. By June 2019, net debt is projected to be 4.4</w:t>
      </w:r>
      <w:r>
        <w:rPr>
          <w:rFonts w:ascii="Garamond" w:hAnsi="Garamond"/>
          <w:i w:val="0"/>
          <w:sz w:val="22"/>
          <w:szCs w:val="22"/>
        </w:rPr>
        <w:t> per cent</w:t>
      </w:r>
      <w:r w:rsidRPr="008A5916">
        <w:rPr>
          <w:rFonts w:ascii="Garamond" w:hAnsi="Garamond"/>
          <w:i w:val="0"/>
          <w:sz w:val="22"/>
          <w:szCs w:val="22"/>
        </w:rPr>
        <w:t xml:space="preserve"> of GSP, lower than inherited by the Government in the </w:t>
      </w:r>
      <w:r w:rsidRPr="008A5916">
        <w:rPr>
          <w:rFonts w:ascii="Garamond" w:hAnsi="Garamond"/>
          <w:sz w:val="22"/>
          <w:szCs w:val="22"/>
        </w:rPr>
        <w:t>2014 Pre</w:t>
      </w:r>
      <w:r>
        <w:rPr>
          <w:rFonts w:ascii="Garamond" w:hAnsi="Garamond"/>
          <w:sz w:val="22"/>
          <w:szCs w:val="22"/>
        </w:rPr>
        <w:noBreakHyphen/>
      </w:r>
      <w:r w:rsidRPr="008A5916">
        <w:rPr>
          <w:rFonts w:ascii="Garamond" w:hAnsi="Garamond"/>
          <w:sz w:val="22"/>
          <w:szCs w:val="22"/>
        </w:rPr>
        <w:t>Election Budget Update</w:t>
      </w:r>
      <w:r w:rsidRPr="008A5916">
        <w:rPr>
          <w:rFonts w:ascii="Garamond" w:hAnsi="Garamond"/>
          <w:i w:val="0"/>
          <w:sz w:val="22"/>
          <w:szCs w:val="22"/>
        </w:rPr>
        <w:t>.</w:t>
      </w:r>
    </w:p>
    <w:p w:rsidR="00116054" w:rsidRPr="00B937D5" w:rsidRDefault="00116054" w:rsidP="00B937D5">
      <w:pPr>
        <w:pStyle w:val="HighlightBoxHeading"/>
        <w:rPr>
          <w:rFonts w:ascii="Garamond" w:hAnsi="Garamond"/>
          <w:i w:val="0"/>
          <w:sz w:val="22"/>
          <w:szCs w:val="22"/>
        </w:rPr>
      </w:pPr>
      <w:r w:rsidRPr="00B937D5">
        <w:rPr>
          <w:rFonts w:ascii="Garamond" w:hAnsi="Garamond"/>
          <w:i w:val="0"/>
          <w:sz w:val="22"/>
          <w:szCs w:val="22"/>
        </w:rPr>
        <w:lastRenderedPageBreak/>
        <w:t>The Government</w:t>
      </w:r>
      <w:r>
        <w:rPr>
          <w:rFonts w:ascii="Garamond" w:hAnsi="Garamond"/>
          <w:i w:val="0"/>
          <w:sz w:val="22"/>
          <w:szCs w:val="22"/>
        </w:rPr>
        <w:t>’</w:t>
      </w:r>
      <w:r w:rsidRPr="00B937D5">
        <w:rPr>
          <w:rFonts w:ascii="Garamond" w:hAnsi="Garamond"/>
          <w:i w:val="0"/>
          <w:sz w:val="22"/>
          <w:szCs w:val="22"/>
        </w:rPr>
        <w:t xml:space="preserve">s prudent approach to funding its priorities for Victorian families continues the tradition upheld by successive </w:t>
      </w:r>
      <w:proofErr w:type="spellStart"/>
      <w:r w:rsidRPr="00B937D5">
        <w:rPr>
          <w:rFonts w:ascii="Garamond" w:hAnsi="Garamond"/>
          <w:i w:val="0"/>
          <w:sz w:val="22"/>
          <w:szCs w:val="22"/>
        </w:rPr>
        <w:t>Labor</w:t>
      </w:r>
      <w:proofErr w:type="spellEnd"/>
      <w:r w:rsidRPr="00B937D5">
        <w:rPr>
          <w:rFonts w:ascii="Garamond" w:hAnsi="Garamond"/>
          <w:i w:val="0"/>
          <w:sz w:val="22"/>
          <w:szCs w:val="22"/>
        </w:rPr>
        <w:t xml:space="preserve"> governments of strong financial management, consistent with its commitment to</w:t>
      </w:r>
      <w:r>
        <w:rPr>
          <w:rFonts w:ascii="Garamond" w:hAnsi="Garamond"/>
          <w:i w:val="0"/>
          <w:sz w:val="22"/>
          <w:szCs w:val="22"/>
        </w:rPr>
        <w:t xml:space="preserve"> maintaining the State’s triple</w:t>
      </w:r>
      <w:r>
        <w:rPr>
          <w:rFonts w:ascii="Garamond" w:hAnsi="Garamond"/>
          <w:i w:val="0"/>
          <w:sz w:val="22"/>
          <w:szCs w:val="22"/>
        </w:rPr>
        <w:noBreakHyphen/>
      </w:r>
      <w:r w:rsidRPr="00B937D5">
        <w:rPr>
          <w:rFonts w:ascii="Garamond" w:hAnsi="Garamond"/>
          <w:i w:val="0"/>
          <w:sz w:val="22"/>
          <w:szCs w:val="22"/>
        </w:rPr>
        <w:t>A credit rating.</w:t>
      </w:r>
    </w:p>
    <w:p w:rsidR="00116054" w:rsidRDefault="00116054" w:rsidP="00B937D5"/>
    <w:p w:rsidR="00116054" w:rsidRPr="007E4E2E" w:rsidRDefault="00116054" w:rsidP="00B937D5">
      <w:r w:rsidRPr="007E4E2E">
        <w:t xml:space="preserve">The </w:t>
      </w:r>
      <w:r w:rsidRPr="007E4E2E">
        <w:rPr>
          <w:i/>
        </w:rPr>
        <w:t>2015</w:t>
      </w:r>
      <w:r>
        <w:rPr>
          <w:i/>
        </w:rPr>
        <w:noBreakHyphen/>
      </w:r>
      <w:r w:rsidRPr="007E4E2E">
        <w:rPr>
          <w:i/>
        </w:rPr>
        <w:t>16 Budget</w:t>
      </w:r>
      <w:r w:rsidRPr="007E4E2E">
        <w:t xml:space="preserve"> delivers $</w:t>
      </w:r>
      <w:r>
        <w:t>9.2 billion</w:t>
      </w:r>
      <w:r w:rsidRPr="007E4E2E">
        <w:t xml:space="preserve"> of </w:t>
      </w:r>
      <w:r>
        <w:t>new output initiatives focusing on:</w:t>
      </w:r>
    </w:p>
    <w:p w:rsidR="00116054" w:rsidRDefault="00116054" w:rsidP="000A63C1">
      <w:pPr>
        <w:pStyle w:val="BulletText"/>
      </w:pPr>
      <w:r w:rsidRPr="007E4E2E">
        <w:t xml:space="preserve">a </w:t>
      </w:r>
      <w:r w:rsidRPr="00315205">
        <w:t>progressive social agenda that invests in key service delivery</w:t>
      </w:r>
      <w:r>
        <w:fldChar w:fldCharType="begin"/>
      </w:r>
      <w:r>
        <w:instrText xml:space="preserve"> XE "</w:instrText>
      </w:r>
      <w:r w:rsidRPr="008008ED">
        <w:instrText>Service delivery</w:instrText>
      </w:r>
      <w:r>
        <w:instrText xml:space="preserve">" </w:instrText>
      </w:r>
      <w:r>
        <w:fldChar w:fldCharType="end"/>
      </w:r>
      <w:r w:rsidRPr="00315205">
        <w:t xml:space="preserve"> across health, disability and community services, responding to social challenges including</w:t>
      </w:r>
      <w:r>
        <w:t xml:space="preserve"> $250 million for </w:t>
      </w:r>
      <w:r w:rsidRPr="00315205">
        <w:t xml:space="preserve">child protection </w:t>
      </w:r>
      <w:r>
        <w:t>and family services,</w:t>
      </w:r>
      <w:r w:rsidRPr="00315205">
        <w:t xml:space="preserve"> </w:t>
      </w:r>
      <w:r>
        <w:t xml:space="preserve">$81 million for </w:t>
      </w:r>
      <w:r w:rsidRPr="00315205">
        <w:t>family violence</w:t>
      </w:r>
      <w:r>
        <w:t xml:space="preserve"> initiatives and</w:t>
      </w:r>
      <w:r w:rsidRPr="00315205">
        <w:t xml:space="preserve"> </w:t>
      </w:r>
      <w:r>
        <w:t xml:space="preserve">$30 million for </w:t>
      </w:r>
      <w:r w:rsidRPr="00315205">
        <w:t>ice addiction</w:t>
      </w:r>
      <w:r>
        <w:t xml:space="preserve"> action,</w:t>
      </w:r>
      <w:r w:rsidRPr="00315205">
        <w:t xml:space="preserve"> so that all Victorians can enjoy an improved standard of living;</w:t>
      </w:r>
    </w:p>
    <w:p w:rsidR="00116054" w:rsidRPr="00FF1811" w:rsidRDefault="00116054" w:rsidP="008F4023">
      <w:pPr>
        <w:pStyle w:val="BulletText"/>
        <w:rPr>
          <w:i/>
        </w:rPr>
      </w:pPr>
      <w:r w:rsidRPr="00FF1811">
        <w:t>the Education State</w:t>
      </w:r>
      <w:r w:rsidRPr="00FF1811">
        <w:fldChar w:fldCharType="begin"/>
      </w:r>
      <w:r w:rsidRPr="00FF1811">
        <w:instrText xml:space="preserve"> XE "Education State" </w:instrText>
      </w:r>
      <w:r w:rsidRPr="00FF1811">
        <w:fldChar w:fldCharType="end"/>
      </w:r>
      <w:r>
        <w:t xml:space="preserve"> commitments which prepare</w:t>
      </w:r>
      <w:r w:rsidRPr="00FF1811">
        <w:t xml:space="preserve"> Victoria’s workforce for a knowledge</w:t>
      </w:r>
      <w:r>
        <w:noBreakHyphen/>
      </w:r>
      <w:r w:rsidRPr="00FF1811">
        <w:t>based economy. The Government is providing $2.9</w:t>
      </w:r>
      <w:r>
        <w:t> billion</w:t>
      </w:r>
      <w:r w:rsidRPr="00FF1811">
        <w:t xml:space="preserve"> of funding over the budget and forward estimates for schools including committing to funding levels in the </w:t>
      </w:r>
      <w:proofErr w:type="spellStart"/>
      <w:r w:rsidRPr="00FF1811">
        <w:t>Gonksi</w:t>
      </w:r>
      <w:proofErr w:type="spellEnd"/>
      <w:r w:rsidRPr="00FF1811">
        <w:t xml:space="preserve"> School Funding Agreement for the 2016 and 2017 school years; and</w:t>
      </w:r>
    </w:p>
    <w:p w:rsidR="00116054" w:rsidRPr="007E4E2E" w:rsidRDefault="00116054" w:rsidP="000A63C1">
      <w:pPr>
        <w:pStyle w:val="BulletText"/>
        <w:rPr>
          <w:i/>
        </w:rPr>
      </w:pPr>
      <w:bookmarkStart w:id="72" w:name="BP2MelbMetroRail"/>
      <w:r>
        <w:t xml:space="preserve">tackling job creation </w:t>
      </w:r>
      <w:r w:rsidRPr="007E4E2E">
        <w:t>that includes the</w:t>
      </w:r>
      <w:r w:rsidRPr="007E4E2E">
        <w:rPr>
          <w:i/>
        </w:rPr>
        <w:t xml:space="preserve"> </w:t>
      </w:r>
      <w:r w:rsidRPr="00F60F4C">
        <w:t>Back to Work</w:t>
      </w:r>
      <w:r w:rsidRPr="007E4E2E">
        <w:t xml:space="preserve"> </w:t>
      </w:r>
      <w:r>
        <w:t>P</w:t>
      </w:r>
      <w:r w:rsidRPr="007E4E2E">
        <w:t>lan w</w:t>
      </w:r>
      <w:r>
        <w:t>ith</w:t>
      </w:r>
      <w:r w:rsidRPr="007E4E2E">
        <w:t xml:space="preserve"> support for businesses to employ people likely to be exclud</w:t>
      </w:r>
      <w:r>
        <w:t>ed from the labour market</w:t>
      </w:r>
      <w:r>
        <w:fldChar w:fldCharType="begin"/>
      </w:r>
      <w:r>
        <w:instrText xml:space="preserve"> XE "</w:instrText>
      </w:r>
      <w:r w:rsidRPr="00AA46A9">
        <w:instrText>Labour market</w:instrText>
      </w:r>
      <w:r>
        <w:instrText xml:space="preserve">" </w:instrText>
      </w:r>
      <w:r>
        <w:fldChar w:fldCharType="end"/>
      </w:r>
      <w:r>
        <w:t xml:space="preserve"> by providing $508 million for the creation of the Premier’s Jobs and Investment Fund, $500 million for the R</w:t>
      </w:r>
      <w:r w:rsidRPr="007E4E2E">
        <w:t xml:space="preserve">egional </w:t>
      </w:r>
      <w:r>
        <w:t>J</w:t>
      </w:r>
      <w:r w:rsidRPr="007E4E2E">
        <w:t xml:space="preserve">obs and </w:t>
      </w:r>
      <w:r>
        <w:t>Infrastructure</w:t>
      </w:r>
      <w:r w:rsidRPr="007E4E2E">
        <w:t xml:space="preserve"> </w:t>
      </w:r>
      <w:r>
        <w:t xml:space="preserve">Fund and $200 million for the Future Industries Fund. These initiatives complement the jobs that will be created through several major project initiatives including the Melbourne Metro Rail Project, </w:t>
      </w:r>
      <w:r w:rsidRPr="006E709C">
        <w:t>the Level Crossing Removal Program and</w:t>
      </w:r>
      <w:r w:rsidRPr="007E4E2E">
        <w:t xml:space="preserve"> </w:t>
      </w:r>
      <w:r>
        <w:t>the School Capital Program.</w:t>
      </w:r>
    </w:p>
    <w:p w:rsidR="00116054" w:rsidRDefault="00116054" w:rsidP="000A7EA7">
      <w:r w:rsidRPr="007E4E2E">
        <w:t>The $</w:t>
      </w:r>
      <w:r>
        <w:t>9.2 billion</w:t>
      </w:r>
      <w:r w:rsidRPr="007E4E2E">
        <w:t xml:space="preserve"> of </w:t>
      </w:r>
      <w:r>
        <w:t>new output expenditure</w:t>
      </w:r>
      <w:r w:rsidRPr="007E4E2E">
        <w:t xml:space="preserve"> includes $</w:t>
      </w:r>
      <w:r>
        <w:t xml:space="preserve">3.2 billion for the Government’s </w:t>
      </w:r>
      <w:r w:rsidRPr="007E4E2E">
        <w:t>election commitments.</w:t>
      </w:r>
      <w:r>
        <w:t xml:space="preserve"> Funding</w:t>
      </w:r>
      <w:r w:rsidRPr="007E4E2E">
        <w:t xml:space="preserve"> </w:t>
      </w:r>
      <w:r>
        <w:t>provisions have been made to deliver the remaining election commitments in future budgets.</w:t>
      </w:r>
    </w:p>
    <w:p w:rsidR="00116054" w:rsidRDefault="00116054" w:rsidP="002F6BC4">
      <w:r w:rsidRPr="007E4E2E">
        <w:t xml:space="preserve">The </w:t>
      </w:r>
      <w:r w:rsidRPr="007E4E2E">
        <w:rPr>
          <w:i/>
        </w:rPr>
        <w:t>2015</w:t>
      </w:r>
      <w:r>
        <w:rPr>
          <w:i/>
        </w:rPr>
        <w:noBreakHyphen/>
      </w:r>
      <w:r w:rsidRPr="007E4E2E">
        <w:rPr>
          <w:i/>
        </w:rPr>
        <w:t>16 Budget</w:t>
      </w:r>
      <w:r w:rsidRPr="007E4E2E">
        <w:t xml:space="preserve"> outlook includes modest revenue measures. A </w:t>
      </w:r>
      <w:r>
        <w:t>3.0 per cent</w:t>
      </w:r>
      <w:r w:rsidRPr="007E4E2E">
        <w:t xml:space="preserve"> </w:t>
      </w:r>
      <w:r>
        <w:t xml:space="preserve">stamp duty </w:t>
      </w:r>
      <w:r w:rsidRPr="007E4E2E">
        <w:t>surcharge is to be applied to</w:t>
      </w:r>
      <w:r>
        <w:t xml:space="preserve"> foreign buyers of residential real estate</w:t>
      </w:r>
      <w:r w:rsidRPr="007E4E2E">
        <w:t xml:space="preserve">, and </w:t>
      </w:r>
      <w:r>
        <w:t xml:space="preserve">a 0.5 per cent </w:t>
      </w:r>
      <w:r w:rsidRPr="007E4E2E">
        <w:t>land tax</w:t>
      </w:r>
      <w:r>
        <w:t xml:space="preserve"> surcharge</w:t>
      </w:r>
      <w:r w:rsidRPr="007E4E2E">
        <w:t xml:space="preserve"> will be</w:t>
      </w:r>
      <w:r>
        <w:t xml:space="preserve"> applied to absentee owners of property in Victoria. </w:t>
      </w:r>
      <w:r w:rsidRPr="004D3F49">
        <w:t xml:space="preserve">These measures do not increase the tax burden on </w:t>
      </w:r>
      <w:r>
        <w:t>Victorian</w:t>
      </w:r>
      <w:r w:rsidRPr="004D3F49">
        <w:t xml:space="preserve"> residents and are consistent with the Government's commitment not to fund its election commitments through increased taxes on the Victorian community.</w:t>
      </w:r>
    </w:p>
    <w:p w:rsidR="00116054" w:rsidRDefault="00116054">
      <w:pPr>
        <w:spacing w:after="0"/>
        <w:rPr>
          <w:rFonts w:asciiTheme="minorHAnsi" w:hAnsiTheme="minorHAnsi" w:cstheme="minorHAnsi"/>
          <w:b/>
          <w:szCs w:val="22"/>
        </w:rPr>
      </w:pPr>
      <w:r>
        <w:rPr>
          <w:rFonts w:asciiTheme="minorHAnsi" w:hAnsiTheme="minorHAnsi" w:cstheme="minorHAnsi"/>
          <w:b/>
          <w:i/>
          <w:szCs w:val="22"/>
        </w:rPr>
        <w:br w:type="page"/>
      </w:r>
    </w:p>
    <w:p w:rsidR="00116054" w:rsidRDefault="00116054" w:rsidP="000C03D6">
      <w:pPr>
        <w:pStyle w:val="HighlightBoxHeading"/>
        <w:rPr>
          <w:rFonts w:asciiTheme="minorHAnsi" w:hAnsiTheme="minorHAnsi" w:cstheme="minorHAnsi"/>
          <w:b/>
          <w:i w:val="0"/>
          <w:sz w:val="22"/>
          <w:szCs w:val="22"/>
        </w:rPr>
      </w:pPr>
      <w:r>
        <w:rPr>
          <w:rFonts w:asciiTheme="minorHAnsi" w:hAnsiTheme="minorHAnsi" w:cstheme="minorHAnsi"/>
          <w:b/>
          <w:i w:val="0"/>
          <w:sz w:val="22"/>
          <w:szCs w:val="22"/>
        </w:rPr>
        <w:lastRenderedPageBreak/>
        <w:t>Box 4.2: East West Link</w:t>
      </w:r>
    </w:p>
    <w:p w:rsidR="00116054" w:rsidRDefault="00116054" w:rsidP="001E595C">
      <w:pPr>
        <w:pStyle w:val="HighlightBoxText"/>
        <w:rPr>
          <w:i/>
        </w:rPr>
      </w:pPr>
      <w:r>
        <w:t>On 15 April 2015, the Government announced that it had negotiated an agreement with the East West Link consortium. Under the agreement, the State will purchase the companies in the consortium (EWL Project Co) for one dollar. All assets owned by EWL Project Co will transfer to the State.</w:t>
      </w:r>
    </w:p>
    <w:p w:rsidR="00116054" w:rsidRDefault="00116054" w:rsidP="001E595C">
      <w:pPr>
        <w:pStyle w:val="HighlightBoxText"/>
        <w:rPr>
          <w:i/>
        </w:rPr>
      </w:pPr>
      <w:r>
        <w:t>Net costs of $339 million had already been drawn down and paid to the consortium for the bid process, design and pre</w:t>
      </w:r>
      <w:r>
        <w:noBreakHyphen/>
        <w:t>construction. These costs have already been incurred and cannot be retrieved. They will be retained by the consortium subject to a certification process between it and the State.</w:t>
      </w:r>
    </w:p>
    <w:p w:rsidR="00116054" w:rsidRDefault="00116054" w:rsidP="001E595C">
      <w:pPr>
        <w:pStyle w:val="HighlightBoxText"/>
        <w:rPr>
          <w:i/>
        </w:rPr>
      </w:pPr>
      <w:r>
        <w:t>A further $81 million of fees were incurred to establish the EWL Project Co credit facility of $3 billion. The State intends to negotiate with the banks to take over that facility to contribute to funding for the Melbourne Metro Rail Project and will receive value for those fees. All rates, fees, swaps and obligations related to the credit facility will now be worked through between the financiers and the State.</w:t>
      </w:r>
      <w:r>
        <w:fldChar w:fldCharType="begin"/>
      </w:r>
      <w:r>
        <w:instrText xml:space="preserve"> XE "</w:instrText>
      </w:r>
      <w:r w:rsidRPr="00B411DF">
        <w:rPr>
          <w:lang w:val="en-US"/>
        </w:rPr>
        <w:instrText>Melbourne Metro Rail Project</w:instrText>
      </w:r>
      <w:r>
        <w:instrText xml:space="preserve">" \r "BP2MelbMetroRail" </w:instrText>
      </w:r>
      <w:r>
        <w:fldChar w:fldCharType="end"/>
      </w:r>
    </w:p>
    <w:bookmarkEnd w:id="72"/>
    <w:p w:rsidR="00116054" w:rsidRDefault="00116054" w:rsidP="001E595C">
      <w:pPr>
        <w:pStyle w:val="HighlightBoxText"/>
        <w:rPr>
          <w:i/>
        </w:rPr>
      </w:pPr>
      <w:r>
        <w:t xml:space="preserve">The </w:t>
      </w:r>
      <w:r w:rsidRPr="00C56D6B">
        <w:rPr>
          <w:i/>
        </w:rPr>
        <w:t>2014</w:t>
      </w:r>
      <w:r>
        <w:rPr>
          <w:i/>
        </w:rPr>
        <w:noBreakHyphen/>
      </w:r>
      <w:r w:rsidRPr="00C56D6B">
        <w:rPr>
          <w:i/>
        </w:rPr>
        <w:t>15 Budget</w:t>
      </w:r>
      <w:r>
        <w:t xml:space="preserve"> disclosed the $6</w:t>
      </w:r>
      <w:r>
        <w:noBreakHyphen/>
        <w:t>$8 billion total estimated investment for East West Link – Eastern Section, and $8</w:t>
      </w:r>
      <w:r>
        <w:noBreakHyphen/>
        <w:t xml:space="preserve">$10 billion for the Western Section. </w:t>
      </w:r>
    </w:p>
    <w:p w:rsidR="00116054" w:rsidRDefault="00116054" w:rsidP="001E595C">
      <w:pPr>
        <w:pStyle w:val="HighlightBoxText"/>
        <w:rPr>
          <w:i/>
        </w:rPr>
      </w:pPr>
      <w:r>
        <w:t>Of this, the project incurred costs under the former Government over 2013</w:t>
      </w:r>
      <w:r>
        <w:noBreakHyphen/>
        <w:t>14 and 2014</w:t>
      </w:r>
      <w:r>
        <w:noBreakHyphen/>
        <w:t xml:space="preserve">15. The majority of these costs relate to land and property acquisitions, which the Government has already announced will now be sold, with the proceeds to offset these costs. </w:t>
      </w:r>
    </w:p>
    <w:p w:rsidR="00116054" w:rsidRDefault="00116054" w:rsidP="001E595C">
      <w:pPr>
        <w:pStyle w:val="HighlightBoxText"/>
        <w:rPr>
          <w:i/>
        </w:rPr>
      </w:pPr>
      <w:r>
        <w:t>The remaining costs relate to planning, procurement and the former Government reimbursing costs incurred by the unsuccessful bidders.</w:t>
      </w:r>
    </w:p>
    <w:p w:rsidR="00116054" w:rsidRDefault="00116054" w:rsidP="001E595C">
      <w:pPr>
        <w:pStyle w:val="HighlightBoxText"/>
      </w:pPr>
      <w:r>
        <w:t xml:space="preserve">With the Government successfully negotiating this agreement with the consortium, the remaining allocated funding, amounting to around $7 billion across the budget and forward estimates, is now available to fund other more critical priorities. </w:t>
      </w:r>
    </w:p>
    <w:p w:rsidR="00116054" w:rsidRDefault="00116054" w:rsidP="006217F6"/>
    <w:p w:rsidR="00116054" w:rsidRDefault="00116054" w:rsidP="006217F6">
      <w:bookmarkStart w:id="73" w:name="BP2GII"/>
      <w:r>
        <w:t>Government infrastructure i</w:t>
      </w:r>
      <w:r w:rsidRPr="007E4E2E">
        <w:t>nvestment (GII) remains at historically high levels. Estimated GII over the budget and forward estimates</w:t>
      </w:r>
      <w:r>
        <w:t xml:space="preserve"> averages</w:t>
      </w:r>
      <w:r w:rsidRPr="007E4E2E">
        <w:t xml:space="preserve"> $</w:t>
      </w:r>
      <w:r>
        <w:t>5.3 billion a year</w:t>
      </w:r>
      <w:r w:rsidRPr="007E4E2E">
        <w:t xml:space="preserve"> compared </w:t>
      </w:r>
      <w:r>
        <w:t xml:space="preserve">with the historical average of </w:t>
      </w:r>
      <w:r w:rsidRPr="007E4E2E">
        <w:t>$</w:t>
      </w:r>
      <w:r>
        <w:t>4.9 billion</w:t>
      </w:r>
      <w:r w:rsidRPr="007E4E2E">
        <w:t xml:space="preserve"> over the </w:t>
      </w:r>
      <w:r>
        <w:t xml:space="preserve">decade </w:t>
      </w:r>
      <w:r w:rsidRPr="007E4E2E">
        <w:t>to 201</w:t>
      </w:r>
      <w:r>
        <w:t>4</w:t>
      </w:r>
      <w:r>
        <w:noBreakHyphen/>
        <w:t xml:space="preserve">15 (Chart 4.2). </w:t>
      </w:r>
    </w:p>
    <w:p w:rsidR="00116054" w:rsidRPr="00D44120" w:rsidRDefault="00116054" w:rsidP="00D44120">
      <w:pPr>
        <w:rPr>
          <w:rStyle w:val="ChartheadingChar"/>
          <w:b w:val="0"/>
        </w:rPr>
      </w:pPr>
      <w:r>
        <w:t xml:space="preserve">The </w:t>
      </w:r>
      <w:r w:rsidRPr="007E4E2E">
        <w:rPr>
          <w:i/>
        </w:rPr>
        <w:t>2015</w:t>
      </w:r>
      <w:r>
        <w:rPr>
          <w:i/>
        </w:rPr>
        <w:noBreakHyphen/>
      </w:r>
      <w:r w:rsidRPr="007E4E2E">
        <w:rPr>
          <w:i/>
        </w:rPr>
        <w:t>16</w:t>
      </w:r>
      <w:r>
        <w:rPr>
          <w:i/>
        </w:rPr>
        <w:t> </w:t>
      </w:r>
      <w:r w:rsidRPr="007E4E2E">
        <w:rPr>
          <w:i/>
        </w:rPr>
        <w:t>Budget</w:t>
      </w:r>
      <w:r w:rsidRPr="007E4E2E">
        <w:t xml:space="preserve"> includes </w:t>
      </w:r>
      <w:r>
        <w:t xml:space="preserve">up to </w:t>
      </w:r>
      <w:r w:rsidRPr="007E4E2E">
        <w:t>$</w:t>
      </w:r>
      <w:r>
        <w:t>22 billion</w:t>
      </w:r>
      <w:r w:rsidRPr="007E4E2E">
        <w:t xml:space="preserve"> </w:t>
      </w:r>
      <w:r>
        <w:t xml:space="preserve">TEI </w:t>
      </w:r>
      <w:r w:rsidRPr="007E4E2E">
        <w:t>of new infrastructure investment</w:t>
      </w:r>
      <w:r>
        <w:fldChar w:fldCharType="begin"/>
      </w:r>
      <w:r>
        <w:instrText xml:space="preserve"> XE "</w:instrText>
      </w:r>
      <w:r w:rsidRPr="000D11FA">
        <w:instrText>Infrastructure investment</w:instrText>
      </w:r>
      <w:r>
        <w:instrText xml:space="preserve">" </w:instrText>
      </w:r>
      <w:r>
        <w:fldChar w:fldCharType="end"/>
      </w:r>
      <w:r w:rsidRPr="007E4E2E">
        <w:t xml:space="preserve"> that </w:t>
      </w:r>
      <w:r>
        <w:t>will improve the longer</w:t>
      </w:r>
      <w:r>
        <w:noBreakHyphen/>
      </w:r>
      <w:r w:rsidRPr="007E4E2E">
        <w:t>term productivity</w:t>
      </w:r>
      <w:r>
        <w:fldChar w:fldCharType="begin"/>
      </w:r>
      <w:r>
        <w:instrText xml:space="preserve"> XE "</w:instrText>
      </w:r>
      <w:r w:rsidRPr="00217E1D">
        <w:instrText>Productivity</w:instrText>
      </w:r>
      <w:r>
        <w:instrText xml:space="preserve">" </w:instrText>
      </w:r>
      <w:r>
        <w:fldChar w:fldCharType="end"/>
      </w:r>
      <w:r w:rsidRPr="007E4E2E">
        <w:t xml:space="preserve"> and liveability of Melbourne and regional </w:t>
      </w:r>
      <w:r>
        <w:t>Victoria</w:t>
      </w:r>
      <w:r w:rsidRPr="007E4E2E">
        <w:t>.</w:t>
      </w:r>
      <w:r>
        <w:t xml:space="preserve"> </w:t>
      </w:r>
    </w:p>
    <w:p w:rsidR="00116054" w:rsidRDefault="00116054">
      <w:pPr>
        <w:spacing w:after="0"/>
        <w:rPr>
          <w:rStyle w:val="ChartheadingChar"/>
        </w:rPr>
      </w:pPr>
      <w:r>
        <w:rPr>
          <w:rStyle w:val="ChartheadingChar"/>
        </w:rPr>
        <w:br w:type="page"/>
      </w:r>
    </w:p>
    <w:p w:rsidR="00116054" w:rsidRPr="00F13C41" w:rsidRDefault="00116054" w:rsidP="00F13C41">
      <w:pPr>
        <w:pStyle w:val="Chartheading"/>
        <w:rPr>
          <w:rStyle w:val="ChartheadingChar"/>
        </w:rPr>
      </w:pPr>
      <w:r w:rsidRPr="00F13C41">
        <w:rPr>
          <w:rStyle w:val="ChartheadingChar"/>
        </w:rPr>
        <w:lastRenderedPageBreak/>
        <w:t>Chart 4.2:</w:t>
      </w:r>
      <w:r w:rsidRPr="00F13C41">
        <w:rPr>
          <w:rStyle w:val="ChartheadingChar"/>
        </w:rPr>
        <w:tab/>
        <w:t>Government infrastructure investment</w:t>
      </w:r>
      <w:r w:rsidRPr="00F13C41">
        <w:rPr>
          <w:rStyle w:val="ChartheadingChar"/>
          <w:vertAlign w:val="superscript"/>
        </w:rPr>
        <w:t>(a)(b)</w:t>
      </w:r>
      <w:r>
        <w:rPr>
          <w:rStyle w:val="ChartheadingChar"/>
          <w:vertAlign w:val="superscript"/>
        </w:rPr>
        <w:t>(c)</w:t>
      </w:r>
    </w:p>
    <w:p w:rsidR="00116054" w:rsidRPr="009B4355" w:rsidRDefault="00CC5D46" w:rsidP="00357977">
      <w:pPr>
        <w:pStyle w:val="Chartpara"/>
      </w:pPr>
      <w:r>
        <w:pict>
          <v:shape id="_x0000_i1043" type="#_x0000_t75" style="width:382.05pt;height:246.1pt">
            <v:imagedata r:id="rId39" o:title=""/>
          </v:shape>
        </w:pict>
      </w:r>
    </w:p>
    <w:p w:rsidR="00116054" w:rsidRDefault="00116054" w:rsidP="001670C1">
      <w:pPr>
        <w:pStyle w:val="Source"/>
      </w:pPr>
      <w:r>
        <w:t>Source: Department of Treasury and Finance</w:t>
      </w:r>
    </w:p>
    <w:p w:rsidR="00116054" w:rsidRDefault="00116054" w:rsidP="00D608F6">
      <w:pPr>
        <w:pStyle w:val="Notes"/>
      </w:pPr>
      <w:r>
        <w:t>Notes:</w:t>
      </w:r>
    </w:p>
    <w:p w:rsidR="00116054" w:rsidRDefault="00116054" w:rsidP="00D608F6">
      <w:pPr>
        <w:pStyle w:val="Notes"/>
      </w:pPr>
      <w:r>
        <w:t xml:space="preserve">(a) </w:t>
      </w:r>
      <w:r>
        <w:tab/>
        <w:t xml:space="preserve">Includes general government net infrastructure investment and estimated </w:t>
      </w:r>
      <w:proofErr w:type="spellStart"/>
      <w:r>
        <w:t>cashflows</w:t>
      </w:r>
      <w:proofErr w:type="spellEnd"/>
      <w:r>
        <w:t xml:space="preserve"> for </w:t>
      </w:r>
      <w:r w:rsidRPr="00F843CD">
        <w:rPr>
          <w:i w:val="0"/>
        </w:rPr>
        <w:t>Partnerships Victoria</w:t>
      </w:r>
      <w:r>
        <w:t xml:space="preserve"> projects.</w:t>
      </w:r>
    </w:p>
    <w:p w:rsidR="00116054" w:rsidRDefault="00116054" w:rsidP="006217F6">
      <w:pPr>
        <w:pStyle w:val="Notes"/>
      </w:pPr>
      <w:r>
        <w:t xml:space="preserve">(b) </w:t>
      </w:r>
      <w:r>
        <w:tab/>
        <w:t>Excludes the impact in 2015</w:t>
      </w:r>
      <w:r>
        <w:noBreakHyphen/>
        <w:t>16 of the medium</w:t>
      </w:r>
      <w:r>
        <w:noBreakHyphen/>
        <w:t>term lease over the operations of the Port of Melbourne</w:t>
      </w:r>
      <w:r>
        <w:fldChar w:fldCharType="begin"/>
      </w:r>
      <w:r>
        <w:instrText xml:space="preserve"> XE "</w:instrText>
      </w:r>
      <w:r w:rsidRPr="00DE4970">
        <w:instrText>Port of Melbourne</w:instrText>
      </w:r>
      <w:r>
        <w:instrText xml:space="preserve">" </w:instrText>
      </w:r>
      <w:r>
        <w:fldChar w:fldCharType="end"/>
      </w:r>
      <w:r>
        <w:t>.</w:t>
      </w:r>
    </w:p>
    <w:p w:rsidR="00116054" w:rsidRDefault="00116054" w:rsidP="008E4263">
      <w:pPr>
        <w:pStyle w:val="Notes"/>
      </w:pPr>
      <w:r>
        <w:t>(c)</w:t>
      </w:r>
      <w:r>
        <w:tab/>
        <w:t>The figure for 2014</w:t>
      </w:r>
      <w:r>
        <w:noBreakHyphen/>
        <w:t>15 is an estimate.</w:t>
      </w:r>
    </w:p>
    <w:p w:rsidR="00116054" w:rsidRDefault="00116054" w:rsidP="006217F6">
      <w:pPr>
        <w:pStyle w:val="Notes"/>
      </w:pPr>
    </w:p>
    <w:p w:rsidR="00116054" w:rsidRDefault="00116054" w:rsidP="006217F6">
      <w:pPr>
        <w:pStyle w:val="Notes"/>
      </w:pPr>
    </w:p>
    <w:p w:rsidR="00116054" w:rsidRDefault="00116054" w:rsidP="002552B4">
      <w:r w:rsidRPr="00094AD3">
        <w:t>The Government is on track to fully fund the State</w:t>
      </w:r>
      <w:r>
        <w:t>’</w:t>
      </w:r>
      <w:r w:rsidRPr="00094AD3">
        <w:t>s unfunded superannuation liability</w:t>
      </w:r>
      <w:r>
        <w:fldChar w:fldCharType="begin"/>
      </w:r>
      <w:r>
        <w:instrText xml:space="preserve"> XE "</w:instrText>
      </w:r>
      <w:proofErr w:type="spellStart"/>
      <w:r w:rsidRPr="00A718DF">
        <w:instrText>Superannuation:</w:instrText>
      </w:r>
      <w:r>
        <w:instrText>Unfunded</w:instrText>
      </w:r>
      <w:proofErr w:type="spellEnd"/>
      <w:r>
        <w:instrText xml:space="preserve"> superannuation liability" </w:instrText>
      </w:r>
      <w:r>
        <w:fldChar w:fldCharType="end"/>
      </w:r>
      <w:r w:rsidRPr="00094AD3">
        <w:t xml:space="preserve"> by 2035. The </w:t>
      </w:r>
      <w:r>
        <w:t>general government superannuation f</w:t>
      </w:r>
      <w:r w:rsidRPr="00094AD3">
        <w:t>unding ratio</w:t>
      </w:r>
      <w:r>
        <w:t xml:space="preserve"> – the proportion of liabilities of the former State Superannuation Fund which is backed by superannuation plan assets – is </w:t>
      </w:r>
      <w:r w:rsidRPr="00094AD3">
        <w:t>projected to increase</w:t>
      </w:r>
      <w:r>
        <w:t xml:space="preserve"> from 46.0 per cent at June 2015</w:t>
      </w:r>
      <w:r w:rsidRPr="00094AD3">
        <w:t xml:space="preserve"> t</w:t>
      </w:r>
      <w:r>
        <w:t>o 48.9 per cent</w:t>
      </w:r>
      <w:r w:rsidRPr="00094AD3">
        <w:t xml:space="preserve"> by June 2019.</w:t>
      </w:r>
      <w:r>
        <w:fldChar w:fldCharType="begin"/>
      </w:r>
      <w:r>
        <w:instrText xml:space="preserve"> XE "</w:instrText>
      </w:r>
      <w:r w:rsidRPr="00200A65">
        <w:instrText>I</w:instrText>
      </w:r>
      <w:r>
        <w:instrText xml:space="preserve">nfrastructure </w:instrText>
      </w:r>
      <w:proofErr w:type="spellStart"/>
      <w:r>
        <w:instrText>i</w:instrText>
      </w:r>
      <w:r w:rsidRPr="00200A65">
        <w:instrText>nvestment:Government</w:instrText>
      </w:r>
      <w:proofErr w:type="spellEnd"/>
      <w:r w:rsidRPr="00200A65">
        <w:instrText xml:space="preserve"> infrastructure investment</w:instrText>
      </w:r>
      <w:r>
        <w:instrText xml:space="preserve">" \r "BP2GII" </w:instrText>
      </w:r>
      <w:r>
        <w:fldChar w:fldCharType="end"/>
      </w:r>
      <w:r w:rsidRPr="007E4E2E">
        <w:t xml:space="preserve"> </w:t>
      </w:r>
    </w:p>
    <w:bookmarkEnd w:id="73"/>
    <w:p w:rsidR="00116054" w:rsidRDefault="00116054">
      <w:pPr>
        <w:spacing w:after="0"/>
        <w:rPr>
          <w:rFonts w:ascii="Calibri" w:hAnsi="Calibri"/>
          <w:b/>
          <w:caps/>
          <w:sz w:val="26"/>
          <w:szCs w:val="22"/>
        </w:rPr>
      </w:pPr>
      <w:r>
        <w:br w:type="page"/>
      </w:r>
    </w:p>
    <w:p w:rsidR="00116054" w:rsidRPr="007E4E2E" w:rsidRDefault="00116054" w:rsidP="006D3D36">
      <w:pPr>
        <w:pStyle w:val="Heading1"/>
      </w:pPr>
      <w:bookmarkStart w:id="74" w:name="_Toc418081696"/>
      <w:bookmarkStart w:id="75" w:name="_Toc418255146"/>
      <w:r w:rsidRPr="007E4E2E">
        <w:lastRenderedPageBreak/>
        <w:t>Budget and forward estimates outlook</w:t>
      </w:r>
      <w:bookmarkEnd w:id="70"/>
      <w:bookmarkEnd w:id="71"/>
      <w:bookmarkEnd w:id="74"/>
      <w:bookmarkEnd w:id="75"/>
    </w:p>
    <w:p w:rsidR="00116054" w:rsidRPr="007E4E2E" w:rsidRDefault="00116054" w:rsidP="0003601A">
      <w:r>
        <w:t>Table 4.2</w:t>
      </w:r>
      <w:r w:rsidRPr="007E4E2E">
        <w:t xml:space="preserve"> summarises the operating statement over the budget and forward estimates for the general government sector. A comprehensive operating statement is presented in </w:t>
      </w:r>
      <w:r>
        <w:t>Table 1.1</w:t>
      </w:r>
      <w:r w:rsidRPr="007E4E2E">
        <w:t xml:space="preserve"> in Budget Paper </w:t>
      </w:r>
      <w:r>
        <w:t>No. </w:t>
      </w:r>
      <w:r w:rsidRPr="007E4E2E">
        <w:t xml:space="preserve">5, </w:t>
      </w:r>
      <w:r>
        <w:t>Chapter </w:t>
      </w:r>
      <w:r w:rsidRPr="007E4E2E">
        <w:t xml:space="preserve">1 </w:t>
      </w:r>
      <w:r w:rsidRPr="007E4E2E">
        <w:rPr>
          <w:i/>
        </w:rPr>
        <w:t>Estimated financial statements and notes</w:t>
      </w:r>
      <w:r w:rsidRPr="007E4E2E">
        <w:t>.</w:t>
      </w:r>
    </w:p>
    <w:p w:rsidR="00116054" w:rsidRPr="0034194F" w:rsidRDefault="00116054" w:rsidP="006D3D36">
      <w:pPr>
        <w:pStyle w:val="Tableheading"/>
      </w:pPr>
      <w:r>
        <w:t>Table 4.2</w:t>
      </w:r>
      <w:r w:rsidRPr="007E4E2E">
        <w:t xml:space="preserve">: </w:t>
      </w:r>
      <w:r>
        <w:tab/>
      </w:r>
      <w:r w:rsidRPr="007E4E2E">
        <w:t>Summary operating statement fo</w:t>
      </w:r>
      <w:r>
        <w:t>r the general government sector</w:t>
      </w:r>
      <w:r w:rsidRPr="00D42DF2">
        <w:rPr>
          <w:vertAlign w:val="superscript"/>
        </w:rPr>
        <w:t>(a)</w:t>
      </w:r>
    </w:p>
    <w:p w:rsidR="00116054" w:rsidRPr="009C70A0" w:rsidRDefault="00116054" w:rsidP="009C70A0">
      <w:pPr>
        <w:pStyle w:val="million"/>
        <w:rPr>
          <w:rFonts w:ascii="Times New Roman" w:hAnsi="Times New Roman"/>
          <w:sz w:val="20"/>
          <w:lang w:eastAsia="en-AU"/>
        </w:rPr>
      </w:pPr>
      <w:r w:rsidRPr="007E4E2E">
        <w:t>($</w:t>
      </w:r>
      <w:r>
        <w:t> million</w:t>
      </w:r>
      <w:r w:rsidRPr="007E4E2E">
        <w: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114"/>
        <w:gridCol w:w="778"/>
        <w:gridCol w:w="892"/>
        <w:gridCol w:w="893"/>
        <w:gridCol w:w="893"/>
        <w:gridCol w:w="893"/>
        <w:gridCol w:w="893"/>
      </w:tblGrid>
      <w:tr w:rsidR="00116054" w:rsidRPr="009C70A0" w:rsidTr="00230BEC">
        <w:trPr>
          <w:cantSplit/>
        </w:trPr>
        <w:tc>
          <w:tcPr>
            <w:tcW w:w="2420" w:type="dxa"/>
            <w:tcBorders>
              <w:top w:val="single" w:sz="4" w:space="0" w:color="auto"/>
              <w:left w:val="single" w:sz="4" w:space="0" w:color="auto"/>
              <w:bottom w:val="nil"/>
              <w:right w:val="nil"/>
            </w:tcBorders>
            <w:shd w:val="clear" w:color="auto" w:fill="000000"/>
          </w:tcPr>
          <w:p w:rsidR="00116054" w:rsidRPr="009C70A0" w:rsidRDefault="00116054" w:rsidP="009C70A0">
            <w:pPr>
              <w:pStyle w:val="Tabletext"/>
              <w:rPr>
                <w:rFonts w:eastAsiaTheme="minorEastAsia"/>
                <w:lang w:eastAsia="en-AU"/>
              </w:rPr>
            </w:pPr>
            <w:r w:rsidRPr="009C70A0">
              <w:rPr>
                <w:rFonts w:eastAsiaTheme="minorEastAsia"/>
                <w:lang w:eastAsia="en-AU"/>
              </w:rPr>
              <w:t xml:space="preserve"> </w:t>
            </w:r>
          </w:p>
        </w:tc>
        <w:tc>
          <w:tcPr>
            <w:tcW w:w="892" w:type="dxa"/>
            <w:gridSpan w:val="2"/>
            <w:tcBorders>
              <w:top w:val="single" w:sz="4" w:space="0" w:color="auto"/>
              <w:left w:val="nil"/>
              <w:bottom w:val="nil"/>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2013</w:t>
            </w:r>
            <w:r>
              <w:rPr>
                <w:rFonts w:eastAsiaTheme="minorEastAsia"/>
                <w:lang w:eastAsia="en-AU"/>
              </w:rPr>
              <w:noBreakHyphen/>
            </w:r>
            <w:r w:rsidRPr="009C70A0">
              <w:rPr>
                <w:rFonts w:eastAsiaTheme="minorEastAsia"/>
                <w:lang w:eastAsia="en-AU"/>
              </w:rPr>
              <w:t>14</w:t>
            </w:r>
          </w:p>
        </w:tc>
        <w:tc>
          <w:tcPr>
            <w:tcW w:w="892" w:type="dxa"/>
            <w:tcBorders>
              <w:top w:val="single" w:sz="4" w:space="0" w:color="auto"/>
              <w:left w:val="nil"/>
              <w:bottom w:val="nil"/>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2014</w:t>
            </w:r>
            <w:r>
              <w:rPr>
                <w:rFonts w:eastAsiaTheme="minorEastAsia"/>
                <w:lang w:eastAsia="en-AU"/>
              </w:rPr>
              <w:noBreakHyphen/>
            </w:r>
            <w:r w:rsidRPr="009C70A0">
              <w:rPr>
                <w:rFonts w:eastAsiaTheme="minorEastAsia"/>
                <w:lang w:eastAsia="en-AU"/>
              </w:rPr>
              <w:t>15</w:t>
            </w:r>
          </w:p>
        </w:tc>
        <w:tc>
          <w:tcPr>
            <w:tcW w:w="893" w:type="dxa"/>
            <w:tcBorders>
              <w:top w:val="single" w:sz="4" w:space="0" w:color="auto"/>
              <w:left w:val="nil"/>
              <w:bottom w:val="nil"/>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2015</w:t>
            </w:r>
            <w:r>
              <w:rPr>
                <w:rFonts w:eastAsiaTheme="minorEastAsia"/>
                <w:lang w:eastAsia="en-AU"/>
              </w:rPr>
              <w:noBreakHyphen/>
            </w:r>
            <w:r w:rsidRPr="009C70A0">
              <w:rPr>
                <w:rFonts w:eastAsiaTheme="minorEastAsia"/>
                <w:lang w:eastAsia="en-AU"/>
              </w:rPr>
              <w:t>16</w:t>
            </w:r>
          </w:p>
        </w:tc>
        <w:tc>
          <w:tcPr>
            <w:tcW w:w="893" w:type="dxa"/>
            <w:tcBorders>
              <w:top w:val="single" w:sz="4" w:space="0" w:color="auto"/>
              <w:left w:val="nil"/>
              <w:bottom w:val="nil"/>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2016</w:t>
            </w:r>
            <w:r>
              <w:rPr>
                <w:rFonts w:eastAsiaTheme="minorEastAsia"/>
                <w:lang w:eastAsia="en-AU"/>
              </w:rPr>
              <w:noBreakHyphen/>
            </w:r>
            <w:r w:rsidRPr="009C70A0">
              <w:rPr>
                <w:rFonts w:eastAsiaTheme="minorEastAsia"/>
                <w:lang w:eastAsia="en-AU"/>
              </w:rPr>
              <w:t>17</w:t>
            </w:r>
          </w:p>
        </w:tc>
        <w:tc>
          <w:tcPr>
            <w:tcW w:w="893" w:type="dxa"/>
            <w:tcBorders>
              <w:top w:val="single" w:sz="4" w:space="0" w:color="auto"/>
              <w:left w:val="nil"/>
              <w:bottom w:val="nil"/>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2017</w:t>
            </w:r>
            <w:r>
              <w:rPr>
                <w:rFonts w:eastAsiaTheme="minorEastAsia"/>
                <w:lang w:eastAsia="en-AU"/>
              </w:rPr>
              <w:noBreakHyphen/>
            </w:r>
            <w:r w:rsidRPr="009C70A0">
              <w:rPr>
                <w:rFonts w:eastAsiaTheme="minorEastAsia"/>
                <w:lang w:eastAsia="en-AU"/>
              </w:rPr>
              <w:t>18</w:t>
            </w:r>
          </w:p>
        </w:tc>
        <w:tc>
          <w:tcPr>
            <w:tcW w:w="893" w:type="dxa"/>
            <w:tcBorders>
              <w:top w:val="single" w:sz="4" w:space="0" w:color="auto"/>
              <w:left w:val="nil"/>
              <w:bottom w:val="nil"/>
              <w:right w:val="single" w:sz="4" w:space="0" w:color="auto"/>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2018</w:t>
            </w:r>
            <w:r>
              <w:rPr>
                <w:rFonts w:eastAsiaTheme="minorEastAsia"/>
                <w:lang w:eastAsia="en-AU"/>
              </w:rPr>
              <w:noBreakHyphen/>
            </w:r>
            <w:r w:rsidRPr="009C70A0">
              <w:rPr>
                <w:rFonts w:eastAsiaTheme="minorEastAsia"/>
                <w:lang w:eastAsia="en-AU"/>
              </w:rPr>
              <w:t>19</w:t>
            </w:r>
          </w:p>
        </w:tc>
      </w:tr>
      <w:tr w:rsidR="00116054" w:rsidRPr="009C70A0" w:rsidTr="00230BEC">
        <w:trPr>
          <w:cantSplit/>
        </w:trPr>
        <w:tc>
          <w:tcPr>
            <w:tcW w:w="2420" w:type="dxa"/>
            <w:tcBorders>
              <w:top w:val="nil"/>
              <w:left w:val="single" w:sz="4" w:space="0" w:color="auto"/>
              <w:bottom w:val="single" w:sz="4" w:space="0" w:color="auto"/>
              <w:right w:val="nil"/>
            </w:tcBorders>
            <w:shd w:val="clear" w:color="auto" w:fill="000000"/>
          </w:tcPr>
          <w:p w:rsidR="00116054" w:rsidRPr="009C70A0" w:rsidRDefault="00116054" w:rsidP="009C70A0">
            <w:pPr>
              <w:pStyle w:val="Tabletext"/>
              <w:rPr>
                <w:rFonts w:eastAsiaTheme="minorEastAsia"/>
                <w:lang w:eastAsia="en-AU"/>
              </w:rPr>
            </w:pPr>
            <w:r w:rsidRPr="009C70A0">
              <w:rPr>
                <w:rFonts w:eastAsiaTheme="minorEastAsia"/>
                <w:lang w:eastAsia="en-AU"/>
              </w:rPr>
              <w:t xml:space="preserve"> </w:t>
            </w:r>
          </w:p>
        </w:tc>
        <w:tc>
          <w:tcPr>
            <w:tcW w:w="892" w:type="dxa"/>
            <w:gridSpan w:val="2"/>
            <w:tcBorders>
              <w:top w:val="nil"/>
              <w:left w:val="nil"/>
              <w:bottom w:val="single" w:sz="4" w:space="0" w:color="auto"/>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116054" w:rsidRPr="009C70A0" w:rsidRDefault="00116054" w:rsidP="009C70A0">
            <w:pPr>
              <w:pStyle w:val="Tabletextheading"/>
              <w:rPr>
                <w:rFonts w:eastAsiaTheme="minorEastAsia"/>
                <w:lang w:eastAsia="en-AU"/>
              </w:rPr>
            </w:pPr>
            <w:r w:rsidRPr="009C70A0">
              <w:rPr>
                <w:rFonts w:eastAsiaTheme="minorEastAsia"/>
                <w:lang w:eastAsia="en-AU"/>
              </w:rPr>
              <w:t>estimate</w:t>
            </w:r>
          </w:p>
        </w:tc>
      </w:tr>
      <w:tr w:rsidR="00116054" w:rsidRPr="009C70A0" w:rsidTr="00230BEC">
        <w:trPr>
          <w:cantSplit/>
        </w:trPr>
        <w:tc>
          <w:tcPr>
            <w:tcW w:w="2420" w:type="dxa"/>
            <w:tcBorders>
              <w:top w:val="single" w:sz="4" w:space="0" w:color="auto"/>
              <w:left w:val="nil"/>
              <w:bottom w:val="nil"/>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Revenue</w:t>
            </w:r>
          </w:p>
        </w:tc>
        <w:tc>
          <w:tcPr>
            <w:tcW w:w="892" w:type="dxa"/>
            <w:gridSpan w:val="2"/>
            <w:tcBorders>
              <w:top w:val="single" w:sz="4" w:space="0" w:color="auto"/>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2" w:type="dxa"/>
            <w:tcBorders>
              <w:top w:val="single" w:sz="4" w:space="0" w:color="auto"/>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Taxation</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16 901</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18 274</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19 024</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19 804</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20 403</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21 340</w:t>
            </w:r>
          </w:p>
        </w:tc>
      </w:tr>
      <w:tr w:rsidR="00116054" w:rsidRPr="009C70A0" w:rsidTr="00230BEC">
        <w:trPr>
          <w:cantSplit/>
        </w:trPr>
        <w:tc>
          <w:tcPr>
            <w:tcW w:w="2534" w:type="dxa"/>
            <w:gridSpan w:val="2"/>
            <w:tcBorders>
              <w:top w:val="nil"/>
              <w:left w:val="nil"/>
              <w:bottom w:val="nil"/>
              <w:right w:val="nil"/>
            </w:tcBorders>
            <w:shd w:val="solid" w:color="FFFFFF" w:fill="auto"/>
          </w:tcPr>
          <w:p w:rsidR="00116054" w:rsidRPr="009C70A0" w:rsidRDefault="00116054" w:rsidP="009C70A0">
            <w:pPr>
              <w:pStyle w:val="Tabletext"/>
              <w:rPr>
                <w:rFonts w:eastAsiaTheme="minorEastAsia"/>
                <w:vertAlign w:val="superscript"/>
                <w:lang w:eastAsia="en-AU"/>
              </w:rPr>
            </w:pPr>
            <w:r w:rsidRPr="009C70A0">
              <w:rPr>
                <w:rFonts w:eastAsiaTheme="minorEastAsia"/>
                <w:lang w:eastAsia="en-AU"/>
              </w:rPr>
              <w:t xml:space="preserve">Dividends, TER and interest </w:t>
            </w:r>
            <w:r w:rsidRPr="009C70A0">
              <w:rPr>
                <w:rFonts w:eastAsiaTheme="minorEastAsia"/>
                <w:vertAlign w:val="superscript"/>
                <w:lang w:eastAsia="en-AU"/>
              </w:rPr>
              <w:t>(b)</w:t>
            </w:r>
          </w:p>
        </w:tc>
        <w:tc>
          <w:tcPr>
            <w:tcW w:w="778"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1 277</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1 850</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1 975</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1 841</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1 874</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1 919</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Sales of goods and services</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6 725</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6 525</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6 779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6 909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7 016</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7 026</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Grants</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25 145</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24 584</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25 579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26 090</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27 508</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28 605</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Other current revenue</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2 317</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2 309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2 171</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2 249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2 235</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2 289</w:t>
            </w:r>
          </w:p>
        </w:tc>
      </w:tr>
      <w:tr w:rsidR="00116054" w:rsidRPr="009C70A0" w:rsidTr="00230BEC">
        <w:trPr>
          <w:cantSplit/>
        </w:trPr>
        <w:tc>
          <w:tcPr>
            <w:tcW w:w="2420" w:type="dxa"/>
            <w:tcBorders>
              <w:top w:val="single" w:sz="6" w:space="0" w:color="auto"/>
              <w:left w:val="nil"/>
              <w:bottom w:val="nil"/>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Total revenue</w:t>
            </w:r>
          </w:p>
        </w:tc>
        <w:tc>
          <w:tcPr>
            <w:tcW w:w="892" w:type="dxa"/>
            <w:gridSpan w:val="2"/>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52 365</w:t>
            </w:r>
          </w:p>
        </w:tc>
        <w:tc>
          <w:tcPr>
            <w:tcW w:w="892"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53 542</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55 529</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56 894</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59 037</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61 179</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cs="Calibri"/>
                <w:i/>
                <w:iCs/>
                <w:color w:val="000000"/>
                <w:vertAlign w:val="superscript"/>
                <w:lang w:eastAsia="en-AU"/>
              </w:rPr>
            </w:pPr>
            <w:r w:rsidRPr="009C70A0">
              <w:rPr>
                <w:rFonts w:eastAsiaTheme="minorEastAsia"/>
                <w:i/>
                <w:iCs/>
                <w:lang w:eastAsia="en-AU"/>
              </w:rPr>
              <w:t xml:space="preserve">% change </w:t>
            </w:r>
            <w:r w:rsidRPr="009C70A0">
              <w:rPr>
                <w:rFonts w:eastAsiaTheme="minorEastAsia" w:cs="Calibri"/>
                <w:iCs/>
                <w:color w:val="000000"/>
                <w:vertAlign w:val="superscript"/>
                <w:lang w:eastAsia="en-AU"/>
              </w:rPr>
              <w:t>(c)</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7.7</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2.2</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3.7</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2.5</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3.8</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3.6</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 xml:space="preserve"> </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Expenses</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 xml:space="preserve"> </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Employee expenses</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18 012</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18 478</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19 903</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20 568</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21 492</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22 346</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vertAlign w:val="superscript"/>
                <w:lang w:eastAsia="en-AU"/>
              </w:rPr>
            </w:pPr>
            <w:r w:rsidRPr="009C70A0">
              <w:rPr>
                <w:rFonts w:eastAsiaTheme="minorEastAsia"/>
                <w:lang w:eastAsia="en-AU"/>
              </w:rPr>
              <w:t xml:space="preserve">Superannuation </w:t>
            </w:r>
            <w:r w:rsidRPr="009C70A0">
              <w:rPr>
                <w:rFonts w:eastAsiaTheme="minorEastAsia"/>
                <w:vertAlign w:val="superscript"/>
                <w:lang w:eastAsia="en-AU"/>
              </w:rPr>
              <w:t>(d)</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2 929</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2 902</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2 988</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2 967</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2 953</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2 946</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Depreciation</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2 364</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2 497</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2 577</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2 722</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2 880</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3 146</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Interest expense</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2 138</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2 103</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2 096</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2 099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2 163</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2 118</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Other operating expenses</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17 360</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18 459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18 058</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17 993</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18 636</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18 945</w:t>
            </w:r>
          </w:p>
        </w:tc>
      </w:tr>
      <w:tr w:rsidR="00116054" w:rsidRPr="009C70A0" w:rsidTr="00230BEC">
        <w:trPr>
          <w:cantSplit/>
        </w:trPr>
        <w:tc>
          <w:tcPr>
            <w:tcW w:w="2420" w:type="dxa"/>
            <w:tcBorders>
              <w:top w:val="nil"/>
              <w:left w:val="nil"/>
              <w:bottom w:val="single" w:sz="6" w:space="0" w:color="auto"/>
              <w:right w:val="nil"/>
            </w:tcBorders>
            <w:shd w:val="solid" w:color="FFFFFF" w:fill="auto"/>
          </w:tcPr>
          <w:p w:rsidR="00116054" w:rsidRPr="009C70A0" w:rsidRDefault="00116054" w:rsidP="009C70A0">
            <w:pPr>
              <w:pStyle w:val="Tabletext"/>
              <w:rPr>
                <w:rFonts w:eastAsiaTheme="minorEastAsia"/>
                <w:lang w:eastAsia="en-AU"/>
              </w:rPr>
            </w:pPr>
            <w:r w:rsidRPr="009C70A0">
              <w:rPr>
                <w:rFonts w:eastAsiaTheme="minorEastAsia"/>
                <w:lang w:eastAsia="en-AU"/>
              </w:rPr>
              <w:t>Grants and other transfers</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7 586</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8 220</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8 687</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9 149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9 547</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9 849</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Total expenses</w:t>
            </w:r>
          </w:p>
        </w:tc>
        <w:tc>
          <w:tcPr>
            <w:tcW w:w="892" w:type="dxa"/>
            <w:gridSpan w:val="2"/>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50 388</w:t>
            </w:r>
          </w:p>
        </w:tc>
        <w:tc>
          <w:tcPr>
            <w:tcW w:w="892"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52 659</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54 310</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55 497</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57 671</w:t>
            </w:r>
          </w:p>
        </w:tc>
        <w:tc>
          <w:tcPr>
            <w:tcW w:w="893" w:type="dxa"/>
            <w:tcBorders>
              <w:top w:val="single" w:sz="6" w:space="0" w:color="auto"/>
              <w:left w:val="nil"/>
              <w:bottom w:val="nil"/>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59 351</w:t>
            </w:r>
          </w:p>
        </w:tc>
      </w:tr>
      <w:tr w:rsidR="00116054" w:rsidRPr="009C70A0" w:rsidTr="00230BEC">
        <w:trPr>
          <w:cantSplit/>
        </w:trPr>
        <w:tc>
          <w:tcPr>
            <w:tcW w:w="2420" w:type="dxa"/>
            <w:tcBorders>
              <w:top w:val="nil"/>
              <w:left w:val="nil"/>
              <w:bottom w:val="nil"/>
              <w:right w:val="nil"/>
            </w:tcBorders>
            <w:shd w:val="solid" w:color="FFFFFF" w:fill="auto"/>
          </w:tcPr>
          <w:p w:rsidR="00116054" w:rsidRPr="009C70A0" w:rsidRDefault="00116054" w:rsidP="009C70A0">
            <w:pPr>
              <w:pStyle w:val="Tabletext"/>
              <w:rPr>
                <w:rFonts w:eastAsiaTheme="minorEastAsia"/>
                <w:i/>
                <w:iCs/>
                <w:lang w:eastAsia="en-AU"/>
              </w:rPr>
            </w:pPr>
            <w:r w:rsidRPr="009C70A0">
              <w:rPr>
                <w:rFonts w:eastAsiaTheme="minorEastAsia"/>
                <w:i/>
                <w:iCs/>
                <w:lang w:eastAsia="en-AU"/>
              </w:rPr>
              <w:t>% change</w:t>
            </w:r>
          </w:p>
        </w:tc>
        <w:tc>
          <w:tcPr>
            <w:tcW w:w="892" w:type="dxa"/>
            <w:gridSpan w:val="2"/>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3.0</w:t>
            </w:r>
          </w:p>
        </w:tc>
        <w:tc>
          <w:tcPr>
            <w:tcW w:w="892"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4.5</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3.1</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2.2</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3.9</w:t>
            </w:r>
          </w:p>
        </w:tc>
        <w:tc>
          <w:tcPr>
            <w:tcW w:w="893" w:type="dxa"/>
            <w:tcBorders>
              <w:top w:val="nil"/>
              <w:left w:val="nil"/>
              <w:bottom w:val="nil"/>
              <w:right w:val="nil"/>
            </w:tcBorders>
            <w:shd w:val="solid" w:color="FFFFFF" w:fill="auto"/>
          </w:tcPr>
          <w:p w:rsidR="00116054" w:rsidRPr="009C70A0" w:rsidRDefault="00116054" w:rsidP="009C70A0">
            <w:pPr>
              <w:pStyle w:val="TableofFigures"/>
              <w:rPr>
                <w:rFonts w:eastAsiaTheme="minorEastAsia"/>
                <w:color w:val="000000"/>
                <w:lang w:eastAsia="en-AU"/>
              </w:rPr>
            </w:pPr>
            <w:r w:rsidRPr="009C70A0">
              <w:rPr>
                <w:rFonts w:eastAsiaTheme="minorEastAsia"/>
                <w:color w:val="000000"/>
                <w:lang w:eastAsia="en-AU"/>
              </w:rPr>
              <w:t>2.9</w:t>
            </w:r>
          </w:p>
        </w:tc>
      </w:tr>
      <w:tr w:rsidR="00116054" w:rsidRPr="009C70A0" w:rsidTr="00230BEC">
        <w:trPr>
          <w:cantSplit/>
        </w:trPr>
        <w:tc>
          <w:tcPr>
            <w:tcW w:w="2420"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Net result from transactions</w:t>
            </w:r>
          </w:p>
        </w:tc>
        <w:tc>
          <w:tcPr>
            <w:tcW w:w="892" w:type="dxa"/>
            <w:gridSpan w:val="2"/>
            <w:tcBorders>
              <w:top w:val="single" w:sz="6" w:space="0" w:color="auto"/>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1 976</w:t>
            </w:r>
          </w:p>
        </w:tc>
        <w:tc>
          <w:tcPr>
            <w:tcW w:w="892"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xml:space="preserve"> 883</w:t>
            </w:r>
          </w:p>
        </w:tc>
        <w:tc>
          <w:tcPr>
            <w:tcW w:w="893"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1 219</w:t>
            </w:r>
          </w:p>
        </w:tc>
        <w:tc>
          <w:tcPr>
            <w:tcW w:w="893"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1 397</w:t>
            </w:r>
          </w:p>
        </w:tc>
        <w:tc>
          <w:tcPr>
            <w:tcW w:w="893"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ofFigures"/>
              <w:rPr>
                <w:rFonts w:eastAsiaTheme="minorEastAsia" w:cs="Calibri"/>
                <w:b/>
                <w:bCs/>
                <w:color w:val="000000"/>
                <w:lang w:eastAsia="en-AU"/>
              </w:rPr>
            </w:pPr>
            <w:r w:rsidRPr="009C70A0">
              <w:rPr>
                <w:rFonts w:eastAsiaTheme="minorEastAsia"/>
                <w:b/>
                <w:bCs/>
                <w:color w:val="000000"/>
                <w:lang w:eastAsia="en-AU"/>
              </w:rPr>
              <w:t>1 366</w:t>
            </w:r>
          </w:p>
        </w:tc>
        <w:tc>
          <w:tcPr>
            <w:tcW w:w="893"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1 828</w:t>
            </w:r>
          </w:p>
        </w:tc>
      </w:tr>
      <w:tr w:rsidR="00116054" w:rsidRPr="009C70A0" w:rsidTr="00230BEC">
        <w:trPr>
          <w:cantSplit/>
        </w:trPr>
        <w:tc>
          <w:tcPr>
            <w:tcW w:w="2420" w:type="dxa"/>
            <w:tcBorders>
              <w:top w:val="single" w:sz="6" w:space="0" w:color="auto"/>
              <w:left w:val="nil"/>
              <w:bottom w:val="single" w:sz="6" w:space="0" w:color="auto"/>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Total other economic flows included in net result</w:t>
            </w:r>
          </w:p>
        </w:tc>
        <w:tc>
          <w:tcPr>
            <w:tcW w:w="892" w:type="dxa"/>
            <w:gridSpan w:val="2"/>
            <w:tcBorders>
              <w:top w:val="nil"/>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(1 203)</w:t>
            </w:r>
          </w:p>
        </w:tc>
        <w:tc>
          <w:tcPr>
            <w:tcW w:w="892" w:type="dxa"/>
            <w:tcBorders>
              <w:top w:val="nil"/>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( 351)</w:t>
            </w:r>
          </w:p>
        </w:tc>
        <w:tc>
          <w:tcPr>
            <w:tcW w:w="893" w:type="dxa"/>
            <w:tcBorders>
              <w:top w:val="nil"/>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5 147</w:t>
            </w:r>
          </w:p>
        </w:tc>
        <w:tc>
          <w:tcPr>
            <w:tcW w:w="893" w:type="dxa"/>
            <w:tcBorders>
              <w:top w:val="nil"/>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( 256)</w:t>
            </w:r>
          </w:p>
        </w:tc>
        <w:tc>
          <w:tcPr>
            <w:tcW w:w="893" w:type="dxa"/>
            <w:tcBorders>
              <w:top w:val="nil"/>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( 256)</w:t>
            </w:r>
          </w:p>
        </w:tc>
        <w:tc>
          <w:tcPr>
            <w:tcW w:w="893" w:type="dxa"/>
            <w:tcBorders>
              <w:top w:val="nil"/>
              <w:left w:val="nil"/>
              <w:bottom w:val="single" w:sz="6"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( 275)</w:t>
            </w:r>
          </w:p>
        </w:tc>
      </w:tr>
      <w:tr w:rsidR="00116054" w:rsidRPr="009C70A0" w:rsidTr="00230BEC">
        <w:trPr>
          <w:cantSplit/>
        </w:trPr>
        <w:tc>
          <w:tcPr>
            <w:tcW w:w="2420" w:type="dxa"/>
            <w:tcBorders>
              <w:top w:val="single" w:sz="6" w:space="0" w:color="auto"/>
              <w:left w:val="nil"/>
              <w:bottom w:val="single" w:sz="12" w:space="0" w:color="auto"/>
              <w:right w:val="nil"/>
            </w:tcBorders>
            <w:shd w:val="solid" w:color="FFFFFF" w:fill="auto"/>
          </w:tcPr>
          <w:p w:rsidR="00116054" w:rsidRPr="009C70A0" w:rsidRDefault="00116054" w:rsidP="009C70A0">
            <w:pPr>
              <w:pStyle w:val="Tabletext"/>
              <w:rPr>
                <w:rFonts w:eastAsiaTheme="minorEastAsia"/>
                <w:b/>
                <w:bCs/>
                <w:lang w:eastAsia="en-AU"/>
              </w:rPr>
            </w:pPr>
            <w:r w:rsidRPr="009C70A0">
              <w:rPr>
                <w:rFonts w:eastAsiaTheme="minorEastAsia"/>
                <w:b/>
                <w:bCs/>
                <w:lang w:eastAsia="en-AU"/>
              </w:rPr>
              <w:t>Net result</w:t>
            </w:r>
          </w:p>
        </w:tc>
        <w:tc>
          <w:tcPr>
            <w:tcW w:w="892" w:type="dxa"/>
            <w:gridSpan w:val="2"/>
            <w:tcBorders>
              <w:top w:val="single" w:sz="6" w:space="0" w:color="auto"/>
              <w:left w:val="nil"/>
              <w:bottom w:val="single" w:sz="12"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xml:space="preserve"> 773</w:t>
            </w:r>
          </w:p>
        </w:tc>
        <w:tc>
          <w:tcPr>
            <w:tcW w:w="892" w:type="dxa"/>
            <w:tcBorders>
              <w:top w:val="single" w:sz="6" w:space="0" w:color="auto"/>
              <w:left w:val="nil"/>
              <w:bottom w:val="single" w:sz="12"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 xml:space="preserve"> 532</w:t>
            </w:r>
          </w:p>
        </w:tc>
        <w:tc>
          <w:tcPr>
            <w:tcW w:w="893" w:type="dxa"/>
            <w:tcBorders>
              <w:top w:val="single" w:sz="6" w:space="0" w:color="auto"/>
              <w:left w:val="nil"/>
              <w:bottom w:val="single" w:sz="12"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6 366</w:t>
            </w:r>
          </w:p>
        </w:tc>
        <w:tc>
          <w:tcPr>
            <w:tcW w:w="893" w:type="dxa"/>
            <w:tcBorders>
              <w:top w:val="single" w:sz="6" w:space="0" w:color="auto"/>
              <w:left w:val="nil"/>
              <w:bottom w:val="single" w:sz="12"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1 141</w:t>
            </w:r>
          </w:p>
        </w:tc>
        <w:tc>
          <w:tcPr>
            <w:tcW w:w="893" w:type="dxa"/>
            <w:tcBorders>
              <w:top w:val="single" w:sz="6" w:space="0" w:color="auto"/>
              <w:left w:val="nil"/>
              <w:bottom w:val="single" w:sz="12" w:space="0" w:color="auto"/>
              <w:right w:val="nil"/>
            </w:tcBorders>
            <w:shd w:val="solid" w:color="FFFFFF" w:fill="auto"/>
          </w:tcPr>
          <w:p w:rsidR="00116054" w:rsidRPr="009C70A0" w:rsidRDefault="00116054" w:rsidP="009C70A0">
            <w:pPr>
              <w:pStyle w:val="TableofFigures"/>
              <w:rPr>
                <w:rFonts w:eastAsiaTheme="minorEastAsia" w:cs="Calibri"/>
                <w:b/>
                <w:bCs/>
                <w:color w:val="000000"/>
                <w:lang w:eastAsia="en-AU"/>
              </w:rPr>
            </w:pPr>
            <w:r w:rsidRPr="009C70A0">
              <w:rPr>
                <w:rFonts w:eastAsiaTheme="minorEastAsia"/>
                <w:b/>
                <w:bCs/>
                <w:color w:val="000000"/>
                <w:lang w:eastAsia="en-AU"/>
              </w:rPr>
              <w:t>1 110</w:t>
            </w:r>
          </w:p>
        </w:tc>
        <w:tc>
          <w:tcPr>
            <w:tcW w:w="893" w:type="dxa"/>
            <w:tcBorders>
              <w:top w:val="single" w:sz="6" w:space="0" w:color="auto"/>
              <w:left w:val="nil"/>
              <w:bottom w:val="single" w:sz="12" w:space="0" w:color="auto"/>
              <w:right w:val="nil"/>
            </w:tcBorders>
            <w:shd w:val="solid" w:color="FFFFFF" w:fill="auto"/>
          </w:tcPr>
          <w:p w:rsidR="00116054" w:rsidRPr="009C70A0" w:rsidRDefault="00116054" w:rsidP="009C70A0">
            <w:pPr>
              <w:pStyle w:val="TableofFigures"/>
              <w:rPr>
                <w:rFonts w:eastAsiaTheme="minorEastAsia"/>
                <w:b/>
                <w:bCs/>
                <w:color w:val="000000"/>
                <w:lang w:eastAsia="en-AU"/>
              </w:rPr>
            </w:pPr>
            <w:r w:rsidRPr="009C70A0">
              <w:rPr>
                <w:rFonts w:eastAsiaTheme="minorEastAsia"/>
                <w:b/>
                <w:bCs/>
                <w:color w:val="000000"/>
                <w:lang w:eastAsia="en-AU"/>
              </w:rPr>
              <w:t>1 553</w:t>
            </w:r>
          </w:p>
        </w:tc>
      </w:tr>
    </w:tbl>
    <w:p w:rsidR="00116054" w:rsidRPr="007E4E2E" w:rsidRDefault="00116054" w:rsidP="006D3D36">
      <w:pPr>
        <w:pStyle w:val="Source"/>
      </w:pPr>
      <w:r w:rsidRPr="007E4E2E">
        <w:t>Source: Department of Treasury and Finance</w:t>
      </w:r>
    </w:p>
    <w:p w:rsidR="00116054" w:rsidRPr="007E4E2E" w:rsidRDefault="00116054" w:rsidP="00B5486D">
      <w:pPr>
        <w:pStyle w:val="Notes"/>
      </w:pPr>
      <w:r>
        <w:t>Notes:</w:t>
      </w:r>
    </w:p>
    <w:p w:rsidR="00116054" w:rsidRDefault="00116054" w:rsidP="00D42DF2">
      <w:pPr>
        <w:pStyle w:val="Notes"/>
      </w:pPr>
      <w:r w:rsidRPr="007E4E2E">
        <w:t xml:space="preserve">(a) </w:t>
      </w:r>
      <w:r w:rsidRPr="007E4E2E">
        <w:tab/>
      </w:r>
      <w:r>
        <w:t>Figures in this table are subject to rounding to the nearest million and may not add up to totals.</w:t>
      </w:r>
    </w:p>
    <w:p w:rsidR="00116054" w:rsidRDefault="00116054" w:rsidP="00D42DF2">
      <w:pPr>
        <w:pStyle w:val="Notes"/>
      </w:pPr>
      <w:r w:rsidRPr="007E4E2E">
        <w:t xml:space="preserve">(b) </w:t>
      </w:r>
      <w:r w:rsidRPr="007E4E2E">
        <w:tab/>
        <w:t>Comprises dividends, income tax and rate equi</w:t>
      </w:r>
      <w:r>
        <w:t>valent revenue and interest.</w:t>
      </w:r>
    </w:p>
    <w:p w:rsidR="00116054" w:rsidRDefault="00116054" w:rsidP="00D42DF2">
      <w:pPr>
        <w:pStyle w:val="Notes"/>
      </w:pPr>
      <w:r w:rsidRPr="007E4E2E">
        <w:t xml:space="preserve">(c) </w:t>
      </w:r>
      <w:r>
        <w:tab/>
      </w:r>
      <w:r w:rsidRPr="007E4E2E">
        <w:t>The estimate for revenue growth in 2013</w:t>
      </w:r>
      <w:r>
        <w:noBreakHyphen/>
        <w:t>14 includes</w:t>
      </w:r>
      <w:r w:rsidRPr="007E4E2E">
        <w:t xml:space="preserve"> the Commonwealth Government</w:t>
      </w:r>
      <w:r>
        <w:t>’s decision to prepay $1 billion of its contribution to the East West Link project late in 2013</w:t>
      </w:r>
      <w:r>
        <w:noBreakHyphen/>
        <w:t>14.</w:t>
      </w:r>
    </w:p>
    <w:p w:rsidR="00116054" w:rsidRPr="007E4E2E" w:rsidRDefault="00116054" w:rsidP="00187B83">
      <w:pPr>
        <w:pStyle w:val="Notes"/>
      </w:pPr>
      <w:r>
        <w:t>(d)</w:t>
      </w:r>
      <w:r>
        <w:tab/>
      </w:r>
      <w:r w:rsidRPr="007E4E2E">
        <w:t>Comprises superannuation interest expense and o</w:t>
      </w:r>
      <w:r>
        <w:t>ther superannuation expenses.</w:t>
      </w:r>
    </w:p>
    <w:p w:rsidR="00116054" w:rsidRDefault="00116054" w:rsidP="00187B83">
      <w:pPr>
        <w:pStyle w:val="Notes"/>
      </w:pPr>
    </w:p>
    <w:p w:rsidR="00116054" w:rsidRDefault="00116054">
      <w:pPr>
        <w:spacing w:after="0"/>
      </w:pPr>
      <w:r>
        <w:br w:type="page"/>
      </w:r>
    </w:p>
    <w:p w:rsidR="00116054" w:rsidRPr="006F0EAE" w:rsidRDefault="00116054" w:rsidP="002B553C">
      <w:r w:rsidRPr="006F0EAE">
        <w:lastRenderedPageBreak/>
        <w:t>The operating surplus</w:t>
      </w:r>
      <w:r>
        <w:fldChar w:fldCharType="begin"/>
      </w:r>
      <w:r>
        <w:instrText xml:space="preserve"> XE "</w:instrText>
      </w:r>
      <w:r w:rsidRPr="00907264">
        <w:instrText>Operating surplus</w:instrText>
      </w:r>
      <w:r>
        <w:instrText xml:space="preserve">" </w:instrText>
      </w:r>
      <w:r>
        <w:fldChar w:fldCharType="end"/>
      </w:r>
      <w:r>
        <w:t xml:space="preserve"> </w:t>
      </w:r>
      <w:r w:rsidRPr="006F0EAE">
        <w:t>for 2015</w:t>
      </w:r>
      <w:r>
        <w:noBreakHyphen/>
        <w:t>16 is expected to be $1.2 billion, growing to $1.8 billion in 2018</w:t>
      </w:r>
      <w:r>
        <w:noBreakHyphen/>
        <w:t>19.</w:t>
      </w:r>
      <w:r w:rsidRPr="00087AB1">
        <w:t xml:space="preserve"> </w:t>
      </w:r>
      <w:r w:rsidRPr="006F0EAE">
        <w:t xml:space="preserve">These </w:t>
      </w:r>
      <w:r w:rsidRPr="00BF0D31">
        <w:t>operating surpluses</w:t>
      </w:r>
      <w:r w:rsidRPr="006F0EAE">
        <w:t xml:space="preserve"> </w:t>
      </w:r>
      <w:r>
        <w:t>allow</w:t>
      </w:r>
      <w:r w:rsidRPr="006F0EAE">
        <w:t xml:space="preserve"> significant investment in</w:t>
      </w:r>
      <w:r>
        <w:t xml:space="preserve"> social</w:t>
      </w:r>
      <w:r w:rsidRPr="006F0EAE">
        <w:t xml:space="preserve"> </w:t>
      </w:r>
      <w:r>
        <w:t xml:space="preserve">services and </w:t>
      </w:r>
      <w:r w:rsidRPr="006F0EAE">
        <w:t>infrastructure while kee</w:t>
      </w:r>
      <w:r>
        <w:t>ping debt at manageable levels.</w:t>
      </w:r>
    </w:p>
    <w:p w:rsidR="00116054" w:rsidRPr="006F0EAE" w:rsidRDefault="00116054" w:rsidP="006F0EAE">
      <w:r>
        <w:t xml:space="preserve">These surpluses are a result of expenses growing at a slower rate than revenues. Over the budget and forward estimates expenses are expected to grow by 3.0 per cent a year on average compared with revenue growth of 3.4 per cent over the same period. </w:t>
      </w:r>
    </w:p>
    <w:p w:rsidR="00116054" w:rsidRPr="007E4E2E" w:rsidRDefault="00116054" w:rsidP="006D3D36">
      <w:pPr>
        <w:pStyle w:val="Heading2"/>
      </w:pPr>
      <w:r w:rsidRPr="007E4E2E">
        <w:t>Revenue outlook</w:t>
      </w:r>
    </w:p>
    <w:p w:rsidR="00116054" w:rsidRPr="006F0EAE" w:rsidRDefault="00116054" w:rsidP="006F0EAE">
      <w:r>
        <w:t>Victoria is expected to collect $56 billion in total revenue in 2015</w:t>
      </w:r>
      <w:r>
        <w:noBreakHyphen/>
        <w:t xml:space="preserve">16, with revenue growth averaging 3.4 per cent over the budget and forward estimates. This is below average revenue growth </w:t>
      </w:r>
      <w:r w:rsidRPr="006F0EAE">
        <w:t>of 6.3</w:t>
      </w:r>
      <w:r>
        <w:t> per cent</w:t>
      </w:r>
      <w:r w:rsidRPr="006F0EAE">
        <w:t xml:space="preserve"> over the </w:t>
      </w:r>
      <w:r>
        <w:t>p</w:t>
      </w:r>
      <w:r w:rsidRPr="006F0EAE">
        <w:t>ast decade</w:t>
      </w:r>
      <w:r>
        <w:t>, a period when accelerated growth in income was driven by favourable economic conditions prior to the global financial crisis.</w:t>
      </w:r>
    </w:p>
    <w:p w:rsidR="00116054" w:rsidRDefault="00116054" w:rsidP="006F0EAE">
      <w:r>
        <w:t xml:space="preserve">As outlined in Chapter 2 </w:t>
      </w:r>
      <w:r w:rsidRPr="00263D46">
        <w:rPr>
          <w:i/>
        </w:rPr>
        <w:t>Economic context</w:t>
      </w:r>
      <w:r>
        <w:t>, despite a moderation in global economic conditions</w:t>
      </w:r>
      <w:r>
        <w:fldChar w:fldCharType="begin"/>
      </w:r>
      <w:r>
        <w:instrText xml:space="preserve"> XE "</w:instrText>
      </w:r>
      <w:r w:rsidRPr="00AF7E2B">
        <w:instrText>Economic conditions</w:instrText>
      </w:r>
      <w:r>
        <w:instrText xml:space="preserve">" </w:instrText>
      </w:r>
      <w:r>
        <w:fldChar w:fldCharType="end"/>
      </w:r>
      <w:r>
        <w:t xml:space="preserve"> that has been weighing on the domestic environment and Victoria’s income and consumption</w:t>
      </w:r>
      <w:r>
        <w:noBreakHyphen/>
        <w:t>based taxes, Victoria’s economic outlook is positive.</w:t>
      </w:r>
    </w:p>
    <w:p w:rsidR="00116054" w:rsidRPr="006F0EAE" w:rsidRDefault="00116054" w:rsidP="006F0EAE">
      <w:r>
        <w:t>The low interest rate environment has been an important driver of revenue growth from Victoria’s property market. This is likely to continue into 2016.</w:t>
      </w:r>
    </w:p>
    <w:p w:rsidR="00116054" w:rsidRDefault="00116054" w:rsidP="006F0EAE">
      <w:r>
        <w:t>Over the forward estimates, historically low interest rates and the significant deprecation in the Australian dollar will provide a boost to domestic spending. This will accelerate the transition towards stronger and more balanced growth across Australia, which will particularly benefit Victoria’s diversified economy. As demand picks up, this will absorb spare capacity in the labour market</w:t>
      </w:r>
      <w:r>
        <w:fldChar w:fldCharType="begin"/>
      </w:r>
      <w:r>
        <w:instrText xml:space="preserve"> XE "</w:instrText>
      </w:r>
      <w:r w:rsidRPr="00AA46A9">
        <w:instrText>Labour market</w:instrText>
      </w:r>
      <w:r>
        <w:instrText xml:space="preserve">" </w:instrText>
      </w:r>
      <w:r>
        <w:fldChar w:fldCharType="end"/>
      </w:r>
      <w:r>
        <w:t>, supporting stronger wages, income, consumption and revenue.</w:t>
      </w:r>
    </w:p>
    <w:p w:rsidR="00116054" w:rsidRPr="007E4E2E" w:rsidRDefault="00116054" w:rsidP="00B6223A">
      <w:pPr>
        <w:pStyle w:val="Heading3"/>
      </w:pPr>
      <w:r w:rsidRPr="007E4E2E">
        <w:t>Taxation</w:t>
      </w:r>
    </w:p>
    <w:p w:rsidR="00116054" w:rsidRDefault="00116054" w:rsidP="00001847">
      <w:r w:rsidRPr="007E4E2E">
        <w:t>The level of total tax</w:t>
      </w:r>
      <w:r>
        <w:t>ation</w:t>
      </w:r>
      <w:r w:rsidRPr="007E4E2E">
        <w:t xml:space="preserve"> revenue</w:t>
      </w:r>
      <w:r>
        <w:fldChar w:fldCharType="begin"/>
      </w:r>
      <w:r>
        <w:instrText xml:space="preserve"> XE "</w:instrText>
      </w:r>
      <w:proofErr w:type="spellStart"/>
      <w:r w:rsidRPr="00CA2E35">
        <w:instrText>Taxation:Revenue</w:instrText>
      </w:r>
      <w:proofErr w:type="spellEnd"/>
      <w:r>
        <w:instrText xml:space="preserve">" </w:instrText>
      </w:r>
      <w:r>
        <w:fldChar w:fldCharType="end"/>
      </w:r>
      <w:r w:rsidRPr="007E4E2E">
        <w:t xml:space="preserve"> is expected to</w:t>
      </w:r>
      <w:r>
        <w:t xml:space="preserve"> grow by 4.1 per cent to </w:t>
      </w:r>
      <w:r w:rsidRPr="007E4E2E">
        <w:t>$</w:t>
      </w:r>
      <w:r>
        <w:t>19 billion in</w:t>
      </w:r>
      <w:r w:rsidRPr="007E4E2E">
        <w:t xml:space="preserve"> 2015</w:t>
      </w:r>
      <w:r>
        <w:noBreakHyphen/>
      </w:r>
      <w:r w:rsidRPr="007E4E2E">
        <w:t>16</w:t>
      </w:r>
      <w:r>
        <w:t>, then by an average of 3.9 per cent a year over the forward estimates to $21 billion in 2018</w:t>
      </w:r>
      <w:r>
        <w:noBreakHyphen/>
        <w:t>19.</w:t>
      </w:r>
      <w:r w:rsidRPr="007E4E2E">
        <w:t xml:space="preserve"> Strong land transfer duty</w:t>
      </w:r>
      <w:r>
        <w:fldChar w:fldCharType="begin"/>
      </w:r>
      <w:r>
        <w:instrText xml:space="preserve"> XE "</w:instrText>
      </w:r>
      <w:r w:rsidRPr="00292829">
        <w:instrText>Land transfer duty</w:instrText>
      </w:r>
      <w:r>
        <w:instrText xml:space="preserve">" </w:instrText>
      </w:r>
      <w:r>
        <w:fldChar w:fldCharType="end"/>
      </w:r>
      <w:r>
        <w:fldChar w:fldCharType="begin"/>
      </w:r>
      <w:r>
        <w:instrText xml:space="preserve"> XE "</w:instrText>
      </w:r>
      <w:proofErr w:type="spellStart"/>
      <w:r>
        <w:instrText>Taxation:</w:instrText>
      </w:r>
      <w:r w:rsidRPr="00292829">
        <w:instrText>Land</w:instrText>
      </w:r>
      <w:proofErr w:type="spellEnd"/>
      <w:r w:rsidRPr="00292829">
        <w:instrText xml:space="preserve"> transfer duty</w:instrText>
      </w:r>
      <w:r>
        <w:instrText xml:space="preserve">" </w:instrText>
      </w:r>
      <w:r>
        <w:fldChar w:fldCharType="end"/>
      </w:r>
      <w:r w:rsidRPr="007E4E2E">
        <w:t xml:space="preserve"> revenue is offsetting weakness in income and consumption</w:t>
      </w:r>
      <w:r>
        <w:noBreakHyphen/>
      </w:r>
      <w:r w:rsidRPr="007E4E2E">
        <w:t xml:space="preserve">based taxes such as payroll and gambling. </w:t>
      </w:r>
      <w:r>
        <w:t>Looking forward, an expected</w:t>
      </w:r>
      <w:r w:rsidRPr="007E4E2E">
        <w:t xml:space="preserve"> pick</w:t>
      </w:r>
      <w:r>
        <w:noBreakHyphen/>
      </w:r>
      <w:r w:rsidRPr="007E4E2E">
        <w:t xml:space="preserve">up in demand will boost employment and income, which should offset the projected easing in land transfer duty growth as the property cycle matures. </w:t>
      </w:r>
    </w:p>
    <w:p w:rsidR="00116054" w:rsidRDefault="00116054" w:rsidP="00FF13AD">
      <w:r>
        <w:t>Specifically:</w:t>
      </w:r>
    </w:p>
    <w:p w:rsidR="00116054" w:rsidRDefault="00116054" w:rsidP="00D44B6A">
      <w:pPr>
        <w:pStyle w:val="BulletText"/>
      </w:pPr>
      <w:r>
        <w:t>l</w:t>
      </w:r>
      <w:r w:rsidRPr="007E4E2E">
        <w:t>and transfer duty</w:t>
      </w:r>
      <w:r>
        <w:t xml:space="preserve"> revenue is expected to grow by 2.9 per cent to around $5.0 billion in 2015</w:t>
      </w:r>
      <w:r>
        <w:noBreakHyphen/>
        <w:t>16. These forecasts include the new stamp duty surcharge to be applied to foreign buyers of residential real estate from 2015</w:t>
      </w:r>
      <w:r>
        <w:noBreakHyphen/>
        <w:t>2016 onwards. Since the middle of 2013</w:t>
      </w:r>
      <w:r w:rsidRPr="007E4E2E">
        <w:t xml:space="preserve">, the property market has </w:t>
      </w:r>
      <w:r>
        <w:t xml:space="preserve">grown strongly, </w:t>
      </w:r>
      <w:r w:rsidRPr="007E4E2E">
        <w:t xml:space="preserve">driven largely by investor activity. While interest rates are likely </w:t>
      </w:r>
      <w:r>
        <w:t>to remain low for some time, the current cycle of strong growth has already lasted two years. Historically, a</w:t>
      </w:r>
      <w:r w:rsidRPr="007E4E2E">
        <w:t xml:space="preserve"> pe</w:t>
      </w:r>
      <w:r>
        <w:t>riod of more subdued growth has</w:t>
      </w:r>
      <w:r w:rsidRPr="007E4E2E">
        <w:t xml:space="preserve"> follow</w:t>
      </w:r>
      <w:r>
        <w:t>ed</w:t>
      </w:r>
      <w:r w:rsidRPr="007E4E2E">
        <w:t xml:space="preserve"> period</w:t>
      </w:r>
      <w:r>
        <w:t>s of strong</w:t>
      </w:r>
      <w:r w:rsidRPr="007E4E2E">
        <w:t xml:space="preserve"> growth</w:t>
      </w:r>
      <w:r>
        <w:t xml:space="preserve"> in land transfer duty as reflected in the below</w:t>
      </w:r>
      <w:r>
        <w:noBreakHyphen/>
        <w:t>trend growth forecast from 2015</w:t>
      </w:r>
      <w:r>
        <w:noBreakHyphen/>
        <w:t>16 onwards;</w:t>
      </w:r>
    </w:p>
    <w:p w:rsidR="00116054" w:rsidRDefault="00116054">
      <w:pPr>
        <w:spacing w:after="0"/>
      </w:pPr>
      <w:r>
        <w:br w:type="page"/>
      </w:r>
    </w:p>
    <w:p w:rsidR="00116054" w:rsidRDefault="00116054" w:rsidP="00D44B6A">
      <w:pPr>
        <w:pStyle w:val="BulletText"/>
      </w:pPr>
      <w:r>
        <w:lastRenderedPageBreak/>
        <w:t>l</w:t>
      </w:r>
      <w:r w:rsidRPr="007E4E2E">
        <w:t>and tax</w:t>
      </w:r>
      <w:r>
        <w:fldChar w:fldCharType="begin"/>
      </w:r>
      <w:r>
        <w:instrText xml:space="preserve"> XE "</w:instrText>
      </w:r>
      <w:r w:rsidRPr="00744027">
        <w:rPr>
          <w:lang w:val="en-US"/>
        </w:rPr>
        <w:instrText>Taxation:</w:instrText>
      </w:r>
      <w:r w:rsidRPr="00744027">
        <w:instrText>Land tax</w:instrText>
      </w:r>
      <w:r>
        <w:instrText xml:space="preserve">" </w:instrText>
      </w:r>
      <w:r>
        <w:fldChar w:fldCharType="end"/>
      </w:r>
      <w:r w:rsidRPr="007E4E2E">
        <w:t xml:space="preserve"> revenue </w:t>
      </w:r>
      <w:r>
        <w:t xml:space="preserve">is forecast to fall by 1.4 per cent </w:t>
      </w:r>
      <w:r w:rsidRPr="00AE63AD">
        <w:t>to $1.8</w:t>
      </w:r>
      <w:r>
        <w:t> billion</w:t>
      </w:r>
      <w:r w:rsidRPr="00AE63AD">
        <w:t xml:space="preserve"> in 2015</w:t>
      </w:r>
      <w:r>
        <w:noBreakHyphen/>
      </w:r>
      <w:r w:rsidRPr="00AE63AD">
        <w:t>16</w:t>
      </w:r>
      <w:r>
        <w:t xml:space="preserve"> reflecting the second year of the bi</w:t>
      </w:r>
      <w:r>
        <w:noBreakHyphen/>
        <w:t>annual revaluation cycle. From 2016</w:t>
      </w:r>
      <w:r>
        <w:noBreakHyphen/>
        <w:t>17 onwards, land value growth is expected to follow</w:t>
      </w:r>
      <w:r w:rsidRPr="007E4E2E">
        <w:t xml:space="preserve"> projected rates of nominal economic growth</w:t>
      </w:r>
      <w:r>
        <w:t>.</w:t>
      </w:r>
      <w:r w:rsidRPr="0097488E">
        <w:t xml:space="preserve"> </w:t>
      </w:r>
      <w:r>
        <w:t>This includes the impact of the land tax surcharge that will be applied to absentee owners of property in Victoria announced in this budget that will be introduced from the 2016 land tax year</w:t>
      </w:r>
      <w:r>
        <w:fldChar w:fldCharType="begin"/>
      </w:r>
      <w:r>
        <w:instrText xml:space="preserve"> XE "</w:instrText>
      </w:r>
      <w:r w:rsidRPr="005F29A6">
        <w:instrText>Economic growth</w:instrText>
      </w:r>
      <w:r>
        <w:instrText xml:space="preserve">" </w:instrText>
      </w:r>
      <w:r>
        <w:fldChar w:fldCharType="end"/>
      </w:r>
      <w:r>
        <w:t>;</w:t>
      </w:r>
      <w:r w:rsidRPr="007E4E2E">
        <w:t xml:space="preserve"> </w:t>
      </w:r>
    </w:p>
    <w:p w:rsidR="00116054" w:rsidRDefault="00116054" w:rsidP="00624500">
      <w:pPr>
        <w:pStyle w:val="BulletText"/>
      </w:pPr>
      <w:r>
        <w:t>p</w:t>
      </w:r>
      <w:r w:rsidRPr="007E4E2E">
        <w:t>ayroll tax</w:t>
      </w:r>
      <w:r>
        <w:fldChar w:fldCharType="begin"/>
      </w:r>
      <w:r>
        <w:instrText xml:space="preserve"> XE "</w:instrText>
      </w:r>
      <w:proofErr w:type="spellStart"/>
      <w:r w:rsidRPr="0059700F">
        <w:rPr>
          <w:lang w:val="en-US"/>
        </w:rPr>
        <w:instrText>Taxation:Payroll</w:instrText>
      </w:r>
      <w:proofErr w:type="spellEnd"/>
      <w:r w:rsidRPr="0059700F">
        <w:rPr>
          <w:lang w:val="en-US"/>
        </w:rPr>
        <w:instrText xml:space="preserve"> tax</w:instrText>
      </w:r>
      <w:r>
        <w:instrText xml:space="preserve">" </w:instrText>
      </w:r>
      <w:r>
        <w:fldChar w:fldCharType="end"/>
      </w:r>
      <w:r>
        <w:t xml:space="preserve"> revenue is expected to grow by 6.2 per cent to $5.4 billion in 2015</w:t>
      </w:r>
      <w:r>
        <w:noBreakHyphen/>
        <w:t xml:space="preserve">16. </w:t>
      </w:r>
      <w:r w:rsidRPr="007E4E2E">
        <w:t>As demand recovers this</w:t>
      </w:r>
      <w:r>
        <w:t xml:space="preserve"> </w:t>
      </w:r>
      <w:r w:rsidRPr="007E4E2E">
        <w:t>should boost full</w:t>
      </w:r>
      <w:r>
        <w:noBreakHyphen/>
        <w:t xml:space="preserve">time employment and drive a recovery in payroll tax. </w:t>
      </w:r>
      <w:r w:rsidRPr="007E4E2E">
        <w:t>While Victorian employment growth</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t xml:space="preserve"> has strengthened since mid</w:t>
      </w:r>
      <w:r>
        <w:noBreakHyphen/>
        <w:t xml:space="preserve">2014, </w:t>
      </w:r>
      <w:r w:rsidRPr="007E4E2E">
        <w:t>much of this has been concentrated in part</w:t>
      </w:r>
      <w:r>
        <w:noBreakHyphen/>
      </w:r>
      <w:r w:rsidRPr="007E4E2E">
        <w:t>time jobs</w:t>
      </w:r>
      <w:r>
        <w:fldChar w:fldCharType="begin"/>
      </w:r>
      <w:r>
        <w:instrText xml:space="preserve"> XE "</w:instrText>
      </w:r>
      <w:r w:rsidRPr="00D242F7">
        <w:instrText>Jobs</w:instrText>
      </w:r>
      <w:r>
        <w:instrText xml:space="preserve">" </w:instrText>
      </w:r>
      <w:r>
        <w:fldChar w:fldCharType="end"/>
      </w:r>
      <w:r w:rsidRPr="007E4E2E">
        <w:t>. Aggregate hours worked</w:t>
      </w:r>
      <w:r>
        <w:fldChar w:fldCharType="begin"/>
      </w:r>
      <w:r>
        <w:instrText xml:space="preserve"> XE "</w:instrText>
      </w:r>
      <w:r w:rsidRPr="003E0E32">
        <w:instrText>Hours worked</w:instrText>
      </w:r>
      <w:r>
        <w:instrText xml:space="preserve">" </w:instrText>
      </w:r>
      <w:r>
        <w:fldChar w:fldCharType="end"/>
      </w:r>
      <w:r w:rsidRPr="007E4E2E">
        <w:t xml:space="preserve">, which is closely aligned with payroll </w:t>
      </w:r>
      <w:r>
        <w:t xml:space="preserve">tax revenue, has not experienced the same growth, as discussed in Chapter 3 </w:t>
      </w:r>
      <w:r w:rsidRPr="00F31132">
        <w:rPr>
          <w:i/>
        </w:rPr>
        <w:t>The jobs challenge</w:t>
      </w:r>
      <w:r>
        <w:t>;</w:t>
      </w:r>
    </w:p>
    <w:p w:rsidR="00116054" w:rsidRPr="00EC6B8A" w:rsidRDefault="00116054" w:rsidP="00EC6B8A">
      <w:pPr>
        <w:pStyle w:val="BulletText"/>
      </w:pPr>
      <w:r>
        <w:t>g</w:t>
      </w:r>
      <w:r w:rsidRPr="00EC6B8A">
        <w:t>ambling ta</w:t>
      </w:r>
      <w:r>
        <w:t>x</w:t>
      </w:r>
      <w:r>
        <w:fldChar w:fldCharType="begin"/>
      </w:r>
      <w:r>
        <w:instrText xml:space="preserve"> XE "</w:instrText>
      </w:r>
      <w:proofErr w:type="spellStart"/>
      <w:r w:rsidRPr="0028241E">
        <w:instrText>Taxation:Gambling</w:instrText>
      </w:r>
      <w:proofErr w:type="spellEnd"/>
      <w:r>
        <w:instrText xml:space="preserve">" </w:instrText>
      </w:r>
      <w:r>
        <w:fldChar w:fldCharType="end"/>
      </w:r>
      <w:r>
        <w:t xml:space="preserve"> revenue is forecast to grow by 3.9 per cent to $1.9 billion in 2015</w:t>
      </w:r>
      <w:r>
        <w:noBreakHyphen/>
      </w:r>
      <w:r w:rsidRPr="00EC6B8A">
        <w:t>1</w:t>
      </w:r>
      <w:r>
        <w:t>6 and by an average of 2.9 per cent</w:t>
      </w:r>
      <w:r w:rsidRPr="00EC6B8A">
        <w:t xml:space="preserve"> </w:t>
      </w:r>
      <w:r>
        <w:t xml:space="preserve">a year </w:t>
      </w:r>
      <w:r w:rsidRPr="00EC6B8A">
        <w:t xml:space="preserve">over the forward estimates. The </w:t>
      </w:r>
      <w:r>
        <w:t>growth in</w:t>
      </w:r>
      <w:r w:rsidRPr="00EC6B8A">
        <w:t xml:space="preserve"> gambling tax revenue </w:t>
      </w:r>
      <w:r>
        <w:t>reflects</w:t>
      </w:r>
      <w:r w:rsidRPr="00EC6B8A">
        <w:t xml:space="preserve"> general weakness in nominal consumption expenditure. Despite an expected recovery in household income, gambling expenditure will continue to decline as a share of household consumpti</w:t>
      </w:r>
      <w:r>
        <w:t>on</w:t>
      </w:r>
      <w:r>
        <w:fldChar w:fldCharType="begin"/>
      </w:r>
      <w:r>
        <w:instrText xml:space="preserve"> XE "</w:instrText>
      </w:r>
      <w:r w:rsidRPr="00690AA3">
        <w:instrText>Household consumption</w:instrText>
      </w:r>
      <w:r>
        <w:instrText xml:space="preserve">" </w:instrText>
      </w:r>
      <w:r>
        <w:fldChar w:fldCharType="end"/>
      </w:r>
      <w:r>
        <w:t>, weighing on revenue growth;</w:t>
      </w:r>
      <w:r w:rsidRPr="00EC6B8A">
        <w:t xml:space="preserve"> </w:t>
      </w:r>
    </w:p>
    <w:p w:rsidR="00116054" w:rsidRDefault="00116054" w:rsidP="00EC6B8A">
      <w:pPr>
        <w:pStyle w:val="BulletText"/>
      </w:pPr>
      <w:r>
        <w:t>i</w:t>
      </w:r>
      <w:r w:rsidRPr="00EC6B8A">
        <w:t>nsurance tax</w:t>
      </w:r>
      <w:r>
        <w:fldChar w:fldCharType="begin"/>
      </w:r>
      <w:r>
        <w:instrText xml:space="preserve"> XE "</w:instrText>
      </w:r>
      <w:proofErr w:type="spellStart"/>
      <w:r>
        <w:instrText>Taxation:</w:instrText>
      </w:r>
      <w:r w:rsidRPr="009D2CD4">
        <w:instrText>Insurance</w:instrText>
      </w:r>
      <w:proofErr w:type="spellEnd"/>
      <w:r>
        <w:instrText xml:space="preserve">" </w:instrText>
      </w:r>
      <w:r>
        <w:fldChar w:fldCharType="end"/>
      </w:r>
      <w:r w:rsidRPr="00EC6B8A">
        <w:t xml:space="preserve"> revenue is antici</w:t>
      </w:r>
      <w:r>
        <w:t>pated to grow by 5.4 per cent to $1.2 billion</w:t>
      </w:r>
      <w:r w:rsidRPr="00EC6B8A">
        <w:t xml:space="preserve"> in 2015</w:t>
      </w:r>
      <w:r>
        <w:noBreakHyphen/>
        <w:t>16</w:t>
      </w:r>
      <w:r w:rsidRPr="00F07F82">
        <w:t xml:space="preserve"> </w:t>
      </w:r>
      <w:r w:rsidRPr="00EC6B8A">
        <w:t>before settling to arou</w:t>
      </w:r>
      <w:r>
        <w:t>nd its trend growth rate of 6.8 per cent</w:t>
      </w:r>
      <w:r w:rsidRPr="00EC6B8A">
        <w:t xml:space="preserve"> </w:t>
      </w:r>
      <w:r>
        <w:t>a</w:t>
      </w:r>
      <w:r w:rsidRPr="00EC6B8A">
        <w:t xml:space="preserve"> year over the </w:t>
      </w:r>
      <w:r>
        <w:t>forward estimates.</w:t>
      </w:r>
      <w:r w:rsidRPr="00EC6B8A">
        <w:t xml:space="preserve"> Stronger than expected competition from low cost and overseas insurers is driving down premium rates in the Australian insurance marke</w:t>
      </w:r>
      <w:r>
        <w:t>t; and</w:t>
      </w:r>
    </w:p>
    <w:p w:rsidR="00116054" w:rsidRDefault="00116054" w:rsidP="00EC6B8A">
      <w:pPr>
        <w:pStyle w:val="BulletText"/>
      </w:pPr>
      <w:r>
        <w:t>m</w:t>
      </w:r>
      <w:r w:rsidRPr="00EC6B8A">
        <w:t>otor vehicle taxes</w:t>
      </w:r>
      <w:r>
        <w:fldChar w:fldCharType="begin"/>
      </w:r>
      <w:r>
        <w:instrText xml:space="preserve"> XE "</w:instrText>
      </w:r>
      <w:r w:rsidRPr="00EF2DF8">
        <w:rPr>
          <w:lang w:val="en-US"/>
        </w:rPr>
        <w:instrText>Taxation:</w:instrText>
      </w:r>
      <w:r w:rsidRPr="00EF2DF8">
        <w:instrText>Motor vehicle</w:instrText>
      </w:r>
      <w:r>
        <w:instrText xml:space="preserve">" </w:instrText>
      </w:r>
      <w:r>
        <w:fldChar w:fldCharType="end"/>
      </w:r>
      <w:r w:rsidRPr="00EC6B8A">
        <w:t xml:space="preserve"> are expected t</w:t>
      </w:r>
      <w:r>
        <w:t>o grow by 4.5 per cent to $2.2 billion in 2015</w:t>
      </w:r>
      <w:r>
        <w:noBreakHyphen/>
      </w:r>
      <w:r w:rsidRPr="00EC6B8A">
        <w:t xml:space="preserve">16, </w:t>
      </w:r>
      <w:r>
        <w:t>and</w:t>
      </w:r>
      <w:r w:rsidRPr="00EC6B8A">
        <w:t xml:space="preserve"> by</w:t>
      </w:r>
      <w:r>
        <w:t xml:space="preserve"> an average of 4.2 per cent</w:t>
      </w:r>
      <w:r w:rsidRPr="00EC6B8A">
        <w:t xml:space="preserve"> over the forward estimates, broadly in line with its trend growth rate. Despite a period of modest income growth, motor vehicle purchases have remained resilient, supporting solid growth in motor vehicle duties. </w:t>
      </w:r>
    </w:p>
    <w:p w:rsidR="00116054" w:rsidRDefault="00116054" w:rsidP="001816E4">
      <w:r>
        <w:t xml:space="preserve">Details of specific revenue measures since the </w:t>
      </w:r>
      <w:r w:rsidRPr="001816E4">
        <w:rPr>
          <w:i/>
        </w:rPr>
        <w:t>2014</w:t>
      </w:r>
      <w:r>
        <w:rPr>
          <w:i/>
        </w:rPr>
        <w:noBreakHyphen/>
      </w:r>
      <w:r w:rsidRPr="001816E4">
        <w:rPr>
          <w:i/>
        </w:rPr>
        <w:t>15 Budget Update</w:t>
      </w:r>
      <w:r>
        <w:t xml:space="preserve"> are contained in Budget Paper No. 3, Chapter 1 </w:t>
      </w:r>
      <w:r w:rsidRPr="001816E4">
        <w:rPr>
          <w:i/>
        </w:rPr>
        <w:t>Output, asset investment, savings and revenue initiatives</w:t>
      </w:r>
      <w:r>
        <w:t>.</w:t>
      </w:r>
    </w:p>
    <w:p w:rsidR="00116054" w:rsidRPr="007E4E2E" w:rsidRDefault="00116054" w:rsidP="006D3D36">
      <w:pPr>
        <w:pStyle w:val="Heading3"/>
      </w:pPr>
      <w:r w:rsidRPr="007E4E2E">
        <w:t>Dividends, income tax equivalent and interest</w:t>
      </w:r>
    </w:p>
    <w:p w:rsidR="00116054" w:rsidRDefault="00116054" w:rsidP="006F6EF0">
      <w:r w:rsidRPr="00D44120">
        <w:t>Dividend</w:t>
      </w:r>
      <w:r>
        <w:t>s</w:t>
      </w:r>
      <w:r w:rsidRPr="00D44120">
        <w:t>, income tax equivalent and interest</w:t>
      </w:r>
      <w:r>
        <w:t xml:space="preserve"> revenue</w:t>
      </w:r>
      <w:r w:rsidRPr="00D44120">
        <w:t xml:space="preserve"> is projected to be $2.0</w:t>
      </w:r>
      <w:r>
        <w:t> billion</w:t>
      </w:r>
      <w:r w:rsidRPr="00D44120">
        <w:t xml:space="preserve"> in 2015</w:t>
      </w:r>
      <w:r>
        <w:noBreakHyphen/>
      </w:r>
      <w:r w:rsidRPr="00D44120">
        <w:t>16, an increase of 6.8</w:t>
      </w:r>
      <w:r>
        <w:t> per cent</w:t>
      </w:r>
      <w:r w:rsidRPr="00D44120">
        <w:t xml:space="preserve"> f</w:t>
      </w:r>
      <w:r>
        <w:t>rom 2014</w:t>
      </w:r>
      <w:r>
        <w:noBreakHyphen/>
        <w:t xml:space="preserve">15, and </w:t>
      </w:r>
      <w:r w:rsidRPr="00D44120">
        <w:t xml:space="preserve">remain stable </w:t>
      </w:r>
      <w:r>
        <w:t>around this level ove</w:t>
      </w:r>
      <w:r w:rsidRPr="00D44120">
        <w:t>r the forward estimates.</w:t>
      </w:r>
      <w:r>
        <w:t xml:space="preserve"> </w:t>
      </w:r>
    </w:p>
    <w:p w:rsidR="00116054" w:rsidRPr="00D44120" w:rsidRDefault="00116054" w:rsidP="006F6EF0">
      <w:r w:rsidRPr="00D44120">
        <w:t xml:space="preserve">The </w:t>
      </w:r>
      <w:r>
        <w:t>outlook for investment</w:t>
      </w:r>
      <w:r w:rsidRPr="00D44120">
        <w:t xml:space="preserve"> revenue in 2015</w:t>
      </w:r>
      <w:r>
        <w:noBreakHyphen/>
      </w:r>
      <w:r w:rsidRPr="00D44120">
        <w:t xml:space="preserve">16 is </w:t>
      </w:r>
      <w:r>
        <w:t>consistent with the strong</w:t>
      </w:r>
      <w:r w:rsidRPr="00D44120">
        <w:t xml:space="preserve"> performance </w:t>
      </w:r>
      <w:r>
        <w:t>of</w:t>
      </w:r>
      <w:r w:rsidRPr="00D44120">
        <w:t xml:space="preserve"> the Public Financial Corporation (PFC) sector.</w:t>
      </w:r>
      <w:r>
        <w:t xml:space="preserve"> </w:t>
      </w:r>
    </w:p>
    <w:p w:rsidR="00116054" w:rsidRPr="009B6FC0" w:rsidRDefault="00116054" w:rsidP="009B6FC0">
      <w:r w:rsidRPr="00D44120">
        <w:t xml:space="preserve">Consistent with previous commitments the Government is not taking a dividend from </w:t>
      </w:r>
      <w:proofErr w:type="spellStart"/>
      <w:r w:rsidRPr="00315205">
        <w:t>WorkSafe</w:t>
      </w:r>
      <w:proofErr w:type="spellEnd"/>
      <w:r w:rsidRPr="00315205">
        <w:t xml:space="preserve"> Victoria</w:t>
      </w:r>
      <w:r>
        <w:fldChar w:fldCharType="begin"/>
      </w:r>
      <w:r>
        <w:instrText xml:space="preserve"> XE "</w:instrText>
      </w:r>
      <w:proofErr w:type="spellStart"/>
      <w:r w:rsidRPr="00F43F87">
        <w:instrText>WorkSafe</w:instrText>
      </w:r>
      <w:proofErr w:type="spellEnd"/>
      <w:r w:rsidRPr="00F43F87">
        <w:instrText xml:space="preserve"> Victoria</w:instrText>
      </w:r>
      <w:r>
        <w:instrText xml:space="preserve">" </w:instrText>
      </w:r>
      <w:r>
        <w:fldChar w:fldCharType="end"/>
      </w:r>
      <w:r w:rsidRPr="00315205">
        <w:t xml:space="preserve"> </w:t>
      </w:r>
      <w:r w:rsidRPr="00D44120">
        <w:t>across the budget and forward estimates. Instead, surplus accumulated will be used to fund improvements to benefits and access to benefits for injured workers, lower WorkCover premiums for Victorian businesses and programs to improve workplace safety and the hea</w:t>
      </w:r>
      <w:r>
        <w:t>lth of the Victorian workforce.</w:t>
      </w:r>
    </w:p>
    <w:p w:rsidR="00116054" w:rsidRDefault="00116054">
      <w:pPr>
        <w:spacing w:after="0"/>
        <w:rPr>
          <w:rFonts w:ascii="Calibri" w:hAnsi="Calibri"/>
          <w:b/>
          <w:i/>
          <w:kern w:val="28"/>
          <w:sz w:val="24"/>
          <w:szCs w:val="22"/>
        </w:rPr>
      </w:pPr>
      <w:r>
        <w:br w:type="page"/>
      </w:r>
    </w:p>
    <w:p w:rsidR="00116054" w:rsidRPr="007E4E2E" w:rsidRDefault="00116054" w:rsidP="006D3D36">
      <w:pPr>
        <w:pStyle w:val="Heading3"/>
      </w:pPr>
      <w:r w:rsidRPr="007E4E2E">
        <w:lastRenderedPageBreak/>
        <w:t>Sales of goods and services</w:t>
      </w:r>
    </w:p>
    <w:p w:rsidR="00116054" w:rsidRDefault="00116054" w:rsidP="006F0EAE">
      <w:r w:rsidRPr="006F0EAE">
        <w:t xml:space="preserve">Revenue </w:t>
      </w:r>
      <w:r>
        <w:t>from the</w:t>
      </w:r>
      <w:r w:rsidRPr="006F0EAE">
        <w:t xml:space="preserve"> sales of goods and services is expected to</w:t>
      </w:r>
      <w:r>
        <w:t xml:space="preserve"> grow by 3.9 per cent to $6.8 billion</w:t>
      </w:r>
      <w:r w:rsidRPr="006F0EAE">
        <w:t xml:space="preserve"> </w:t>
      </w:r>
      <w:r>
        <w:t>in 2015</w:t>
      </w:r>
      <w:r>
        <w:noBreakHyphen/>
        <w:t xml:space="preserve">16. This growth reflects </w:t>
      </w:r>
      <w:r w:rsidRPr="006F0EAE">
        <w:t xml:space="preserve">an increase in the capital asset charge from </w:t>
      </w:r>
      <w:proofErr w:type="spellStart"/>
      <w:r w:rsidRPr="006F0EAE">
        <w:t>VicTrac</w:t>
      </w:r>
      <w:r>
        <w:t>k</w:t>
      </w:r>
      <w:proofErr w:type="spellEnd"/>
      <w:r>
        <w:t xml:space="preserve"> associated with an increase in the capital asset base for which there is an offset in grant expenses. Thereafter growth moderates to an average of 1.2 per cent a year</w:t>
      </w:r>
      <w:r w:rsidRPr="006F0EAE">
        <w:t xml:space="preserve"> over the fo</w:t>
      </w:r>
      <w:r>
        <w:t xml:space="preserve">rward estimates. </w:t>
      </w:r>
    </w:p>
    <w:p w:rsidR="00116054" w:rsidRPr="007E4E2E" w:rsidRDefault="00116054" w:rsidP="006D3D36">
      <w:pPr>
        <w:pStyle w:val="Heading3"/>
      </w:pPr>
      <w:r w:rsidRPr="007E4E2E">
        <w:t>Grants</w:t>
      </w:r>
    </w:p>
    <w:p w:rsidR="00116054" w:rsidRPr="006F0EAE" w:rsidRDefault="00116054" w:rsidP="006F0EAE">
      <w:r w:rsidRPr="006F0EAE">
        <w:t>Total grants revenue</w:t>
      </w:r>
      <w:r>
        <w:fldChar w:fldCharType="begin"/>
      </w:r>
      <w:r>
        <w:instrText xml:space="preserve"> XE "</w:instrText>
      </w:r>
      <w:proofErr w:type="spellStart"/>
      <w:r w:rsidRPr="00D87AC1">
        <w:instrText>Grants:Revenue</w:instrText>
      </w:r>
      <w:proofErr w:type="spellEnd"/>
      <w:r>
        <w:instrText xml:space="preserve">" </w:instrText>
      </w:r>
      <w:r>
        <w:fldChar w:fldCharType="end"/>
      </w:r>
      <w:r w:rsidRPr="006F0EAE">
        <w:t xml:space="preserve"> is expected to </w:t>
      </w:r>
      <w:r>
        <w:t>grow by 4.0 per cent to</w:t>
      </w:r>
      <w:r w:rsidRPr="006F0EAE">
        <w:t xml:space="preserve"> $</w:t>
      </w:r>
      <w:r>
        <w:t>26 billion</w:t>
      </w:r>
      <w:r w:rsidRPr="006F0EAE">
        <w:t xml:space="preserve"> in 2015</w:t>
      </w:r>
      <w:r>
        <w:noBreakHyphen/>
      </w:r>
      <w:r w:rsidRPr="006F0EAE">
        <w:t>16</w:t>
      </w:r>
      <w:r>
        <w:t xml:space="preserve"> and increase</w:t>
      </w:r>
      <w:r w:rsidRPr="006F0EAE">
        <w:t xml:space="preserve"> </w:t>
      </w:r>
      <w:r>
        <w:t xml:space="preserve">by 3.8 per cent a year on average </w:t>
      </w:r>
      <w:r w:rsidRPr="006F0EAE">
        <w:t>to $</w:t>
      </w:r>
      <w:r>
        <w:t>29 billion</w:t>
      </w:r>
      <w:r w:rsidRPr="006F0EAE">
        <w:t xml:space="preserve"> in 2018</w:t>
      </w:r>
      <w:r>
        <w:noBreakHyphen/>
      </w:r>
      <w:r w:rsidRPr="006F0EAE">
        <w:t>19</w:t>
      </w:r>
      <w:r>
        <w:t>.The m</w:t>
      </w:r>
      <w:r w:rsidRPr="006F0EAE">
        <w:t xml:space="preserve">ovement in total grants </w:t>
      </w:r>
      <w:r>
        <w:t xml:space="preserve">revenue </w:t>
      </w:r>
      <w:r w:rsidRPr="006F0EAE">
        <w:t xml:space="preserve">is largely driven by growth in </w:t>
      </w:r>
      <w:r>
        <w:t xml:space="preserve">the </w:t>
      </w:r>
      <w:r w:rsidRPr="006F0EAE">
        <w:t>GST</w:t>
      </w:r>
      <w:r>
        <w:fldChar w:fldCharType="begin"/>
      </w:r>
      <w:r>
        <w:instrText xml:space="preserve"> XE "</w:instrText>
      </w:r>
      <w:r w:rsidRPr="007D4F53">
        <w:rPr>
          <w:lang w:val="en-US"/>
        </w:rPr>
        <w:instrText>Goods and services tax</w:instrText>
      </w:r>
      <w:r>
        <w:instrText xml:space="preserve">" </w:instrText>
      </w:r>
      <w:r>
        <w:fldChar w:fldCharType="end"/>
      </w:r>
      <w:r>
        <w:fldChar w:fldCharType="begin"/>
      </w:r>
      <w:r>
        <w:instrText xml:space="preserve"> XE "Taxation:</w:instrText>
      </w:r>
      <w:r w:rsidRPr="007D4F53">
        <w:rPr>
          <w:lang w:val="en-US"/>
        </w:rPr>
        <w:instrText>Goods and services tax</w:instrText>
      </w:r>
      <w:r>
        <w:instrText xml:space="preserve">" </w:instrText>
      </w:r>
      <w:r>
        <w:fldChar w:fldCharType="end"/>
      </w:r>
      <w:r w:rsidRPr="006F0EAE">
        <w:t>.</w:t>
      </w:r>
    </w:p>
    <w:p w:rsidR="00116054" w:rsidRPr="006F0EAE" w:rsidRDefault="00116054" w:rsidP="006F0EAE">
      <w:r>
        <w:t>Victoria’s GST revenue is expected to increase by 6.3 per cent in 2015</w:t>
      </w:r>
      <w:r>
        <w:noBreakHyphen/>
        <w:t>16, up from 4.4 per cent growth in 2014</w:t>
      </w:r>
      <w:r>
        <w:noBreakHyphen/>
        <w:t>15 as Australia recovers from subdued income growth and Victoria’s share of the GST increases. As Australia transitions to more</w:t>
      </w:r>
      <w:r w:rsidRPr="007E4E2E">
        <w:t xml:space="preserve"> </w:t>
      </w:r>
      <w:r>
        <w:t xml:space="preserve">balanced growth over the forward estimates, income and consumption will improve further. Price growth will be stronger, particularly </w:t>
      </w:r>
      <w:r w:rsidRPr="007E4E2E">
        <w:t xml:space="preserve">as the impact of the carbon tax removal and the recent fall in petrol prices </w:t>
      </w:r>
      <w:r>
        <w:t>subsides.</w:t>
      </w:r>
    </w:p>
    <w:p w:rsidR="00116054" w:rsidRPr="006F0EAE" w:rsidRDefault="00116054" w:rsidP="006F0EAE">
      <w:r w:rsidRPr="007E4E2E">
        <w:t>Growth in national dwelling investment, which grew by 8.</w:t>
      </w:r>
      <w:r w:rsidRPr="006F0EAE">
        <w:t>1</w:t>
      </w:r>
      <w:r>
        <w:t> per cent</w:t>
      </w:r>
      <w:r w:rsidRPr="006F0EAE">
        <w:t xml:space="preserve"> in</w:t>
      </w:r>
      <w:r w:rsidRPr="007E4E2E">
        <w:t xml:space="preserve"> the year to December 2014, is also expected to continue providing some support to the national pool in the near</w:t>
      </w:r>
      <w:r>
        <w:t xml:space="preserve"> </w:t>
      </w:r>
      <w:r w:rsidRPr="006F0EAE">
        <w:t xml:space="preserve">term. </w:t>
      </w:r>
    </w:p>
    <w:p w:rsidR="00116054" w:rsidRDefault="00116054" w:rsidP="006F0EAE">
      <w:r>
        <w:t>Over the forward estimates, despite a fall in commodity prices,</w:t>
      </w:r>
      <w:r w:rsidRPr="00907612">
        <w:t xml:space="preserve"> growth in export volumes in </w:t>
      </w:r>
      <w:r>
        <w:t>the mining</w:t>
      </w:r>
      <w:r w:rsidRPr="00907612">
        <w:t xml:space="preserve"> states will support </w:t>
      </w:r>
      <w:r>
        <w:t xml:space="preserve">their fiscal positions. This will in turn, contribute to </w:t>
      </w:r>
      <w:r w:rsidRPr="00907612">
        <w:t>gr</w:t>
      </w:r>
      <w:r>
        <w:t>owth in Victoria’s share of GST, consistent with the established principles of GST distribution.</w:t>
      </w:r>
    </w:p>
    <w:p w:rsidR="00116054" w:rsidRPr="00907612" w:rsidRDefault="00116054" w:rsidP="006F0EAE">
      <w:r>
        <w:t>These factors will contribute to stronger GST growth of 7.5 per cent a year on average over the forward estimates.</w:t>
      </w:r>
    </w:p>
    <w:p w:rsidR="00116054" w:rsidRDefault="00116054" w:rsidP="001869AB">
      <w:r w:rsidRPr="00907612">
        <w:t>Commonwealth grants</w:t>
      </w:r>
      <w:r>
        <w:fldChar w:fldCharType="begin"/>
      </w:r>
      <w:r>
        <w:instrText xml:space="preserve"> XE "</w:instrText>
      </w:r>
      <w:r w:rsidRPr="00964B63">
        <w:rPr>
          <w:lang w:val="en-US"/>
        </w:rPr>
        <w:instrText>Grants:</w:instrText>
      </w:r>
      <w:r w:rsidRPr="00964B63">
        <w:instrText>Commonwealth</w:instrText>
      </w:r>
      <w:r>
        <w:instrText xml:space="preserve">" </w:instrText>
      </w:r>
      <w:r>
        <w:fldChar w:fldCharType="end"/>
      </w:r>
      <w:r w:rsidRPr="00907612">
        <w:t xml:space="preserve"> for specific policy purposes</w:t>
      </w:r>
      <w:r>
        <w:t xml:space="preserve"> are</w:t>
      </w:r>
      <w:r w:rsidRPr="00907612">
        <w:t xml:space="preserve"> projected to be $12.</w:t>
      </w:r>
      <w:r>
        <w:t>7 billion</w:t>
      </w:r>
      <w:r w:rsidRPr="00907612">
        <w:t xml:space="preserve"> </w:t>
      </w:r>
      <w:r>
        <w:t xml:space="preserve">a year </w:t>
      </w:r>
      <w:r w:rsidRPr="00907612">
        <w:t>on average across the budget and forward estimates. The Commonwealth provides these grants as contributions towards healthcare, education, disability</w:t>
      </w:r>
      <w:r>
        <w:t xml:space="preserve"> and other</w:t>
      </w:r>
      <w:r w:rsidRPr="00907612">
        <w:t xml:space="preserve"> services, and major infrastructure investment</w:t>
      </w:r>
      <w:r>
        <w:fldChar w:fldCharType="begin"/>
      </w:r>
      <w:r>
        <w:instrText xml:space="preserve"> XE "</w:instrText>
      </w:r>
      <w:r w:rsidRPr="000D11FA">
        <w:instrText>Infrastructure investment</w:instrText>
      </w:r>
      <w:r>
        <w:instrText xml:space="preserve">" </w:instrText>
      </w:r>
      <w:r>
        <w:fldChar w:fldCharType="end"/>
      </w:r>
      <w:r w:rsidRPr="00907612">
        <w:t xml:space="preserve">. While the outlook is relatively stable across the forward estimates there is significant movement in the underlying components of </w:t>
      </w:r>
      <w:r>
        <w:t xml:space="preserve">the </w:t>
      </w:r>
      <w:r w:rsidRPr="00907612">
        <w:t xml:space="preserve">grants. </w:t>
      </w:r>
    </w:p>
    <w:p w:rsidR="00116054" w:rsidRPr="00907612" w:rsidRDefault="00116054" w:rsidP="001869AB">
      <w:r w:rsidRPr="00907612">
        <w:t>Recurrent grants are lower in 2016</w:t>
      </w:r>
      <w:r>
        <w:noBreakHyphen/>
      </w:r>
      <w:r w:rsidRPr="00907612">
        <w:t xml:space="preserve">17 primarily due to the </w:t>
      </w:r>
      <w:r>
        <w:t xml:space="preserve">agreed </w:t>
      </w:r>
      <w:r w:rsidRPr="00907612">
        <w:t>transfer of responsibilities under the Home and Community Care National Partnership from Victoria to the Commonwealth. Growth i</w:t>
      </w:r>
      <w:r>
        <w:t>n recurrent grants is expected to decrease</w:t>
      </w:r>
      <w:r w:rsidRPr="00907612">
        <w:t xml:space="preserve"> from 2017</w:t>
      </w:r>
      <w:r>
        <w:noBreakHyphen/>
      </w:r>
      <w:r w:rsidRPr="00907612">
        <w:t>18 onwards due to the Commonwealth</w:t>
      </w:r>
      <w:r>
        <w:t>’</w:t>
      </w:r>
      <w:r w:rsidRPr="00907612">
        <w:t>s decision to reduce funding</w:t>
      </w:r>
      <w:r>
        <w:t xml:space="preserve"> growth</w:t>
      </w:r>
      <w:r w:rsidRPr="00907612">
        <w:t xml:space="preserve"> </w:t>
      </w:r>
      <w:r>
        <w:t>for</w:t>
      </w:r>
      <w:r w:rsidRPr="00907612">
        <w:t xml:space="preserve"> the Health Reform</w:t>
      </w:r>
      <w:r>
        <w:t xml:space="preserve"> and schools</w:t>
      </w:r>
      <w:r w:rsidRPr="00907612">
        <w:t xml:space="preserve"> </w:t>
      </w:r>
      <w:r>
        <w:t xml:space="preserve">agreements. </w:t>
      </w:r>
      <w:r w:rsidRPr="00907612">
        <w:t>Total</w:t>
      </w:r>
      <w:r>
        <w:t xml:space="preserve"> specific policy purposes</w:t>
      </w:r>
      <w:r w:rsidRPr="00907612">
        <w:t xml:space="preserve"> grants for 2017</w:t>
      </w:r>
      <w:r>
        <w:noBreakHyphen/>
      </w:r>
      <w:r w:rsidRPr="00907612">
        <w:t>18 and 2018</w:t>
      </w:r>
      <w:r>
        <w:noBreakHyphen/>
      </w:r>
      <w:r w:rsidRPr="00907612">
        <w:t>19 are relatively stable due to the offsetting impact of capital grants.</w:t>
      </w:r>
    </w:p>
    <w:p w:rsidR="00116054" w:rsidRDefault="00116054">
      <w:pPr>
        <w:spacing w:after="0"/>
        <w:rPr>
          <w:rFonts w:ascii="Calibri" w:hAnsi="Calibri"/>
          <w:b/>
          <w:i/>
          <w:kern w:val="28"/>
          <w:sz w:val="24"/>
          <w:szCs w:val="22"/>
        </w:rPr>
      </w:pPr>
      <w:r>
        <w:br w:type="page"/>
      </w:r>
    </w:p>
    <w:p w:rsidR="00116054" w:rsidRPr="007E4E2E" w:rsidRDefault="00116054" w:rsidP="001D21D0">
      <w:pPr>
        <w:pStyle w:val="Heading3"/>
      </w:pPr>
      <w:r w:rsidRPr="007E4E2E">
        <w:lastRenderedPageBreak/>
        <w:t>Other current revenue</w:t>
      </w:r>
    </w:p>
    <w:p w:rsidR="00116054" w:rsidRPr="007E4E2E" w:rsidRDefault="00116054" w:rsidP="00FA56C3">
      <w:r w:rsidRPr="007E4E2E">
        <w:t>Other current revenue includes fines, royalties, donations and gifts</w:t>
      </w:r>
      <w:r>
        <w:t>,</w:t>
      </w:r>
      <w:r w:rsidRPr="007E4E2E">
        <w:t xml:space="preserve"> assets received free of charge and other miscellaneous revenues. Other current revenue is projected to</w:t>
      </w:r>
      <w:r>
        <w:t xml:space="preserve"> decrease by 6.0 per cent to $2.2 billion</w:t>
      </w:r>
      <w:r w:rsidRPr="007E4E2E">
        <w:t xml:space="preserve"> </w:t>
      </w:r>
      <w:r>
        <w:t>in 2015</w:t>
      </w:r>
      <w:r>
        <w:noBreakHyphen/>
        <w:t>16 due to lower fees and fines revenue, and grow by an average of 1.8 per cent a year</w:t>
      </w:r>
      <w:r w:rsidRPr="007E4E2E">
        <w:t xml:space="preserve"> across the forward estimates.</w:t>
      </w:r>
    </w:p>
    <w:p w:rsidR="00116054" w:rsidRPr="007E4E2E" w:rsidRDefault="00116054" w:rsidP="006D3D36">
      <w:pPr>
        <w:pStyle w:val="Heading2"/>
      </w:pPr>
      <w:r w:rsidRPr="007E4E2E">
        <w:t>Expenses outlook</w:t>
      </w:r>
    </w:p>
    <w:p w:rsidR="00116054" w:rsidRPr="007E4E2E" w:rsidRDefault="00116054" w:rsidP="004E2C7B">
      <w:r w:rsidRPr="007E4E2E">
        <w:t>The Government will spend $</w:t>
      </w:r>
      <w:r>
        <w:t>54 billion in 2015</w:t>
      </w:r>
      <w:r>
        <w:noBreakHyphen/>
        <w:t>16</w:t>
      </w:r>
      <w:r w:rsidRPr="007E4E2E">
        <w:t xml:space="preserve"> </w:t>
      </w:r>
      <w:r>
        <w:t>providing services</w:t>
      </w:r>
      <w:r w:rsidRPr="007E4E2E">
        <w:t xml:space="preserve"> </w:t>
      </w:r>
      <w:r>
        <w:t>to the community</w:t>
      </w:r>
      <w:r w:rsidRPr="007E4E2E">
        <w:t xml:space="preserve">. </w:t>
      </w:r>
      <w:r>
        <w:t>Total expenses are</w:t>
      </w:r>
      <w:r w:rsidRPr="007E4E2E">
        <w:t xml:space="preserve"> expected to grow by </w:t>
      </w:r>
      <w:r>
        <w:t>3.0 per cent</w:t>
      </w:r>
      <w:r w:rsidRPr="007E4E2E">
        <w:t xml:space="preserve"> a year on average</w:t>
      </w:r>
      <w:r>
        <w:t xml:space="preserve"> over the budget and forward estimates compared with a 3.4 per cent growth in revenue over the same period.</w:t>
      </w:r>
    </w:p>
    <w:p w:rsidR="00116054" w:rsidRPr="00D62187" w:rsidRDefault="00116054" w:rsidP="004E2C7B">
      <w:r>
        <w:t xml:space="preserve">The level and expected growth in expenses is higher than estimates forecast in </w:t>
      </w:r>
      <w:r w:rsidRPr="000B1CD6">
        <w:rPr>
          <w:i/>
        </w:rPr>
        <w:t>2014 Pre</w:t>
      </w:r>
      <w:r>
        <w:rPr>
          <w:i/>
        </w:rPr>
        <w:noBreakHyphen/>
      </w:r>
      <w:r w:rsidRPr="000B1CD6">
        <w:rPr>
          <w:i/>
        </w:rPr>
        <w:t>Election Budget Update</w:t>
      </w:r>
      <w:r>
        <w:t xml:space="preserve"> reflecting the Government’s decision to invest more in services. However, expenses growth remains lower than revenue growth over the forward estimates and is reflected in large and growing operating surpluses.</w:t>
      </w:r>
    </w:p>
    <w:p w:rsidR="00116054" w:rsidRPr="00D62187" w:rsidRDefault="00116054" w:rsidP="004E2C7B">
      <w:r>
        <w:t>Specifically:</w:t>
      </w:r>
    </w:p>
    <w:p w:rsidR="00116054" w:rsidRDefault="00116054" w:rsidP="00DB40A4">
      <w:pPr>
        <w:pStyle w:val="BulletText"/>
      </w:pPr>
      <w:r>
        <w:t>e</w:t>
      </w:r>
      <w:r w:rsidRPr="007E4E2E">
        <w:t xml:space="preserve">mployee expenses (including superannuation), which accounts for </w:t>
      </w:r>
      <w:r>
        <w:t>42 per cent</w:t>
      </w:r>
      <w:r w:rsidRPr="007E4E2E">
        <w:t xml:space="preserve"> of operating expenditure</w:t>
      </w:r>
      <w:r>
        <w:t xml:space="preserve"> in 2015</w:t>
      </w:r>
      <w:r>
        <w:noBreakHyphen/>
        <w:t>16</w:t>
      </w:r>
      <w:r w:rsidRPr="007E4E2E">
        <w:t xml:space="preserve">, is projected to </w:t>
      </w:r>
      <w:r>
        <w:t xml:space="preserve">grow by 7.1 per cent to </w:t>
      </w:r>
      <w:r w:rsidRPr="007E4E2E">
        <w:t>$</w:t>
      </w:r>
      <w:r>
        <w:t>23 billion</w:t>
      </w:r>
      <w:r w:rsidRPr="007E4E2E">
        <w:t xml:space="preserve"> in 2015</w:t>
      </w:r>
      <w:r>
        <w:noBreakHyphen/>
      </w:r>
      <w:r w:rsidRPr="007E4E2E">
        <w:t xml:space="preserve">16 and by </w:t>
      </w:r>
      <w:r>
        <w:t>3.4 per cent</w:t>
      </w:r>
      <w:r w:rsidRPr="007E4E2E">
        <w:t xml:space="preserve"> </w:t>
      </w:r>
      <w:r>
        <w:t>a</w:t>
      </w:r>
      <w:r w:rsidRPr="007E4E2E">
        <w:t> year on average</w:t>
      </w:r>
      <w:r>
        <w:t xml:space="preserve"> over the forward estimates</w:t>
      </w:r>
      <w:r w:rsidRPr="007E4E2E">
        <w:t>. Th</w:t>
      </w:r>
      <w:r>
        <w:t>e growth in 2015</w:t>
      </w:r>
      <w:r>
        <w:noBreakHyphen/>
        <w:t xml:space="preserve">16 </w:t>
      </w:r>
      <w:r w:rsidRPr="007E4E2E">
        <w:t>is dr</w:t>
      </w:r>
      <w:r>
        <w:t>iven by annual growth in wages,</w:t>
      </w:r>
      <w:r w:rsidRPr="007E4E2E">
        <w:t xml:space="preserve"> growth in </w:t>
      </w:r>
      <w:r>
        <w:t>staffing numbers associated with growing patient demand and increased investment</w:t>
      </w:r>
      <w:r w:rsidRPr="007E4E2E">
        <w:t xml:space="preserve"> </w:t>
      </w:r>
      <w:r>
        <w:t>in the education sector;</w:t>
      </w:r>
    </w:p>
    <w:p w:rsidR="00116054" w:rsidRDefault="00116054" w:rsidP="008A5916">
      <w:pPr>
        <w:pStyle w:val="BulletText"/>
      </w:pPr>
      <w:r>
        <w:t>g</w:t>
      </w:r>
      <w:r w:rsidRPr="007E4E2E">
        <w:t>rants and other transfer expenses includes funding provided to non</w:t>
      </w:r>
      <w:r>
        <w:noBreakHyphen/>
      </w:r>
      <w:r w:rsidRPr="007E4E2E">
        <w:t>government schools</w:t>
      </w:r>
      <w:r>
        <w:fldChar w:fldCharType="begin"/>
      </w:r>
      <w:r>
        <w:instrText xml:space="preserve"> XE "</w:instrText>
      </w:r>
      <w:r w:rsidRPr="008F5223">
        <w:instrText>Schools</w:instrText>
      </w:r>
      <w:r>
        <w:instrText xml:space="preserve">" </w:instrText>
      </w:r>
      <w:r>
        <w:fldChar w:fldCharType="end"/>
      </w:r>
      <w:r w:rsidRPr="007E4E2E">
        <w:t xml:space="preserve">, </w:t>
      </w:r>
      <w:proofErr w:type="spellStart"/>
      <w:r w:rsidRPr="007E4E2E">
        <w:t>VicTrack</w:t>
      </w:r>
      <w:proofErr w:type="spellEnd"/>
      <w:r w:rsidRPr="007E4E2E">
        <w:t xml:space="preserve"> and V/Line for operational costs incurred in the p</w:t>
      </w:r>
      <w:r>
        <w:t>rovision of transport services, and</w:t>
      </w:r>
      <w:r w:rsidRPr="007E4E2E">
        <w:t xml:space="preserve"> local governments. Expenditure is forecast </w:t>
      </w:r>
      <w:r>
        <w:t>to grow by 5.7 per cent to $8.7 billion</w:t>
      </w:r>
      <w:r w:rsidRPr="007E4E2E">
        <w:t xml:space="preserve"> in 2015</w:t>
      </w:r>
      <w:r>
        <w:noBreakHyphen/>
        <w:t>16 and by 4.3 per cent a year on average over the forward estimates. This increase</w:t>
      </w:r>
      <w:r w:rsidRPr="007E4E2E">
        <w:t xml:space="preserve"> primarily </w:t>
      </w:r>
      <w:r>
        <w:t xml:space="preserve">reflects growth in capital asset payments to </w:t>
      </w:r>
      <w:proofErr w:type="spellStart"/>
      <w:r>
        <w:t>VicTrack</w:t>
      </w:r>
      <w:proofErr w:type="spellEnd"/>
      <w:r>
        <w:t>;</w:t>
      </w:r>
    </w:p>
    <w:p w:rsidR="00116054" w:rsidRDefault="00116054" w:rsidP="00B0669D">
      <w:pPr>
        <w:pStyle w:val="BulletText"/>
      </w:pPr>
      <w:r>
        <w:t>o</w:t>
      </w:r>
      <w:r w:rsidRPr="007E4E2E">
        <w:t>ther op</w:t>
      </w:r>
      <w:r>
        <w:t>erating expenses includes the</w:t>
      </w:r>
      <w:r w:rsidRPr="007E4E2E">
        <w:t xml:space="preserve"> purchase of supplies</w:t>
      </w:r>
      <w:r>
        <w:t xml:space="preserve"> and</w:t>
      </w:r>
      <w:r w:rsidRPr="007E4E2E">
        <w:t xml:space="preserve"> services in the human services, health and transport sectors, and maintenance accounts</w:t>
      </w:r>
      <w:r>
        <w:t xml:space="preserve">. Other operating expenses </w:t>
      </w:r>
      <w:r w:rsidRPr="007E4E2E">
        <w:t xml:space="preserve">are projected to </w:t>
      </w:r>
      <w:r>
        <w:t>decrease by 2.2 per cent in 2015</w:t>
      </w:r>
      <w:r>
        <w:noBreakHyphen/>
      </w:r>
      <w:r w:rsidRPr="007E4E2E">
        <w:t>1</w:t>
      </w:r>
      <w:r>
        <w:t>6</w:t>
      </w:r>
      <w:r w:rsidRPr="007E4E2E">
        <w:t xml:space="preserve"> </w:t>
      </w:r>
      <w:r>
        <w:t xml:space="preserve">and grow by an average of 1.6 per cent a year </w:t>
      </w:r>
      <w:r w:rsidRPr="007E4E2E">
        <w:t>to $19</w:t>
      </w:r>
      <w:r>
        <w:t> billion</w:t>
      </w:r>
      <w:r w:rsidRPr="007E4E2E">
        <w:t xml:space="preserve"> in 2018</w:t>
      </w:r>
      <w:r>
        <w:noBreakHyphen/>
        <w:t>19;</w:t>
      </w:r>
    </w:p>
    <w:p w:rsidR="00116054" w:rsidRDefault="00116054" w:rsidP="00B0669D">
      <w:pPr>
        <w:pStyle w:val="BulletText"/>
      </w:pPr>
      <w:r>
        <w:t>d</w:t>
      </w:r>
      <w:r w:rsidRPr="007E4E2E">
        <w:t>epreciation expense</w:t>
      </w:r>
      <w:r>
        <w:t>s</w:t>
      </w:r>
      <w:r w:rsidRPr="007E4E2E">
        <w:t xml:space="preserve"> </w:t>
      </w:r>
      <w:r>
        <w:t>are</w:t>
      </w:r>
      <w:r w:rsidRPr="007E4E2E">
        <w:t xml:space="preserve"> projected to</w:t>
      </w:r>
      <w:r>
        <w:t xml:space="preserve"> grow by 3.2 per cent to</w:t>
      </w:r>
      <w:r w:rsidRPr="007E4E2E">
        <w:t xml:space="preserve"> $</w:t>
      </w:r>
      <w:r>
        <w:t>2.6 billion</w:t>
      </w:r>
      <w:r w:rsidRPr="007E4E2E">
        <w:t xml:space="preserve"> in 2015</w:t>
      </w:r>
      <w:r>
        <w:noBreakHyphen/>
      </w:r>
      <w:r w:rsidRPr="007E4E2E">
        <w:t xml:space="preserve">16, increasing by </w:t>
      </w:r>
      <w:r>
        <w:t>6.9 per cent</w:t>
      </w:r>
      <w:r w:rsidRPr="007E4E2E">
        <w:t xml:space="preserve"> </w:t>
      </w:r>
      <w:r>
        <w:t>a</w:t>
      </w:r>
      <w:r w:rsidRPr="007E4E2E">
        <w:t xml:space="preserve"> year on average </w:t>
      </w:r>
      <w:r>
        <w:t xml:space="preserve">over the forward estimates </w:t>
      </w:r>
      <w:r w:rsidRPr="007E4E2E">
        <w:t>to $3</w:t>
      </w:r>
      <w:r>
        <w:t>.1 billion</w:t>
      </w:r>
      <w:r w:rsidRPr="007E4E2E">
        <w:t xml:space="preserve"> in 2018</w:t>
      </w:r>
      <w:r>
        <w:noBreakHyphen/>
      </w:r>
      <w:r w:rsidRPr="007E4E2E">
        <w:t>19. Growt</w:t>
      </w:r>
      <w:r>
        <w:t>h in the depreciable asset base</w:t>
      </w:r>
      <w:r w:rsidRPr="007E4E2E">
        <w:t xml:space="preserve"> over the forward estimates reflects the Government</w:t>
      </w:r>
      <w:r>
        <w:t>’</w:t>
      </w:r>
      <w:r w:rsidRPr="007E4E2E">
        <w:t xml:space="preserve">s commitment to invest in </w:t>
      </w:r>
      <w:r>
        <w:t>s</w:t>
      </w:r>
      <w:r w:rsidRPr="007E4E2E">
        <w:t>tate infrastructure, particular</w:t>
      </w:r>
      <w:r>
        <w:t>ly within the transport network through</w:t>
      </w:r>
      <w:r w:rsidRPr="007E4E2E">
        <w:t xml:space="preserve"> </w:t>
      </w:r>
      <w:r>
        <w:t xml:space="preserve">the </w:t>
      </w:r>
      <w:r w:rsidRPr="007E4E2E">
        <w:t>Melbourne Metro</w:t>
      </w:r>
      <w:r>
        <w:t xml:space="preserve"> Rail Project</w:t>
      </w:r>
      <w:r>
        <w:fldChar w:fldCharType="begin"/>
      </w:r>
      <w:r>
        <w:instrText xml:space="preserve"> XE "</w:instrText>
      </w:r>
      <w:r w:rsidRPr="00962399">
        <w:instrText>Melbourne Metro Rail Project</w:instrText>
      </w:r>
      <w:r>
        <w:instrText xml:space="preserve">" </w:instrText>
      </w:r>
      <w:r>
        <w:fldChar w:fldCharType="end"/>
      </w:r>
      <w:r w:rsidRPr="007E4E2E">
        <w:t xml:space="preserve"> and the procurement of additional E</w:t>
      </w:r>
      <w:r>
        <w:noBreakHyphen/>
        <w:t>Class trams;</w:t>
      </w:r>
      <w:r w:rsidRPr="007E4E2E">
        <w:t xml:space="preserve"> </w:t>
      </w:r>
      <w:r>
        <w:t>and</w:t>
      </w:r>
    </w:p>
    <w:p w:rsidR="00116054" w:rsidRDefault="00116054" w:rsidP="007C6991">
      <w:pPr>
        <w:pStyle w:val="BulletText"/>
      </w:pPr>
      <w:r>
        <w:t>i</w:t>
      </w:r>
      <w:r w:rsidRPr="007E4E2E">
        <w:t>nterest expense</w:t>
      </w:r>
      <w:r>
        <w:t>s</w:t>
      </w:r>
      <w:r w:rsidRPr="007E4E2E">
        <w:t xml:space="preserve"> </w:t>
      </w:r>
      <w:r>
        <w:t>are</w:t>
      </w:r>
      <w:r w:rsidRPr="007E4E2E">
        <w:t xml:space="preserve"> forecast to be $2</w:t>
      </w:r>
      <w:r>
        <w:t>.1 billion</w:t>
      </w:r>
      <w:r w:rsidRPr="007E4E2E">
        <w:t xml:space="preserve"> in 2015</w:t>
      </w:r>
      <w:r>
        <w:noBreakHyphen/>
      </w:r>
      <w:r w:rsidRPr="007E4E2E">
        <w:t xml:space="preserve">16, a </w:t>
      </w:r>
      <w:r>
        <w:t>0.3 per cent</w:t>
      </w:r>
      <w:r w:rsidRPr="007E4E2E">
        <w:t xml:space="preserve"> decline from 2014</w:t>
      </w:r>
      <w:r>
        <w:noBreakHyphen/>
      </w:r>
      <w:r w:rsidRPr="007E4E2E">
        <w:t>15</w:t>
      </w:r>
      <w:r>
        <w:t xml:space="preserve"> in line with the reduction in net debt profile in 2015</w:t>
      </w:r>
      <w:r>
        <w:noBreakHyphen/>
        <w:t>16.</w:t>
      </w:r>
      <w:r w:rsidRPr="007E4E2E">
        <w:t xml:space="preserve"> Interest payments </w:t>
      </w:r>
      <w:r>
        <w:t>over the forward estimates are expected to grow by 0.4 per cent a year on average.</w:t>
      </w:r>
    </w:p>
    <w:p w:rsidR="00116054" w:rsidRDefault="00116054" w:rsidP="00C51ABD">
      <w:r>
        <w:lastRenderedPageBreak/>
        <w:t>Medium</w:t>
      </w:r>
      <w:r>
        <w:noBreakHyphen/>
        <w:t>term d</w:t>
      </w:r>
      <w:r w:rsidRPr="00D62187">
        <w:t>emographic changes including a growing population</w:t>
      </w:r>
      <w:r>
        <w:fldChar w:fldCharType="begin"/>
      </w:r>
      <w:r>
        <w:instrText xml:space="preserve"> XE "</w:instrText>
      </w:r>
      <w:proofErr w:type="spellStart"/>
      <w:r w:rsidRPr="008219EA">
        <w:instrText>Population</w:instrText>
      </w:r>
      <w:r>
        <w:instrText>:Growth</w:instrText>
      </w:r>
      <w:proofErr w:type="spellEnd"/>
      <w:r>
        <w:instrText xml:space="preserve">" </w:instrText>
      </w:r>
      <w:r>
        <w:fldChar w:fldCharType="end"/>
      </w:r>
      <w:r w:rsidRPr="00D62187">
        <w:t xml:space="preserve"> and an increasing proportion of Victorians aged</w:t>
      </w:r>
      <w:r>
        <w:t xml:space="preserve"> 65 and over pose challenges to</w:t>
      </w:r>
      <w:r w:rsidRPr="00D62187">
        <w:t xml:space="preserve"> sustainably fundi</w:t>
      </w:r>
      <w:r>
        <w:t>ng the delivery of high</w:t>
      </w:r>
      <w:r>
        <w:noBreakHyphen/>
        <w:t xml:space="preserve">quality </w:t>
      </w:r>
      <w:r w:rsidRPr="00D62187">
        <w:t>services</w:t>
      </w:r>
      <w:r>
        <w:t>.</w:t>
      </w:r>
    </w:p>
    <w:p w:rsidR="00116054" w:rsidRPr="007E4E2E" w:rsidRDefault="00116054" w:rsidP="006D3D36">
      <w:pPr>
        <w:pStyle w:val="Heading2"/>
      </w:pPr>
      <w:r w:rsidRPr="007E4E2E">
        <w:t>Other economic flows</w:t>
      </w:r>
    </w:p>
    <w:p w:rsidR="00116054" w:rsidRPr="007E4E2E" w:rsidRDefault="00116054" w:rsidP="005865D1">
      <w:r w:rsidRPr="007E4E2E">
        <w:t>The difference between the net result from transactions and the net result is other economic flows included in the net result</w:t>
      </w:r>
      <w:r>
        <w:t xml:space="preserve">. This </w:t>
      </w:r>
      <w:r w:rsidRPr="007E4E2E">
        <w:t>typically includes gains and losses from the disposal of non</w:t>
      </w:r>
      <w:r>
        <w:noBreakHyphen/>
      </w:r>
      <w:r w:rsidRPr="007E4E2E">
        <w:t>financial assets, adjustments for bad and doubtful debts and revaluations of financial assets and liabilities.</w:t>
      </w:r>
    </w:p>
    <w:p w:rsidR="00116054" w:rsidRPr="009F52A4" w:rsidRDefault="00116054" w:rsidP="009F52A4">
      <w:r w:rsidRPr="0048495B">
        <w:t>The revised gain in other economic flows of $</w:t>
      </w:r>
      <w:r>
        <w:t>5.1 billion</w:t>
      </w:r>
      <w:r w:rsidRPr="0048495B">
        <w:t xml:space="preserve"> in 2015</w:t>
      </w:r>
      <w:r>
        <w:noBreakHyphen/>
      </w:r>
      <w:r w:rsidRPr="0048495B">
        <w:t xml:space="preserve">16 largely reflects forecast </w:t>
      </w:r>
      <w:r>
        <w:t>gains</w:t>
      </w:r>
      <w:r w:rsidRPr="0048495B">
        <w:t xml:space="preserve"> of entering into a medium</w:t>
      </w:r>
      <w:r>
        <w:noBreakHyphen/>
      </w:r>
      <w:r w:rsidRPr="0048495B">
        <w:t xml:space="preserve">term lease over the operations of the Port of Melbourne </w:t>
      </w:r>
      <w:r>
        <w:t xml:space="preserve">partly offset by </w:t>
      </w:r>
      <w:r w:rsidRPr="0048495B">
        <w:t>the impact of bad and doubtful debts</w:t>
      </w:r>
      <w:r>
        <w:t>.</w:t>
      </w:r>
    </w:p>
    <w:p w:rsidR="00116054" w:rsidRPr="008E78A2" w:rsidRDefault="00116054" w:rsidP="00B5486D">
      <w:pPr>
        <w:pStyle w:val="Heading2"/>
        <w:rPr>
          <w:i/>
        </w:rPr>
      </w:pPr>
      <w:r w:rsidRPr="008E78A2">
        <w:t xml:space="preserve">Reconciliation of estimates to the </w:t>
      </w:r>
      <w:r w:rsidRPr="008E78A2">
        <w:rPr>
          <w:i/>
        </w:rPr>
        <w:t>2014</w:t>
      </w:r>
      <w:r>
        <w:rPr>
          <w:i/>
        </w:rPr>
        <w:noBreakHyphen/>
      </w:r>
      <w:r w:rsidRPr="008E78A2">
        <w:rPr>
          <w:i/>
        </w:rPr>
        <w:t>15 Budget Update</w:t>
      </w:r>
    </w:p>
    <w:p w:rsidR="00116054" w:rsidRPr="008E78A2" w:rsidRDefault="00116054" w:rsidP="005865D1">
      <w:r w:rsidRPr="008E78A2">
        <w:t>The net result from transactions has been revised down by $</w:t>
      </w:r>
      <w:r>
        <w:t>1.0 billion</w:t>
      </w:r>
      <w:r w:rsidRPr="008E78A2">
        <w:t xml:space="preserve"> in 2015</w:t>
      </w:r>
      <w:r>
        <w:noBreakHyphen/>
      </w:r>
      <w:r w:rsidRPr="008E78A2">
        <w:t>16 and</w:t>
      </w:r>
      <w:r>
        <w:t xml:space="preserve"> to</w:t>
      </w:r>
      <w:r w:rsidRPr="008E78A2">
        <w:t xml:space="preserve"> </w:t>
      </w:r>
      <w:r>
        <w:t xml:space="preserve">an average of </w:t>
      </w:r>
      <w:r w:rsidRPr="008E78A2">
        <w:t>$</w:t>
      </w:r>
      <w:r>
        <w:t>1.4 billion</w:t>
      </w:r>
      <w:r w:rsidRPr="008E78A2">
        <w:t xml:space="preserve"> across</w:t>
      </w:r>
      <w:r>
        <w:t xml:space="preserve"> 2016</w:t>
      </w:r>
      <w:r>
        <w:noBreakHyphen/>
        <w:t>17 and 2017</w:t>
      </w:r>
      <w:r>
        <w:noBreakHyphen/>
        <w:t>18</w:t>
      </w:r>
      <w:r w:rsidRPr="008E78A2">
        <w:t xml:space="preserve">, since the </w:t>
      </w:r>
      <w:r w:rsidRPr="008E78A2">
        <w:rPr>
          <w:i/>
        </w:rPr>
        <w:t>2014</w:t>
      </w:r>
      <w:r>
        <w:rPr>
          <w:i/>
        </w:rPr>
        <w:noBreakHyphen/>
      </w:r>
      <w:r w:rsidRPr="008E78A2">
        <w:rPr>
          <w:i/>
        </w:rPr>
        <w:t>15</w:t>
      </w:r>
      <w:r>
        <w:rPr>
          <w:i/>
        </w:rPr>
        <w:t> </w:t>
      </w:r>
      <w:r w:rsidRPr="008E78A2">
        <w:rPr>
          <w:i/>
        </w:rPr>
        <w:t>Budget Update</w:t>
      </w:r>
      <w:r>
        <w:rPr>
          <w:i/>
        </w:rPr>
        <w:t>.</w:t>
      </w:r>
    </w:p>
    <w:p w:rsidR="00116054" w:rsidRDefault="00116054">
      <w:pPr>
        <w:spacing w:after="0"/>
        <w:rPr>
          <w:rFonts w:ascii="Calibri" w:hAnsi="Calibri"/>
          <w:b/>
        </w:rPr>
      </w:pPr>
      <w:r>
        <w:br w:type="page"/>
      </w:r>
    </w:p>
    <w:p w:rsidR="00116054" w:rsidRPr="007E4E2E" w:rsidRDefault="00116054" w:rsidP="00B5486D">
      <w:pPr>
        <w:pStyle w:val="Tableheading"/>
      </w:pPr>
      <w:r w:rsidRPr="007E4E2E">
        <w:lastRenderedPageBreak/>
        <w:t>Table 4.</w:t>
      </w:r>
      <w:r>
        <w:t xml:space="preserve">3: </w:t>
      </w:r>
      <w:r>
        <w:tab/>
      </w:r>
      <w:r w:rsidRPr="007E4E2E">
        <w:t xml:space="preserve">Reconciliation of estimates to the </w:t>
      </w:r>
      <w:r w:rsidRPr="007E4E2E">
        <w:rPr>
          <w:i/>
        </w:rPr>
        <w:t>2014</w:t>
      </w:r>
      <w:r>
        <w:rPr>
          <w:i/>
        </w:rPr>
        <w:noBreakHyphen/>
      </w:r>
      <w:r w:rsidRPr="007E4E2E">
        <w:rPr>
          <w:i/>
        </w:rPr>
        <w:t>15 Budget Update</w:t>
      </w:r>
      <w:r w:rsidRPr="000C67D2">
        <w:rPr>
          <w:vertAlign w:val="superscript"/>
        </w:rPr>
        <w:t>(a)</w:t>
      </w:r>
      <w:r>
        <w:rPr>
          <w:vertAlign w:val="superscript"/>
        </w:rPr>
        <w:t>(b)</w:t>
      </w:r>
    </w:p>
    <w:p w:rsidR="00116054" w:rsidRDefault="00116054" w:rsidP="00023B72">
      <w:pPr>
        <w:pStyle w:val="million"/>
        <w:rPr>
          <w:rFonts w:ascii="Times New Roman" w:hAnsi="Times New Roman"/>
          <w:sz w:val="20"/>
          <w:lang w:eastAsia="en-AU"/>
        </w:rPr>
      </w:pPr>
      <w:r w:rsidRPr="007E4E2E">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116054" w:rsidRPr="00023B72" w:rsidTr="00023B72">
        <w:trPr>
          <w:cantSplit/>
        </w:trPr>
        <w:tc>
          <w:tcPr>
            <w:tcW w:w="4665" w:type="dxa"/>
            <w:tcBorders>
              <w:top w:val="single" w:sz="4" w:space="0" w:color="auto"/>
              <w:left w:val="single" w:sz="4" w:space="0" w:color="auto"/>
              <w:bottom w:val="nil"/>
              <w:right w:val="nil"/>
            </w:tcBorders>
            <w:shd w:val="clear" w:color="auto" w:fill="000000"/>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2015</w:t>
            </w:r>
            <w:r>
              <w:rPr>
                <w:rFonts w:eastAsiaTheme="minorEastAsia"/>
                <w:lang w:eastAsia="en-AU"/>
              </w:rPr>
              <w:noBreakHyphen/>
            </w:r>
            <w:r w:rsidRPr="00023B72">
              <w:rPr>
                <w:rFonts w:eastAsiaTheme="minorEastAsia"/>
                <w:lang w:eastAsia="en-AU"/>
              </w:rPr>
              <w:t>16</w:t>
            </w:r>
          </w:p>
        </w:tc>
        <w:tc>
          <w:tcPr>
            <w:tcW w:w="1036" w:type="dxa"/>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2016</w:t>
            </w:r>
            <w:r>
              <w:rPr>
                <w:rFonts w:eastAsiaTheme="minorEastAsia"/>
                <w:lang w:eastAsia="en-AU"/>
              </w:rPr>
              <w:noBreakHyphen/>
            </w:r>
            <w:r w:rsidRPr="00023B72">
              <w:rPr>
                <w:rFonts w:eastAsiaTheme="minorEastAsia"/>
                <w:lang w:eastAsia="en-AU"/>
              </w:rPr>
              <w:t>17</w:t>
            </w:r>
          </w:p>
        </w:tc>
        <w:tc>
          <w:tcPr>
            <w:tcW w:w="1036" w:type="dxa"/>
            <w:tcBorders>
              <w:top w:val="single" w:sz="4" w:space="0" w:color="auto"/>
              <w:left w:val="nil"/>
              <w:bottom w:val="nil"/>
              <w:right w:val="single" w:sz="4" w:space="0" w:color="auto"/>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2017</w:t>
            </w:r>
            <w:r>
              <w:rPr>
                <w:rFonts w:eastAsiaTheme="minorEastAsia"/>
                <w:lang w:eastAsia="en-AU"/>
              </w:rPr>
              <w:noBreakHyphen/>
            </w:r>
            <w:r w:rsidRPr="00023B72">
              <w:rPr>
                <w:rFonts w:eastAsiaTheme="minorEastAsia"/>
                <w:lang w:eastAsia="en-AU"/>
              </w:rPr>
              <w:t>18</w:t>
            </w:r>
          </w:p>
        </w:tc>
      </w:tr>
      <w:tr w:rsidR="00116054" w:rsidRPr="00023B72" w:rsidTr="00023B72">
        <w:trPr>
          <w:cantSplit/>
        </w:trPr>
        <w:tc>
          <w:tcPr>
            <w:tcW w:w="4665" w:type="dxa"/>
            <w:tcBorders>
              <w:top w:val="nil"/>
              <w:left w:val="single" w:sz="4" w:space="0" w:color="auto"/>
              <w:bottom w:val="single" w:sz="4" w:space="0" w:color="auto"/>
              <w:right w:val="nil"/>
            </w:tcBorders>
            <w:shd w:val="clear" w:color="auto" w:fill="000000"/>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estimate</w:t>
            </w:r>
          </w:p>
        </w:tc>
        <w:tc>
          <w:tcPr>
            <w:tcW w:w="1036" w:type="dxa"/>
            <w:tcBorders>
              <w:top w:val="nil"/>
              <w:left w:val="nil"/>
              <w:bottom w:val="single" w:sz="4" w:space="0" w:color="auto"/>
              <w:right w:val="single" w:sz="4" w:space="0" w:color="auto"/>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estimate</w:t>
            </w:r>
          </w:p>
        </w:tc>
      </w:tr>
      <w:tr w:rsidR="00116054" w:rsidRPr="00023B72" w:rsidTr="00023B72">
        <w:trPr>
          <w:cantSplit/>
        </w:trPr>
        <w:tc>
          <w:tcPr>
            <w:tcW w:w="4665" w:type="dxa"/>
            <w:tcBorders>
              <w:top w:val="single" w:sz="4" w:space="0" w:color="auto"/>
              <w:left w:val="nil"/>
              <w:bottom w:val="nil"/>
              <w:right w:val="nil"/>
            </w:tcBorders>
            <w:shd w:val="solid" w:color="FFFFFF" w:fill="auto"/>
          </w:tcPr>
          <w:p w:rsidR="00116054" w:rsidRPr="00023B72" w:rsidRDefault="00116054" w:rsidP="00023B72">
            <w:pPr>
              <w:pStyle w:val="Tabletext"/>
              <w:rPr>
                <w:rFonts w:eastAsiaTheme="minorEastAsia"/>
                <w:b/>
                <w:bCs/>
                <w:i/>
                <w:iCs/>
                <w:lang w:eastAsia="en-AU"/>
              </w:rPr>
            </w:pPr>
            <w:r w:rsidRPr="00023B72">
              <w:rPr>
                <w:rFonts w:eastAsiaTheme="minorEastAsia"/>
                <w:b/>
                <w:bCs/>
                <w:lang w:eastAsia="en-AU"/>
              </w:rPr>
              <w:t xml:space="preserve">Net result from transactions: </w:t>
            </w:r>
            <w:r w:rsidRPr="00023B72">
              <w:rPr>
                <w:rFonts w:eastAsiaTheme="minorEastAsia"/>
                <w:b/>
                <w:bCs/>
                <w:i/>
                <w:iCs/>
                <w:lang w:eastAsia="en-AU"/>
              </w:rPr>
              <w:t>2014</w:t>
            </w:r>
            <w:r>
              <w:rPr>
                <w:rFonts w:eastAsiaTheme="minorEastAsia"/>
                <w:b/>
                <w:bCs/>
                <w:i/>
                <w:iCs/>
                <w:lang w:eastAsia="en-AU"/>
              </w:rPr>
              <w:noBreakHyphen/>
            </w:r>
            <w:r w:rsidRPr="00023B72">
              <w:rPr>
                <w:rFonts w:eastAsiaTheme="minorEastAsia"/>
                <w:b/>
                <w:bCs/>
                <w:i/>
                <w:iCs/>
                <w:lang w:eastAsia="en-AU"/>
              </w:rPr>
              <w:t>15 Budget Update</w:t>
            </w:r>
          </w:p>
        </w:tc>
        <w:tc>
          <w:tcPr>
            <w:tcW w:w="1036" w:type="dxa"/>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2 198</w:t>
            </w:r>
          </w:p>
        </w:tc>
        <w:tc>
          <w:tcPr>
            <w:tcW w:w="1036" w:type="dxa"/>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2 414</w:t>
            </w:r>
          </w:p>
        </w:tc>
        <w:tc>
          <w:tcPr>
            <w:tcW w:w="1036" w:type="dxa"/>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2 444</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Policy decision variations</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Revenue policy decision variations</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49</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76</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91</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vertAlign w:val="superscript"/>
                <w:lang w:eastAsia="en-AU"/>
              </w:rPr>
            </w:pPr>
            <w:r w:rsidRPr="00023B72">
              <w:rPr>
                <w:rFonts w:eastAsiaTheme="minorEastAsia"/>
                <w:lang w:eastAsia="en-AU"/>
              </w:rPr>
              <w:t xml:space="preserve">   Output policy decision variations </w:t>
            </w:r>
            <w:r w:rsidRPr="00023B72">
              <w:rPr>
                <w:rFonts w:eastAsiaTheme="minorEastAsia"/>
                <w:vertAlign w:val="superscript"/>
                <w:lang w:eastAsia="en-AU"/>
              </w:rPr>
              <w:t>(c)</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(1 049)</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( 897)</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( 793)</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(1 000)</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( 821)</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( 703)</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Economic/demographic variations</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Taxation</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283</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66</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(175)</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vertAlign w:val="superscript"/>
                <w:lang w:eastAsia="en-AU"/>
              </w:rPr>
            </w:pPr>
            <w:r w:rsidRPr="00023B72">
              <w:rPr>
                <w:rFonts w:eastAsiaTheme="minorEastAsia"/>
                <w:lang w:eastAsia="en-AU"/>
              </w:rPr>
              <w:t xml:space="preserve">   Investment income</w:t>
            </w:r>
            <w:r w:rsidRPr="00023B72">
              <w:rPr>
                <w:rFonts w:eastAsiaTheme="minorEastAsia"/>
                <w:vertAlign w:val="superscript"/>
                <w:lang w:eastAsia="en-AU"/>
              </w:rPr>
              <w:t xml:space="preserve"> (d)</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257</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115</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(118)</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540</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181</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(293)</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Commonwealth grant variations</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General purpose grants</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228</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70</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(279)</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vertAlign w:val="superscript"/>
                <w:lang w:eastAsia="en-AU"/>
              </w:rPr>
            </w:pPr>
            <w:r w:rsidRPr="00023B72">
              <w:rPr>
                <w:rFonts w:eastAsiaTheme="minorEastAsia"/>
                <w:lang w:eastAsia="en-AU"/>
              </w:rPr>
              <w:t xml:space="preserve">   Specific purpose grants </w:t>
            </w:r>
            <w:r w:rsidRPr="00023B72">
              <w:rPr>
                <w:rFonts w:eastAsiaTheme="minorEastAsia"/>
                <w:vertAlign w:val="superscript"/>
                <w:lang w:eastAsia="en-AU"/>
              </w:rPr>
              <w:t>(e)</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(529)</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(8)</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918</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(301)</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63</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639</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Administrative variations</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vertAlign w:val="superscript"/>
                <w:lang w:eastAsia="en-AU"/>
              </w:rPr>
            </w:pPr>
            <w:r w:rsidRPr="00023B72">
              <w:rPr>
                <w:rFonts w:eastAsiaTheme="minorEastAsia"/>
                <w:lang w:eastAsia="en-AU"/>
              </w:rPr>
              <w:t xml:space="preserve">   Contingency offset for new policy </w:t>
            </w:r>
            <w:r w:rsidRPr="00023B72">
              <w:rPr>
                <w:rFonts w:eastAsiaTheme="minorEastAsia"/>
                <w:vertAlign w:val="superscript"/>
                <w:lang w:eastAsia="en-AU"/>
              </w:rPr>
              <w:t>(f)</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89</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127</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273</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Other administrative variations</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(308)</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(566)</w:t>
            </w:r>
          </w:p>
        </w:tc>
        <w:tc>
          <w:tcPr>
            <w:tcW w:w="1036"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( 994)</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(219)</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(439)</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(721)</w:t>
            </w:r>
          </w:p>
        </w:tc>
      </w:tr>
      <w:tr w:rsidR="00116054" w:rsidRPr="00023B72" w:rsidTr="00023B72">
        <w:trPr>
          <w:cantSplit/>
        </w:trPr>
        <w:tc>
          <w:tcPr>
            <w:tcW w:w="4665"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w:t>
            </w:r>
          </w:p>
        </w:tc>
      </w:tr>
      <w:tr w:rsidR="00116054" w:rsidRPr="00023B72" w:rsidTr="00023B72">
        <w:trPr>
          <w:cantSplit/>
        </w:trPr>
        <w:tc>
          <w:tcPr>
            <w:tcW w:w="4665" w:type="dxa"/>
            <w:tcBorders>
              <w:top w:val="nil"/>
              <w:left w:val="nil"/>
              <w:bottom w:val="single" w:sz="6" w:space="0" w:color="auto"/>
              <w:right w:val="nil"/>
            </w:tcBorders>
            <w:shd w:val="solid" w:color="FFFFFF" w:fill="auto"/>
          </w:tcPr>
          <w:p w:rsidR="00116054" w:rsidRPr="00023B72" w:rsidRDefault="00116054" w:rsidP="00023B72">
            <w:pPr>
              <w:pStyle w:val="Tabletext"/>
              <w:rPr>
                <w:rFonts w:eastAsiaTheme="minorEastAsia"/>
                <w:b/>
                <w:bCs/>
                <w:i/>
                <w:iCs/>
                <w:lang w:eastAsia="en-AU"/>
              </w:rPr>
            </w:pPr>
            <w:r w:rsidRPr="00023B72">
              <w:rPr>
                <w:rFonts w:eastAsiaTheme="minorEastAsia"/>
                <w:b/>
                <w:bCs/>
                <w:lang w:eastAsia="en-AU"/>
              </w:rPr>
              <w:t xml:space="preserve">Total variation since </w:t>
            </w:r>
            <w:r w:rsidRPr="00023B72">
              <w:rPr>
                <w:rFonts w:eastAsiaTheme="minorEastAsia"/>
                <w:b/>
                <w:bCs/>
                <w:i/>
                <w:iCs/>
                <w:lang w:eastAsia="en-AU"/>
              </w:rPr>
              <w:t>2014</w:t>
            </w:r>
            <w:r>
              <w:rPr>
                <w:rFonts w:eastAsiaTheme="minorEastAsia"/>
                <w:b/>
                <w:bCs/>
                <w:i/>
                <w:iCs/>
                <w:lang w:eastAsia="en-AU"/>
              </w:rPr>
              <w:noBreakHyphen/>
            </w:r>
            <w:r w:rsidRPr="00023B72">
              <w:rPr>
                <w:rFonts w:eastAsiaTheme="minorEastAsia"/>
                <w:b/>
                <w:bCs/>
                <w:i/>
                <w:iCs/>
                <w:lang w:eastAsia="en-AU"/>
              </w:rPr>
              <w:t>15 Budget Update</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(979)</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(1 017)</w:t>
            </w:r>
          </w:p>
        </w:tc>
        <w:tc>
          <w:tcPr>
            <w:tcW w:w="1036"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(1 078)</w:t>
            </w:r>
          </w:p>
        </w:tc>
      </w:tr>
      <w:tr w:rsidR="00116054" w:rsidRPr="00023B72" w:rsidTr="00023B72">
        <w:trPr>
          <w:cantSplit/>
        </w:trPr>
        <w:tc>
          <w:tcPr>
            <w:tcW w:w="4665" w:type="dxa"/>
            <w:tcBorders>
              <w:top w:val="single" w:sz="6" w:space="0" w:color="auto"/>
              <w:left w:val="nil"/>
              <w:bottom w:val="single" w:sz="12" w:space="0" w:color="auto"/>
              <w:right w:val="nil"/>
            </w:tcBorders>
            <w:shd w:val="solid" w:color="FFFFFF" w:fill="auto"/>
          </w:tcPr>
          <w:p w:rsidR="00116054" w:rsidRPr="00023B72" w:rsidRDefault="00116054" w:rsidP="00023B72">
            <w:pPr>
              <w:pStyle w:val="Tabletext"/>
              <w:rPr>
                <w:rFonts w:eastAsiaTheme="minorEastAsia"/>
                <w:b/>
                <w:bCs/>
                <w:i/>
                <w:iCs/>
                <w:lang w:eastAsia="en-AU"/>
              </w:rPr>
            </w:pPr>
            <w:r w:rsidRPr="00023B72">
              <w:rPr>
                <w:rFonts w:eastAsiaTheme="minorEastAsia"/>
                <w:b/>
                <w:bCs/>
                <w:lang w:eastAsia="en-AU"/>
              </w:rPr>
              <w:t xml:space="preserve">Net result from transactions </w:t>
            </w:r>
            <w:r w:rsidRPr="00023B72">
              <w:rPr>
                <w:rFonts w:eastAsiaTheme="minorEastAsia"/>
                <w:b/>
                <w:bCs/>
                <w:i/>
                <w:iCs/>
                <w:lang w:eastAsia="en-AU"/>
              </w:rPr>
              <w:t>2015</w:t>
            </w:r>
            <w:r>
              <w:rPr>
                <w:rFonts w:eastAsiaTheme="minorEastAsia"/>
                <w:b/>
                <w:bCs/>
                <w:i/>
                <w:iCs/>
                <w:lang w:eastAsia="en-AU"/>
              </w:rPr>
              <w:noBreakHyphen/>
            </w:r>
            <w:r w:rsidRPr="00023B72">
              <w:rPr>
                <w:rFonts w:eastAsiaTheme="minorEastAsia"/>
                <w:b/>
                <w:bCs/>
                <w:i/>
                <w:iCs/>
                <w:lang w:eastAsia="en-AU"/>
              </w:rPr>
              <w:t>16 Budget</w:t>
            </w:r>
          </w:p>
        </w:tc>
        <w:tc>
          <w:tcPr>
            <w:tcW w:w="1036" w:type="dxa"/>
            <w:tcBorders>
              <w:top w:val="single" w:sz="6" w:space="0" w:color="auto"/>
              <w:left w:val="nil"/>
              <w:bottom w:val="single" w:sz="12"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1 219</w:t>
            </w:r>
          </w:p>
        </w:tc>
        <w:tc>
          <w:tcPr>
            <w:tcW w:w="1036" w:type="dxa"/>
            <w:tcBorders>
              <w:top w:val="single" w:sz="6" w:space="0" w:color="auto"/>
              <w:left w:val="nil"/>
              <w:bottom w:val="single" w:sz="12"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1 397</w:t>
            </w:r>
          </w:p>
        </w:tc>
        <w:tc>
          <w:tcPr>
            <w:tcW w:w="1036" w:type="dxa"/>
            <w:tcBorders>
              <w:top w:val="single" w:sz="6" w:space="0" w:color="auto"/>
              <w:left w:val="nil"/>
              <w:bottom w:val="single" w:sz="12"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1 366</w:t>
            </w:r>
          </w:p>
        </w:tc>
      </w:tr>
    </w:tbl>
    <w:p w:rsidR="00116054" w:rsidRPr="007E4E2E" w:rsidRDefault="00116054" w:rsidP="006F0EAE">
      <w:pPr>
        <w:pStyle w:val="Source"/>
      </w:pPr>
      <w:r w:rsidRPr="007E4E2E">
        <w:t>Source: Department of Treasury and Finance</w:t>
      </w:r>
    </w:p>
    <w:p w:rsidR="00116054" w:rsidRPr="007E4E2E" w:rsidRDefault="00116054" w:rsidP="00B5486D">
      <w:pPr>
        <w:pStyle w:val="Notes"/>
      </w:pPr>
      <w:r>
        <w:t>Notes:</w:t>
      </w:r>
    </w:p>
    <w:p w:rsidR="00116054" w:rsidRDefault="00116054" w:rsidP="00B5486D">
      <w:pPr>
        <w:pStyle w:val="Notes"/>
      </w:pPr>
      <w:r>
        <w:t>(a)</w:t>
      </w:r>
      <w:r>
        <w:tab/>
        <w:t xml:space="preserve">This table has been refined since the </w:t>
      </w:r>
      <w:r w:rsidRPr="00FC43FE">
        <w:rPr>
          <w:i w:val="0"/>
        </w:rPr>
        <w:t>2014</w:t>
      </w:r>
      <w:r>
        <w:rPr>
          <w:i w:val="0"/>
        </w:rPr>
        <w:noBreakHyphen/>
      </w:r>
      <w:r w:rsidRPr="00FC43FE">
        <w:rPr>
          <w:i w:val="0"/>
        </w:rPr>
        <w:t>15 Budget Update</w:t>
      </w:r>
      <w:r>
        <w:t xml:space="preserve"> to remove the double count of categories appearing under both revenue and expenses. Signage denotes impact on operating result.</w:t>
      </w:r>
    </w:p>
    <w:p w:rsidR="00116054" w:rsidRDefault="00116054" w:rsidP="00094AD3">
      <w:pPr>
        <w:pStyle w:val="Notes"/>
      </w:pPr>
      <w:r w:rsidRPr="007E4E2E">
        <w:t xml:space="preserve">(b) </w:t>
      </w:r>
      <w:r w:rsidRPr="007E4E2E">
        <w:tab/>
      </w:r>
      <w:r>
        <w:t>Figures in this table are subject to rounding to the nearest million and may not add up to totals.</w:t>
      </w:r>
    </w:p>
    <w:p w:rsidR="00116054" w:rsidRDefault="00116054" w:rsidP="00094AD3">
      <w:pPr>
        <w:pStyle w:val="Notes"/>
      </w:pPr>
      <w:r w:rsidRPr="007E4E2E">
        <w:t xml:space="preserve">(c) </w:t>
      </w:r>
      <w:r w:rsidRPr="007E4E2E">
        <w:tab/>
        <w:t>This is represented in Table 4.</w:t>
      </w:r>
      <w:r>
        <w:t>4</w:t>
      </w:r>
      <w:r w:rsidRPr="007E4E2E">
        <w:t xml:space="preserve"> as the </w:t>
      </w:r>
      <w:r w:rsidRPr="00977F28">
        <w:rPr>
          <w:i w:val="0"/>
        </w:rPr>
        <w:t>2015</w:t>
      </w:r>
      <w:r>
        <w:rPr>
          <w:i w:val="0"/>
        </w:rPr>
        <w:noBreakHyphen/>
      </w:r>
      <w:r w:rsidRPr="00977F28">
        <w:rPr>
          <w:i w:val="0"/>
        </w:rPr>
        <w:t>16 Budget</w:t>
      </w:r>
      <w:r>
        <w:t xml:space="preserve"> output policy decisions.</w:t>
      </w:r>
    </w:p>
    <w:p w:rsidR="00116054" w:rsidRDefault="00116054" w:rsidP="00094AD3">
      <w:pPr>
        <w:pStyle w:val="Notes"/>
      </w:pPr>
      <w:r>
        <w:t>(d)</w:t>
      </w:r>
      <w:r>
        <w:tab/>
      </w:r>
      <w:r w:rsidRPr="007E4E2E">
        <w:t>Inve</w:t>
      </w:r>
      <w:r>
        <w:t>stment income includes dividends and</w:t>
      </w:r>
      <w:r w:rsidRPr="007E4E2E">
        <w:t xml:space="preserve"> income tax and rate equivalent revenue.</w:t>
      </w:r>
    </w:p>
    <w:p w:rsidR="00116054" w:rsidRDefault="00116054" w:rsidP="00094606">
      <w:pPr>
        <w:pStyle w:val="Notes"/>
      </w:pPr>
      <w:r>
        <w:t>(e)</w:t>
      </w:r>
      <w:r>
        <w:tab/>
        <w:t xml:space="preserve">Reflects the change in grant revenue as per </w:t>
      </w:r>
      <w:r w:rsidRPr="00EC59B9">
        <w:t xml:space="preserve">Budget Paper </w:t>
      </w:r>
      <w:r>
        <w:t>No. </w:t>
      </w:r>
      <w:r w:rsidRPr="00EC59B9">
        <w:t>5</w:t>
      </w:r>
      <w:r>
        <w:t>, Chapter </w:t>
      </w:r>
      <w:r w:rsidRPr="00EC59B9">
        <w:t>1</w:t>
      </w:r>
      <w:r>
        <w:t xml:space="preserve"> </w:t>
      </w:r>
      <w:r w:rsidRPr="00EC59B9">
        <w:t>Note 5</w:t>
      </w:r>
      <w:r>
        <w:t xml:space="preserve"> </w:t>
      </w:r>
      <w:r w:rsidRPr="00EC59B9">
        <w:rPr>
          <w:i w:val="0"/>
        </w:rPr>
        <w:t>Grant Revenue</w:t>
      </w:r>
      <w:r>
        <w:t xml:space="preserve"> less associated expense movements.</w:t>
      </w:r>
    </w:p>
    <w:p w:rsidR="00116054" w:rsidRDefault="00116054" w:rsidP="00094606">
      <w:pPr>
        <w:pStyle w:val="Notes"/>
      </w:pPr>
      <w:r>
        <w:t>(f)</w:t>
      </w:r>
      <w:r>
        <w:tab/>
      </w:r>
      <w:r w:rsidRPr="007E4E2E">
        <w:t xml:space="preserve">Represents release of </w:t>
      </w:r>
      <w:r>
        <w:t>Funding Not Allocated to Specific Purposes c</w:t>
      </w:r>
      <w:r w:rsidRPr="007E4E2E">
        <w:t>ontingencies associated with d</w:t>
      </w:r>
      <w:r>
        <w:t>emand for government services.</w:t>
      </w:r>
    </w:p>
    <w:p w:rsidR="00116054" w:rsidRPr="007E4E2E" w:rsidRDefault="00116054" w:rsidP="00094606">
      <w:pPr>
        <w:pStyle w:val="Notes"/>
      </w:pPr>
    </w:p>
    <w:p w:rsidR="00116054" w:rsidRPr="007E4E2E" w:rsidRDefault="00116054" w:rsidP="006F0EAE">
      <w:pPr>
        <w:pStyle w:val="Heading3"/>
      </w:pPr>
      <w:r>
        <w:t>P</w:t>
      </w:r>
      <w:r w:rsidRPr="007E4E2E">
        <w:t>olicy decision variations</w:t>
      </w:r>
    </w:p>
    <w:p w:rsidR="00116054" w:rsidRPr="007E4E2E" w:rsidRDefault="00116054" w:rsidP="00094606">
      <w:r w:rsidRPr="007E4E2E">
        <w:t xml:space="preserve">New </w:t>
      </w:r>
      <w:r>
        <w:t>revenue and output</w:t>
      </w:r>
      <w:r w:rsidRPr="007E4E2E">
        <w:t xml:space="preserve"> policy decisions reflect the impact of the </w:t>
      </w:r>
      <w:r w:rsidRPr="007E4E2E">
        <w:rPr>
          <w:i/>
        </w:rPr>
        <w:t>2014</w:t>
      </w:r>
      <w:r>
        <w:rPr>
          <w:i/>
        </w:rPr>
        <w:noBreakHyphen/>
      </w:r>
      <w:r w:rsidRPr="007E4E2E">
        <w:rPr>
          <w:i/>
        </w:rPr>
        <w:t>15 Budget</w:t>
      </w:r>
      <w:r w:rsidRPr="007E4E2E">
        <w:t xml:space="preserve"> output initiatives net of new savings</w:t>
      </w:r>
      <w:r>
        <w:t>.</w:t>
      </w:r>
    </w:p>
    <w:p w:rsidR="00116054" w:rsidRPr="00FC43FE" w:rsidRDefault="00116054" w:rsidP="00FC43FE">
      <w:r w:rsidRPr="007E4E2E">
        <w:t xml:space="preserve">Details of specific policy initiatives since the </w:t>
      </w:r>
      <w:r w:rsidRPr="007E4E2E">
        <w:rPr>
          <w:i/>
        </w:rPr>
        <w:t>2014</w:t>
      </w:r>
      <w:r>
        <w:rPr>
          <w:i/>
        </w:rPr>
        <w:noBreakHyphen/>
      </w:r>
      <w:r w:rsidRPr="007E4E2E">
        <w:rPr>
          <w:i/>
        </w:rPr>
        <w:t>15 Budget Update</w:t>
      </w:r>
      <w:r w:rsidRPr="007E4E2E">
        <w:t xml:space="preserve"> are c</w:t>
      </w:r>
      <w:r>
        <w:t>ontained in Budget Paper No. 3, Chapter </w:t>
      </w:r>
      <w:r w:rsidRPr="007E4E2E">
        <w:t xml:space="preserve">1 </w:t>
      </w:r>
      <w:r w:rsidRPr="007E4E2E">
        <w:rPr>
          <w:i/>
        </w:rPr>
        <w:t>Output, asset investment</w:t>
      </w:r>
      <w:r w:rsidRPr="003A3D44">
        <w:fldChar w:fldCharType="begin"/>
      </w:r>
      <w:r w:rsidRPr="003A3D44">
        <w:instrText xml:space="preserve"> XE "Asset investment" </w:instrText>
      </w:r>
      <w:r w:rsidRPr="003A3D44">
        <w:fldChar w:fldCharType="end"/>
      </w:r>
      <w:r w:rsidRPr="007E4E2E">
        <w:rPr>
          <w:i/>
        </w:rPr>
        <w:t>, savings and revenue initiatives</w:t>
      </w:r>
      <w:r w:rsidRPr="007E4E2E">
        <w:t>.</w:t>
      </w:r>
    </w:p>
    <w:p w:rsidR="00116054" w:rsidRDefault="00116054">
      <w:pPr>
        <w:spacing w:after="0"/>
        <w:rPr>
          <w:rFonts w:ascii="Calibri" w:hAnsi="Calibri"/>
          <w:b/>
          <w:i/>
          <w:kern w:val="28"/>
          <w:sz w:val="24"/>
          <w:szCs w:val="22"/>
        </w:rPr>
      </w:pPr>
      <w:r>
        <w:br w:type="page"/>
      </w:r>
    </w:p>
    <w:p w:rsidR="00116054" w:rsidRPr="007E4E2E" w:rsidRDefault="00116054" w:rsidP="006F0EAE">
      <w:pPr>
        <w:pStyle w:val="Heading3"/>
      </w:pPr>
      <w:r w:rsidRPr="007E4E2E">
        <w:lastRenderedPageBreak/>
        <w:t>Economic and demographic variations</w:t>
      </w:r>
    </w:p>
    <w:p w:rsidR="00116054" w:rsidRPr="007E4E2E" w:rsidRDefault="00116054" w:rsidP="00FA56C3">
      <w:r w:rsidRPr="007E4E2E">
        <w:t xml:space="preserve">Since the </w:t>
      </w:r>
      <w:r w:rsidRPr="007E4E2E">
        <w:rPr>
          <w:i/>
        </w:rPr>
        <w:t>2014</w:t>
      </w:r>
      <w:r>
        <w:rPr>
          <w:i/>
        </w:rPr>
        <w:noBreakHyphen/>
      </w:r>
      <w:r w:rsidRPr="007E4E2E">
        <w:rPr>
          <w:i/>
        </w:rPr>
        <w:t>15 Budget Update</w:t>
      </w:r>
      <w:r w:rsidRPr="007E4E2E">
        <w:t xml:space="preserve">, </w:t>
      </w:r>
      <w:r>
        <w:t>land transfer duty</w:t>
      </w:r>
      <w:r>
        <w:fldChar w:fldCharType="begin"/>
      </w:r>
      <w:r>
        <w:instrText xml:space="preserve"> XE "</w:instrText>
      </w:r>
      <w:r w:rsidRPr="00292829">
        <w:instrText>Land transfer duty</w:instrText>
      </w:r>
      <w:r>
        <w:instrText xml:space="preserve">" </w:instrText>
      </w:r>
      <w:r>
        <w:fldChar w:fldCharType="end"/>
      </w:r>
      <w:r>
        <w:fldChar w:fldCharType="begin"/>
      </w:r>
      <w:r>
        <w:instrText xml:space="preserve"> XE "</w:instrText>
      </w:r>
      <w:proofErr w:type="spellStart"/>
      <w:r>
        <w:instrText>Taxation:</w:instrText>
      </w:r>
      <w:r w:rsidRPr="00292829">
        <w:instrText>Land</w:instrText>
      </w:r>
      <w:proofErr w:type="spellEnd"/>
      <w:r w:rsidRPr="00292829">
        <w:instrText xml:space="preserve"> transfer duty</w:instrText>
      </w:r>
      <w:r>
        <w:instrText xml:space="preserve">" </w:instrText>
      </w:r>
      <w:r>
        <w:fldChar w:fldCharType="end"/>
      </w:r>
      <w:r>
        <w:t>, land tax</w:t>
      </w:r>
      <w:r>
        <w:fldChar w:fldCharType="begin"/>
      </w:r>
      <w:r>
        <w:instrText xml:space="preserve"> XE "</w:instrText>
      </w:r>
      <w:r w:rsidRPr="00744027">
        <w:rPr>
          <w:lang w:val="en-US"/>
        </w:rPr>
        <w:instrText>Taxation:</w:instrText>
      </w:r>
      <w:r w:rsidRPr="00744027">
        <w:instrText>Land tax</w:instrText>
      </w:r>
      <w:r>
        <w:instrText xml:space="preserve">" </w:instrText>
      </w:r>
      <w:r>
        <w:fldChar w:fldCharType="end"/>
      </w:r>
      <w:r>
        <w:t xml:space="preserve"> and investment income have been the key drivers of variances in expected economic and demographic variations:</w:t>
      </w:r>
    </w:p>
    <w:p w:rsidR="00116054" w:rsidRDefault="00116054" w:rsidP="00496D12">
      <w:pPr>
        <w:pStyle w:val="BulletText"/>
      </w:pPr>
      <w:r>
        <w:t>l</w:t>
      </w:r>
      <w:r w:rsidRPr="00496D12">
        <w:t>and transfer duty revenue is expected to be around $33</w:t>
      </w:r>
      <w:r>
        <w:t>2 million higher in 2015</w:t>
      </w:r>
      <w:r>
        <w:noBreakHyphen/>
        <w:t>16, $146 million</w:t>
      </w:r>
      <w:r w:rsidRPr="00496D12">
        <w:t xml:space="preserve"> higher in 2016</w:t>
      </w:r>
      <w:r>
        <w:noBreakHyphen/>
      </w:r>
      <w:r w:rsidRPr="00496D12">
        <w:t>17 and $</w:t>
      </w:r>
      <w:r>
        <w:t>86 million</w:t>
      </w:r>
      <w:r w:rsidRPr="00496D12">
        <w:t xml:space="preserve"> lower in 2017</w:t>
      </w:r>
      <w:r>
        <w:noBreakHyphen/>
        <w:t xml:space="preserve">18, compared to the forecasts in the </w:t>
      </w:r>
      <w:r w:rsidRPr="00496D12">
        <w:rPr>
          <w:i/>
        </w:rPr>
        <w:t>2014</w:t>
      </w:r>
      <w:r>
        <w:rPr>
          <w:i/>
        </w:rPr>
        <w:noBreakHyphen/>
      </w:r>
      <w:r w:rsidRPr="00496D12">
        <w:rPr>
          <w:i/>
        </w:rPr>
        <w:t>15 Budget Update</w:t>
      </w:r>
      <w:r w:rsidRPr="00496D12">
        <w:t xml:space="preserve">. Over the past </w:t>
      </w:r>
      <w:r>
        <w:t>two</w:t>
      </w:r>
      <w:r w:rsidRPr="00496D12">
        <w:t xml:space="preserve"> years, the property market has been on a strong upward trajectory driven by historically low interest rates and increased investor activity. However, given the cyclical nature of the property market, the risks of a downturn increase as the current strong property cycle matures</w:t>
      </w:r>
      <w:r>
        <w:t xml:space="preserve">. </w:t>
      </w:r>
      <w:r w:rsidRPr="00496D12">
        <w:t xml:space="preserve">The flatter growth rates in the forward estimates years compared to </w:t>
      </w:r>
      <w:r>
        <w:t xml:space="preserve">those forecast in the </w:t>
      </w:r>
      <w:r w:rsidRPr="00496D12">
        <w:rPr>
          <w:i/>
        </w:rPr>
        <w:t>2014</w:t>
      </w:r>
      <w:r>
        <w:rPr>
          <w:i/>
        </w:rPr>
        <w:noBreakHyphen/>
      </w:r>
      <w:r w:rsidRPr="00496D12">
        <w:rPr>
          <w:i/>
        </w:rPr>
        <w:t>15 Budget Update</w:t>
      </w:r>
      <w:r w:rsidRPr="00496D12">
        <w:t xml:space="preserve"> cause forecast</w:t>
      </w:r>
      <w:r>
        <w:t xml:space="preserve"> revenue to be lower in 2017</w:t>
      </w:r>
      <w:r>
        <w:noBreakHyphen/>
        <w:t>18;</w:t>
      </w:r>
    </w:p>
    <w:p w:rsidR="00116054" w:rsidRDefault="00116054" w:rsidP="00987F9A">
      <w:pPr>
        <w:pStyle w:val="BulletText"/>
      </w:pPr>
      <w:r>
        <w:t>land tax revenue in 2015</w:t>
      </w:r>
      <w:r>
        <w:noBreakHyphen/>
      </w:r>
      <w:r w:rsidRPr="00DB5497">
        <w:t>16 is forecast to be</w:t>
      </w:r>
      <w:r>
        <w:t xml:space="preserve"> $53 million</w:t>
      </w:r>
      <w:r w:rsidRPr="00DB5497">
        <w:t xml:space="preserve"> higher compared </w:t>
      </w:r>
      <w:r>
        <w:t>with</w:t>
      </w:r>
      <w:r w:rsidRPr="00DB5497">
        <w:t xml:space="preserve"> the </w:t>
      </w:r>
      <w:r>
        <w:rPr>
          <w:i/>
        </w:rPr>
        <w:t>2014</w:t>
      </w:r>
      <w:r>
        <w:rPr>
          <w:i/>
        </w:rPr>
        <w:noBreakHyphen/>
      </w:r>
      <w:r w:rsidRPr="00A033AC">
        <w:rPr>
          <w:i/>
        </w:rPr>
        <w:t>15 Budget Update</w:t>
      </w:r>
      <w:r w:rsidRPr="00DB5497">
        <w:t>. This is mainly due to greater investor activity in the property market, as a higher proportion of Victoria</w:t>
      </w:r>
      <w:r>
        <w:t>’</w:t>
      </w:r>
      <w:r w:rsidRPr="00DB5497">
        <w:t>s stock of land is held by businesses and investors, who do not receive the prima</w:t>
      </w:r>
      <w:r>
        <w:t xml:space="preserve">ry place of residence exemption; </w:t>
      </w:r>
    </w:p>
    <w:p w:rsidR="00116054" w:rsidRPr="001F54E6" w:rsidRDefault="00116054" w:rsidP="00496D12">
      <w:pPr>
        <w:pStyle w:val="BulletText"/>
      </w:pPr>
      <w:r>
        <w:rPr>
          <w:rFonts w:cs="Garamond"/>
          <w:color w:val="000000"/>
          <w:szCs w:val="22"/>
          <w:lang w:eastAsia="en-AU"/>
        </w:rPr>
        <w:t>partly offsetting land transfer duty</w:t>
      </w:r>
      <w:r>
        <w:fldChar w:fldCharType="begin"/>
      </w:r>
      <w:r>
        <w:instrText xml:space="preserve"> XE "</w:instrText>
      </w:r>
      <w:r w:rsidRPr="00292829">
        <w:instrText>Land transfer duty</w:instrText>
      </w:r>
      <w:r>
        <w:instrText xml:space="preserve">" </w:instrText>
      </w:r>
      <w:r>
        <w:fldChar w:fldCharType="end"/>
      </w:r>
      <w:r>
        <w:fldChar w:fldCharType="begin"/>
      </w:r>
      <w:r>
        <w:instrText xml:space="preserve"> XE "</w:instrText>
      </w:r>
      <w:proofErr w:type="spellStart"/>
      <w:r>
        <w:instrText>Taxation:</w:instrText>
      </w:r>
      <w:r w:rsidRPr="00292829">
        <w:instrText>Land</w:instrText>
      </w:r>
      <w:proofErr w:type="spellEnd"/>
      <w:r w:rsidRPr="00292829">
        <w:instrText xml:space="preserve"> transfer duty</w:instrText>
      </w:r>
      <w:r>
        <w:instrText xml:space="preserve">" </w:instrText>
      </w:r>
      <w:r>
        <w:fldChar w:fldCharType="end"/>
      </w:r>
      <w:r>
        <w:rPr>
          <w:rFonts w:cs="Garamond"/>
          <w:color w:val="000000"/>
          <w:szCs w:val="22"/>
          <w:lang w:eastAsia="en-AU"/>
        </w:rPr>
        <w:t xml:space="preserve"> and land tax</w:t>
      </w:r>
      <w:r>
        <w:fldChar w:fldCharType="begin"/>
      </w:r>
      <w:r>
        <w:instrText xml:space="preserve"> XE "</w:instrText>
      </w:r>
      <w:proofErr w:type="spellStart"/>
      <w:r w:rsidRPr="0059700F">
        <w:rPr>
          <w:lang w:val="en-US"/>
        </w:rPr>
        <w:instrText>Taxation:</w:instrText>
      </w:r>
      <w:r>
        <w:rPr>
          <w:lang w:val="en-US"/>
        </w:rPr>
        <w:instrText>Land</w:instrText>
      </w:r>
      <w:proofErr w:type="spellEnd"/>
      <w:r>
        <w:rPr>
          <w:lang w:val="en-US"/>
        </w:rPr>
        <w:instrText xml:space="preserve"> </w:instrText>
      </w:r>
      <w:r w:rsidRPr="0059700F">
        <w:rPr>
          <w:lang w:val="en-US"/>
        </w:rPr>
        <w:instrText>tax</w:instrText>
      </w:r>
      <w:r>
        <w:instrText xml:space="preserve">" </w:instrText>
      </w:r>
      <w:r>
        <w:fldChar w:fldCharType="end"/>
      </w:r>
      <w:r>
        <w:rPr>
          <w:rFonts w:cs="Garamond"/>
          <w:color w:val="000000"/>
          <w:szCs w:val="22"/>
          <w:lang w:eastAsia="en-AU"/>
        </w:rPr>
        <w:t xml:space="preserve"> revenue, payroll tax</w:t>
      </w:r>
      <w:r>
        <w:fldChar w:fldCharType="begin"/>
      </w:r>
      <w:r>
        <w:instrText xml:space="preserve"> XE "</w:instrText>
      </w:r>
      <w:proofErr w:type="spellStart"/>
      <w:r w:rsidRPr="0059700F">
        <w:rPr>
          <w:lang w:val="en-US"/>
        </w:rPr>
        <w:instrText>Taxation:Payroll</w:instrText>
      </w:r>
      <w:proofErr w:type="spellEnd"/>
      <w:r w:rsidRPr="0059700F">
        <w:rPr>
          <w:lang w:val="en-US"/>
        </w:rPr>
        <w:instrText xml:space="preserve"> tax</w:instrText>
      </w:r>
      <w:r>
        <w:instrText xml:space="preserve">" </w:instrText>
      </w:r>
      <w:r>
        <w:fldChar w:fldCharType="end"/>
      </w:r>
      <w:r>
        <w:rPr>
          <w:rFonts w:cs="Garamond"/>
          <w:color w:val="000000"/>
          <w:szCs w:val="22"/>
          <w:lang w:eastAsia="en-AU"/>
        </w:rPr>
        <w:t xml:space="preserve"> is expected to be $38 million lower in 2015</w:t>
      </w:r>
      <w:r>
        <w:rPr>
          <w:rFonts w:cs="Garamond"/>
          <w:color w:val="000000"/>
          <w:szCs w:val="22"/>
          <w:lang w:eastAsia="en-AU"/>
        </w:rPr>
        <w:noBreakHyphen/>
        <w:t xml:space="preserve">16 compared with </w:t>
      </w:r>
      <w:r w:rsidRPr="00496D12">
        <w:rPr>
          <w:rFonts w:cs="Garamond"/>
          <w:i/>
          <w:color w:val="000000"/>
          <w:szCs w:val="22"/>
          <w:lang w:eastAsia="en-AU"/>
        </w:rPr>
        <w:t>2014</w:t>
      </w:r>
      <w:r>
        <w:rPr>
          <w:rFonts w:cs="Garamond"/>
          <w:i/>
          <w:color w:val="000000"/>
          <w:szCs w:val="22"/>
          <w:lang w:eastAsia="en-AU"/>
        </w:rPr>
        <w:noBreakHyphen/>
      </w:r>
      <w:r w:rsidRPr="00496D12">
        <w:rPr>
          <w:rFonts w:cs="Garamond"/>
          <w:i/>
          <w:color w:val="000000"/>
          <w:szCs w:val="22"/>
          <w:lang w:eastAsia="en-AU"/>
        </w:rPr>
        <w:t>15 Budget Update</w:t>
      </w:r>
      <w:r>
        <w:rPr>
          <w:rFonts w:cs="Garamond"/>
          <w:color w:val="000000"/>
          <w:szCs w:val="22"/>
          <w:lang w:eastAsia="en-AU"/>
        </w:rPr>
        <w:t>. A divergence between aggregate hours worked</w:t>
      </w:r>
      <w:r>
        <w:fldChar w:fldCharType="begin"/>
      </w:r>
      <w:r>
        <w:instrText xml:space="preserve"> XE "</w:instrText>
      </w:r>
      <w:r w:rsidRPr="003E0E32">
        <w:instrText>Hours worked</w:instrText>
      </w:r>
      <w:r>
        <w:instrText xml:space="preserve">" </w:instrText>
      </w:r>
      <w:r>
        <w:fldChar w:fldCharType="end"/>
      </w:r>
      <w:r>
        <w:rPr>
          <w:rFonts w:cs="Garamond"/>
          <w:color w:val="000000"/>
          <w:szCs w:val="22"/>
          <w:lang w:eastAsia="en-AU"/>
        </w:rPr>
        <w:t xml:space="preserve"> and total employment means payroll tax revenue has not kept pace with recent gains in employment. Over the forward estimates, aggregate hours worked are expected to improve in line with the forecast period of sustained employment growth</w:t>
      </w:r>
      <w:r>
        <w:fldChar w:fldCharType="begin"/>
      </w:r>
      <w:r>
        <w:instrText xml:space="preserve"> XE "</w:instrText>
      </w:r>
      <w:r w:rsidRPr="001F3950">
        <w:instrText xml:space="preserve">Labour </w:instrText>
      </w:r>
      <w:proofErr w:type="spellStart"/>
      <w:r w:rsidRPr="001F3950">
        <w:instrText>market:Employment</w:instrText>
      </w:r>
      <w:proofErr w:type="spellEnd"/>
      <w:r w:rsidRPr="001F3950">
        <w:instrText xml:space="preserve"> growth</w:instrText>
      </w:r>
      <w:r>
        <w:instrText xml:space="preserve">" </w:instrText>
      </w:r>
      <w:r>
        <w:fldChar w:fldCharType="end"/>
      </w:r>
      <w:r>
        <w:rPr>
          <w:rFonts w:cs="Garamond"/>
          <w:color w:val="000000"/>
          <w:szCs w:val="22"/>
          <w:lang w:eastAsia="en-AU"/>
        </w:rPr>
        <w:t>. Payroll tax forecasts align with previous forecasts from 2016</w:t>
      </w:r>
      <w:r>
        <w:rPr>
          <w:rFonts w:cs="Garamond"/>
          <w:color w:val="000000"/>
          <w:szCs w:val="22"/>
          <w:lang w:eastAsia="en-AU"/>
        </w:rPr>
        <w:noBreakHyphen/>
        <w:t xml:space="preserve">17 </w:t>
      </w:r>
      <w:r w:rsidRPr="00D44120">
        <w:rPr>
          <w:rFonts w:cs="Garamond"/>
          <w:color w:val="000000"/>
          <w:szCs w:val="22"/>
          <w:lang w:eastAsia="en-AU"/>
        </w:rPr>
        <w:t>onwards; and</w:t>
      </w:r>
    </w:p>
    <w:p w:rsidR="00116054" w:rsidRPr="00C426B7" w:rsidRDefault="00116054" w:rsidP="00C426B7">
      <w:pPr>
        <w:pStyle w:val="BulletText"/>
      </w:pPr>
      <w:bookmarkStart w:id="76" w:name="BP2InfraInvest2"/>
      <w:r>
        <w:t>total investment income has increased by an average of $186 million in 2015</w:t>
      </w:r>
      <w:r>
        <w:noBreakHyphen/>
        <w:t>16 and 2016</w:t>
      </w:r>
      <w:r>
        <w:noBreakHyphen/>
        <w:t xml:space="preserve">17 compared to the </w:t>
      </w:r>
      <w:r w:rsidRPr="009A32CA">
        <w:rPr>
          <w:i/>
        </w:rPr>
        <w:t>2014</w:t>
      </w:r>
      <w:r>
        <w:rPr>
          <w:i/>
        </w:rPr>
        <w:noBreakHyphen/>
      </w:r>
      <w:r w:rsidRPr="009A32CA">
        <w:rPr>
          <w:i/>
        </w:rPr>
        <w:t>15 Budget Update</w:t>
      </w:r>
      <w:r>
        <w:t>, and reduced by $118 million in 2017</w:t>
      </w:r>
      <w:r>
        <w:noBreakHyphen/>
        <w:t>18. The increase in 2015</w:t>
      </w:r>
      <w:r>
        <w:noBreakHyphen/>
        <w:t>16 and 2016</w:t>
      </w:r>
      <w:r>
        <w:noBreakHyphen/>
        <w:t xml:space="preserve">17 primarily reflects additional dividends from the Transport Accident Corporation (TAC) that will be used to fund additional road infrastructure investment. </w:t>
      </w:r>
      <w:r w:rsidRPr="00315205">
        <w:t xml:space="preserve">Partly offsetting this, dividends previously scheduled for </w:t>
      </w:r>
      <w:proofErr w:type="spellStart"/>
      <w:r w:rsidRPr="00315205">
        <w:t>WorkSafe</w:t>
      </w:r>
      <w:proofErr w:type="spellEnd"/>
      <w:r w:rsidRPr="00315205">
        <w:t xml:space="preserve"> Victoria</w:t>
      </w:r>
      <w:r>
        <w:fldChar w:fldCharType="begin"/>
      </w:r>
      <w:r>
        <w:instrText xml:space="preserve"> XE "</w:instrText>
      </w:r>
      <w:proofErr w:type="spellStart"/>
      <w:r w:rsidRPr="007A041F">
        <w:instrText>WorkSafe</w:instrText>
      </w:r>
      <w:proofErr w:type="spellEnd"/>
      <w:r w:rsidRPr="007A041F">
        <w:instrText xml:space="preserve"> Victoria</w:instrText>
      </w:r>
      <w:r>
        <w:instrText xml:space="preserve">" </w:instrText>
      </w:r>
      <w:r>
        <w:fldChar w:fldCharType="end"/>
      </w:r>
      <w:r w:rsidRPr="00315205">
        <w:t xml:space="preserve"> will not be taken in this </w:t>
      </w:r>
      <w:r>
        <w:t>budget</w:t>
      </w:r>
      <w:r w:rsidRPr="00315205">
        <w:t>, in line with the Government</w:t>
      </w:r>
      <w:r>
        <w:t>’</w:t>
      </w:r>
      <w:r w:rsidRPr="00315205">
        <w:t xml:space="preserve">s commitment before the election. Instead, accumulated surpluses will be reinvested in improved benefits for injured workers, lower premiums for businesses, and programs to improve workplace safety and the health of the Victorian workforce. The Government has convened a </w:t>
      </w:r>
      <w:proofErr w:type="spellStart"/>
      <w:r w:rsidRPr="00315205">
        <w:t>WorkHealth</w:t>
      </w:r>
      <w:proofErr w:type="spellEnd"/>
      <w:r w:rsidRPr="00315205">
        <w:t xml:space="preserve"> advisory group to advise how best to meet these commitments before returning monies to the State in future years.</w:t>
      </w:r>
      <w:r>
        <w:t xml:space="preserve"> In addition, lower expected investment income in 2017</w:t>
      </w:r>
      <w:r>
        <w:noBreakHyphen/>
        <w:t>18 largely reflects lower income tax equivalent payments by TAC due to reduced investment income and the impact of bond rate movements on claim costs.</w:t>
      </w:r>
    </w:p>
    <w:p w:rsidR="00116054" w:rsidRDefault="00116054">
      <w:pPr>
        <w:spacing w:after="0"/>
        <w:rPr>
          <w:rFonts w:ascii="Calibri" w:hAnsi="Calibri"/>
          <w:b/>
          <w:i/>
          <w:kern w:val="28"/>
          <w:sz w:val="24"/>
          <w:szCs w:val="22"/>
        </w:rPr>
      </w:pPr>
      <w:r>
        <w:br w:type="page"/>
      </w:r>
    </w:p>
    <w:p w:rsidR="00116054" w:rsidRPr="007E4E2E" w:rsidRDefault="00116054" w:rsidP="006F0EAE">
      <w:pPr>
        <w:pStyle w:val="Heading3"/>
      </w:pPr>
      <w:r w:rsidRPr="007E4E2E">
        <w:lastRenderedPageBreak/>
        <w:t>Commonwealth grants variations</w:t>
      </w:r>
    </w:p>
    <w:p w:rsidR="00116054" w:rsidRDefault="00116054" w:rsidP="00C83188">
      <w:r>
        <w:fldChar w:fldCharType="begin"/>
      </w:r>
      <w:r>
        <w:instrText xml:space="preserve"> XE "</w:instrText>
      </w:r>
      <w:r w:rsidRPr="00964B63">
        <w:rPr>
          <w:lang w:val="en-US"/>
        </w:rPr>
        <w:instrText>Grants:</w:instrText>
      </w:r>
      <w:r w:rsidRPr="00964B63">
        <w:instrText>Commonwealth</w:instrText>
      </w:r>
      <w:r>
        <w:instrText xml:space="preserve">" </w:instrText>
      </w:r>
      <w:r>
        <w:fldChar w:fldCharType="end"/>
      </w:r>
      <w:r w:rsidRPr="007E4E2E">
        <w:t>General purpose grants (GST revenue</w:t>
      </w:r>
      <w:r>
        <w:fldChar w:fldCharType="begin"/>
      </w:r>
      <w:r>
        <w:instrText xml:space="preserve"> XE "</w:instrText>
      </w:r>
      <w:r w:rsidRPr="007D4F53">
        <w:rPr>
          <w:lang w:val="en-US"/>
        </w:rPr>
        <w:instrText xml:space="preserve">Goods and services </w:instrText>
      </w:r>
      <w:proofErr w:type="spellStart"/>
      <w:r w:rsidRPr="007D4F53">
        <w:rPr>
          <w:lang w:val="en-US"/>
        </w:rPr>
        <w:instrText>tax</w:instrText>
      </w:r>
      <w:r>
        <w:rPr>
          <w:lang w:val="en-US"/>
        </w:rPr>
        <w:instrText>:Revenue</w:instrText>
      </w:r>
      <w:proofErr w:type="spellEnd"/>
      <w:r>
        <w:instrText xml:space="preserve">" </w:instrText>
      </w:r>
      <w:r>
        <w:fldChar w:fldCharType="end"/>
      </w:r>
      <w:r w:rsidRPr="007E4E2E">
        <w:t>) for 2015</w:t>
      </w:r>
      <w:r>
        <w:noBreakHyphen/>
        <w:t>16 are</w:t>
      </w:r>
      <w:r w:rsidRPr="007E4E2E">
        <w:t xml:space="preserve"> expected to be $</w:t>
      </w:r>
      <w:r>
        <w:t>228 million</w:t>
      </w:r>
      <w:r w:rsidRPr="007E4E2E">
        <w:t xml:space="preserve"> stronger than forecast </w:t>
      </w:r>
      <w:r>
        <w:t>in</w:t>
      </w:r>
      <w:r w:rsidRPr="007E4E2E">
        <w:t xml:space="preserve"> the </w:t>
      </w:r>
      <w:r w:rsidRPr="0039350B">
        <w:rPr>
          <w:i/>
        </w:rPr>
        <w:t>2014</w:t>
      </w:r>
      <w:r>
        <w:rPr>
          <w:i/>
        </w:rPr>
        <w:noBreakHyphen/>
      </w:r>
      <w:r w:rsidRPr="0039350B">
        <w:rPr>
          <w:i/>
        </w:rPr>
        <w:t>15 Budget Update</w:t>
      </w:r>
      <w:r w:rsidRPr="007E4E2E">
        <w:t xml:space="preserve">. </w:t>
      </w:r>
      <w:r w:rsidRPr="00D30212">
        <w:t>The upgrade reflects growth in the GST pool and an improvement to Victoria</w:t>
      </w:r>
      <w:r>
        <w:t>’</w:t>
      </w:r>
      <w:r w:rsidRPr="00D30212">
        <w:t>s GST</w:t>
      </w:r>
      <w:r>
        <w:fldChar w:fldCharType="begin"/>
      </w:r>
      <w:r>
        <w:instrText xml:space="preserve"> XE "</w:instrText>
      </w:r>
      <w:r w:rsidRPr="007D4F53">
        <w:rPr>
          <w:lang w:val="en-US"/>
        </w:rPr>
        <w:instrText>Goods and services tax</w:instrText>
      </w:r>
      <w:r>
        <w:instrText xml:space="preserve">" </w:instrText>
      </w:r>
      <w:r>
        <w:fldChar w:fldCharType="end"/>
      </w:r>
      <w:r>
        <w:fldChar w:fldCharType="begin"/>
      </w:r>
      <w:r>
        <w:instrText xml:space="preserve"> XE "Taxation:</w:instrText>
      </w:r>
      <w:r w:rsidRPr="007D4F53">
        <w:rPr>
          <w:lang w:val="en-US"/>
        </w:rPr>
        <w:instrText>Goods and services tax</w:instrText>
      </w:r>
      <w:r>
        <w:instrText xml:space="preserve">" </w:instrText>
      </w:r>
      <w:r>
        <w:fldChar w:fldCharType="end"/>
      </w:r>
      <w:r w:rsidRPr="00D30212">
        <w:t xml:space="preserve"> relativity as recommended by the Commonwealth Grants Commission (CGC) in their methodology review.</w:t>
      </w:r>
      <w:r>
        <w:t xml:space="preserve"> The decrease in GST in 2017</w:t>
      </w:r>
      <w:r>
        <w:noBreakHyphen/>
        <w:t>18 largely reflects the impact of lower expected relativities, although overall growth in GST revenue is still expected to be strong.</w:t>
      </w:r>
    </w:p>
    <w:p w:rsidR="00116054" w:rsidRPr="007E4E2E" w:rsidRDefault="00116054" w:rsidP="00FA56C3">
      <w:r w:rsidRPr="00454B4D">
        <w:t>Commonwealth specific purpose and national partnership grants revenue</w:t>
      </w:r>
      <w:r>
        <w:fldChar w:fldCharType="begin"/>
      </w:r>
      <w:r>
        <w:instrText xml:space="preserve"> XE "</w:instrText>
      </w:r>
      <w:proofErr w:type="spellStart"/>
      <w:r w:rsidRPr="00D87AC1">
        <w:instrText>Grants:Revenue</w:instrText>
      </w:r>
      <w:proofErr w:type="spellEnd"/>
      <w:r>
        <w:instrText xml:space="preserve">" </w:instrText>
      </w:r>
      <w:r>
        <w:fldChar w:fldCharType="end"/>
      </w:r>
      <w:r>
        <w:t xml:space="preserve"> is expected to de</w:t>
      </w:r>
      <w:r w:rsidRPr="00454B4D">
        <w:t xml:space="preserve">crease by </w:t>
      </w:r>
      <w:r>
        <w:t>$529 million</w:t>
      </w:r>
      <w:r w:rsidRPr="00454B4D">
        <w:t xml:space="preserve"> in 2015</w:t>
      </w:r>
      <w:r>
        <w:noBreakHyphen/>
      </w:r>
      <w:r w:rsidRPr="00454B4D">
        <w:t>16</w:t>
      </w:r>
      <w:r>
        <w:t xml:space="preserve"> and increase by $918 million</w:t>
      </w:r>
      <w:r w:rsidRPr="00454B4D">
        <w:t xml:space="preserve"> in 2017</w:t>
      </w:r>
      <w:r>
        <w:noBreakHyphen/>
      </w:r>
      <w:r w:rsidRPr="00454B4D">
        <w:t>18. This primarily reflects the rescheduling to 2017</w:t>
      </w:r>
      <w:r>
        <w:noBreakHyphen/>
      </w:r>
      <w:r w:rsidRPr="00454B4D">
        <w:t>18 of expected revenues under the asset recycling</w:t>
      </w:r>
      <w:r>
        <w:fldChar w:fldCharType="begin"/>
      </w:r>
      <w:r>
        <w:instrText xml:space="preserve"> XE "</w:instrText>
      </w:r>
      <w:r w:rsidRPr="00634A5E">
        <w:instrText>Asset recycling</w:instrText>
      </w:r>
      <w:r>
        <w:instrText xml:space="preserve">" </w:instrText>
      </w:r>
      <w:r>
        <w:fldChar w:fldCharType="end"/>
      </w:r>
      <w:r w:rsidRPr="00454B4D">
        <w:t xml:space="preserve"> initiative, consistent with the Government</w:t>
      </w:r>
      <w:r>
        <w:t>’</w:t>
      </w:r>
      <w:r w:rsidRPr="00454B4D">
        <w:t>s priorities for infrastructure investment</w:t>
      </w:r>
      <w:r>
        <w:t>.</w:t>
      </w:r>
      <w:r>
        <w:fldChar w:fldCharType="begin"/>
      </w:r>
      <w:r>
        <w:instrText xml:space="preserve"> XE "</w:instrText>
      </w:r>
      <w:r w:rsidRPr="00DC2C56">
        <w:instrText>Infrastructure investment</w:instrText>
      </w:r>
      <w:r>
        <w:instrText xml:space="preserve">" \r "BP2InfraInvest2" </w:instrText>
      </w:r>
      <w:r>
        <w:fldChar w:fldCharType="end"/>
      </w:r>
    </w:p>
    <w:bookmarkEnd w:id="76"/>
    <w:p w:rsidR="00116054" w:rsidRPr="007E4E2E" w:rsidRDefault="00116054" w:rsidP="006F0EAE">
      <w:pPr>
        <w:pStyle w:val="Heading3"/>
      </w:pPr>
      <w:r w:rsidRPr="007E4E2E">
        <w:t>Administrative variations</w:t>
      </w:r>
    </w:p>
    <w:p w:rsidR="00116054" w:rsidRDefault="00116054" w:rsidP="00FA56C3">
      <w:r>
        <w:t xml:space="preserve">The release of contingency as part of the </w:t>
      </w:r>
      <w:r w:rsidRPr="00600A65">
        <w:rPr>
          <w:i/>
        </w:rPr>
        <w:t>2015</w:t>
      </w:r>
      <w:r>
        <w:rPr>
          <w:i/>
        </w:rPr>
        <w:noBreakHyphen/>
        <w:t xml:space="preserve">16 </w:t>
      </w:r>
      <w:r w:rsidRPr="00600A65">
        <w:rPr>
          <w:i/>
        </w:rPr>
        <w:t>Budget</w:t>
      </w:r>
      <w:r>
        <w:t xml:space="preserve"> to offset new policy decisions averages $163 million a year.</w:t>
      </w:r>
    </w:p>
    <w:p w:rsidR="00116054" w:rsidRDefault="00116054" w:rsidP="00FA56C3">
      <w:r>
        <w:t>Other administrative variations have reduced the operating surplus</w:t>
      </w:r>
      <w:r>
        <w:fldChar w:fldCharType="begin"/>
      </w:r>
      <w:r>
        <w:instrText xml:space="preserve"> XE "</w:instrText>
      </w:r>
      <w:r w:rsidRPr="00907264">
        <w:instrText>Operating surplus</w:instrText>
      </w:r>
      <w:r>
        <w:instrText xml:space="preserve">" </w:instrText>
      </w:r>
      <w:r>
        <w:fldChar w:fldCharType="end"/>
      </w:r>
      <w:r>
        <w:t xml:space="preserve"> by $623 million a year on average from 2015</w:t>
      </w:r>
      <w:r>
        <w:noBreakHyphen/>
        <w:t>16 to 2017</w:t>
      </w:r>
      <w:r>
        <w:noBreakHyphen/>
        <w:t>18. These movements largely reflect:</w:t>
      </w:r>
    </w:p>
    <w:p w:rsidR="00116054" w:rsidRPr="007E4E2E" w:rsidRDefault="00116054" w:rsidP="007C553F">
      <w:pPr>
        <w:pStyle w:val="BulletText"/>
      </w:pPr>
      <w:r>
        <w:t>prudent provisioning for future budgets to meet the Government’s service delivery</w:t>
      </w:r>
      <w:r>
        <w:fldChar w:fldCharType="begin"/>
      </w:r>
      <w:r>
        <w:instrText xml:space="preserve"> XE "</w:instrText>
      </w:r>
      <w:r w:rsidRPr="008008ED">
        <w:instrText>Service delivery</w:instrText>
      </w:r>
      <w:r>
        <w:instrText xml:space="preserve">" </w:instrText>
      </w:r>
      <w:r>
        <w:fldChar w:fldCharType="end"/>
      </w:r>
      <w:r>
        <w:t xml:space="preserve"> priorities;</w:t>
      </w:r>
    </w:p>
    <w:p w:rsidR="00116054" w:rsidRDefault="00116054" w:rsidP="007C553F">
      <w:pPr>
        <w:pStyle w:val="BulletText"/>
      </w:pPr>
      <w:r>
        <w:t>higher than expected payments for the tail of the First Home Owners Grant scheme; and</w:t>
      </w:r>
    </w:p>
    <w:p w:rsidR="00116054" w:rsidRDefault="00116054" w:rsidP="007C553F">
      <w:pPr>
        <w:pStyle w:val="BulletText"/>
      </w:pPr>
      <w:r>
        <w:t>additional depreciation averaging $41 million due to a change in accounting policy for measuring the fair value of school buildings.</w:t>
      </w:r>
    </w:p>
    <w:p w:rsidR="00116054" w:rsidRPr="007E4E2E" w:rsidRDefault="00116054" w:rsidP="00E038E1">
      <w:pPr>
        <w:pStyle w:val="Heading2"/>
      </w:pPr>
      <w:r w:rsidRPr="007E4E2E">
        <w:t>New output initiatives by department</w:t>
      </w:r>
    </w:p>
    <w:p w:rsidR="00116054" w:rsidRPr="007E4E2E" w:rsidRDefault="00116054" w:rsidP="00FA56C3">
      <w:r w:rsidRPr="007E4E2E">
        <w:t xml:space="preserve">The </w:t>
      </w:r>
      <w:r w:rsidRPr="007E4E2E">
        <w:rPr>
          <w:i/>
        </w:rPr>
        <w:t>2015</w:t>
      </w:r>
      <w:r>
        <w:rPr>
          <w:i/>
        </w:rPr>
        <w:noBreakHyphen/>
      </w:r>
      <w:r w:rsidRPr="007E4E2E">
        <w:rPr>
          <w:i/>
        </w:rPr>
        <w:t>16 Budget</w:t>
      </w:r>
      <w:r w:rsidRPr="007E4E2E">
        <w:t xml:space="preserve"> provides $</w:t>
      </w:r>
      <w:r>
        <w:t>9.2 billion</w:t>
      </w:r>
      <w:r w:rsidRPr="007E4E2E">
        <w:t xml:space="preserve"> in new </w:t>
      </w:r>
      <w:r>
        <w:t>output initiatives over the five</w:t>
      </w:r>
      <w:r w:rsidRPr="007E4E2E">
        <w:t xml:space="preserve"> years to 2018</w:t>
      </w:r>
      <w:r>
        <w:noBreakHyphen/>
      </w:r>
      <w:r w:rsidRPr="007E4E2E">
        <w:t>19.</w:t>
      </w:r>
    </w:p>
    <w:p w:rsidR="00116054" w:rsidRPr="007E4E2E" w:rsidRDefault="00116054" w:rsidP="00FA56C3">
      <w:r w:rsidRPr="007E4E2E">
        <w:t xml:space="preserve">The Government is advancing a progressive social agenda by delivering on its election commitments across all portfolios. </w:t>
      </w:r>
    </w:p>
    <w:p w:rsidR="00116054" w:rsidRPr="00C83188" w:rsidRDefault="00116054" w:rsidP="00C83188">
      <w:bookmarkStart w:id="77" w:name="BP2AssetInvest1"/>
      <w:r>
        <w:t>Table 4.4</w:t>
      </w:r>
      <w:r w:rsidRPr="007E4E2E">
        <w:t xml:space="preserve"> shows the impact of new output measures in this budget summarised by department, with fur</w:t>
      </w:r>
      <w:r>
        <w:t>ther detail in Budget Paper No. </w:t>
      </w:r>
      <w:r w:rsidRPr="007E4E2E">
        <w:t xml:space="preserve">3, </w:t>
      </w:r>
      <w:r>
        <w:t>Chapter </w:t>
      </w:r>
      <w:r w:rsidRPr="007E4E2E">
        <w:t xml:space="preserve">1 </w:t>
      </w:r>
      <w:r w:rsidRPr="007E4E2E">
        <w:rPr>
          <w:i/>
        </w:rPr>
        <w:t>Output, asset investment, savings and revenue initiatives</w:t>
      </w:r>
      <w:r w:rsidRPr="007E4E2E">
        <w:t>.</w:t>
      </w:r>
    </w:p>
    <w:p w:rsidR="00116054" w:rsidRDefault="00116054">
      <w:pPr>
        <w:spacing w:after="0"/>
        <w:rPr>
          <w:rFonts w:ascii="Calibri" w:hAnsi="Calibri"/>
          <w:b/>
        </w:rPr>
      </w:pPr>
      <w:r>
        <w:br w:type="page"/>
      </w:r>
    </w:p>
    <w:p w:rsidR="00116054" w:rsidRPr="007E4E2E" w:rsidRDefault="00116054" w:rsidP="00187B83">
      <w:pPr>
        <w:pStyle w:val="Chartheading"/>
      </w:pPr>
      <w:r w:rsidRPr="007E4E2E">
        <w:lastRenderedPageBreak/>
        <w:t>Table 4.</w:t>
      </w:r>
      <w:r>
        <w:t>4</w:t>
      </w:r>
      <w:r w:rsidRPr="007E4E2E">
        <w:t>:</w:t>
      </w:r>
      <w:r w:rsidRPr="007E4E2E">
        <w:tab/>
        <w:t xml:space="preserve">Net impact of </w:t>
      </w:r>
      <w:r>
        <w:t xml:space="preserve">the </w:t>
      </w:r>
      <w:r w:rsidRPr="007E4E2E">
        <w:rPr>
          <w:i/>
        </w:rPr>
        <w:t>2015</w:t>
      </w:r>
      <w:r>
        <w:rPr>
          <w:i/>
        </w:rPr>
        <w:noBreakHyphen/>
      </w:r>
      <w:r w:rsidRPr="007E4E2E">
        <w:rPr>
          <w:i/>
        </w:rPr>
        <w:t>16 Budget</w:t>
      </w:r>
      <w:r w:rsidRPr="007E4E2E">
        <w:t xml:space="preserve"> new output initiatives</w:t>
      </w:r>
      <w:r w:rsidRPr="00A202A9">
        <w:rPr>
          <w:vertAlign w:val="superscript"/>
        </w:rPr>
        <w:t>(a)</w:t>
      </w:r>
      <w:r>
        <w:rPr>
          <w:vertAlign w:val="superscript"/>
        </w:rPr>
        <w:t>(b)</w:t>
      </w:r>
    </w:p>
    <w:p w:rsidR="00116054" w:rsidRPr="00602BD3" w:rsidRDefault="00116054" w:rsidP="00602BD3">
      <w:pPr>
        <w:pStyle w:val="million"/>
      </w:pPr>
      <w:r w:rsidRPr="007E4E2E">
        <w:t>($</w:t>
      </w:r>
      <w:r>
        <w:t> million</w:t>
      </w:r>
      <w:r w:rsidRPr="007E4E2E">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116054" w:rsidRPr="00602BD3" w:rsidTr="00602BD3">
        <w:tc>
          <w:tcPr>
            <w:tcW w:w="3801" w:type="dxa"/>
            <w:tcBorders>
              <w:top w:val="single" w:sz="4" w:space="0" w:color="auto"/>
              <w:left w:val="single" w:sz="4" w:space="0" w:color="auto"/>
              <w:bottom w:val="nil"/>
              <w:right w:val="nil"/>
            </w:tcBorders>
            <w:shd w:val="clear" w:color="auto" w:fill="000000"/>
          </w:tcPr>
          <w:p w:rsidR="00116054" w:rsidRPr="00602BD3" w:rsidRDefault="00116054" w:rsidP="00602BD3">
            <w:pPr>
              <w:pStyle w:val="Tabletext"/>
              <w:rPr>
                <w:rFonts w:eastAsiaTheme="minorEastAsia"/>
                <w:lang w:eastAsia="en-AU"/>
              </w:rPr>
            </w:pPr>
            <w:r w:rsidRPr="00602BD3">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2015</w:t>
            </w:r>
            <w:r>
              <w:rPr>
                <w:rFonts w:eastAsiaTheme="minorEastAsia"/>
                <w:lang w:eastAsia="en-AU"/>
              </w:rPr>
              <w:noBreakHyphen/>
            </w:r>
            <w:r w:rsidRPr="00602BD3">
              <w:rPr>
                <w:rFonts w:eastAsiaTheme="minorEastAsia"/>
                <w:lang w:eastAsia="en-AU"/>
              </w:rPr>
              <w:t>16</w:t>
            </w:r>
          </w:p>
        </w:tc>
        <w:tc>
          <w:tcPr>
            <w:tcW w:w="993" w:type="dxa"/>
            <w:tcBorders>
              <w:top w:val="single" w:sz="4" w:space="0" w:color="auto"/>
              <w:left w:val="nil"/>
              <w:bottom w:val="nil"/>
              <w:right w:val="nil"/>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2016</w:t>
            </w:r>
            <w:r>
              <w:rPr>
                <w:rFonts w:eastAsiaTheme="minorEastAsia"/>
                <w:lang w:eastAsia="en-AU"/>
              </w:rPr>
              <w:noBreakHyphen/>
            </w:r>
            <w:r w:rsidRPr="00602BD3">
              <w:rPr>
                <w:rFonts w:eastAsiaTheme="minorEastAsia"/>
                <w:lang w:eastAsia="en-AU"/>
              </w:rPr>
              <w:t>17</w:t>
            </w:r>
          </w:p>
        </w:tc>
        <w:tc>
          <w:tcPr>
            <w:tcW w:w="993" w:type="dxa"/>
            <w:tcBorders>
              <w:top w:val="single" w:sz="4" w:space="0" w:color="auto"/>
              <w:left w:val="nil"/>
              <w:bottom w:val="nil"/>
              <w:right w:val="nil"/>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2017</w:t>
            </w:r>
            <w:r>
              <w:rPr>
                <w:rFonts w:eastAsiaTheme="minorEastAsia"/>
                <w:lang w:eastAsia="en-AU"/>
              </w:rPr>
              <w:noBreakHyphen/>
            </w:r>
            <w:r w:rsidRPr="00602BD3">
              <w:rPr>
                <w:rFonts w:eastAsiaTheme="minorEastAsia"/>
                <w:lang w:eastAsia="en-AU"/>
              </w:rPr>
              <w:t>18</w:t>
            </w:r>
          </w:p>
        </w:tc>
        <w:tc>
          <w:tcPr>
            <w:tcW w:w="993" w:type="dxa"/>
            <w:tcBorders>
              <w:top w:val="single" w:sz="4" w:space="0" w:color="auto"/>
              <w:left w:val="nil"/>
              <w:bottom w:val="nil"/>
              <w:right w:val="single" w:sz="4" w:space="0" w:color="auto"/>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2018</w:t>
            </w:r>
            <w:r>
              <w:rPr>
                <w:rFonts w:eastAsiaTheme="minorEastAsia"/>
                <w:lang w:eastAsia="en-AU"/>
              </w:rPr>
              <w:noBreakHyphen/>
            </w:r>
            <w:r w:rsidRPr="00602BD3">
              <w:rPr>
                <w:rFonts w:eastAsiaTheme="minorEastAsia"/>
                <w:lang w:eastAsia="en-AU"/>
              </w:rPr>
              <w:t>19</w:t>
            </w:r>
          </w:p>
        </w:tc>
      </w:tr>
      <w:tr w:rsidR="00116054" w:rsidRPr="00602BD3" w:rsidTr="00602BD3">
        <w:tc>
          <w:tcPr>
            <w:tcW w:w="3801" w:type="dxa"/>
            <w:tcBorders>
              <w:top w:val="nil"/>
              <w:left w:val="single" w:sz="4" w:space="0" w:color="auto"/>
              <w:bottom w:val="single" w:sz="4" w:space="0" w:color="auto"/>
              <w:right w:val="nil"/>
            </w:tcBorders>
            <w:shd w:val="clear" w:color="auto" w:fill="000000"/>
          </w:tcPr>
          <w:p w:rsidR="00116054" w:rsidRPr="00602BD3" w:rsidRDefault="00116054" w:rsidP="00602BD3">
            <w:pPr>
              <w:pStyle w:val="Tabletext"/>
              <w:rPr>
                <w:rFonts w:eastAsiaTheme="minorEastAsia"/>
                <w:lang w:eastAsia="en-AU"/>
              </w:rPr>
            </w:pPr>
            <w:r w:rsidRPr="00602BD3">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116054" w:rsidRPr="00602BD3" w:rsidRDefault="00116054" w:rsidP="00602BD3">
            <w:pPr>
              <w:pStyle w:val="Tabletextheading"/>
              <w:rPr>
                <w:rFonts w:eastAsiaTheme="minorEastAsia"/>
                <w:lang w:eastAsia="en-AU"/>
              </w:rPr>
            </w:pPr>
            <w:r w:rsidRPr="00602BD3">
              <w:rPr>
                <w:rFonts w:eastAsiaTheme="minorEastAsia"/>
                <w:lang w:eastAsia="en-AU"/>
              </w:rPr>
              <w:t>estimate</w:t>
            </w:r>
          </w:p>
        </w:tc>
      </w:tr>
      <w:tr w:rsidR="00116054" w:rsidRPr="00602BD3" w:rsidTr="00602BD3">
        <w:tc>
          <w:tcPr>
            <w:tcW w:w="3801" w:type="dxa"/>
            <w:tcBorders>
              <w:top w:val="single" w:sz="4" w:space="0" w:color="auto"/>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Economic Development, Jobs, Transport and Resources</w:t>
            </w:r>
          </w:p>
        </w:tc>
        <w:tc>
          <w:tcPr>
            <w:tcW w:w="993" w:type="dxa"/>
            <w:tcBorders>
              <w:top w:val="single" w:sz="4" w:space="0" w:color="auto"/>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608</w:t>
            </w:r>
          </w:p>
        </w:tc>
        <w:tc>
          <w:tcPr>
            <w:tcW w:w="993" w:type="dxa"/>
            <w:tcBorders>
              <w:top w:val="single" w:sz="4" w:space="0" w:color="auto"/>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445</w:t>
            </w:r>
          </w:p>
        </w:tc>
        <w:tc>
          <w:tcPr>
            <w:tcW w:w="993" w:type="dxa"/>
            <w:tcBorders>
              <w:top w:val="single" w:sz="4" w:space="0" w:color="auto"/>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459</w:t>
            </w:r>
          </w:p>
        </w:tc>
        <w:tc>
          <w:tcPr>
            <w:tcW w:w="993" w:type="dxa"/>
            <w:tcBorders>
              <w:top w:val="single" w:sz="4" w:space="0" w:color="auto"/>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383</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Education and Training</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467</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795</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945</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965</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Environment, Land, Water and Planning</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153</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42</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2</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Health and Human Services</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730</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687</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751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807</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Justice and Regulation</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130</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145</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144</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144</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Premier and Cabinet</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49</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36</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37</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36</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Treasury and Finance</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13</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Courts</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8</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5</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5</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 xml:space="preserve">Parliament </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w:t>
            </w:r>
          </w:p>
        </w:tc>
      </w:tr>
      <w:tr w:rsidR="00116054" w:rsidRPr="00602BD3" w:rsidTr="00602BD3">
        <w:tc>
          <w:tcPr>
            <w:tcW w:w="3801" w:type="dxa"/>
            <w:tcBorders>
              <w:top w:val="nil"/>
              <w:left w:val="nil"/>
              <w:bottom w:val="nil"/>
              <w:right w:val="nil"/>
            </w:tcBorders>
            <w:shd w:val="solid" w:color="FFFFFF" w:fill="auto"/>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Whole of government</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72</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17</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12</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14</w:t>
            </w:r>
          </w:p>
        </w:tc>
      </w:tr>
      <w:tr w:rsidR="00116054" w:rsidRPr="00602BD3" w:rsidTr="00602BD3">
        <w:tc>
          <w:tcPr>
            <w:tcW w:w="3801" w:type="dxa"/>
            <w:tcBorders>
              <w:top w:val="single" w:sz="6" w:space="0" w:color="auto"/>
              <w:left w:val="nil"/>
              <w:bottom w:val="nil"/>
              <w:right w:val="nil"/>
            </w:tcBorders>
          </w:tcPr>
          <w:p w:rsidR="00116054" w:rsidRPr="00602BD3" w:rsidRDefault="00116054" w:rsidP="00602BD3">
            <w:pPr>
              <w:pStyle w:val="Tabletext"/>
              <w:rPr>
                <w:rFonts w:eastAsiaTheme="minorEastAsia"/>
                <w:b/>
                <w:bCs/>
                <w:color w:val="000000"/>
                <w:lang w:eastAsia="en-AU"/>
              </w:rPr>
            </w:pPr>
            <w:r w:rsidRPr="00602BD3">
              <w:rPr>
                <w:rFonts w:eastAsiaTheme="minorEastAsia"/>
                <w:b/>
                <w:bCs/>
                <w:color w:val="000000"/>
                <w:lang w:eastAsia="en-AU"/>
              </w:rPr>
              <w:t>Subtotal</w:t>
            </w:r>
          </w:p>
        </w:tc>
        <w:tc>
          <w:tcPr>
            <w:tcW w:w="993" w:type="dxa"/>
            <w:tcBorders>
              <w:top w:val="single" w:sz="6" w:space="0" w:color="auto"/>
              <w:left w:val="nil"/>
              <w:bottom w:val="nil"/>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2 231</w:t>
            </w:r>
          </w:p>
        </w:tc>
        <w:tc>
          <w:tcPr>
            <w:tcW w:w="993" w:type="dxa"/>
            <w:tcBorders>
              <w:top w:val="single" w:sz="6" w:space="0" w:color="auto"/>
              <w:left w:val="nil"/>
              <w:bottom w:val="nil"/>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2 176</w:t>
            </w:r>
          </w:p>
        </w:tc>
        <w:tc>
          <w:tcPr>
            <w:tcW w:w="993" w:type="dxa"/>
            <w:tcBorders>
              <w:top w:val="single" w:sz="6" w:space="0" w:color="auto"/>
              <w:left w:val="nil"/>
              <w:bottom w:val="nil"/>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2 358</w:t>
            </w:r>
          </w:p>
        </w:tc>
        <w:tc>
          <w:tcPr>
            <w:tcW w:w="993" w:type="dxa"/>
            <w:tcBorders>
              <w:top w:val="single" w:sz="6" w:space="0" w:color="auto"/>
              <w:left w:val="nil"/>
              <w:bottom w:val="nil"/>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2 359</w:t>
            </w:r>
          </w:p>
        </w:tc>
      </w:tr>
      <w:tr w:rsidR="00116054" w:rsidRPr="00602BD3" w:rsidTr="00602BD3">
        <w:tc>
          <w:tcPr>
            <w:tcW w:w="3801" w:type="dxa"/>
            <w:tcBorders>
              <w:top w:val="nil"/>
              <w:left w:val="nil"/>
              <w:bottom w:val="nil"/>
              <w:right w:val="nil"/>
            </w:tcBorders>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Less:</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szCs w:val="22"/>
                <w:lang w:eastAsia="en-AU"/>
              </w:rPr>
            </w:pP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szCs w:val="22"/>
                <w:lang w:eastAsia="en-AU"/>
              </w:rPr>
            </w:pP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szCs w:val="22"/>
                <w:lang w:eastAsia="en-AU"/>
              </w:rPr>
            </w:pP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szCs w:val="22"/>
                <w:lang w:eastAsia="en-AU"/>
              </w:rPr>
            </w:pPr>
          </w:p>
        </w:tc>
      </w:tr>
      <w:tr w:rsidR="00116054" w:rsidRPr="00602BD3" w:rsidTr="00602BD3">
        <w:tc>
          <w:tcPr>
            <w:tcW w:w="3801" w:type="dxa"/>
            <w:tcBorders>
              <w:top w:val="nil"/>
              <w:left w:val="nil"/>
              <w:bottom w:val="nil"/>
              <w:right w:val="nil"/>
            </w:tcBorders>
          </w:tcPr>
          <w:p w:rsidR="00116054" w:rsidRPr="00602BD3" w:rsidRDefault="00116054" w:rsidP="00602BD3">
            <w:pPr>
              <w:pStyle w:val="Tabletext"/>
              <w:rPr>
                <w:rFonts w:eastAsiaTheme="minorEastAsia"/>
                <w:color w:val="000000"/>
                <w:vertAlign w:val="superscript"/>
                <w:lang w:eastAsia="en-AU"/>
              </w:rPr>
            </w:pPr>
            <w:r w:rsidRPr="00602BD3">
              <w:rPr>
                <w:rFonts w:eastAsiaTheme="minorEastAsia"/>
                <w:color w:val="000000"/>
                <w:lang w:eastAsia="en-AU"/>
              </w:rPr>
              <w:t xml:space="preserve">    Funding from reprioritisation of existing resources </w:t>
            </w:r>
            <w:r w:rsidRPr="00602BD3">
              <w:rPr>
                <w:rFonts w:eastAsiaTheme="minorEastAsia"/>
                <w:color w:val="000000"/>
                <w:vertAlign w:val="superscript"/>
                <w:lang w:eastAsia="en-AU"/>
              </w:rPr>
              <w:t>(c)</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490</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371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332</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257</w:t>
            </w:r>
          </w:p>
        </w:tc>
      </w:tr>
      <w:tr w:rsidR="00116054" w:rsidRPr="00602BD3" w:rsidTr="00602BD3">
        <w:tc>
          <w:tcPr>
            <w:tcW w:w="3801" w:type="dxa"/>
            <w:tcBorders>
              <w:top w:val="nil"/>
              <w:left w:val="nil"/>
              <w:bottom w:val="nil"/>
              <w:right w:val="nil"/>
            </w:tcBorders>
          </w:tcPr>
          <w:p w:rsidR="00116054" w:rsidRPr="00602BD3" w:rsidRDefault="00116054" w:rsidP="00602BD3">
            <w:pPr>
              <w:pStyle w:val="Tabletext"/>
              <w:rPr>
                <w:rFonts w:eastAsiaTheme="minorEastAsia"/>
                <w:color w:val="000000"/>
                <w:vertAlign w:val="superscript"/>
                <w:lang w:eastAsia="en-AU"/>
              </w:rPr>
            </w:pPr>
            <w:r w:rsidRPr="00602BD3">
              <w:rPr>
                <w:rFonts w:eastAsiaTheme="minorEastAsia"/>
                <w:color w:val="000000"/>
                <w:lang w:eastAsia="en-AU"/>
              </w:rPr>
              <w:t xml:space="preserve">    Adjustments </w:t>
            </w:r>
            <w:r w:rsidRPr="00602BD3">
              <w:rPr>
                <w:rFonts w:eastAsiaTheme="minorEastAsia"/>
                <w:color w:val="000000"/>
                <w:vertAlign w:val="superscript"/>
                <w:lang w:eastAsia="en-AU"/>
              </w:rPr>
              <w:t>(d)</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620</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824</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1 143</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1 377</w:t>
            </w:r>
          </w:p>
        </w:tc>
      </w:tr>
      <w:tr w:rsidR="00116054" w:rsidRPr="00602BD3" w:rsidTr="00602BD3">
        <w:tc>
          <w:tcPr>
            <w:tcW w:w="3801" w:type="dxa"/>
            <w:tcBorders>
              <w:top w:val="nil"/>
              <w:left w:val="nil"/>
              <w:bottom w:val="nil"/>
              <w:right w:val="nil"/>
            </w:tcBorders>
          </w:tcPr>
          <w:p w:rsidR="00116054" w:rsidRPr="00602BD3" w:rsidRDefault="00116054" w:rsidP="00602BD3">
            <w:pPr>
              <w:pStyle w:val="Tabletext"/>
              <w:rPr>
                <w:rFonts w:eastAsiaTheme="minorEastAsia"/>
                <w:color w:val="000000"/>
                <w:lang w:eastAsia="en-AU"/>
              </w:rPr>
            </w:pPr>
            <w:r w:rsidRPr="00602BD3">
              <w:rPr>
                <w:rFonts w:eastAsiaTheme="minorEastAsia"/>
                <w:color w:val="000000"/>
                <w:lang w:eastAsia="en-AU"/>
              </w:rPr>
              <w:t xml:space="preserve">    Savings</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72</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84</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91</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88</w:t>
            </w:r>
          </w:p>
        </w:tc>
      </w:tr>
      <w:tr w:rsidR="00116054" w:rsidRPr="00602BD3" w:rsidTr="00602BD3">
        <w:tc>
          <w:tcPr>
            <w:tcW w:w="3801" w:type="dxa"/>
            <w:tcBorders>
              <w:top w:val="single" w:sz="6" w:space="0" w:color="auto"/>
              <w:left w:val="nil"/>
              <w:bottom w:val="single" w:sz="6" w:space="0" w:color="auto"/>
              <w:right w:val="nil"/>
            </w:tcBorders>
          </w:tcPr>
          <w:p w:rsidR="00116054" w:rsidRPr="00602BD3" w:rsidRDefault="00116054" w:rsidP="00602BD3">
            <w:pPr>
              <w:pStyle w:val="Tabletext"/>
              <w:rPr>
                <w:rFonts w:eastAsiaTheme="minorEastAsia"/>
                <w:b/>
                <w:bCs/>
                <w:color w:val="000000"/>
                <w:lang w:eastAsia="en-AU"/>
              </w:rPr>
            </w:pPr>
            <w:r w:rsidRPr="00602BD3">
              <w:rPr>
                <w:rFonts w:eastAsiaTheme="minorEastAsia"/>
                <w:b/>
                <w:bCs/>
                <w:i/>
                <w:iCs/>
                <w:color w:val="000000"/>
                <w:lang w:eastAsia="en-AU"/>
              </w:rPr>
              <w:t>2015</w:t>
            </w:r>
            <w:r>
              <w:rPr>
                <w:rFonts w:eastAsiaTheme="minorEastAsia"/>
                <w:b/>
                <w:bCs/>
                <w:i/>
                <w:iCs/>
                <w:color w:val="000000"/>
                <w:lang w:eastAsia="en-AU"/>
              </w:rPr>
              <w:noBreakHyphen/>
            </w:r>
            <w:r w:rsidRPr="00602BD3">
              <w:rPr>
                <w:rFonts w:eastAsiaTheme="minorEastAsia"/>
                <w:b/>
                <w:bCs/>
                <w:i/>
                <w:iCs/>
                <w:color w:val="000000"/>
                <w:lang w:eastAsia="en-AU"/>
              </w:rPr>
              <w:t xml:space="preserve">16 Budget </w:t>
            </w:r>
            <w:r w:rsidRPr="00602BD3">
              <w:rPr>
                <w:rFonts w:eastAsiaTheme="minorEastAsia"/>
                <w:b/>
                <w:bCs/>
                <w:color w:val="000000"/>
                <w:lang w:eastAsia="en-AU"/>
              </w:rPr>
              <w:t>output policy decisions</w:t>
            </w:r>
          </w:p>
        </w:tc>
        <w:tc>
          <w:tcPr>
            <w:tcW w:w="993" w:type="dxa"/>
            <w:tcBorders>
              <w:top w:val="single" w:sz="6" w:space="0" w:color="auto"/>
              <w:left w:val="nil"/>
              <w:bottom w:val="single" w:sz="6"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1 049</w:t>
            </w:r>
          </w:p>
        </w:tc>
        <w:tc>
          <w:tcPr>
            <w:tcW w:w="993" w:type="dxa"/>
            <w:tcBorders>
              <w:top w:val="single" w:sz="6" w:space="0" w:color="auto"/>
              <w:left w:val="nil"/>
              <w:bottom w:val="single" w:sz="6"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897</w:t>
            </w:r>
          </w:p>
        </w:tc>
        <w:tc>
          <w:tcPr>
            <w:tcW w:w="993" w:type="dxa"/>
            <w:tcBorders>
              <w:top w:val="single" w:sz="6" w:space="0" w:color="auto"/>
              <w:left w:val="nil"/>
              <w:bottom w:val="single" w:sz="6"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793</w:t>
            </w:r>
          </w:p>
        </w:tc>
        <w:tc>
          <w:tcPr>
            <w:tcW w:w="993" w:type="dxa"/>
            <w:tcBorders>
              <w:top w:val="single" w:sz="6" w:space="0" w:color="auto"/>
              <w:left w:val="nil"/>
              <w:bottom w:val="single" w:sz="6"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637</w:t>
            </w:r>
          </w:p>
        </w:tc>
      </w:tr>
      <w:tr w:rsidR="00116054" w:rsidRPr="00602BD3" w:rsidTr="00602BD3">
        <w:tc>
          <w:tcPr>
            <w:tcW w:w="3801" w:type="dxa"/>
            <w:tcBorders>
              <w:top w:val="nil"/>
              <w:left w:val="nil"/>
              <w:bottom w:val="single" w:sz="6" w:space="0" w:color="auto"/>
              <w:right w:val="nil"/>
            </w:tcBorders>
          </w:tcPr>
          <w:p w:rsidR="00116054" w:rsidRPr="00602BD3" w:rsidRDefault="00116054" w:rsidP="00602BD3">
            <w:pPr>
              <w:pStyle w:val="Tabletext"/>
              <w:rPr>
                <w:rFonts w:eastAsiaTheme="minorEastAsia"/>
                <w:color w:val="000000"/>
                <w:vertAlign w:val="superscript"/>
                <w:lang w:eastAsia="en-AU"/>
              </w:rPr>
            </w:pPr>
            <w:r w:rsidRPr="00602BD3">
              <w:rPr>
                <w:rFonts w:eastAsiaTheme="minorEastAsia"/>
                <w:color w:val="000000"/>
                <w:lang w:eastAsia="en-AU"/>
              </w:rPr>
              <w:t xml:space="preserve">Less: contingency offset for new policy </w:t>
            </w:r>
            <w:r w:rsidRPr="00602BD3">
              <w:rPr>
                <w:rFonts w:eastAsiaTheme="minorEastAsia"/>
                <w:color w:val="000000"/>
                <w:vertAlign w:val="superscript"/>
                <w:lang w:eastAsia="en-AU"/>
              </w:rPr>
              <w:t>(e)</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89</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127</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273</w:t>
            </w:r>
          </w:p>
        </w:tc>
        <w:tc>
          <w:tcPr>
            <w:tcW w:w="993" w:type="dxa"/>
            <w:tcBorders>
              <w:top w:val="nil"/>
              <w:left w:val="nil"/>
              <w:bottom w:val="nil"/>
              <w:right w:val="nil"/>
            </w:tcBorders>
            <w:shd w:val="solid" w:color="FFFFFF" w:fill="auto"/>
          </w:tcPr>
          <w:p w:rsidR="00116054" w:rsidRPr="00602BD3" w:rsidRDefault="00116054" w:rsidP="00602BD3">
            <w:pPr>
              <w:pStyle w:val="TableofFigures"/>
              <w:rPr>
                <w:rFonts w:eastAsiaTheme="minorEastAsia"/>
                <w:color w:val="000000"/>
                <w:lang w:eastAsia="en-AU"/>
              </w:rPr>
            </w:pPr>
            <w:r w:rsidRPr="00602BD3">
              <w:rPr>
                <w:rFonts w:eastAsiaTheme="minorEastAsia"/>
                <w:color w:val="000000"/>
                <w:lang w:eastAsia="en-AU"/>
              </w:rPr>
              <w:t xml:space="preserve"> 312</w:t>
            </w:r>
          </w:p>
        </w:tc>
      </w:tr>
      <w:tr w:rsidR="00116054" w:rsidRPr="00602BD3" w:rsidTr="00602BD3">
        <w:tc>
          <w:tcPr>
            <w:tcW w:w="3801" w:type="dxa"/>
            <w:tcBorders>
              <w:top w:val="single" w:sz="6" w:space="0" w:color="auto"/>
              <w:left w:val="nil"/>
              <w:bottom w:val="single" w:sz="12" w:space="0" w:color="auto"/>
              <w:right w:val="nil"/>
            </w:tcBorders>
          </w:tcPr>
          <w:p w:rsidR="00116054" w:rsidRPr="00602BD3" w:rsidRDefault="00116054" w:rsidP="00602BD3">
            <w:pPr>
              <w:pStyle w:val="Tabletext"/>
              <w:rPr>
                <w:rFonts w:eastAsiaTheme="minorEastAsia"/>
                <w:b/>
                <w:bCs/>
                <w:color w:val="000000"/>
                <w:lang w:eastAsia="en-AU"/>
              </w:rPr>
            </w:pPr>
            <w:r w:rsidRPr="00602BD3">
              <w:rPr>
                <w:rFonts w:eastAsiaTheme="minorEastAsia"/>
                <w:b/>
                <w:bCs/>
                <w:color w:val="000000"/>
                <w:lang w:eastAsia="en-AU"/>
              </w:rPr>
              <w:t xml:space="preserve">Net impact </w:t>
            </w:r>
          </w:p>
        </w:tc>
        <w:tc>
          <w:tcPr>
            <w:tcW w:w="993" w:type="dxa"/>
            <w:tcBorders>
              <w:top w:val="single" w:sz="6" w:space="0" w:color="auto"/>
              <w:left w:val="nil"/>
              <w:bottom w:val="single" w:sz="12"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960</w:t>
            </w:r>
          </w:p>
        </w:tc>
        <w:tc>
          <w:tcPr>
            <w:tcW w:w="993" w:type="dxa"/>
            <w:tcBorders>
              <w:top w:val="single" w:sz="6" w:space="0" w:color="auto"/>
              <w:left w:val="nil"/>
              <w:bottom w:val="single" w:sz="12"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770</w:t>
            </w:r>
          </w:p>
        </w:tc>
        <w:tc>
          <w:tcPr>
            <w:tcW w:w="993" w:type="dxa"/>
            <w:tcBorders>
              <w:top w:val="single" w:sz="6" w:space="0" w:color="auto"/>
              <w:left w:val="nil"/>
              <w:bottom w:val="single" w:sz="12"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520</w:t>
            </w:r>
          </w:p>
        </w:tc>
        <w:tc>
          <w:tcPr>
            <w:tcW w:w="993" w:type="dxa"/>
            <w:tcBorders>
              <w:top w:val="single" w:sz="6" w:space="0" w:color="auto"/>
              <w:left w:val="nil"/>
              <w:bottom w:val="single" w:sz="12" w:space="0" w:color="auto"/>
              <w:right w:val="nil"/>
            </w:tcBorders>
            <w:shd w:val="solid" w:color="FFFFFF" w:fill="auto"/>
          </w:tcPr>
          <w:p w:rsidR="00116054" w:rsidRPr="00602BD3" w:rsidRDefault="00116054" w:rsidP="00602BD3">
            <w:pPr>
              <w:pStyle w:val="TableofFigures"/>
              <w:rPr>
                <w:rFonts w:eastAsiaTheme="minorEastAsia"/>
                <w:b/>
                <w:bCs/>
                <w:color w:val="000000"/>
                <w:lang w:eastAsia="en-AU"/>
              </w:rPr>
            </w:pPr>
            <w:r w:rsidRPr="00602BD3">
              <w:rPr>
                <w:rFonts w:eastAsiaTheme="minorEastAsia"/>
                <w:b/>
                <w:bCs/>
                <w:color w:val="000000"/>
                <w:lang w:eastAsia="en-AU"/>
              </w:rPr>
              <w:t xml:space="preserve"> 325</w:t>
            </w:r>
          </w:p>
        </w:tc>
      </w:tr>
    </w:tbl>
    <w:p w:rsidR="00116054" w:rsidRPr="007E4E2E" w:rsidRDefault="00116054" w:rsidP="00F96417">
      <w:pPr>
        <w:pStyle w:val="Source"/>
      </w:pPr>
      <w:r w:rsidRPr="007E4E2E">
        <w:t>Source: Department of Treasury and Finance</w:t>
      </w:r>
    </w:p>
    <w:p w:rsidR="00116054" w:rsidRPr="007E4E2E" w:rsidRDefault="00116054" w:rsidP="00E038E1">
      <w:pPr>
        <w:pStyle w:val="Notes"/>
      </w:pPr>
      <w:r w:rsidRPr="007E4E2E">
        <w:t>Notes:</w:t>
      </w:r>
    </w:p>
    <w:p w:rsidR="00116054" w:rsidRPr="007E4E2E" w:rsidRDefault="00116054" w:rsidP="00E038E1">
      <w:pPr>
        <w:pStyle w:val="Notes"/>
        <w:rPr>
          <w:i w:val="0"/>
        </w:rPr>
      </w:pPr>
      <w:r w:rsidRPr="007E4E2E">
        <w:t>(a)</w:t>
      </w:r>
      <w:r w:rsidRPr="007E4E2E">
        <w:tab/>
        <w:t xml:space="preserve">Department totals reflect gross expenditure outlined in Budget Paper </w:t>
      </w:r>
      <w:r>
        <w:t>No. </w:t>
      </w:r>
      <w:r w:rsidRPr="007E4E2E">
        <w:t xml:space="preserve">3, </w:t>
      </w:r>
      <w:r>
        <w:t>Chapter </w:t>
      </w:r>
      <w:r w:rsidRPr="007E4E2E">
        <w:t xml:space="preserve">1 </w:t>
      </w:r>
      <w:r w:rsidRPr="007E4E2E">
        <w:rPr>
          <w:i w:val="0"/>
        </w:rPr>
        <w:t>Output, asset investment, savings and revenue initiatives.</w:t>
      </w:r>
    </w:p>
    <w:p w:rsidR="00116054" w:rsidRDefault="00116054" w:rsidP="00E038E1">
      <w:pPr>
        <w:pStyle w:val="Notes"/>
      </w:pPr>
      <w:r w:rsidRPr="007E4E2E">
        <w:t>(b)</w:t>
      </w:r>
      <w:r w:rsidRPr="007E4E2E">
        <w:tab/>
      </w:r>
      <w:r>
        <w:t>Figures in this table are subject to rounding to the nearest million and may not add up to totals.</w:t>
      </w:r>
    </w:p>
    <w:p w:rsidR="00116054" w:rsidRDefault="00116054" w:rsidP="00E038E1">
      <w:pPr>
        <w:pStyle w:val="Notes"/>
      </w:pPr>
      <w:r w:rsidRPr="007E4E2E">
        <w:t>(c)</w:t>
      </w:r>
      <w:r w:rsidRPr="007E4E2E">
        <w:tab/>
        <w:t>This includes the reprioritisation of resources previously a</w:t>
      </w:r>
      <w:r>
        <w:t>llocated to departments and retained revenues.</w:t>
      </w:r>
    </w:p>
    <w:p w:rsidR="00116054" w:rsidRDefault="00116054" w:rsidP="0080330E">
      <w:pPr>
        <w:pStyle w:val="Notes"/>
      </w:pPr>
      <w:r w:rsidRPr="007E4E2E">
        <w:t>(d)</w:t>
      </w:r>
      <w:r w:rsidRPr="007E4E2E">
        <w:tab/>
      </w:r>
      <w:r>
        <w:t>Primarily i</w:t>
      </w:r>
      <w:r w:rsidRPr="007E4E2E">
        <w:t>ncorporates</w:t>
      </w:r>
      <w:r>
        <w:t xml:space="preserve"> the net impact of the creation and release of Decisions Made but Not Yet Allocated contingencies.</w:t>
      </w:r>
    </w:p>
    <w:p w:rsidR="00116054" w:rsidRDefault="00116054" w:rsidP="0080330E">
      <w:pPr>
        <w:pStyle w:val="Notes"/>
        <w:rPr>
          <w:b/>
          <w:caps/>
          <w:sz w:val="26"/>
          <w:szCs w:val="22"/>
        </w:rPr>
      </w:pPr>
      <w:r>
        <w:t>(e)</w:t>
      </w:r>
      <w:r>
        <w:tab/>
      </w:r>
      <w:bookmarkStart w:id="78" w:name="_Toc406162089"/>
      <w:bookmarkStart w:id="79" w:name="_Toc406670372"/>
      <w:r w:rsidRPr="007E4E2E">
        <w:t xml:space="preserve">Represents release of </w:t>
      </w:r>
      <w:r>
        <w:t>Funding Not Allocated to Specific Purposes C</w:t>
      </w:r>
      <w:r w:rsidRPr="007E4E2E">
        <w:t>ontingencies associated with d</w:t>
      </w:r>
      <w:r>
        <w:t>emand for government services.</w:t>
      </w:r>
      <w:r>
        <w:fldChar w:fldCharType="begin"/>
      </w:r>
      <w:r>
        <w:instrText xml:space="preserve"> XE "</w:instrText>
      </w:r>
      <w:r w:rsidRPr="00D01B30">
        <w:instrText>Asset investment</w:instrText>
      </w:r>
      <w:r>
        <w:instrText xml:space="preserve">" \r "BP2AssetInvest1" </w:instrText>
      </w:r>
      <w:r>
        <w:fldChar w:fldCharType="end"/>
      </w:r>
    </w:p>
    <w:p w:rsidR="00116054" w:rsidRPr="007E4E2E" w:rsidRDefault="00116054" w:rsidP="00B5486D">
      <w:pPr>
        <w:pStyle w:val="Heading1"/>
      </w:pPr>
      <w:bookmarkStart w:id="80" w:name="_Toc418081697"/>
      <w:bookmarkStart w:id="81" w:name="_Toc418255147"/>
      <w:bookmarkEnd w:id="77"/>
      <w:r w:rsidRPr="007E4E2E">
        <w:t>Cash flows</w:t>
      </w:r>
      <w:bookmarkEnd w:id="78"/>
      <w:bookmarkEnd w:id="79"/>
      <w:bookmarkEnd w:id="80"/>
      <w:bookmarkEnd w:id="81"/>
    </w:p>
    <w:p w:rsidR="00116054" w:rsidRDefault="00116054" w:rsidP="0080330E">
      <w:r>
        <w:t>This budget</w:t>
      </w:r>
      <w:r w:rsidRPr="007E4E2E">
        <w:t xml:space="preserve"> reallocates provisions for projects announced by the former government</w:t>
      </w:r>
      <w:r>
        <w:t xml:space="preserve"> that will no longer proceed,</w:t>
      </w:r>
      <w:r w:rsidRPr="007E4E2E">
        <w:t xml:space="preserve"> </w:t>
      </w:r>
      <w:r>
        <w:t>to</w:t>
      </w:r>
      <w:r w:rsidRPr="007E4E2E">
        <w:t xml:space="preserve"> provide funding to </w:t>
      </w:r>
      <w:r>
        <w:t>boost output priorities and</w:t>
      </w:r>
      <w:r w:rsidRPr="007E4E2E">
        <w:t xml:space="preserve"> deliver </w:t>
      </w:r>
      <w:r>
        <w:t xml:space="preserve">the Government’s </w:t>
      </w:r>
      <w:r w:rsidRPr="007E4E2E">
        <w:t>key asset ele</w:t>
      </w:r>
      <w:r>
        <w:t xml:space="preserve">ction commitments. </w:t>
      </w:r>
    </w:p>
    <w:p w:rsidR="00116054" w:rsidRDefault="00116054" w:rsidP="0080330E">
      <w:r>
        <w:t xml:space="preserve">Net debt is expected to fall over the budget and forward estimates as a percentage of GSP to a level lower than forecast in the </w:t>
      </w:r>
      <w:r w:rsidRPr="00B23E94">
        <w:rPr>
          <w:i/>
        </w:rPr>
        <w:t>2014 Pre</w:t>
      </w:r>
      <w:r>
        <w:rPr>
          <w:i/>
        </w:rPr>
        <w:noBreakHyphen/>
      </w:r>
      <w:r w:rsidRPr="00B23E94">
        <w:rPr>
          <w:i/>
        </w:rPr>
        <w:t>Election Budget Update</w:t>
      </w:r>
      <w:r>
        <w:t>.</w:t>
      </w:r>
    </w:p>
    <w:p w:rsidR="00116054" w:rsidRDefault="00116054" w:rsidP="00EC59B9">
      <w:r w:rsidRPr="0048495B">
        <w:t>Total net investment in fixed assets is projec</w:t>
      </w:r>
      <w:r>
        <w:t>ted to be a net negative of $2.3 billion</w:t>
      </w:r>
      <w:r w:rsidRPr="0048495B">
        <w:t xml:space="preserve"> in 2015</w:t>
      </w:r>
      <w:r>
        <w:noBreakHyphen/>
      </w:r>
      <w:r w:rsidRPr="0048495B">
        <w:t>16</w:t>
      </w:r>
      <w:r>
        <w:t xml:space="preserve"> and average $4.9 billion a year over the forward estimates. This largely</w:t>
      </w:r>
      <w:r w:rsidRPr="0048495B">
        <w:t xml:space="preserve"> reflect</w:t>
      </w:r>
      <w:r>
        <w:t>s</w:t>
      </w:r>
      <w:r w:rsidRPr="0048495B">
        <w:t xml:space="preserve"> the net impact</w:t>
      </w:r>
      <w:r>
        <w:t xml:space="preserve"> of additional investment in new</w:t>
      </w:r>
      <w:r w:rsidRPr="0048495B">
        <w:t xml:space="preserve"> assets</w:t>
      </w:r>
      <w:r>
        <w:t xml:space="preserve"> including prudent </w:t>
      </w:r>
      <w:r w:rsidRPr="00F05FC8">
        <w:t>provision</w:t>
      </w:r>
      <w:r>
        <w:t>ing</w:t>
      </w:r>
      <w:r w:rsidRPr="00F51E6E">
        <w:t xml:space="preserve"> </w:t>
      </w:r>
      <w:r>
        <w:t>for future budgets and</w:t>
      </w:r>
      <w:r w:rsidRPr="00F05FC8">
        <w:t xml:space="preserve"> remaining </w:t>
      </w:r>
      <w:r>
        <w:t xml:space="preserve">capital </w:t>
      </w:r>
      <w:r w:rsidRPr="00F05FC8">
        <w:t>electio</w:t>
      </w:r>
      <w:r>
        <w:t xml:space="preserve">n commitments, </w:t>
      </w:r>
      <w:r w:rsidRPr="0048495B">
        <w:t>and the forecast proceeds from entering into a medium</w:t>
      </w:r>
      <w:r>
        <w:noBreakHyphen/>
      </w:r>
      <w:r w:rsidRPr="0048495B">
        <w:t>term lease over the operations of the Port of Melbourne</w:t>
      </w:r>
      <w:r>
        <w:fldChar w:fldCharType="begin"/>
      </w:r>
      <w:r>
        <w:instrText xml:space="preserve"> XE "</w:instrText>
      </w:r>
      <w:r w:rsidRPr="00DE4970">
        <w:instrText>Port of Melbourne</w:instrText>
      </w:r>
      <w:r>
        <w:instrText xml:space="preserve">" </w:instrText>
      </w:r>
      <w:r>
        <w:fldChar w:fldCharType="end"/>
      </w:r>
      <w:r w:rsidRPr="0048495B">
        <w:t>.</w:t>
      </w:r>
    </w:p>
    <w:p w:rsidR="00116054" w:rsidRDefault="00116054" w:rsidP="0080330E">
      <w:r w:rsidRPr="007E4E2E">
        <w:lastRenderedPageBreak/>
        <w:t>In addition to net investment in fixed assets, infrastructure investment</w:t>
      </w:r>
      <w:r>
        <w:fldChar w:fldCharType="begin"/>
      </w:r>
      <w:r>
        <w:instrText xml:space="preserve"> XE "</w:instrText>
      </w:r>
      <w:r w:rsidRPr="000D11FA">
        <w:instrText>Infrastructure investment</w:instrText>
      </w:r>
      <w:r>
        <w:instrText xml:space="preserve">" </w:instrText>
      </w:r>
      <w:r>
        <w:fldChar w:fldCharType="end"/>
      </w:r>
      <w:r w:rsidRPr="007E4E2E">
        <w:t xml:space="preserve"> is also funded and delivered through public private part</w:t>
      </w:r>
      <w:r>
        <w:t>nerships. These projects are</w:t>
      </w:r>
      <w:r w:rsidRPr="007E4E2E">
        <w:t xml:space="preserve"> </w:t>
      </w:r>
      <w:r>
        <w:t>included in the general g</w:t>
      </w:r>
      <w:r w:rsidRPr="007E4E2E">
        <w:t>overnment infrastructure investment</w:t>
      </w:r>
      <w:r>
        <w:t xml:space="preserve"> measure, which is projected to be</w:t>
      </w:r>
      <w:r w:rsidRPr="007E4E2E">
        <w:t xml:space="preserve"> $5</w:t>
      </w:r>
      <w:r>
        <w:t>.2 billion</w:t>
      </w:r>
      <w:r w:rsidRPr="007E4E2E">
        <w:t xml:space="preserve"> for 2015</w:t>
      </w:r>
      <w:r>
        <w:noBreakHyphen/>
      </w:r>
      <w:r w:rsidRPr="007E4E2E">
        <w:t>16, and averag</w:t>
      </w:r>
      <w:r>
        <w:t>e</w:t>
      </w:r>
      <w:r w:rsidRPr="007E4E2E">
        <w:t xml:space="preserve"> $</w:t>
      </w:r>
      <w:r>
        <w:t>5.4 billion</w:t>
      </w:r>
      <w:r w:rsidRPr="007E4E2E">
        <w:t xml:space="preserve"> a year over the forward es</w:t>
      </w:r>
      <w:r>
        <w:t>timates.</w:t>
      </w:r>
    </w:p>
    <w:p w:rsidR="00116054" w:rsidRPr="007E4E2E" w:rsidRDefault="00116054" w:rsidP="00ED3744">
      <w:pPr>
        <w:pStyle w:val="Tableheading"/>
      </w:pPr>
      <w:r w:rsidRPr="007E4E2E">
        <w:t>Table 4.</w:t>
      </w:r>
      <w:r>
        <w:t>5</w:t>
      </w:r>
      <w:r w:rsidRPr="007E4E2E">
        <w:t>:</w:t>
      </w:r>
      <w:r w:rsidRPr="007E4E2E">
        <w:tab/>
        <w:t>Application of cash resources for the general government sector</w:t>
      </w:r>
      <w:r w:rsidRPr="003E5ABA">
        <w:rPr>
          <w:vertAlign w:val="superscript"/>
        </w:rPr>
        <w:t>(a)</w:t>
      </w:r>
    </w:p>
    <w:p w:rsidR="00116054" w:rsidRPr="00AD44D5" w:rsidRDefault="00116054" w:rsidP="00AD44D5">
      <w:pPr>
        <w:pStyle w:val="million"/>
      </w:pPr>
      <w:r w:rsidRPr="007E4E2E">
        <w:t>($</w:t>
      </w:r>
      <w:r>
        <w:t> million</w:t>
      </w:r>
      <w:r w:rsidRPr="007E4E2E">
        <w:t>)</w:t>
      </w:r>
    </w:p>
    <w:tbl>
      <w:tblPr>
        <w:tblW w:w="7776" w:type="dxa"/>
        <w:tblInd w:w="29" w:type="dxa"/>
        <w:tblLayout w:type="fixed"/>
        <w:tblCellMar>
          <w:left w:w="43" w:type="dxa"/>
          <w:right w:w="43" w:type="dxa"/>
        </w:tblCellMar>
        <w:tblLook w:val="0000" w:firstRow="0" w:lastRow="0" w:firstColumn="0" w:lastColumn="0" w:noHBand="0" w:noVBand="0"/>
      </w:tblPr>
      <w:tblGrid>
        <w:gridCol w:w="2534"/>
        <w:gridCol w:w="270"/>
        <w:gridCol w:w="508"/>
        <w:gridCol w:w="892"/>
        <w:gridCol w:w="893"/>
        <w:gridCol w:w="893"/>
        <w:gridCol w:w="893"/>
        <w:gridCol w:w="893"/>
      </w:tblGrid>
      <w:tr w:rsidR="00116054" w:rsidRPr="00AD44D5" w:rsidTr="00230BEC">
        <w:trPr>
          <w:cantSplit/>
        </w:trPr>
        <w:tc>
          <w:tcPr>
            <w:tcW w:w="2534" w:type="dxa"/>
            <w:tcBorders>
              <w:top w:val="single" w:sz="4" w:space="0" w:color="auto"/>
              <w:left w:val="single" w:sz="4" w:space="0" w:color="auto"/>
              <w:bottom w:val="nil"/>
              <w:right w:val="nil"/>
            </w:tcBorders>
            <w:shd w:val="clear" w:color="auto" w:fill="000000"/>
          </w:tcPr>
          <w:p w:rsidR="00116054" w:rsidRPr="00AD44D5" w:rsidRDefault="00116054" w:rsidP="00AD44D5">
            <w:pPr>
              <w:pStyle w:val="Tabletext"/>
              <w:rPr>
                <w:rFonts w:eastAsiaTheme="minorEastAsia"/>
                <w:lang w:eastAsia="en-AU"/>
              </w:rPr>
            </w:pPr>
            <w:r w:rsidRPr="00AD44D5">
              <w:rPr>
                <w:rFonts w:eastAsiaTheme="minorEastAsia"/>
                <w:lang w:eastAsia="en-AU"/>
              </w:rPr>
              <w:t xml:space="preserve"> </w:t>
            </w:r>
          </w:p>
        </w:tc>
        <w:tc>
          <w:tcPr>
            <w:tcW w:w="778" w:type="dxa"/>
            <w:gridSpan w:val="2"/>
            <w:tcBorders>
              <w:top w:val="single" w:sz="4" w:space="0" w:color="auto"/>
              <w:left w:val="nil"/>
              <w:bottom w:val="nil"/>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2013</w:t>
            </w:r>
            <w:r>
              <w:rPr>
                <w:rFonts w:eastAsiaTheme="minorEastAsia"/>
                <w:lang w:eastAsia="en-AU"/>
              </w:rPr>
              <w:noBreakHyphen/>
            </w:r>
            <w:r w:rsidRPr="00AD44D5">
              <w:rPr>
                <w:rFonts w:eastAsiaTheme="minorEastAsia"/>
                <w:lang w:eastAsia="en-AU"/>
              </w:rPr>
              <w:t>14</w:t>
            </w:r>
          </w:p>
        </w:tc>
        <w:tc>
          <w:tcPr>
            <w:tcW w:w="892" w:type="dxa"/>
            <w:tcBorders>
              <w:top w:val="single" w:sz="4" w:space="0" w:color="auto"/>
              <w:left w:val="nil"/>
              <w:bottom w:val="nil"/>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2014</w:t>
            </w:r>
            <w:r>
              <w:rPr>
                <w:rFonts w:eastAsiaTheme="minorEastAsia"/>
                <w:lang w:eastAsia="en-AU"/>
              </w:rPr>
              <w:noBreakHyphen/>
            </w:r>
            <w:r w:rsidRPr="00AD44D5">
              <w:rPr>
                <w:rFonts w:eastAsiaTheme="minorEastAsia"/>
                <w:lang w:eastAsia="en-AU"/>
              </w:rPr>
              <w:t>15</w:t>
            </w:r>
          </w:p>
        </w:tc>
        <w:tc>
          <w:tcPr>
            <w:tcW w:w="893" w:type="dxa"/>
            <w:tcBorders>
              <w:top w:val="single" w:sz="4" w:space="0" w:color="auto"/>
              <w:left w:val="nil"/>
              <w:bottom w:val="nil"/>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2015</w:t>
            </w:r>
            <w:r>
              <w:rPr>
                <w:rFonts w:eastAsiaTheme="minorEastAsia"/>
                <w:lang w:eastAsia="en-AU"/>
              </w:rPr>
              <w:noBreakHyphen/>
            </w:r>
            <w:r w:rsidRPr="00AD44D5">
              <w:rPr>
                <w:rFonts w:eastAsiaTheme="minorEastAsia"/>
                <w:lang w:eastAsia="en-AU"/>
              </w:rPr>
              <w:t>16</w:t>
            </w:r>
          </w:p>
        </w:tc>
        <w:tc>
          <w:tcPr>
            <w:tcW w:w="893" w:type="dxa"/>
            <w:tcBorders>
              <w:top w:val="single" w:sz="4" w:space="0" w:color="auto"/>
              <w:left w:val="nil"/>
              <w:bottom w:val="nil"/>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2016</w:t>
            </w:r>
            <w:r>
              <w:rPr>
                <w:rFonts w:eastAsiaTheme="minorEastAsia"/>
                <w:lang w:eastAsia="en-AU"/>
              </w:rPr>
              <w:noBreakHyphen/>
            </w:r>
            <w:r w:rsidRPr="00AD44D5">
              <w:rPr>
                <w:rFonts w:eastAsiaTheme="minorEastAsia"/>
                <w:lang w:eastAsia="en-AU"/>
              </w:rPr>
              <w:t>17</w:t>
            </w:r>
          </w:p>
        </w:tc>
        <w:tc>
          <w:tcPr>
            <w:tcW w:w="893" w:type="dxa"/>
            <w:tcBorders>
              <w:top w:val="single" w:sz="4" w:space="0" w:color="auto"/>
              <w:left w:val="nil"/>
              <w:bottom w:val="nil"/>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2017</w:t>
            </w:r>
            <w:r>
              <w:rPr>
                <w:rFonts w:eastAsiaTheme="minorEastAsia"/>
                <w:lang w:eastAsia="en-AU"/>
              </w:rPr>
              <w:noBreakHyphen/>
            </w:r>
            <w:r w:rsidRPr="00AD44D5">
              <w:rPr>
                <w:rFonts w:eastAsiaTheme="minorEastAsia"/>
                <w:lang w:eastAsia="en-AU"/>
              </w:rPr>
              <w:t>18</w:t>
            </w:r>
          </w:p>
        </w:tc>
        <w:tc>
          <w:tcPr>
            <w:tcW w:w="893" w:type="dxa"/>
            <w:tcBorders>
              <w:top w:val="single" w:sz="4" w:space="0" w:color="auto"/>
              <w:left w:val="nil"/>
              <w:bottom w:val="nil"/>
              <w:right w:val="single" w:sz="4" w:space="0" w:color="auto"/>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2018</w:t>
            </w:r>
            <w:r>
              <w:rPr>
                <w:rFonts w:eastAsiaTheme="minorEastAsia"/>
                <w:lang w:eastAsia="en-AU"/>
              </w:rPr>
              <w:noBreakHyphen/>
            </w:r>
            <w:r w:rsidRPr="00AD44D5">
              <w:rPr>
                <w:rFonts w:eastAsiaTheme="minorEastAsia"/>
                <w:lang w:eastAsia="en-AU"/>
              </w:rPr>
              <w:t>19</w:t>
            </w:r>
          </w:p>
        </w:tc>
      </w:tr>
      <w:tr w:rsidR="00116054" w:rsidRPr="00AD44D5" w:rsidTr="00230BEC">
        <w:trPr>
          <w:cantSplit/>
        </w:trPr>
        <w:tc>
          <w:tcPr>
            <w:tcW w:w="2534" w:type="dxa"/>
            <w:tcBorders>
              <w:top w:val="nil"/>
              <w:left w:val="single" w:sz="4" w:space="0" w:color="auto"/>
              <w:bottom w:val="single" w:sz="4" w:space="0" w:color="auto"/>
              <w:right w:val="nil"/>
            </w:tcBorders>
            <w:shd w:val="clear" w:color="auto" w:fill="000000"/>
          </w:tcPr>
          <w:p w:rsidR="00116054" w:rsidRPr="00AD44D5" w:rsidRDefault="00116054" w:rsidP="00AD44D5">
            <w:pPr>
              <w:pStyle w:val="Tabletext"/>
              <w:rPr>
                <w:rFonts w:eastAsiaTheme="minorEastAsia"/>
                <w:lang w:eastAsia="en-AU"/>
              </w:rPr>
            </w:pPr>
            <w:r w:rsidRPr="00AD44D5">
              <w:rPr>
                <w:rFonts w:eastAsiaTheme="minorEastAsia"/>
                <w:lang w:eastAsia="en-AU"/>
              </w:rPr>
              <w:t xml:space="preserve"> </w:t>
            </w:r>
          </w:p>
        </w:tc>
        <w:tc>
          <w:tcPr>
            <w:tcW w:w="778" w:type="dxa"/>
            <w:gridSpan w:val="2"/>
            <w:tcBorders>
              <w:top w:val="nil"/>
              <w:left w:val="nil"/>
              <w:bottom w:val="single" w:sz="4" w:space="0" w:color="auto"/>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116054" w:rsidRPr="00AD44D5" w:rsidRDefault="00116054" w:rsidP="00AD44D5">
            <w:pPr>
              <w:pStyle w:val="Tabletextheading"/>
              <w:rPr>
                <w:rFonts w:eastAsiaTheme="minorEastAsia"/>
                <w:lang w:eastAsia="en-AU"/>
              </w:rPr>
            </w:pPr>
            <w:r w:rsidRPr="00AD44D5">
              <w:rPr>
                <w:rFonts w:eastAsiaTheme="minorEastAsia"/>
                <w:lang w:eastAsia="en-AU"/>
              </w:rPr>
              <w:t>estimate</w:t>
            </w:r>
          </w:p>
        </w:tc>
      </w:tr>
      <w:tr w:rsidR="00116054" w:rsidRPr="00AD44D5" w:rsidTr="00230BEC">
        <w:trPr>
          <w:cantSplit/>
        </w:trPr>
        <w:tc>
          <w:tcPr>
            <w:tcW w:w="2534" w:type="dxa"/>
            <w:tcBorders>
              <w:top w:val="single" w:sz="4" w:space="0" w:color="auto"/>
              <w:left w:val="nil"/>
              <w:bottom w:val="nil"/>
              <w:right w:val="nil"/>
            </w:tcBorders>
            <w:shd w:val="solid" w:color="FFFFFF" w:fill="auto"/>
          </w:tcPr>
          <w:p w:rsidR="00116054" w:rsidRPr="00AD44D5" w:rsidRDefault="00116054" w:rsidP="00AD44D5">
            <w:pPr>
              <w:pStyle w:val="Tabletext"/>
              <w:rPr>
                <w:rFonts w:eastAsiaTheme="minorEastAsia"/>
                <w:b/>
                <w:bCs/>
                <w:color w:val="000000"/>
                <w:lang w:eastAsia="en-AU"/>
              </w:rPr>
            </w:pPr>
            <w:r w:rsidRPr="00AD44D5">
              <w:rPr>
                <w:rFonts w:eastAsiaTheme="minorEastAsia"/>
                <w:b/>
                <w:bCs/>
                <w:color w:val="000000"/>
                <w:lang w:eastAsia="en-AU"/>
              </w:rPr>
              <w:t>Net result from transactions</w:t>
            </w:r>
          </w:p>
        </w:tc>
        <w:tc>
          <w:tcPr>
            <w:tcW w:w="778" w:type="dxa"/>
            <w:gridSpan w:val="2"/>
            <w:tcBorders>
              <w:top w:val="single" w:sz="4" w:space="0" w:color="auto"/>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1 976</w:t>
            </w:r>
          </w:p>
        </w:tc>
        <w:tc>
          <w:tcPr>
            <w:tcW w:w="892" w:type="dxa"/>
            <w:tcBorders>
              <w:top w:val="single" w:sz="4" w:space="0" w:color="auto"/>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883</w:t>
            </w:r>
          </w:p>
        </w:tc>
        <w:tc>
          <w:tcPr>
            <w:tcW w:w="893" w:type="dxa"/>
            <w:tcBorders>
              <w:top w:val="single" w:sz="4" w:space="0" w:color="auto"/>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1 219</w:t>
            </w:r>
          </w:p>
        </w:tc>
        <w:tc>
          <w:tcPr>
            <w:tcW w:w="893" w:type="dxa"/>
            <w:tcBorders>
              <w:top w:val="single" w:sz="4" w:space="0" w:color="auto"/>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1 397</w:t>
            </w:r>
          </w:p>
        </w:tc>
        <w:tc>
          <w:tcPr>
            <w:tcW w:w="893" w:type="dxa"/>
            <w:tcBorders>
              <w:top w:val="single" w:sz="4" w:space="0" w:color="auto"/>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1 366</w:t>
            </w:r>
          </w:p>
        </w:tc>
        <w:tc>
          <w:tcPr>
            <w:tcW w:w="893" w:type="dxa"/>
            <w:tcBorders>
              <w:top w:val="single" w:sz="4" w:space="0" w:color="auto"/>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1 828</w:t>
            </w:r>
          </w:p>
        </w:tc>
      </w:tr>
      <w:tr w:rsidR="00116054" w:rsidRPr="00AD44D5" w:rsidTr="00230BEC">
        <w:trPr>
          <w:cantSplit/>
        </w:trPr>
        <w:tc>
          <w:tcPr>
            <w:tcW w:w="2534" w:type="dxa"/>
            <w:tcBorders>
              <w:top w:val="nil"/>
              <w:left w:val="nil"/>
              <w:bottom w:val="single" w:sz="6" w:space="0" w:color="auto"/>
              <w:right w:val="nil"/>
            </w:tcBorders>
            <w:shd w:val="solid" w:color="FFFFFF" w:fill="auto"/>
          </w:tcPr>
          <w:p w:rsidR="00116054" w:rsidRPr="00AD44D5" w:rsidRDefault="00116054" w:rsidP="00AD44D5">
            <w:pPr>
              <w:pStyle w:val="Tabletext"/>
              <w:rPr>
                <w:rFonts w:eastAsiaTheme="minorEastAsia"/>
                <w:color w:val="000000"/>
                <w:vertAlign w:val="superscript"/>
                <w:lang w:eastAsia="en-AU"/>
              </w:rPr>
            </w:pPr>
            <w:r w:rsidRPr="00AD44D5">
              <w:rPr>
                <w:rFonts w:eastAsiaTheme="minorEastAsia"/>
                <w:color w:val="000000"/>
                <w:lang w:eastAsia="en-AU"/>
              </w:rPr>
              <w:t>Add back: non</w:t>
            </w:r>
            <w:r>
              <w:rPr>
                <w:rFonts w:eastAsiaTheme="minorEastAsia"/>
                <w:color w:val="000000"/>
                <w:lang w:eastAsia="en-AU"/>
              </w:rPr>
              <w:noBreakHyphen/>
            </w:r>
            <w:r w:rsidRPr="00AD44D5">
              <w:rPr>
                <w:rFonts w:eastAsiaTheme="minorEastAsia"/>
                <w:color w:val="000000"/>
                <w:lang w:eastAsia="en-AU"/>
              </w:rPr>
              <w:t>cash revenue and expenses (net)</w:t>
            </w:r>
            <w:r w:rsidRPr="00AD44D5">
              <w:rPr>
                <w:rFonts w:eastAsiaTheme="minorEastAsia"/>
                <w:color w:val="000000"/>
                <w:vertAlign w:val="superscript"/>
                <w:lang w:eastAsia="en-AU"/>
              </w:rPr>
              <w:t xml:space="preserve"> (b)</w:t>
            </w:r>
          </w:p>
        </w:tc>
        <w:tc>
          <w:tcPr>
            <w:tcW w:w="778" w:type="dxa"/>
            <w:gridSpan w:val="2"/>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1 966</w:t>
            </w:r>
          </w:p>
        </w:tc>
        <w:tc>
          <w:tcPr>
            <w:tcW w:w="892"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3 469</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2 536</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2 460</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3 205</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2 805</w:t>
            </w:r>
          </w:p>
        </w:tc>
      </w:tr>
      <w:tr w:rsidR="00116054" w:rsidRPr="00AD44D5" w:rsidTr="00230BEC">
        <w:trPr>
          <w:cantSplit/>
        </w:trPr>
        <w:tc>
          <w:tcPr>
            <w:tcW w:w="2534" w:type="dxa"/>
            <w:tcBorders>
              <w:top w:val="single" w:sz="6" w:space="0" w:color="auto"/>
              <w:left w:val="nil"/>
              <w:bottom w:val="nil"/>
              <w:right w:val="nil"/>
            </w:tcBorders>
            <w:shd w:val="solid" w:color="FFFFFF" w:fill="auto"/>
          </w:tcPr>
          <w:p w:rsidR="00116054" w:rsidRPr="00AD44D5" w:rsidRDefault="00116054" w:rsidP="00AD44D5">
            <w:pPr>
              <w:pStyle w:val="Tabletext"/>
              <w:rPr>
                <w:rFonts w:eastAsiaTheme="minorEastAsia"/>
                <w:b/>
                <w:bCs/>
                <w:color w:val="000000"/>
                <w:lang w:eastAsia="en-AU"/>
              </w:rPr>
            </w:pPr>
            <w:r w:rsidRPr="00AD44D5">
              <w:rPr>
                <w:rFonts w:eastAsiaTheme="minorEastAsia"/>
                <w:b/>
                <w:bCs/>
                <w:color w:val="000000"/>
                <w:lang w:eastAsia="en-AU"/>
              </w:rPr>
              <w:t xml:space="preserve">Net cash flows from operating activities </w:t>
            </w:r>
          </w:p>
        </w:tc>
        <w:tc>
          <w:tcPr>
            <w:tcW w:w="778" w:type="dxa"/>
            <w:gridSpan w:val="2"/>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3 943</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4 352</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3 755</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3 856</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4 570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4 634</w:t>
            </w:r>
          </w:p>
        </w:tc>
      </w:tr>
      <w:tr w:rsidR="00116054" w:rsidRPr="00AD44D5" w:rsidTr="00230BEC">
        <w:trPr>
          <w:cantSplit/>
        </w:trPr>
        <w:tc>
          <w:tcPr>
            <w:tcW w:w="2534" w:type="dxa"/>
            <w:tcBorders>
              <w:top w:val="nil"/>
              <w:left w:val="nil"/>
              <w:bottom w:val="nil"/>
              <w:right w:val="nil"/>
            </w:tcBorders>
            <w:shd w:val="solid" w:color="FFFFFF" w:fill="auto"/>
          </w:tcPr>
          <w:p w:rsidR="00116054" w:rsidRPr="00AD44D5" w:rsidRDefault="00116054" w:rsidP="00AD44D5">
            <w:pPr>
              <w:pStyle w:val="Tabletext"/>
              <w:rPr>
                <w:rFonts w:eastAsiaTheme="minorEastAsia"/>
                <w:color w:val="000000"/>
                <w:lang w:eastAsia="en-AU"/>
              </w:rPr>
            </w:pPr>
            <w:r w:rsidRPr="00AD44D5">
              <w:rPr>
                <w:rFonts w:eastAsiaTheme="minorEastAsia"/>
                <w:color w:val="000000"/>
                <w:lang w:eastAsia="en-AU"/>
              </w:rPr>
              <w:t>Less:</w:t>
            </w:r>
          </w:p>
        </w:tc>
        <w:tc>
          <w:tcPr>
            <w:tcW w:w="778" w:type="dxa"/>
            <w:gridSpan w:val="2"/>
            <w:tcBorders>
              <w:top w:val="nil"/>
              <w:left w:val="nil"/>
              <w:bottom w:val="nil"/>
              <w:right w:val="nil"/>
            </w:tcBorders>
            <w:shd w:val="solid" w:color="FFFFFF" w:fill="auto"/>
          </w:tcPr>
          <w:p w:rsidR="00116054" w:rsidRPr="00AD44D5" w:rsidRDefault="00116054" w:rsidP="00AD44D5">
            <w:pPr>
              <w:pStyle w:val="TableofFigures"/>
              <w:rPr>
                <w:rFonts w:eastAsiaTheme="minorEastAsia"/>
                <w:b/>
                <w:bCs/>
                <w:color w:val="000000"/>
                <w:lang w:eastAsia="en-AU"/>
              </w:rPr>
            </w:pP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r>
      <w:tr w:rsidR="00116054" w:rsidRPr="00AD44D5" w:rsidTr="00230BEC">
        <w:trPr>
          <w:cantSplit/>
        </w:trPr>
        <w:tc>
          <w:tcPr>
            <w:tcW w:w="2804" w:type="dxa"/>
            <w:gridSpan w:val="2"/>
            <w:tcBorders>
              <w:top w:val="nil"/>
              <w:left w:val="nil"/>
              <w:bottom w:val="nil"/>
              <w:right w:val="nil"/>
            </w:tcBorders>
            <w:shd w:val="solid" w:color="FFFFFF" w:fill="auto"/>
          </w:tcPr>
          <w:p w:rsidR="00116054" w:rsidRPr="00AD44D5" w:rsidRDefault="00116054" w:rsidP="00AD44D5">
            <w:pPr>
              <w:pStyle w:val="Tabletext"/>
              <w:rPr>
                <w:rFonts w:eastAsiaTheme="minorEastAsia"/>
                <w:b/>
                <w:bCs/>
                <w:color w:val="000000"/>
                <w:lang w:eastAsia="en-AU"/>
              </w:rPr>
            </w:pPr>
            <w:r w:rsidRPr="00AD44D5">
              <w:rPr>
                <w:rFonts w:eastAsiaTheme="minorEastAsia"/>
                <w:b/>
                <w:bCs/>
                <w:color w:val="000000"/>
                <w:lang w:eastAsia="en-AU"/>
              </w:rPr>
              <w:t>Net investment in fixed assets</w:t>
            </w:r>
          </w:p>
        </w:tc>
        <w:tc>
          <w:tcPr>
            <w:tcW w:w="508"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xml:space="preserve"> </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p>
        </w:tc>
      </w:tr>
      <w:tr w:rsidR="00116054" w:rsidRPr="00AD44D5" w:rsidTr="00230BEC">
        <w:trPr>
          <w:cantSplit/>
        </w:trPr>
        <w:tc>
          <w:tcPr>
            <w:tcW w:w="2534" w:type="dxa"/>
            <w:tcBorders>
              <w:top w:val="nil"/>
              <w:left w:val="nil"/>
              <w:bottom w:val="nil"/>
              <w:right w:val="nil"/>
            </w:tcBorders>
            <w:shd w:val="solid" w:color="FFFFFF" w:fill="auto"/>
          </w:tcPr>
          <w:p w:rsidR="00116054" w:rsidRPr="00AD44D5" w:rsidRDefault="00116054" w:rsidP="00AD44D5">
            <w:pPr>
              <w:pStyle w:val="Tabletext"/>
              <w:rPr>
                <w:rFonts w:eastAsiaTheme="minorEastAsia"/>
                <w:color w:val="000000"/>
                <w:lang w:eastAsia="en-AU"/>
              </w:rPr>
            </w:pPr>
            <w:r w:rsidRPr="00AD44D5">
              <w:rPr>
                <w:rFonts w:eastAsiaTheme="minorEastAsia"/>
                <w:color w:val="000000"/>
                <w:lang w:eastAsia="en-AU"/>
              </w:rPr>
              <w:t>Purchases of non</w:t>
            </w:r>
            <w:r>
              <w:rPr>
                <w:rFonts w:eastAsiaTheme="minorEastAsia"/>
                <w:color w:val="000000"/>
                <w:lang w:eastAsia="en-AU"/>
              </w:rPr>
              <w:noBreakHyphen/>
            </w:r>
            <w:r w:rsidRPr="00AD44D5">
              <w:rPr>
                <w:rFonts w:eastAsiaTheme="minorEastAsia"/>
                <w:color w:val="000000"/>
                <w:lang w:eastAsia="en-AU"/>
              </w:rPr>
              <w:t>financial assets</w:t>
            </w:r>
          </w:p>
        </w:tc>
        <w:tc>
          <w:tcPr>
            <w:tcW w:w="778" w:type="dxa"/>
            <w:gridSpan w:val="2"/>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3 997</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4 018</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4 552</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5 667</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4 663</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3 744</w:t>
            </w:r>
          </w:p>
        </w:tc>
      </w:tr>
      <w:tr w:rsidR="00116054" w:rsidRPr="00AD44D5" w:rsidTr="00230BEC">
        <w:trPr>
          <w:cantSplit/>
        </w:trPr>
        <w:tc>
          <w:tcPr>
            <w:tcW w:w="2534" w:type="dxa"/>
            <w:tcBorders>
              <w:top w:val="nil"/>
              <w:left w:val="nil"/>
              <w:bottom w:val="nil"/>
              <w:right w:val="nil"/>
            </w:tcBorders>
            <w:shd w:val="solid" w:color="FFFFFF" w:fill="auto"/>
          </w:tcPr>
          <w:p w:rsidR="00116054" w:rsidRPr="00AD44D5" w:rsidRDefault="00116054" w:rsidP="00AD44D5">
            <w:pPr>
              <w:pStyle w:val="Tabletext"/>
              <w:rPr>
                <w:rFonts w:eastAsiaTheme="minorEastAsia"/>
                <w:color w:val="000000"/>
                <w:lang w:eastAsia="en-AU"/>
              </w:rPr>
            </w:pPr>
            <w:r w:rsidRPr="00AD44D5">
              <w:rPr>
                <w:rFonts w:eastAsiaTheme="minorEastAsia"/>
                <w:color w:val="000000"/>
                <w:lang w:eastAsia="en-AU"/>
              </w:rPr>
              <w:t>Net cash flows from investments in financial assets for policy purposes</w:t>
            </w:r>
          </w:p>
        </w:tc>
        <w:tc>
          <w:tcPr>
            <w:tcW w:w="778" w:type="dxa"/>
            <w:gridSpan w:val="2"/>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1 478</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720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(6 511)</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150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(1 111)</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69</w:t>
            </w:r>
          </w:p>
        </w:tc>
      </w:tr>
      <w:tr w:rsidR="00116054" w:rsidRPr="00AD44D5" w:rsidTr="00230BEC">
        <w:trPr>
          <w:cantSplit/>
        </w:trPr>
        <w:tc>
          <w:tcPr>
            <w:tcW w:w="2534" w:type="dxa"/>
            <w:tcBorders>
              <w:top w:val="nil"/>
              <w:left w:val="nil"/>
              <w:bottom w:val="nil"/>
              <w:right w:val="nil"/>
            </w:tcBorders>
            <w:shd w:val="solid" w:color="FFFFFF" w:fill="auto"/>
          </w:tcPr>
          <w:p w:rsidR="00116054" w:rsidRPr="00AD44D5" w:rsidRDefault="00116054" w:rsidP="00AD44D5">
            <w:pPr>
              <w:pStyle w:val="Tabletext"/>
              <w:rPr>
                <w:rFonts w:eastAsiaTheme="minorEastAsia"/>
                <w:color w:val="000000"/>
                <w:vertAlign w:val="superscript"/>
                <w:lang w:eastAsia="en-AU"/>
              </w:rPr>
            </w:pPr>
            <w:r w:rsidRPr="00AD44D5">
              <w:rPr>
                <w:rFonts w:eastAsiaTheme="minorEastAsia"/>
                <w:color w:val="000000"/>
                <w:lang w:eastAsia="en-AU"/>
              </w:rPr>
              <w:t>Funding not allocated to specific purposes</w:t>
            </w:r>
            <w:r w:rsidRPr="00AD44D5">
              <w:rPr>
                <w:rFonts w:eastAsiaTheme="minorEastAsia"/>
                <w:color w:val="000000"/>
                <w:vertAlign w:val="superscript"/>
                <w:lang w:eastAsia="en-AU"/>
              </w:rPr>
              <w:t xml:space="preserve"> (c)</w:t>
            </w:r>
          </w:p>
        </w:tc>
        <w:tc>
          <w:tcPr>
            <w:tcW w:w="778" w:type="dxa"/>
            <w:gridSpan w:val="2"/>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500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1 000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1 450</w:t>
            </w:r>
          </w:p>
        </w:tc>
      </w:tr>
      <w:tr w:rsidR="00116054" w:rsidRPr="00AD44D5" w:rsidTr="00230BEC">
        <w:trPr>
          <w:cantSplit/>
        </w:trPr>
        <w:tc>
          <w:tcPr>
            <w:tcW w:w="2534" w:type="dxa"/>
            <w:tcBorders>
              <w:top w:val="nil"/>
              <w:left w:val="nil"/>
              <w:bottom w:val="nil"/>
              <w:right w:val="nil"/>
            </w:tcBorders>
            <w:shd w:val="solid" w:color="FFFFFF" w:fill="auto"/>
          </w:tcPr>
          <w:p w:rsidR="00116054" w:rsidRPr="00AD44D5" w:rsidRDefault="00116054" w:rsidP="00AD44D5">
            <w:pPr>
              <w:pStyle w:val="Tabletext"/>
              <w:rPr>
                <w:rFonts w:eastAsiaTheme="minorEastAsia"/>
                <w:color w:val="000000"/>
                <w:lang w:eastAsia="en-AU"/>
              </w:rPr>
            </w:pPr>
            <w:r w:rsidRPr="00AD44D5">
              <w:rPr>
                <w:rFonts w:eastAsiaTheme="minorEastAsia"/>
                <w:color w:val="000000"/>
                <w:lang w:eastAsia="en-AU"/>
              </w:rPr>
              <w:t>Proceeds from asset sales</w:t>
            </w:r>
          </w:p>
        </w:tc>
        <w:tc>
          <w:tcPr>
            <w:tcW w:w="778" w:type="dxa"/>
            <w:gridSpan w:val="2"/>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( 271)</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( 360)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( 322)</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( 554)</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( 490)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( 294)</w:t>
            </w:r>
          </w:p>
        </w:tc>
      </w:tr>
      <w:tr w:rsidR="00116054" w:rsidRPr="00AD44D5" w:rsidTr="00230BEC">
        <w:trPr>
          <w:cantSplit/>
        </w:trPr>
        <w:tc>
          <w:tcPr>
            <w:tcW w:w="2534" w:type="dxa"/>
            <w:tcBorders>
              <w:top w:val="single" w:sz="6" w:space="0" w:color="auto"/>
              <w:left w:val="nil"/>
              <w:bottom w:val="single" w:sz="6" w:space="0" w:color="auto"/>
              <w:right w:val="nil"/>
            </w:tcBorders>
            <w:shd w:val="solid" w:color="FFFFFF" w:fill="auto"/>
          </w:tcPr>
          <w:p w:rsidR="00116054" w:rsidRPr="00AD44D5" w:rsidRDefault="00116054" w:rsidP="00AD44D5">
            <w:pPr>
              <w:pStyle w:val="Tabletext"/>
              <w:rPr>
                <w:rFonts w:eastAsiaTheme="minorEastAsia"/>
                <w:b/>
                <w:bCs/>
                <w:color w:val="000000"/>
                <w:vertAlign w:val="superscript"/>
                <w:lang w:eastAsia="en-AU"/>
              </w:rPr>
            </w:pPr>
            <w:r w:rsidRPr="00AD44D5">
              <w:rPr>
                <w:rFonts w:eastAsiaTheme="minorEastAsia"/>
                <w:b/>
                <w:bCs/>
                <w:color w:val="000000"/>
                <w:lang w:eastAsia="en-AU"/>
              </w:rPr>
              <w:t xml:space="preserve">Total net investment in fixed assets </w:t>
            </w:r>
            <w:r w:rsidRPr="00AD44D5">
              <w:rPr>
                <w:rFonts w:eastAsiaTheme="minorEastAsia"/>
                <w:b/>
                <w:bCs/>
                <w:color w:val="000000"/>
                <w:vertAlign w:val="superscript"/>
                <w:lang w:eastAsia="en-AU"/>
              </w:rPr>
              <w:t>(d)</w:t>
            </w:r>
          </w:p>
        </w:tc>
        <w:tc>
          <w:tcPr>
            <w:tcW w:w="778" w:type="dxa"/>
            <w:gridSpan w:val="2"/>
            <w:tcBorders>
              <w:top w:val="single" w:sz="6" w:space="0" w:color="auto"/>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5 205</w:t>
            </w:r>
          </w:p>
        </w:tc>
        <w:tc>
          <w:tcPr>
            <w:tcW w:w="892" w:type="dxa"/>
            <w:tcBorders>
              <w:top w:val="single" w:sz="6" w:space="0" w:color="auto"/>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4 378</w:t>
            </w:r>
          </w:p>
        </w:tc>
        <w:tc>
          <w:tcPr>
            <w:tcW w:w="893" w:type="dxa"/>
            <w:tcBorders>
              <w:top w:val="single" w:sz="6" w:space="0" w:color="auto"/>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(2 281)</w:t>
            </w:r>
          </w:p>
        </w:tc>
        <w:tc>
          <w:tcPr>
            <w:tcW w:w="893" w:type="dxa"/>
            <w:tcBorders>
              <w:top w:val="single" w:sz="6" w:space="0" w:color="auto"/>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5 763</w:t>
            </w:r>
          </w:p>
        </w:tc>
        <w:tc>
          <w:tcPr>
            <w:tcW w:w="893" w:type="dxa"/>
            <w:tcBorders>
              <w:top w:val="single" w:sz="6" w:space="0" w:color="auto"/>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4 062</w:t>
            </w:r>
          </w:p>
        </w:tc>
        <w:tc>
          <w:tcPr>
            <w:tcW w:w="893" w:type="dxa"/>
            <w:tcBorders>
              <w:top w:val="single" w:sz="6" w:space="0" w:color="auto"/>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4 970</w:t>
            </w:r>
          </w:p>
        </w:tc>
      </w:tr>
      <w:tr w:rsidR="00116054" w:rsidRPr="00AD44D5" w:rsidTr="00230BEC">
        <w:trPr>
          <w:cantSplit/>
        </w:trPr>
        <w:tc>
          <w:tcPr>
            <w:tcW w:w="2534" w:type="dxa"/>
            <w:tcBorders>
              <w:top w:val="nil"/>
              <w:left w:val="nil"/>
              <w:bottom w:val="single" w:sz="6" w:space="0" w:color="auto"/>
              <w:right w:val="nil"/>
            </w:tcBorders>
            <w:shd w:val="solid" w:color="FFFFFF" w:fill="auto"/>
          </w:tcPr>
          <w:p w:rsidR="00116054" w:rsidRPr="00AD44D5" w:rsidRDefault="00116054" w:rsidP="00AD44D5">
            <w:pPr>
              <w:pStyle w:val="Tabletext"/>
              <w:rPr>
                <w:rFonts w:eastAsiaTheme="minorEastAsia"/>
                <w:b/>
                <w:bCs/>
                <w:color w:val="000000"/>
                <w:lang w:eastAsia="en-AU"/>
              </w:rPr>
            </w:pPr>
            <w:r w:rsidRPr="00AD44D5">
              <w:rPr>
                <w:rFonts w:eastAsiaTheme="minorEastAsia"/>
                <w:b/>
                <w:bCs/>
                <w:color w:val="000000"/>
                <w:lang w:eastAsia="en-AU"/>
              </w:rPr>
              <w:t>Surplus/(deficit) of cash from operations after funding net investment in fixed assets</w:t>
            </w:r>
          </w:p>
        </w:tc>
        <w:tc>
          <w:tcPr>
            <w:tcW w:w="778" w:type="dxa"/>
            <w:gridSpan w:val="2"/>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(1 262)</w:t>
            </w:r>
          </w:p>
        </w:tc>
        <w:tc>
          <w:tcPr>
            <w:tcW w:w="892"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( 26)</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6 036</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(1 907)</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xml:space="preserve"> 508</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( 336)</w:t>
            </w:r>
          </w:p>
        </w:tc>
      </w:tr>
      <w:tr w:rsidR="00116054" w:rsidRPr="00AD44D5" w:rsidTr="00230BEC">
        <w:trPr>
          <w:cantSplit/>
        </w:trPr>
        <w:tc>
          <w:tcPr>
            <w:tcW w:w="2534" w:type="dxa"/>
            <w:tcBorders>
              <w:top w:val="nil"/>
              <w:left w:val="nil"/>
              <w:bottom w:val="nil"/>
              <w:right w:val="nil"/>
            </w:tcBorders>
            <w:shd w:val="solid" w:color="FFFFFF" w:fill="auto"/>
          </w:tcPr>
          <w:p w:rsidR="00116054" w:rsidRPr="00AD44D5" w:rsidRDefault="00116054" w:rsidP="00AD44D5">
            <w:pPr>
              <w:pStyle w:val="Tabletext"/>
              <w:rPr>
                <w:rFonts w:eastAsiaTheme="minorEastAsia"/>
                <w:color w:val="000000"/>
                <w:vertAlign w:val="superscript"/>
                <w:lang w:eastAsia="en-AU"/>
              </w:rPr>
            </w:pPr>
            <w:r w:rsidRPr="00AD44D5">
              <w:rPr>
                <w:rFonts w:eastAsiaTheme="minorEastAsia"/>
                <w:color w:val="000000"/>
                <w:lang w:eastAsia="en-AU"/>
              </w:rPr>
              <w:t xml:space="preserve">Finance leases </w:t>
            </w:r>
            <w:r w:rsidRPr="00AD44D5">
              <w:rPr>
                <w:rFonts w:eastAsiaTheme="minorEastAsia"/>
                <w:color w:val="000000"/>
                <w:vertAlign w:val="superscript"/>
                <w:lang w:eastAsia="en-AU"/>
              </w:rPr>
              <w:t>(e)</w:t>
            </w:r>
          </w:p>
        </w:tc>
        <w:tc>
          <w:tcPr>
            <w:tcW w:w="778" w:type="dxa"/>
            <w:gridSpan w:val="2"/>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110</w:t>
            </w:r>
          </w:p>
        </w:tc>
        <w:tc>
          <w:tcPr>
            <w:tcW w:w="892"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36</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1 050</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417</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654</w:t>
            </w:r>
          </w:p>
        </w:tc>
        <w:tc>
          <w:tcPr>
            <w:tcW w:w="893" w:type="dxa"/>
            <w:tcBorders>
              <w:top w:val="nil"/>
              <w:left w:val="nil"/>
              <w:bottom w:val="nil"/>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w:t>
            </w:r>
          </w:p>
        </w:tc>
      </w:tr>
      <w:tr w:rsidR="00116054" w:rsidRPr="00AD44D5" w:rsidTr="00230BEC">
        <w:trPr>
          <w:cantSplit/>
        </w:trPr>
        <w:tc>
          <w:tcPr>
            <w:tcW w:w="2534" w:type="dxa"/>
            <w:tcBorders>
              <w:top w:val="nil"/>
              <w:left w:val="nil"/>
              <w:bottom w:val="single" w:sz="6" w:space="0" w:color="auto"/>
              <w:right w:val="nil"/>
            </w:tcBorders>
            <w:shd w:val="solid" w:color="FFFFFF" w:fill="auto"/>
          </w:tcPr>
          <w:p w:rsidR="00116054" w:rsidRPr="00AD44D5" w:rsidRDefault="00116054" w:rsidP="00AD44D5">
            <w:pPr>
              <w:pStyle w:val="Tabletext"/>
              <w:rPr>
                <w:rFonts w:eastAsiaTheme="minorEastAsia"/>
                <w:color w:val="000000"/>
                <w:lang w:eastAsia="en-AU"/>
              </w:rPr>
            </w:pPr>
            <w:r w:rsidRPr="00AD44D5">
              <w:rPr>
                <w:rFonts w:eastAsiaTheme="minorEastAsia"/>
                <w:color w:val="000000"/>
                <w:lang w:eastAsia="en-AU"/>
              </w:rPr>
              <w:t>Other movements</w:t>
            </w:r>
          </w:p>
        </w:tc>
        <w:tc>
          <w:tcPr>
            <w:tcW w:w="778" w:type="dxa"/>
            <w:gridSpan w:val="2"/>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( 19)</w:t>
            </w:r>
          </w:p>
        </w:tc>
        <w:tc>
          <w:tcPr>
            <w:tcW w:w="892"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3</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643</w:t>
            </w:r>
          </w:p>
        </w:tc>
        <w:tc>
          <w:tcPr>
            <w:tcW w:w="893" w:type="dxa"/>
            <w:tcBorders>
              <w:top w:val="nil"/>
              <w:left w:val="nil"/>
              <w:bottom w:val="single" w:sz="6" w:space="0" w:color="auto"/>
              <w:right w:val="nil"/>
            </w:tcBorders>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38</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45</w:t>
            </w:r>
          </w:p>
        </w:tc>
        <w:tc>
          <w:tcPr>
            <w:tcW w:w="893" w:type="dxa"/>
            <w:tcBorders>
              <w:top w:val="nil"/>
              <w:left w:val="nil"/>
              <w:bottom w:val="single" w:sz="6" w:space="0" w:color="auto"/>
              <w:right w:val="nil"/>
            </w:tcBorders>
            <w:shd w:val="solid" w:color="FFFFFF" w:fill="auto"/>
          </w:tcPr>
          <w:p w:rsidR="00116054" w:rsidRPr="00AD44D5" w:rsidRDefault="00116054" w:rsidP="00AD44D5">
            <w:pPr>
              <w:pStyle w:val="TableofFigures"/>
              <w:rPr>
                <w:rFonts w:eastAsiaTheme="minorEastAsia"/>
                <w:color w:val="000000"/>
                <w:lang w:eastAsia="en-AU"/>
              </w:rPr>
            </w:pPr>
            <w:r w:rsidRPr="00AD44D5">
              <w:rPr>
                <w:rFonts w:eastAsiaTheme="minorEastAsia"/>
                <w:color w:val="000000"/>
                <w:lang w:eastAsia="en-AU"/>
              </w:rPr>
              <w:t xml:space="preserve"> 49</w:t>
            </w:r>
          </w:p>
        </w:tc>
      </w:tr>
      <w:tr w:rsidR="00116054" w:rsidRPr="00AD44D5" w:rsidTr="00230BEC">
        <w:trPr>
          <w:cantSplit/>
        </w:trPr>
        <w:tc>
          <w:tcPr>
            <w:tcW w:w="2534" w:type="dxa"/>
            <w:tcBorders>
              <w:top w:val="single" w:sz="6" w:space="0" w:color="auto"/>
              <w:left w:val="nil"/>
              <w:bottom w:val="single" w:sz="12" w:space="0" w:color="auto"/>
              <w:right w:val="nil"/>
            </w:tcBorders>
            <w:shd w:val="solid" w:color="FFFFFF" w:fill="auto"/>
          </w:tcPr>
          <w:p w:rsidR="00116054" w:rsidRPr="00AD44D5" w:rsidRDefault="00116054" w:rsidP="00AD44D5">
            <w:pPr>
              <w:pStyle w:val="Tabletext"/>
              <w:rPr>
                <w:rFonts w:eastAsiaTheme="minorEastAsia"/>
                <w:b/>
                <w:bCs/>
                <w:color w:val="000000"/>
                <w:lang w:eastAsia="en-AU"/>
              </w:rPr>
            </w:pPr>
            <w:r w:rsidRPr="00AD44D5">
              <w:rPr>
                <w:rFonts w:eastAsiaTheme="minorEastAsia"/>
                <w:b/>
                <w:bCs/>
                <w:color w:val="000000"/>
                <w:lang w:eastAsia="en-AU"/>
              </w:rPr>
              <w:t>Decrease/(increase) in net debt</w:t>
            </w:r>
          </w:p>
        </w:tc>
        <w:tc>
          <w:tcPr>
            <w:tcW w:w="778" w:type="dxa"/>
            <w:gridSpan w:val="2"/>
            <w:tcBorders>
              <w:top w:val="single" w:sz="6" w:space="0" w:color="auto"/>
              <w:left w:val="nil"/>
              <w:bottom w:val="single" w:sz="12"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(1 353)</w:t>
            </w:r>
          </w:p>
        </w:tc>
        <w:tc>
          <w:tcPr>
            <w:tcW w:w="892" w:type="dxa"/>
            <w:tcBorders>
              <w:top w:val="single" w:sz="6" w:space="0" w:color="auto"/>
              <w:left w:val="nil"/>
              <w:bottom w:val="single" w:sz="12"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( 65)</w:t>
            </w:r>
          </w:p>
        </w:tc>
        <w:tc>
          <w:tcPr>
            <w:tcW w:w="893" w:type="dxa"/>
            <w:tcBorders>
              <w:top w:val="single" w:sz="6" w:space="0" w:color="auto"/>
              <w:left w:val="nil"/>
              <w:bottom w:val="single" w:sz="12"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4 342</w:t>
            </w:r>
          </w:p>
        </w:tc>
        <w:tc>
          <w:tcPr>
            <w:tcW w:w="893" w:type="dxa"/>
            <w:tcBorders>
              <w:top w:val="single" w:sz="6" w:space="0" w:color="auto"/>
              <w:left w:val="nil"/>
              <w:bottom w:val="single" w:sz="12"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(2 361)</w:t>
            </w:r>
          </w:p>
        </w:tc>
        <w:tc>
          <w:tcPr>
            <w:tcW w:w="893" w:type="dxa"/>
            <w:tcBorders>
              <w:top w:val="single" w:sz="6" w:space="0" w:color="auto"/>
              <w:left w:val="nil"/>
              <w:bottom w:val="single" w:sz="12"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( 191)</w:t>
            </w:r>
          </w:p>
        </w:tc>
        <w:tc>
          <w:tcPr>
            <w:tcW w:w="893" w:type="dxa"/>
            <w:tcBorders>
              <w:top w:val="single" w:sz="6" w:space="0" w:color="auto"/>
              <w:left w:val="nil"/>
              <w:bottom w:val="single" w:sz="12" w:space="0" w:color="auto"/>
              <w:right w:val="nil"/>
            </w:tcBorders>
            <w:shd w:val="solid" w:color="FFFFFF" w:fill="auto"/>
          </w:tcPr>
          <w:p w:rsidR="00116054" w:rsidRPr="00AD44D5" w:rsidRDefault="00116054" w:rsidP="00AD44D5">
            <w:pPr>
              <w:pStyle w:val="TableofFigures"/>
              <w:rPr>
                <w:rFonts w:eastAsiaTheme="minorEastAsia"/>
                <w:b/>
                <w:bCs/>
                <w:color w:val="000000"/>
                <w:lang w:eastAsia="en-AU"/>
              </w:rPr>
            </w:pPr>
            <w:r w:rsidRPr="00AD44D5">
              <w:rPr>
                <w:rFonts w:eastAsiaTheme="minorEastAsia"/>
                <w:b/>
                <w:bCs/>
                <w:color w:val="000000"/>
                <w:lang w:eastAsia="en-AU"/>
              </w:rPr>
              <w:t>( 385)</w:t>
            </w:r>
          </w:p>
        </w:tc>
      </w:tr>
    </w:tbl>
    <w:p w:rsidR="00116054" w:rsidRPr="007E4E2E" w:rsidRDefault="00116054" w:rsidP="00ED3744">
      <w:pPr>
        <w:pStyle w:val="Source"/>
      </w:pPr>
      <w:r w:rsidRPr="007E4E2E">
        <w:t>Source: Department of Treasury and Finance</w:t>
      </w:r>
    </w:p>
    <w:p w:rsidR="00116054" w:rsidRPr="007E4E2E" w:rsidRDefault="00116054" w:rsidP="00ED3744">
      <w:pPr>
        <w:pStyle w:val="Notes"/>
      </w:pPr>
      <w:r>
        <w:t>Notes:</w:t>
      </w:r>
    </w:p>
    <w:p w:rsidR="00116054" w:rsidRDefault="00116054" w:rsidP="00ED3744">
      <w:pPr>
        <w:pStyle w:val="Notes"/>
      </w:pPr>
      <w:r w:rsidRPr="007E4E2E">
        <w:t xml:space="preserve">(a) </w:t>
      </w:r>
      <w:r w:rsidRPr="007E4E2E">
        <w:tab/>
      </w:r>
      <w:r>
        <w:t>Figures in this table are subject to rounding to the nearest million and may not add up to totals.</w:t>
      </w:r>
    </w:p>
    <w:p w:rsidR="00116054" w:rsidRPr="007E4E2E" w:rsidRDefault="00116054" w:rsidP="003E5ABA">
      <w:pPr>
        <w:pStyle w:val="Notes"/>
      </w:pPr>
      <w:r w:rsidRPr="007E4E2E">
        <w:t xml:space="preserve">(b) </w:t>
      </w:r>
      <w:r w:rsidRPr="007E4E2E">
        <w:tab/>
        <w:t>Includes depreciation, movements in the unfunded superannuation liability</w:t>
      </w:r>
      <w:r>
        <w:fldChar w:fldCharType="begin"/>
      </w:r>
      <w:r>
        <w:instrText xml:space="preserve"> XE "</w:instrText>
      </w:r>
      <w:proofErr w:type="spellStart"/>
      <w:r w:rsidRPr="00A718DF">
        <w:instrText>Superannuation:</w:instrText>
      </w:r>
      <w:r>
        <w:instrText>Unfunded</w:instrText>
      </w:r>
      <w:proofErr w:type="spellEnd"/>
      <w:r>
        <w:instrText xml:space="preserve"> superannuation liability" </w:instrText>
      </w:r>
      <w:r>
        <w:fldChar w:fldCharType="end"/>
      </w:r>
      <w:r w:rsidRPr="007E4E2E">
        <w:t xml:space="preserve"> and l</w:t>
      </w:r>
      <w:r>
        <w:t>iability for employee benefits.</w:t>
      </w:r>
    </w:p>
    <w:p w:rsidR="00116054" w:rsidRDefault="00116054" w:rsidP="003E5ABA">
      <w:pPr>
        <w:pStyle w:val="Notes"/>
      </w:pPr>
      <w:r w:rsidRPr="007E4E2E">
        <w:t xml:space="preserve">(c) </w:t>
      </w:r>
      <w:r w:rsidRPr="007E4E2E">
        <w:tab/>
      </w:r>
      <w:r>
        <w:t>The a</w:t>
      </w:r>
      <w:r w:rsidRPr="007E4E2E">
        <w:t>mount available to be allocated to specific departments and projects in future budgets including capital cont</w:t>
      </w:r>
      <w:r>
        <w:t>ributions to other sectors.</w:t>
      </w:r>
    </w:p>
    <w:p w:rsidR="00116054" w:rsidRDefault="00116054" w:rsidP="003E5ABA">
      <w:pPr>
        <w:pStyle w:val="Notes"/>
      </w:pPr>
      <w:r w:rsidRPr="007E4E2E">
        <w:t xml:space="preserve">(d) </w:t>
      </w:r>
      <w:r w:rsidRPr="007E4E2E">
        <w:tab/>
        <w:t xml:space="preserve">Includes total purchases of plant, property and equipment, and </w:t>
      </w:r>
      <w:r>
        <w:t xml:space="preserve">net </w:t>
      </w:r>
      <w:r w:rsidRPr="007E4E2E">
        <w:t>capital contributions to other sectors of government net of</w:t>
      </w:r>
      <w:r>
        <w:t xml:space="preserve"> proceeds from asset sales.</w:t>
      </w:r>
    </w:p>
    <w:p w:rsidR="00116054" w:rsidRPr="007E4E2E" w:rsidRDefault="00116054" w:rsidP="00ED3744">
      <w:pPr>
        <w:pStyle w:val="Notes"/>
      </w:pPr>
      <w:r>
        <w:t>(e)</w:t>
      </w:r>
      <w:r>
        <w:tab/>
      </w:r>
      <w:r w:rsidRPr="007E4E2E">
        <w:t>The 201</w:t>
      </w:r>
      <w:r>
        <w:t>4</w:t>
      </w:r>
      <w:r>
        <w:noBreakHyphen/>
      </w:r>
      <w:r w:rsidRPr="007E4E2E">
        <w:t>1</w:t>
      </w:r>
      <w:r>
        <w:t>5</w:t>
      </w:r>
      <w:r w:rsidRPr="007E4E2E">
        <w:t xml:space="preserve"> </w:t>
      </w:r>
      <w:r>
        <w:t>estimate</w:t>
      </w:r>
      <w:r w:rsidRPr="007E4E2E">
        <w:t xml:space="preserve"> relates to the metropolitan Melbourne buses contract</w:t>
      </w:r>
      <w:r>
        <w:t>.</w:t>
      </w:r>
      <w:r w:rsidRPr="007E4E2E">
        <w:t xml:space="preserve"> </w:t>
      </w:r>
      <w:r>
        <w:t>T</w:t>
      </w:r>
      <w:r w:rsidRPr="007E4E2E">
        <w:t>he 2015</w:t>
      </w:r>
      <w:r>
        <w:noBreakHyphen/>
      </w:r>
      <w:r w:rsidRPr="007E4E2E">
        <w:t xml:space="preserve">16 </w:t>
      </w:r>
      <w:r>
        <w:t xml:space="preserve">figure </w:t>
      </w:r>
      <w:r w:rsidRPr="007E4E2E">
        <w:t>relate</w:t>
      </w:r>
      <w:r>
        <w:t>s</w:t>
      </w:r>
      <w:r w:rsidRPr="007E4E2E">
        <w:t xml:space="preserve"> to</w:t>
      </w:r>
      <w:r>
        <w:t xml:space="preserve"> the</w:t>
      </w:r>
      <w:r w:rsidRPr="007E4E2E">
        <w:t xml:space="preserve"> Victorian Comprehensive Cancer Centre</w:t>
      </w:r>
      <w:r>
        <w:t xml:space="preserve"> (VCCC). The 2016</w:t>
      </w:r>
      <w:r>
        <w:noBreakHyphen/>
        <w:t xml:space="preserve">17 figure relates to the Bendigo Hospital redevelopment (Stage 1) and the New Schools PPP (Tranche 1). The </w:t>
      </w:r>
      <w:r w:rsidRPr="007E4E2E">
        <w:t>201</w:t>
      </w:r>
      <w:r>
        <w:t>7</w:t>
      </w:r>
      <w:r>
        <w:noBreakHyphen/>
      </w:r>
      <w:r w:rsidRPr="007E4E2E">
        <w:t>1</w:t>
      </w:r>
      <w:r>
        <w:t>8</w:t>
      </w:r>
      <w:r w:rsidRPr="007E4E2E">
        <w:t xml:space="preserve"> </w:t>
      </w:r>
      <w:r>
        <w:t>figure relates to the Bendigo Hospital redevelopment (Stage 2), Ravenhall Prison and the New Schools PPP Tranche 2.</w:t>
      </w:r>
    </w:p>
    <w:p w:rsidR="00116054" w:rsidRDefault="00116054">
      <w:pPr>
        <w:spacing w:after="0"/>
      </w:pPr>
      <w:r>
        <w:br w:type="page"/>
      </w:r>
    </w:p>
    <w:p w:rsidR="00116054" w:rsidRPr="007E4E2E" w:rsidRDefault="00116054" w:rsidP="00E038E1">
      <w:pPr>
        <w:pStyle w:val="Heading2"/>
      </w:pPr>
      <w:bookmarkStart w:id="82" w:name="_Toc406162090"/>
      <w:bookmarkStart w:id="83" w:name="_Toc406670373"/>
      <w:r w:rsidRPr="007E4E2E">
        <w:lastRenderedPageBreak/>
        <w:t>New asset initiatives by department</w:t>
      </w:r>
    </w:p>
    <w:p w:rsidR="00116054" w:rsidRDefault="00116054" w:rsidP="00C767F3">
      <w:r w:rsidRPr="007E4E2E">
        <w:t xml:space="preserve">The </w:t>
      </w:r>
      <w:r w:rsidRPr="007E4E2E">
        <w:rPr>
          <w:i/>
        </w:rPr>
        <w:t>2015</w:t>
      </w:r>
      <w:r>
        <w:rPr>
          <w:i/>
        </w:rPr>
        <w:noBreakHyphen/>
      </w:r>
      <w:r w:rsidRPr="007E4E2E">
        <w:rPr>
          <w:i/>
        </w:rPr>
        <w:t>16 Budget</w:t>
      </w:r>
      <w:r w:rsidRPr="007E4E2E">
        <w:t xml:space="preserve"> provides </w:t>
      </w:r>
      <w:r>
        <w:t>up to $22 billion</w:t>
      </w:r>
      <w:r w:rsidRPr="007E4E2E">
        <w:t xml:space="preserve"> </w:t>
      </w:r>
      <w:r>
        <w:t xml:space="preserve">TEI </w:t>
      </w:r>
      <w:r w:rsidRPr="007E4E2E">
        <w:t>i</w:t>
      </w:r>
      <w:r>
        <w:t>n new asset initiatives</w:t>
      </w:r>
      <w:r w:rsidRPr="007E4E2E">
        <w:t>.</w:t>
      </w:r>
    </w:p>
    <w:p w:rsidR="00116054" w:rsidRDefault="00116054" w:rsidP="00FA56C3">
      <w:r w:rsidRPr="007E4E2E">
        <w:t xml:space="preserve">The </w:t>
      </w:r>
      <w:r w:rsidRPr="007E4E2E">
        <w:rPr>
          <w:i/>
        </w:rPr>
        <w:t>2014</w:t>
      </w:r>
      <w:r>
        <w:rPr>
          <w:i/>
        </w:rPr>
        <w:noBreakHyphen/>
      </w:r>
      <w:r w:rsidRPr="007E4E2E">
        <w:rPr>
          <w:i/>
        </w:rPr>
        <w:t>15 Budget Update</w:t>
      </w:r>
      <w:r w:rsidRPr="007E4E2E">
        <w:t xml:space="preserve"> provided funding to advance key asset election commitments including the Melbourne Metro Rail</w:t>
      </w:r>
      <w:r>
        <w:t xml:space="preserve"> Project</w:t>
      </w:r>
      <w:r>
        <w:fldChar w:fldCharType="begin"/>
      </w:r>
      <w:r>
        <w:instrText xml:space="preserve"> XE "</w:instrText>
      </w:r>
      <w:r w:rsidRPr="00962399">
        <w:instrText>Melbourne Metro Rail Project</w:instrText>
      </w:r>
      <w:r>
        <w:instrText xml:space="preserve">" </w:instrText>
      </w:r>
      <w:r>
        <w:fldChar w:fldCharType="end"/>
      </w:r>
      <w:r>
        <w:t xml:space="preserve"> and the </w:t>
      </w:r>
      <w:r w:rsidRPr="00B614A8">
        <w:t>Level Crossing</w:t>
      </w:r>
      <w:r>
        <w:t xml:space="preserve"> Removal Program</w:t>
      </w:r>
      <w:r w:rsidRPr="007E4E2E">
        <w:t>. This budget builds upon that funding to further those infrastructure priorities and develop an integrated transport network.</w:t>
      </w:r>
    </w:p>
    <w:p w:rsidR="00116054" w:rsidRDefault="00116054" w:rsidP="008E34F5">
      <w:pPr>
        <w:rPr>
          <w:lang w:eastAsia="en-AU"/>
        </w:rPr>
      </w:pPr>
      <w:r>
        <w:rPr>
          <w:lang w:eastAsia="en-AU"/>
        </w:rPr>
        <w:t xml:space="preserve">The </w:t>
      </w:r>
      <w:r w:rsidRPr="00E63312">
        <w:rPr>
          <w:lang w:eastAsia="en-AU"/>
        </w:rPr>
        <w:t xml:space="preserve">budget </w:t>
      </w:r>
      <w:r>
        <w:rPr>
          <w:lang w:eastAsia="en-AU"/>
        </w:rPr>
        <w:t>commits $9</w:t>
      </w:r>
      <w:r>
        <w:rPr>
          <w:lang w:eastAsia="en-AU"/>
        </w:rPr>
        <w:noBreakHyphen/>
        <w:t xml:space="preserve">$11 billion to deliver the Melbourne Metro Rail Project, including $1.5 billion over the budget and forward estimates to complete the planning and design of the project and to commence construction by 2018. </w:t>
      </w:r>
    </w:p>
    <w:p w:rsidR="00116054" w:rsidRPr="007E4E2E" w:rsidRDefault="00116054" w:rsidP="008E34F5">
      <w:pPr>
        <w:rPr>
          <w:lang w:eastAsia="en-AU"/>
        </w:rPr>
      </w:pPr>
      <w:r>
        <w:rPr>
          <w:lang w:eastAsia="en-AU"/>
        </w:rPr>
        <w:t>In addition, a further $5</w:t>
      </w:r>
      <w:r>
        <w:rPr>
          <w:lang w:eastAsia="en-AU"/>
        </w:rPr>
        <w:noBreakHyphen/>
      </w:r>
      <w:r w:rsidRPr="00B62C58">
        <w:rPr>
          <w:lang w:eastAsia="en-AU"/>
        </w:rPr>
        <w:t>$6</w:t>
      </w:r>
      <w:r>
        <w:rPr>
          <w:lang w:eastAsia="en-AU"/>
        </w:rPr>
        <w:t> billion</w:t>
      </w:r>
      <w:r w:rsidRPr="00B62C58">
        <w:rPr>
          <w:lang w:eastAsia="en-AU"/>
        </w:rPr>
        <w:t>, including between $2.0</w:t>
      </w:r>
      <w:r>
        <w:rPr>
          <w:lang w:eastAsia="en-AU"/>
        </w:rPr>
        <w:t> billion</w:t>
      </w:r>
      <w:r w:rsidRPr="00B62C58">
        <w:rPr>
          <w:lang w:eastAsia="en-AU"/>
        </w:rPr>
        <w:t xml:space="preserve"> to $2.4</w:t>
      </w:r>
      <w:r>
        <w:rPr>
          <w:lang w:eastAsia="en-AU"/>
        </w:rPr>
        <w:t> billion</w:t>
      </w:r>
      <w:r w:rsidRPr="00B62C58">
        <w:rPr>
          <w:lang w:eastAsia="en-AU"/>
        </w:rPr>
        <w:t xml:space="preserve"> over the budget and forward estimates is </w:t>
      </w:r>
      <w:r>
        <w:rPr>
          <w:lang w:eastAsia="en-AU"/>
        </w:rPr>
        <w:t>committed</w:t>
      </w:r>
      <w:r w:rsidRPr="00B62C58">
        <w:rPr>
          <w:lang w:eastAsia="en-AU"/>
        </w:rPr>
        <w:t xml:space="preserve"> to implem</w:t>
      </w:r>
      <w:r>
        <w:rPr>
          <w:lang w:eastAsia="en-AU"/>
        </w:rPr>
        <w:t>ent the Government’s commitment</w:t>
      </w:r>
      <w:r w:rsidRPr="00B62C58">
        <w:rPr>
          <w:lang w:eastAsia="en-AU"/>
        </w:rPr>
        <w:t xml:space="preserve"> to remove 50 level crossings over eight years to reduce congestion and improve safety for cars and trains.</w:t>
      </w:r>
    </w:p>
    <w:p w:rsidR="00116054" w:rsidRPr="007E4E2E" w:rsidRDefault="00116054" w:rsidP="00FA56C3">
      <w:r>
        <w:t>T</w:t>
      </w:r>
      <w:r w:rsidRPr="007E4E2E">
        <w:t xml:space="preserve">he </w:t>
      </w:r>
      <w:r>
        <w:t>budget also</w:t>
      </w:r>
      <w:r w:rsidRPr="007E4E2E">
        <w:t xml:space="preserve"> provides capital funding to meet the demands of a growing population</w:t>
      </w:r>
      <w:r>
        <w:fldChar w:fldCharType="begin"/>
      </w:r>
      <w:r>
        <w:instrText xml:space="preserve"> XE "</w:instrText>
      </w:r>
      <w:proofErr w:type="spellStart"/>
      <w:r w:rsidRPr="008219EA">
        <w:instrText>Population</w:instrText>
      </w:r>
      <w:r>
        <w:instrText>:Growth</w:instrText>
      </w:r>
      <w:proofErr w:type="spellEnd"/>
      <w:r>
        <w:instrText xml:space="preserve">" </w:instrText>
      </w:r>
      <w:r>
        <w:fldChar w:fldCharType="end"/>
      </w:r>
      <w:r w:rsidRPr="007E4E2E">
        <w:t xml:space="preserve"> by expandin</w:t>
      </w:r>
      <w:r>
        <w:t xml:space="preserve">g school and hospital capacity and </w:t>
      </w:r>
      <w:r w:rsidRPr="007E4E2E">
        <w:t>investing in public transport</w:t>
      </w:r>
      <w:r>
        <w:fldChar w:fldCharType="begin"/>
      </w:r>
      <w:r>
        <w:instrText xml:space="preserve"> XE "</w:instrText>
      </w:r>
      <w:r w:rsidRPr="00EB7605">
        <w:instrText>Public transport</w:instrText>
      </w:r>
      <w:r>
        <w:instrText xml:space="preserve">" </w:instrText>
      </w:r>
      <w:r>
        <w:fldChar w:fldCharType="end"/>
      </w:r>
      <w:r w:rsidRPr="007E4E2E">
        <w:t xml:space="preserve"> rolling stock.</w:t>
      </w:r>
    </w:p>
    <w:p w:rsidR="00116054" w:rsidRDefault="00116054" w:rsidP="00284AD1">
      <w:r w:rsidRPr="007E4E2E">
        <w:t>Table 4.</w:t>
      </w:r>
      <w:r>
        <w:t>6</w:t>
      </w:r>
      <w:r w:rsidRPr="007E4E2E">
        <w:t xml:space="preserve"> shows the impact of new asset measures in this </w:t>
      </w:r>
      <w:r>
        <w:t>budget</w:t>
      </w:r>
      <w:r w:rsidRPr="007E4E2E">
        <w:t xml:space="preserve"> summarised by department. Details of individual asset initiatives c</w:t>
      </w:r>
      <w:r>
        <w:t>an be found in Budget Paper No. </w:t>
      </w:r>
      <w:r w:rsidRPr="007E4E2E">
        <w:t xml:space="preserve">3, </w:t>
      </w:r>
      <w:r>
        <w:t>Chapter </w:t>
      </w:r>
      <w:r w:rsidRPr="007E4E2E">
        <w:t xml:space="preserve">1 </w:t>
      </w:r>
      <w:r w:rsidRPr="007E4E2E">
        <w:rPr>
          <w:i/>
        </w:rPr>
        <w:t>Output, asset investment</w:t>
      </w:r>
      <w:r w:rsidRPr="003A3D44">
        <w:fldChar w:fldCharType="begin"/>
      </w:r>
      <w:r w:rsidRPr="003A3D44">
        <w:instrText xml:space="preserve"> XE "Asset investment" </w:instrText>
      </w:r>
      <w:r w:rsidRPr="003A3D44">
        <w:fldChar w:fldCharType="end"/>
      </w:r>
      <w:r w:rsidRPr="007E4E2E">
        <w:rPr>
          <w:i/>
        </w:rPr>
        <w:t>, savings and revenue initiatives</w:t>
      </w:r>
      <w:r w:rsidRPr="007E4E2E">
        <w:t>.</w:t>
      </w:r>
    </w:p>
    <w:p w:rsidR="00116054" w:rsidRPr="00F843CD" w:rsidRDefault="00116054" w:rsidP="00E038E1">
      <w:pPr>
        <w:pStyle w:val="Tableheading"/>
        <w:rPr>
          <w:vertAlign w:val="superscript"/>
        </w:rPr>
      </w:pPr>
      <w:r w:rsidRPr="007E4E2E">
        <w:t>Table 4.</w:t>
      </w:r>
      <w:r>
        <w:t>6</w:t>
      </w:r>
      <w:r w:rsidRPr="007E4E2E">
        <w:t>:</w:t>
      </w:r>
      <w:r w:rsidRPr="007E4E2E">
        <w:tab/>
        <w:t>New asset funding</w:t>
      </w:r>
      <w:r>
        <w:t xml:space="preserve"> in the</w:t>
      </w:r>
      <w:r w:rsidRPr="007E4E2E">
        <w:t xml:space="preserve"> </w:t>
      </w:r>
      <w:r w:rsidRPr="007E4E2E">
        <w:rPr>
          <w:i/>
        </w:rPr>
        <w:t>2015</w:t>
      </w:r>
      <w:r>
        <w:rPr>
          <w:i/>
        </w:rPr>
        <w:noBreakHyphen/>
      </w:r>
      <w:r w:rsidRPr="007E4E2E">
        <w:rPr>
          <w:i/>
        </w:rPr>
        <w:t>16 Budget</w:t>
      </w:r>
      <w:r w:rsidRPr="00F843CD">
        <w:rPr>
          <w:vertAlign w:val="superscript"/>
        </w:rPr>
        <w:t>(</w:t>
      </w:r>
      <w:r>
        <w:rPr>
          <w:vertAlign w:val="superscript"/>
        </w:rPr>
        <w:t>a)</w:t>
      </w:r>
    </w:p>
    <w:p w:rsidR="00116054" w:rsidRDefault="00116054" w:rsidP="00351D12">
      <w:pPr>
        <w:pStyle w:val="million"/>
        <w:rPr>
          <w:rFonts w:ascii="Times New Roman" w:hAnsi="Times New Roman"/>
          <w:i w:val="0"/>
          <w:sz w:val="20"/>
          <w:szCs w:val="20"/>
          <w:lang w:eastAsia="en-AU"/>
        </w:rPr>
      </w:pPr>
      <w:r w:rsidRPr="00B56A12">
        <w:rPr>
          <w:rStyle w:val="SourceChar"/>
        </w:rPr>
        <w:t>($</w:t>
      </w:r>
      <w:r>
        <w:rPr>
          <w:rStyle w:val="SourceChar"/>
        </w:rPr>
        <w:t> million)</w:t>
      </w:r>
    </w:p>
    <w:tbl>
      <w:tblPr>
        <w:tblW w:w="7760" w:type="dxa"/>
        <w:tblInd w:w="28" w:type="dxa"/>
        <w:tblLayout w:type="fixed"/>
        <w:tblCellMar>
          <w:left w:w="45" w:type="dxa"/>
          <w:right w:w="45" w:type="dxa"/>
        </w:tblCellMar>
        <w:tblLook w:val="0000" w:firstRow="0" w:lastRow="0" w:firstColumn="0" w:lastColumn="0" w:noHBand="0" w:noVBand="0"/>
      </w:tblPr>
      <w:tblGrid>
        <w:gridCol w:w="5262"/>
        <w:gridCol w:w="1276"/>
        <w:gridCol w:w="1222"/>
      </w:tblGrid>
      <w:tr w:rsidR="00116054" w:rsidRPr="00CF7B81" w:rsidTr="00351D12">
        <w:trPr>
          <w:cantSplit/>
          <w:tblHeader/>
        </w:trPr>
        <w:tc>
          <w:tcPr>
            <w:tcW w:w="5262" w:type="dxa"/>
            <w:tcBorders>
              <w:top w:val="single" w:sz="6" w:space="0" w:color="auto"/>
              <w:left w:val="single" w:sz="6" w:space="0" w:color="auto"/>
              <w:bottom w:val="nil"/>
              <w:right w:val="nil"/>
            </w:tcBorders>
            <w:shd w:val="clear" w:color="000000" w:fill="000000"/>
          </w:tcPr>
          <w:p w:rsidR="00116054" w:rsidRPr="00CF7B81" w:rsidRDefault="00116054" w:rsidP="00351D12">
            <w:pPr>
              <w:pStyle w:val="Tabletext"/>
              <w:rPr>
                <w:rFonts w:eastAsiaTheme="minorEastAsia"/>
                <w:lang w:eastAsia="en-AU"/>
              </w:rPr>
            </w:pPr>
          </w:p>
        </w:tc>
        <w:tc>
          <w:tcPr>
            <w:tcW w:w="1276" w:type="dxa"/>
            <w:tcBorders>
              <w:top w:val="single" w:sz="6" w:space="0" w:color="auto"/>
              <w:left w:val="nil"/>
              <w:bottom w:val="nil"/>
              <w:right w:val="nil"/>
            </w:tcBorders>
            <w:shd w:val="clear" w:color="000000" w:fill="000000"/>
          </w:tcPr>
          <w:p w:rsidR="00116054" w:rsidRPr="00CF7B81" w:rsidRDefault="00116054" w:rsidP="00351D12">
            <w:pPr>
              <w:pStyle w:val="Tabletextheading"/>
              <w:rPr>
                <w:rFonts w:eastAsiaTheme="minorEastAsia"/>
                <w:iCs/>
                <w:color w:val="FFFFFF"/>
                <w:lang w:eastAsia="en-AU"/>
              </w:rPr>
            </w:pPr>
            <w:r w:rsidRPr="00CF7B81">
              <w:rPr>
                <w:rFonts w:eastAsiaTheme="minorEastAsia"/>
                <w:iCs/>
                <w:color w:val="FFFFFF"/>
                <w:lang w:eastAsia="en-AU"/>
              </w:rPr>
              <w:t>2015</w:t>
            </w:r>
            <w:r>
              <w:rPr>
                <w:rFonts w:eastAsiaTheme="minorEastAsia"/>
                <w:iCs/>
                <w:color w:val="FFFFFF"/>
                <w:lang w:eastAsia="en-AU"/>
              </w:rPr>
              <w:noBreakHyphen/>
            </w:r>
            <w:r w:rsidRPr="00CF7B81">
              <w:rPr>
                <w:rFonts w:eastAsiaTheme="minorEastAsia"/>
                <w:iCs/>
                <w:color w:val="FFFFFF"/>
                <w:lang w:eastAsia="en-AU"/>
              </w:rPr>
              <w:t>16</w:t>
            </w:r>
          </w:p>
        </w:tc>
        <w:tc>
          <w:tcPr>
            <w:tcW w:w="1222" w:type="dxa"/>
            <w:tcBorders>
              <w:top w:val="single" w:sz="6" w:space="0" w:color="auto"/>
              <w:left w:val="nil"/>
              <w:bottom w:val="nil"/>
              <w:right w:val="single" w:sz="6" w:space="0" w:color="auto"/>
            </w:tcBorders>
            <w:shd w:val="clear" w:color="000000" w:fill="000000"/>
          </w:tcPr>
          <w:p w:rsidR="00116054" w:rsidRPr="00CF7B81" w:rsidRDefault="00116054" w:rsidP="00351D12">
            <w:pPr>
              <w:pStyle w:val="Tabletextheading"/>
              <w:rPr>
                <w:rFonts w:eastAsiaTheme="minorEastAsia"/>
                <w:iCs/>
                <w:color w:val="FFFFFF"/>
                <w:vertAlign w:val="superscript"/>
                <w:lang w:eastAsia="en-AU"/>
              </w:rPr>
            </w:pPr>
            <w:r w:rsidRPr="00CF7B81">
              <w:rPr>
                <w:rFonts w:eastAsiaTheme="minorEastAsia"/>
                <w:iCs/>
                <w:color w:val="FFFFFF"/>
                <w:lang w:eastAsia="en-AU"/>
              </w:rPr>
              <w:t xml:space="preserve">TEI </w:t>
            </w:r>
            <w:r w:rsidRPr="00CF7B81">
              <w:rPr>
                <w:rFonts w:eastAsiaTheme="minorEastAsia"/>
                <w:iCs/>
                <w:color w:val="FFFFFF"/>
                <w:vertAlign w:val="superscript"/>
                <w:lang w:eastAsia="en-AU"/>
              </w:rPr>
              <w:t>(b)</w:t>
            </w:r>
          </w:p>
        </w:tc>
      </w:tr>
      <w:tr w:rsidR="00116054" w:rsidRPr="00CF7B81" w:rsidTr="00351D12">
        <w:trPr>
          <w:cantSplit/>
          <w:tblHeader/>
        </w:trPr>
        <w:tc>
          <w:tcPr>
            <w:tcW w:w="5262" w:type="dxa"/>
            <w:tcBorders>
              <w:top w:val="nil"/>
              <w:left w:val="single" w:sz="6" w:space="0" w:color="auto"/>
              <w:bottom w:val="single" w:sz="6" w:space="0" w:color="auto"/>
              <w:right w:val="nil"/>
            </w:tcBorders>
            <w:shd w:val="clear" w:color="000000" w:fill="000000"/>
          </w:tcPr>
          <w:p w:rsidR="00116054" w:rsidRPr="00CF7B81" w:rsidRDefault="00116054" w:rsidP="00351D12">
            <w:pPr>
              <w:pStyle w:val="Tabletext"/>
              <w:rPr>
                <w:rFonts w:eastAsiaTheme="minorEastAsia"/>
                <w:lang w:eastAsia="en-AU"/>
              </w:rPr>
            </w:pPr>
          </w:p>
        </w:tc>
        <w:tc>
          <w:tcPr>
            <w:tcW w:w="1276" w:type="dxa"/>
            <w:tcBorders>
              <w:top w:val="nil"/>
              <w:left w:val="nil"/>
              <w:bottom w:val="single" w:sz="6" w:space="0" w:color="auto"/>
              <w:right w:val="nil"/>
            </w:tcBorders>
            <w:shd w:val="clear" w:color="000000" w:fill="000000"/>
          </w:tcPr>
          <w:p w:rsidR="00116054" w:rsidRPr="00CF7B81" w:rsidRDefault="00116054" w:rsidP="00351D12">
            <w:pPr>
              <w:pStyle w:val="Tabletextheading"/>
              <w:rPr>
                <w:rFonts w:eastAsiaTheme="minorEastAsia"/>
                <w:iCs/>
                <w:color w:val="FFFFFF"/>
                <w:lang w:eastAsia="en-AU"/>
              </w:rPr>
            </w:pPr>
            <w:r w:rsidRPr="00CF7B81">
              <w:rPr>
                <w:rFonts w:eastAsiaTheme="minorEastAsia"/>
                <w:iCs/>
                <w:color w:val="FFFFFF"/>
                <w:lang w:eastAsia="en-AU"/>
              </w:rPr>
              <w:t>budget</w:t>
            </w:r>
          </w:p>
        </w:tc>
        <w:tc>
          <w:tcPr>
            <w:tcW w:w="1222" w:type="dxa"/>
            <w:tcBorders>
              <w:top w:val="nil"/>
              <w:left w:val="nil"/>
              <w:bottom w:val="single" w:sz="6" w:space="0" w:color="auto"/>
              <w:right w:val="single" w:sz="6" w:space="0" w:color="auto"/>
            </w:tcBorders>
            <w:shd w:val="clear" w:color="000000" w:fill="000000"/>
          </w:tcPr>
          <w:p w:rsidR="00116054" w:rsidRPr="00CF7B81" w:rsidRDefault="00116054" w:rsidP="00351D12">
            <w:pPr>
              <w:pStyle w:val="Tabletextheading"/>
              <w:rPr>
                <w:rFonts w:eastAsiaTheme="minorEastAsia"/>
                <w:iCs/>
                <w:color w:val="FFFFFF"/>
                <w:lang w:eastAsia="en-AU"/>
              </w:rPr>
            </w:pPr>
          </w:p>
        </w:tc>
      </w:tr>
      <w:tr w:rsidR="00116054" w:rsidRPr="00CF7B81" w:rsidTr="00351D12">
        <w:trPr>
          <w:cantSplit/>
        </w:trPr>
        <w:tc>
          <w:tcPr>
            <w:tcW w:w="5262" w:type="dxa"/>
            <w:tcBorders>
              <w:top w:val="single" w:sz="6" w:space="0" w:color="auto"/>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Economic Development, Jobs, Transport and Resources</w:t>
            </w:r>
          </w:p>
        </w:tc>
        <w:tc>
          <w:tcPr>
            <w:tcW w:w="1276" w:type="dxa"/>
            <w:tcBorders>
              <w:top w:val="single" w:sz="6" w:space="0" w:color="auto"/>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580</w:t>
            </w:r>
          </w:p>
        </w:tc>
        <w:tc>
          <w:tcPr>
            <w:tcW w:w="1222" w:type="dxa"/>
            <w:tcBorders>
              <w:top w:val="single" w:sz="6" w:space="0" w:color="auto"/>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17 320–</w:t>
            </w:r>
          </w:p>
          <w:p w:rsidR="00116054" w:rsidRPr="00CF7B81" w:rsidRDefault="00116054" w:rsidP="00351D12">
            <w:pPr>
              <w:pStyle w:val="TableofFigures"/>
              <w:rPr>
                <w:rFonts w:eastAsiaTheme="minorEastAsia"/>
                <w:lang w:eastAsia="en-AU"/>
              </w:rPr>
            </w:pPr>
            <w:r w:rsidRPr="00CF7B81">
              <w:rPr>
                <w:rFonts w:eastAsiaTheme="minorEastAsia"/>
                <w:lang w:eastAsia="en-AU"/>
              </w:rPr>
              <w:t>20 320</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Education and Training</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294</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668</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Environment, Land, Water and Planning</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18</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31</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Health and Human Services</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172</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715</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Justice and Regulation</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138</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253</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Premier and Cabinet</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3</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8</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Treasury and Finance</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Courts</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8</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10</w:t>
            </w:r>
          </w:p>
        </w:tc>
      </w:tr>
      <w:tr w:rsidR="00116054" w:rsidRPr="00CF7B81" w:rsidTr="00351D12">
        <w:trPr>
          <w:cantSplit/>
        </w:trPr>
        <w:tc>
          <w:tcPr>
            <w:tcW w:w="5262" w:type="dxa"/>
            <w:tcBorders>
              <w:top w:val="nil"/>
              <w:left w:val="nil"/>
              <w:bottom w:val="nil"/>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Parliament</w:t>
            </w:r>
          </w:p>
        </w:tc>
        <w:tc>
          <w:tcPr>
            <w:tcW w:w="1276"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4</w:t>
            </w:r>
          </w:p>
        </w:tc>
        <w:tc>
          <w:tcPr>
            <w:tcW w:w="1222" w:type="dxa"/>
            <w:tcBorders>
              <w:top w:val="nil"/>
              <w:left w:val="nil"/>
              <w:bottom w:val="nil"/>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9</w:t>
            </w:r>
          </w:p>
        </w:tc>
      </w:tr>
      <w:tr w:rsidR="00116054" w:rsidRPr="00CF7B81" w:rsidTr="00351D12">
        <w:trPr>
          <w:cantSplit/>
        </w:trPr>
        <w:tc>
          <w:tcPr>
            <w:tcW w:w="5262" w:type="dxa"/>
            <w:tcBorders>
              <w:top w:val="nil"/>
              <w:left w:val="nil"/>
              <w:bottom w:val="single" w:sz="6" w:space="0" w:color="auto"/>
              <w:right w:val="nil"/>
            </w:tcBorders>
            <w:shd w:val="solid" w:color="FFFFFF" w:fill="auto"/>
          </w:tcPr>
          <w:p w:rsidR="00116054" w:rsidRPr="00CF7B81" w:rsidRDefault="00116054" w:rsidP="00351D12">
            <w:pPr>
              <w:pStyle w:val="Tabletext"/>
              <w:rPr>
                <w:rFonts w:eastAsiaTheme="minorEastAsia"/>
                <w:lang w:eastAsia="en-AU"/>
              </w:rPr>
            </w:pPr>
            <w:r w:rsidRPr="00CF7B81">
              <w:rPr>
                <w:rFonts w:eastAsiaTheme="minorEastAsia"/>
                <w:lang w:eastAsia="en-AU"/>
              </w:rPr>
              <w:t>Whole of government</w:t>
            </w:r>
          </w:p>
        </w:tc>
        <w:tc>
          <w:tcPr>
            <w:tcW w:w="1276" w:type="dxa"/>
            <w:tcBorders>
              <w:top w:val="nil"/>
              <w:left w:val="nil"/>
              <w:bottom w:val="single" w:sz="6" w:space="0" w:color="auto"/>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5</w:t>
            </w:r>
          </w:p>
        </w:tc>
        <w:tc>
          <w:tcPr>
            <w:tcW w:w="1222" w:type="dxa"/>
            <w:tcBorders>
              <w:top w:val="nil"/>
              <w:left w:val="nil"/>
              <w:bottom w:val="single" w:sz="6" w:space="0" w:color="auto"/>
              <w:right w:val="nil"/>
            </w:tcBorders>
            <w:shd w:val="solid" w:color="FFFFFF" w:fill="auto"/>
          </w:tcPr>
          <w:p w:rsidR="00116054" w:rsidRPr="00CF7B81" w:rsidRDefault="00116054" w:rsidP="00351D12">
            <w:pPr>
              <w:pStyle w:val="TableofFigures"/>
              <w:rPr>
                <w:rFonts w:eastAsiaTheme="minorEastAsia"/>
                <w:lang w:eastAsia="en-AU"/>
              </w:rPr>
            </w:pPr>
            <w:r w:rsidRPr="00CF7B81">
              <w:rPr>
                <w:rFonts w:eastAsiaTheme="minorEastAsia"/>
                <w:lang w:eastAsia="en-AU"/>
              </w:rPr>
              <w:t xml:space="preserve"> 6</w:t>
            </w:r>
          </w:p>
        </w:tc>
      </w:tr>
      <w:tr w:rsidR="00116054" w:rsidRPr="00CF7B81" w:rsidTr="00351D12">
        <w:trPr>
          <w:cantSplit/>
        </w:trPr>
        <w:tc>
          <w:tcPr>
            <w:tcW w:w="5262" w:type="dxa"/>
            <w:tcBorders>
              <w:top w:val="single" w:sz="6" w:space="0" w:color="auto"/>
              <w:left w:val="nil"/>
              <w:bottom w:val="single" w:sz="12" w:space="0" w:color="000000"/>
              <w:right w:val="nil"/>
            </w:tcBorders>
            <w:shd w:val="solid" w:color="FFFFFF" w:fill="auto"/>
          </w:tcPr>
          <w:p w:rsidR="00116054" w:rsidRPr="00CF7B81" w:rsidRDefault="00116054" w:rsidP="00351D12">
            <w:pPr>
              <w:pStyle w:val="Tabletext"/>
              <w:rPr>
                <w:rFonts w:eastAsiaTheme="minorEastAsia"/>
                <w:b/>
                <w:bCs/>
                <w:lang w:eastAsia="en-AU"/>
              </w:rPr>
            </w:pPr>
            <w:r w:rsidRPr="00CF7B81">
              <w:rPr>
                <w:rFonts w:eastAsiaTheme="minorEastAsia"/>
                <w:b/>
                <w:bCs/>
                <w:lang w:eastAsia="en-AU"/>
              </w:rPr>
              <w:t xml:space="preserve">Total </w:t>
            </w:r>
            <w:r w:rsidRPr="00CF7B81">
              <w:rPr>
                <w:rFonts w:eastAsiaTheme="minorEastAsia"/>
                <w:b/>
                <w:bCs/>
                <w:i/>
                <w:iCs/>
                <w:lang w:eastAsia="en-AU"/>
              </w:rPr>
              <w:t>2015</w:t>
            </w:r>
            <w:r>
              <w:rPr>
                <w:rFonts w:eastAsiaTheme="minorEastAsia"/>
                <w:b/>
                <w:bCs/>
                <w:i/>
                <w:iCs/>
                <w:lang w:eastAsia="en-AU"/>
              </w:rPr>
              <w:noBreakHyphen/>
            </w:r>
            <w:r w:rsidRPr="00CF7B81">
              <w:rPr>
                <w:rFonts w:eastAsiaTheme="minorEastAsia"/>
                <w:b/>
                <w:bCs/>
                <w:i/>
                <w:iCs/>
                <w:lang w:eastAsia="en-AU"/>
              </w:rPr>
              <w:t>16 Budget</w:t>
            </w:r>
            <w:r w:rsidRPr="00CF7B81">
              <w:rPr>
                <w:rFonts w:eastAsiaTheme="minorEastAsia"/>
                <w:b/>
                <w:bCs/>
                <w:lang w:eastAsia="en-AU"/>
              </w:rPr>
              <w:t xml:space="preserve"> asset funding</w:t>
            </w:r>
          </w:p>
        </w:tc>
        <w:tc>
          <w:tcPr>
            <w:tcW w:w="1276" w:type="dxa"/>
            <w:tcBorders>
              <w:top w:val="single" w:sz="6" w:space="0" w:color="auto"/>
              <w:left w:val="nil"/>
              <w:bottom w:val="single" w:sz="12" w:space="0" w:color="000000"/>
              <w:right w:val="nil"/>
            </w:tcBorders>
            <w:shd w:val="solid" w:color="FFFFFF" w:fill="auto"/>
          </w:tcPr>
          <w:p w:rsidR="00116054" w:rsidRPr="00CF7B81" w:rsidRDefault="00116054" w:rsidP="00351D12">
            <w:pPr>
              <w:pStyle w:val="TableofFigures"/>
              <w:rPr>
                <w:rFonts w:eastAsiaTheme="minorEastAsia"/>
                <w:b/>
                <w:bCs/>
                <w:lang w:eastAsia="en-AU"/>
              </w:rPr>
            </w:pPr>
            <w:r w:rsidRPr="00CF7B81">
              <w:rPr>
                <w:rFonts w:eastAsiaTheme="minorEastAsia"/>
                <w:b/>
                <w:bCs/>
                <w:lang w:eastAsia="en-AU"/>
              </w:rPr>
              <w:t>1 221</w:t>
            </w:r>
          </w:p>
        </w:tc>
        <w:tc>
          <w:tcPr>
            <w:tcW w:w="1222" w:type="dxa"/>
            <w:tcBorders>
              <w:top w:val="single" w:sz="6" w:space="0" w:color="auto"/>
              <w:left w:val="nil"/>
              <w:bottom w:val="single" w:sz="12" w:space="0" w:color="000000"/>
              <w:right w:val="nil"/>
            </w:tcBorders>
            <w:shd w:val="solid" w:color="FFFFFF" w:fill="auto"/>
          </w:tcPr>
          <w:p w:rsidR="00116054" w:rsidRPr="00CF7B81" w:rsidRDefault="00116054" w:rsidP="00351D12">
            <w:pPr>
              <w:pStyle w:val="TableofFigures"/>
              <w:rPr>
                <w:rFonts w:eastAsiaTheme="minorEastAsia"/>
                <w:b/>
                <w:bCs/>
                <w:lang w:eastAsia="en-AU"/>
              </w:rPr>
            </w:pPr>
            <w:r w:rsidRPr="00CF7B81">
              <w:rPr>
                <w:rFonts w:eastAsiaTheme="minorEastAsia"/>
                <w:b/>
                <w:bCs/>
                <w:lang w:eastAsia="en-AU"/>
              </w:rPr>
              <w:t>19 020–</w:t>
            </w:r>
          </w:p>
          <w:p w:rsidR="00116054" w:rsidRPr="00CF7B81" w:rsidRDefault="00116054" w:rsidP="00351D12">
            <w:pPr>
              <w:pStyle w:val="TableofFigures"/>
              <w:rPr>
                <w:rFonts w:eastAsiaTheme="minorEastAsia"/>
                <w:b/>
                <w:bCs/>
                <w:lang w:eastAsia="en-AU"/>
              </w:rPr>
            </w:pPr>
            <w:r w:rsidRPr="00CF7B81">
              <w:rPr>
                <w:rFonts w:eastAsiaTheme="minorEastAsia"/>
                <w:b/>
                <w:bCs/>
                <w:lang w:eastAsia="en-AU"/>
              </w:rPr>
              <w:t>22 020</w:t>
            </w:r>
          </w:p>
        </w:tc>
      </w:tr>
    </w:tbl>
    <w:p w:rsidR="00116054" w:rsidRDefault="00116054" w:rsidP="00BA6F21">
      <w:pPr>
        <w:pStyle w:val="Source"/>
        <w:rPr>
          <w:rStyle w:val="SourceChar"/>
          <w:i/>
        </w:rPr>
      </w:pPr>
      <w:r w:rsidRPr="00CD411B">
        <w:rPr>
          <w:rStyle w:val="SourceChar"/>
        </w:rPr>
        <w:t>Source: Department of Treasury and Finance</w:t>
      </w:r>
    </w:p>
    <w:p w:rsidR="00116054" w:rsidRPr="00BA6F21" w:rsidRDefault="00116054" w:rsidP="00BA6F21">
      <w:pPr>
        <w:pStyle w:val="Notes"/>
      </w:pPr>
      <w:r w:rsidRPr="00BA6F21">
        <w:t>Notes:</w:t>
      </w:r>
    </w:p>
    <w:p w:rsidR="00116054" w:rsidRPr="00BA6F21" w:rsidRDefault="00116054" w:rsidP="00BA6F21">
      <w:pPr>
        <w:pStyle w:val="Notes"/>
      </w:pPr>
      <w:r w:rsidRPr="00BA6F21">
        <w:t xml:space="preserve">(a) </w:t>
      </w:r>
      <w:r w:rsidRPr="00BA6F21">
        <w:tab/>
        <w:t>Includes projects which are to be delivered through the public non</w:t>
      </w:r>
      <w:r>
        <w:noBreakHyphen/>
      </w:r>
      <w:r w:rsidRPr="00BA6F21">
        <w:t>financial corporations</w:t>
      </w:r>
      <w:r w:rsidRPr="00BA6F21">
        <w:fldChar w:fldCharType="begin"/>
      </w:r>
      <w:r w:rsidRPr="00CD411B">
        <w:instrText xml:space="preserve"> XE "</w:instrText>
      </w:r>
      <w:r w:rsidRPr="00BA6F21">
        <w:instrText>Public non</w:instrText>
      </w:r>
      <w:r w:rsidRPr="00BA6F21">
        <w:noBreakHyphen/>
        <w:instrText>financial corporations</w:instrText>
      </w:r>
      <w:r w:rsidRPr="00CD411B">
        <w:instrText xml:space="preserve">" </w:instrText>
      </w:r>
      <w:r w:rsidRPr="00BA6F21">
        <w:fldChar w:fldCharType="end"/>
      </w:r>
      <w:r w:rsidRPr="00BA6F21">
        <w:t xml:space="preserve"> sector on behalf of the Government.</w:t>
      </w:r>
    </w:p>
    <w:p w:rsidR="00116054" w:rsidRPr="00BA6F21" w:rsidRDefault="00116054" w:rsidP="00BA6F21">
      <w:pPr>
        <w:pStyle w:val="Notes"/>
      </w:pPr>
      <w:r w:rsidRPr="00BA6F21">
        <w:t>(b)</w:t>
      </w:r>
      <w:r w:rsidRPr="00BA6F21">
        <w:tab/>
        <w:t xml:space="preserve">Budget Paper No. 4 </w:t>
      </w:r>
      <w:r w:rsidRPr="00BA6F21">
        <w:rPr>
          <w:i w:val="0"/>
        </w:rPr>
        <w:t>State Capital Program</w:t>
      </w:r>
      <w:r w:rsidRPr="00BA6F21">
        <w:t xml:space="preserve"> provides project</w:t>
      </w:r>
      <w:r>
        <w:noBreakHyphen/>
      </w:r>
      <w:r w:rsidRPr="00BA6F21">
        <w:t xml:space="preserve">level </w:t>
      </w:r>
      <w:proofErr w:type="spellStart"/>
      <w:r w:rsidRPr="00BA6F21">
        <w:t>cashflow</w:t>
      </w:r>
      <w:proofErr w:type="spellEnd"/>
      <w:r w:rsidRPr="00BA6F21">
        <w:t xml:space="preserve"> information about the Government’s new asset investments announced in the 2015</w:t>
      </w:r>
      <w:r>
        <w:noBreakHyphen/>
      </w:r>
      <w:r w:rsidRPr="00BA6F21">
        <w:t xml:space="preserve">16 Budget, while Budget Paper No. 3, </w:t>
      </w:r>
      <w:r>
        <w:t>Chapter </w:t>
      </w:r>
      <w:r w:rsidRPr="00BA6F21">
        <w:t xml:space="preserve">1 </w:t>
      </w:r>
      <w:r w:rsidRPr="00BA6F21">
        <w:rPr>
          <w:i w:val="0"/>
        </w:rPr>
        <w:t>Output, asset investment</w:t>
      </w:r>
      <w:r w:rsidRPr="00BA6F21">
        <w:fldChar w:fldCharType="begin"/>
      </w:r>
      <w:r w:rsidRPr="00BA6F21">
        <w:instrText xml:space="preserve"> XE "Asset investment" </w:instrText>
      </w:r>
      <w:r w:rsidRPr="00BA6F21">
        <w:fldChar w:fldCharType="end"/>
      </w:r>
      <w:r w:rsidRPr="00BA6F21">
        <w:rPr>
          <w:i w:val="0"/>
        </w:rPr>
        <w:t>, savings and revenue initiatives</w:t>
      </w:r>
      <w:r w:rsidRPr="00BA6F21">
        <w:t xml:space="preserve"> includes a detailed list and description of all asset initiatives announced in the 2015</w:t>
      </w:r>
      <w:r>
        <w:noBreakHyphen/>
      </w:r>
      <w:r w:rsidRPr="00BA6F21">
        <w:t>16 Budget.</w:t>
      </w:r>
    </w:p>
    <w:p w:rsidR="00116054" w:rsidRPr="007E4E2E" w:rsidRDefault="00116054" w:rsidP="00ED3744">
      <w:pPr>
        <w:pStyle w:val="Heading1"/>
      </w:pPr>
      <w:bookmarkStart w:id="84" w:name="_Toc418081698"/>
      <w:bookmarkStart w:id="85" w:name="_Toc418255148"/>
      <w:bookmarkStart w:id="86" w:name="BP2Ch4NetFinLiabs"/>
      <w:r w:rsidRPr="007E4E2E">
        <w:lastRenderedPageBreak/>
        <w:t>Net debt and net financial liabilities</w:t>
      </w:r>
      <w:bookmarkEnd w:id="82"/>
      <w:bookmarkEnd w:id="83"/>
      <w:bookmarkEnd w:id="84"/>
      <w:bookmarkEnd w:id="85"/>
    </w:p>
    <w:p w:rsidR="00116054" w:rsidRDefault="00116054" w:rsidP="00F87545">
      <w:r>
        <w:t>Net debt as a proportion of GSP is expected to be 5.8 per cent at June 2015 before declining sharply in 2015</w:t>
      </w:r>
      <w:r>
        <w:noBreakHyphen/>
        <w:t>16 largely reflecting the receipt of proceeds from entering into a medium</w:t>
      </w:r>
      <w:r>
        <w:noBreakHyphen/>
        <w:t>term lease over the operations of the Port of Melbourne</w:t>
      </w:r>
      <w:r>
        <w:fldChar w:fldCharType="begin"/>
      </w:r>
      <w:r>
        <w:instrText xml:space="preserve"> XE "</w:instrText>
      </w:r>
      <w:r w:rsidRPr="00DE4970">
        <w:instrText>Port of Melbourne</w:instrText>
      </w:r>
      <w:r>
        <w:instrText xml:space="preserve">" </w:instrText>
      </w:r>
      <w:r>
        <w:fldChar w:fldCharType="end"/>
      </w:r>
      <w:r>
        <w:t xml:space="preserve">. By June 2019 net debt as a proportion of GSP is expected to be 4.4 per cent, lower than the June 2018 estimate of 4.5 per cent published in the </w:t>
      </w:r>
      <w:r w:rsidRPr="00F87545">
        <w:rPr>
          <w:i/>
        </w:rPr>
        <w:t>2014 P</w:t>
      </w:r>
      <w:r>
        <w:rPr>
          <w:i/>
        </w:rPr>
        <w:t>re</w:t>
      </w:r>
      <w:r>
        <w:rPr>
          <w:i/>
        </w:rPr>
        <w:noBreakHyphen/>
      </w:r>
      <w:r w:rsidRPr="00F87545">
        <w:rPr>
          <w:i/>
        </w:rPr>
        <w:t>E</w:t>
      </w:r>
      <w:r>
        <w:rPr>
          <w:i/>
        </w:rPr>
        <w:t xml:space="preserve">lection </w:t>
      </w:r>
      <w:r w:rsidRPr="00F87545">
        <w:rPr>
          <w:i/>
        </w:rPr>
        <w:t>B</w:t>
      </w:r>
      <w:r>
        <w:rPr>
          <w:i/>
        </w:rPr>
        <w:t xml:space="preserve">udget </w:t>
      </w:r>
      <w:r w:rsidRPr="00F87545">
        <w:rPr>
          <w:i/>
        </w:rPr>
        <w:t>U</w:t>
      </w:r>
      <w:r>
        <w:rPr>
          <w:i/>
        </w:rPr>
        <w:t>pdate</w:t>
      </w:r>
      <w:r>
        <w:t xml:space="preserve">. </w:t>
      </w:r>
    </w:p>
    <w:p w:rsidR="00116054" w:rsidRDefault="00116054" w:rsidP="00D15403">
      <w:bookmarkStart w:id="87" w:name="BP2SuperLiab"/>
      <w:r>
        <w:t>Chart 4.3</w:t>
      </w:r>
      <w:r w:rsidRPr="007E4E2E">
        <w:t xml:space="preserve"> presents the trend in net financial liabilities, a key measure of overall indebtedness used by international credit rating agencies to assess the State</w:t>
      </w:r>
      <w:r>
        <w:t>’</w:t>
      </w:r>
      <w:r w:rsidRPr="007E4E2E">
        <w:t>s financial position</w:t>
      </w:r>
      <w:r>
        <w:t xml:space="preserve">. </w:t>
      </w:r>
      <w:r w:rsidRPr="007E4E2E">
        <w:t>General government net financial liabilities sums the superannuation liability, net debt (sum of deposits held, advances received and borrowings</w:t>
      </w:r>
      <w:r>
        <w:t>,</w:t>
      </w:r>
      <w:r w:rsidRPr="007E4E2E">
        <w:t xml:space="preserve"> less the sum of cash, deposits, advances paid and investments, loans and placements) and other net liabilities</w:t>
      </w:r>
      <w:r>
        <w:t xml:space="preserve">. </w:t>
      </w:r>
      <w:r w:rsidRPr="007E4E2E">
        <w:t>Overall, estimated net financial liabilities as a proportion of GSP are on a downward trajectory over the forward estimates.</w:t>
      </w:r>
    </w:p>
    <w:p w:rsidR="00116054" w:rsidRPr="007E4E2E" w:rsidRDefault="00116054" w:rsidP="008D4B2D">
      <w:r>
        <w:t xml:space="preserve">The increase in the superannuation liability since 30 June 2014 is primarily due to a significant reduction in the discount rate required to value this liability under </w:t>
      </w:r>
      <w:r w:rsidRPr="007E4E2E">
        <w:t>Aust</w:t>
      </w:r>
      <w:r>
        <w:t>ralian Accounting Standard AASB </w:t>
      </w:r>
      <w:r w:rsidRPr="007E4E2E">
        <w:t xml:space="preserve">119 </w:t>
      </w:r>
      <w:r w:rsidRPr="00F843CD">
        <w:rPr>
          <w:i/>
        </w:rPr>
        <w:t>Employee Benefits</w:t>
      </w:r>
      <w:r>
        <w:rPr>
          <w:i/>
        </w:rPr>
        <w:fldChar w:fldCharType="begin"/>
      </w:r>
      <w:r>
        <w:instrText xml:space="preserve"> XE "</w:instrText>
      </w:r>
      <w:r w:rsidRPr="00376BEF">
        <w:instrText xml:space="preserve">AASB 119 </w:instrText>
      </w:r>
      <w:r w:rsidRPr="00376BEF">
        <w:rPr>
          <w:i/>
        </w:rPr>
        <w:instrText>Employee Benefits</w:instrText>
      </w:r>
      <w:r>
        <w:instrText xml:space="preserve">" </w:instrText>
      </w:r>
      <w:r>
        <w:rPr>
          <w:i/>
        </w:rPr>
        <w:fldChar w:fldCharType="end"/>
      </w:r>
      <w:r w:rsidRPr="007E4E2E">
        <w:t xml:space="preserve">. </w:t>
      </w:r>
      <w:r>
        <w:t>This does not impact on the amount of cash required to fund the superannuation liability over time.</w:t>
      </w:r>
    </w:p>
    <w:p w:rsidR="00116054" w:rsidRDefault="00116054" w:rsidP="00ED3744">
      <w:pPr>
        <w:pStyle w:val="Chartheading"/>
        <w:rPr>
          <w:vertAlign w:val="superscript"/>
        </w:rPr>
      </w:pPr>
      <w:r w:rsidRPr="007E4E2E">
        <w:t>Chart 4.</w:t>
      </w:r>
      <w:r>
        <w:t>3</w:t>
      </w:r>
      <w:r w:rsidRPr="007E4E2E">
        <w:t>:</w:t>
      </w:r>
      <w:r w:rsidRPr="007E4E2E">
        <w:tab/>
        <w:t>General government net financial liabilities</w:t>
      </w:r>
      <w:r w:rsidRPr="007E4E2E">
        <w:rPr>
          <w:vertAlign w:val="superscript"/>
        </w:rPr>
        <w:t>(a)</w:t>
      </w:r>
    </w:p>
    <w:p w:rsidR="00116054" w:rsidRPr="00F01379" w:rsidRDefault="00CC5D46" w:rsidP="00C51ABD">
      <w:pPr>
        <w:pStyle w:val="Chartpara"/>
      </w:pPr>
      <w:r>
        <w:pict>
          <v:shape id="_x0000_i1044" type="#_x0000_t75" style="width:380.95pt;height:234.8pt">
            <v:imagedata r:id="rId40" o:title=""/>
          </v:shape>
        </w:pict>
      </w:r>
    </w:p>
    <w:p w:rsidR="00116054" w:rsidRPr="004B35E5" w:rsidRDefault="00116054" w:rsidP="004B35E5">
      <w:pPr>
        <w:pStyle w:val="Source"/>
        <w:rPr>
          <w:rStyle w:val="SourceChar"/>
        </w:rPr>
      </w:pPr>
      <w:r w:rsidRPr="004B35E5">
        <w:rPr>
          <w:rStyle w:val="SourceChar"/>
        </w:rPr>
        <w:t>Source: Department of Treasury and Finance</w:t>
      </w:r>
    </w:p>
    <w:p w:rsidR="00116054" w:rsidRPr="007E4E2E" w:rsidRDefault="00116054" w:rsidP="00ED3744">
      <w:pPr>
        <w:pStyle w:val="Notes"/>
      </w:pPr>
      <w:r w:rsidRPr="007E4E2E">
        <w:t xml:space="preserve">Note: </w:t>
      </w:r>
    </w:p>
    <w:p w:rsidR="00116054" w:rsidRPr="00C4507B" w:rsidRDefault="00116054" w:rsidP="00C4507B">
      <w:pPr>
        <w:pStyle w:val="Notes"/>
      </w:pPr>
      <w:r w:rsidRPr="007E4E2E">
        <w:t>(a)</w:t>
      </w:r>
      <w:r w:rsidRPr="007E4E2E">
        <w:tab/>
        <w:t xml:space="preserve">Superannuation liabilities between 1999 and 2004 are calculated under the previous Australian accounting standard, whereas from 2005 onward AASB 119 </w:t>
      </w:r>
      <w:r w:rsidRPr="00F843CD">
        <w:rPr>
          <w:i w:val="0"/>
        </w:rPr>
        <w:t>Employee Benefits</w:t>
      </w:r>
      <w:r w:rsidRPr="007E4E2E">
        <w:t xml:space="preserve"> has been applied.</w:t>
      </w:r>
      <w:r>
        <w:br w:type="page"/>
      </w:r>
    </w:p>
    <w:p w:rsidR="00116054" w:rsidRPr="007E4E2E" w:rsidRDefault="00116054" w:rsidP="00ED3744">
      <w:pPr>
        <w:pStyle w:val="Tableheading"/>
      </w:pPr>
      <w:r w:rsidRPr="007E4E2E">
        <w:lastRenderedPageBreak/>
        <w:t>Table 4.</w:t>
      </w:r>
      <w:r>
        <w:t>7</w:t>
      </w:r>
      <w:r w:rsidRPr="007E4E2E">
        <w:t>:</w:t>
      </w:r>
      <w:r w:rsidRPr="007E4E2E">
        <w:tab/>
        <w:t>General government sector net debt and net financial liabilities</w:t>
      </w:r>
    </w:p>
    <w:p w:rsidR="00116054" w:rsidRPr="00023B72" w:rsidRDefault="00116054" w:rsidP="00023B72">
      <w:pPr>
        <w:pStyle w:val="million"/>
      </w:pPr>
      <w:r w:rsidRPr="007E4E2E">
        <w:t>($</w:t>
      </w:r>
      <w:r>
        <w:t> billion</w:t>
      </w:r>
      <w:r w:rsidRPr="007E4E2E">
        <w: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122"/>
        <w:gridCol w:w="770"/>
        <w:gridCol w:w="220"/>
        <w:gridCol w:w="673"/>
        <w:gridCol w:w="893"/>
        <w:gridCol w:w="398"/>
        <w:gridCol w:w="106"/>
        <w:gridCol w:w="270"/>
        <w:gridCol w:w="119"/>
        <w:gridCol w:w="893"/>
      </w:tblGrid>
      <w:tr w:rsidR="00116054" w:rsidRPr="00023B72" w:rsidTr="0088203F">
        <w:trPr>
          <w:cantSplit/>
        </w:trPr>
        <w:tc>
          <w:tcPr>
            <w:tcW w:w="2420" w:type="dxa"/>
            <w:tcBorders>
              <w:top w:val="single" w:sz="4" w:space="0" w:color="auto"/>
              <w:left w:val="single" w:sz="4" w:space="0" w:color="auto"/>
              <w:bottom w:val="nil"/>
              <w:right w:val="nil"/>
            </w:tcBorders>
            <w:shd w:val="clear" w:color="auto" w:fill="000000"/>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2014</w:t>
            </w:r>
          </w:p>
        </w:tc>
        <w:tc>
          <w:tcPr>
            <w:tcW w:w="892" w:type="dxa"/>
            <w:gridSpan w:val="2"/>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2015</w:t>
            </w:r>
          </w:p>
        </w:tc>
        <w:tc>
          <w:tcPr>
            <w:tcW w:w="893" w:type="dxa"/>
            <w:gridSpan w:val="2"/>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2016</w:t>
            </w:r>
          </w:p>
        </w:tc>
        <w:tc>
          <w:tcPr>
            <w:tcW w:w="893" w:type="dxa"/>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2017</w:t>
            </w:r>
          </w:p>
        </w:tc>
        <w:tc>
          <w:tcPr>
            <w:tcW w:w="893" w:type="dxa"/>
            <w:gridSpan w:val="4"/>
            <w:tcBorders>
              <w:top w:val="single" w:sz="4" w:space="0" w:color="auto"/>
              <w:left w:val="nil"/>
              <w:bottom w:val="nil"/>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2018</w:t>
            </w:r>
          </w:p>
        </w:tc>
        <w:tc>
          <w:tcPr>
            <w:tcW w:w="893" w:type="dxa"/>
            <w:tcBorders>
              <w:top w:val="single" w:sz="4" w:space="0" w:color="auto"/>
              <w:left w:val="nil"/>
              <w:bottom w:val="nil"/>
              <w:right w:val="single" w:sz="4" w:space="0" w:color="auto"/>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2019</w:t>
            </w:r>
          </w:p>
        </w:tc>
      </w:tr>
      <w:tr w:rsidR="00116054" w:rsidRPr="00023B72" w:rsidTr="0088203F">
        <w:trPr>
          <w:cantSplit/>
        </w:trPr>
        <w:tc>
          <w:tcPr>
            <w:tcW w:w="2420" w:type="dxa"/>
            <w:tcBorders>
              <w:top w:val="nil"/>
              <w:left w:val="single" w:sz="4" w:space="0" w:color="auto"/>
              <w:bottom w:val="single" w:sz="4" w:space="0" w:color="auto"/>
              <w:right w:val="nil"/>
            </w:tcBorders>
            <w:shd w:val="clear" w:color="auto" w:fill="000000"/>
          </w:tcPr>
          <w:p w:rsidR="00116054" w:rsidRPr="00023B72" w:rsidRDefault="00116054" w:rsidP="00023B72">
            <w:pPr>
              <w:pStyle w:val="Tabletext"/>
              <w:rPr>
                <w:rFonts w:eastAsiaTheme="minorEastAsia"/>
                <w:lang w:eastAsia="en-AU"/>
              </w:rPr>
            </w:pPr>
            <w:r w:rsidRPr="00023B72">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actual</w:t>
            </w:r>
          </w:p>
        </w:tc>
        <w:tc>
          <w:tcPr>
            <w:tcW w:w="892" w:type="dxa"/>
            <w:gridSpan w:val="2"/>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revised</w:t>
            </w:r>
          </w:p>
        </w:tc>
        <w:tc>
          <w:tcPr>
            <w:tcW w:w="893" w:type="dxa"/>
            <w:gridSpan w:val="2"/>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estimate</w:t>
            </w:r>
          </w:p>
        </w:tc>
        <w:tc>
          <w:tcPr>
            <w:tcW w:w="893" w:type="dxa"/>
            <w:gridSpan w:val="4"/>
            <w:tcBorders>
              <w:top w:val="nil"/>
              <w:left w:val="nil"/>
              <w:bottom w:val="single" w:sz="4" w:space="0" w:color="auto"/>
              <w:right w:val="nil"/>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116054" w:rsidRPr="00023B72" w:rsidRDefault="00116054" w:rsidP="00023B72">
            <w:pPr>
              <w:pStyle w:val="Tabletextheading"/>
              <w:rPr>
                <w:rFonts w:eastAsiaTheme="minorEastAsia"/>
                <w:lang w:eastAsia="en-AU"/>
              </w:rPr>
            </w:pPr>
            <w:r w:rsidRPr="00023B72">
              <w:rPr>
                <w:rFonts w:eastAsiaTheme="minorEastAsia"/>
                <w:lang w:eastAsia="en-AU"/>
              </w:rPr>
              <w:t>estimate</w:t>
            </w:r>
          </w:p>
        </w:tc>
      </w:tr>
      <w:tr w:rsidR="00116054" w:rsidRPr="00023B72" w:rsidTr="0088203F">
        <w:trPr>
          <w:cantSplit/>
        </w:trPr>
        <w:tc>
          <w:tcPr>
            <w:tcW w:w="2420" w:type="dxa"/>
            <w:tcBorders>
              <w:top w:val="single" w:sz="4" w:space="0" w:color="auto"/>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Financial assets</w:t>
            </w:r>
          </w:p>
        </w:tc>
        <w:tc>
          <w:tcPr>
            <w:tcW w:w="892" w:type="dxa"/>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w:t>
            </w:r>
          </w:p>
        </w:tc>
        <w:tc>
          <w:tcPr>
            <w:tcW w:w="892" w:type="dxa"/>
            <w:gridSpan w:val="2"/>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w:t>
            </w:r>
          </w:p>
        </w:tc>
        <w:tc>
          <w:tcPr>
            <w:tcW w:w="893" w:type="dxa"/>
            <w:gridSpan w:val="2"/>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w:t>
            </w:r>
          </w:p>
        </w:tc>
        <w:tc>
          <w:tcPr>
            <w:tcW w:w="893" w:type="dxa"/>
            <w:gridSpan w:val="4"/>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Cash and deposits</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4.5</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4.9</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5.1</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5.4</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5.8</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6.2</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Advances paid</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4.6</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4.6</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4.5</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4.5</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4.4</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4.4</w:t>
            </w:r>
          </w:p>
        </w:tc>
      </w:tr>
      <w:tr w:rsidR="00116054" w:rsidRPr="00023B72" w:rsidTr="0088203F">
        <w:trPr>
          <w:cantSplit/>
        </w:trPr>
        <w:tc>
          <w:tcPr>
            <w:tcW w:w="2420" w:type="dxa"/>
            <w:tcBorders>
              <w:top w:val="nil"/>
              <w:left w:val="nil"/>
              <w:bottom w:val="single" w:sz="6" w:space="0" w:color="auto"/>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Investments, loans and placements</w:t>
            </w:r>
          </w:p>
        </w:tc>
        <w:tc>
          <w:tcPr>
            <w:tcW w:w="892"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3.1</w:t>
            </w:r>
          </w:p>
        </w:tc>
        <w:tc>
          <w:tcPr>
            <w:tcW w:w="892" w:type="dxa"/>
            <w:gridSpan w:val="2"/>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3.0</w:t>
            </w:r>
          </w:p>
        </w:tc>
        <w:tc>
          <w:tcPr>
            <w:tcW w:w="893" w:type="dxa"/>
            <w:gridSpan w:val="2"/>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3.1</w:t>
            </w:r>
          </w:p>
        </w:tc>
        <w:tc>
          <w:tcPr>
            <w:tcW w:w="893"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3.3</w:t>
            </w:r>
          </w:p>
        </w:tc>
        <w:tc>
          <w:tcPr>
            <w:tcW w:w="893" w:type="dxa"/>
            <w:gridSpan w:val="4"/>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3.4</w:t>
            </w:r>
          </w:p>
        </w:tc>
        <w:tc>
          <w:tcPr>
            <w:tcW w:w="893" w:type="dxa"/>
            <w:tcBorders>
              <w:top w:val="nil"/>
              <w:left w:val="nil"/>
              <w:bottom w:val="single" w:sz="6"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3.5</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Total</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12.2</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12.5</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12.8</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13.2</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13.6</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14.1</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Financial liabilities</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Pr>
                <w:rFonts w:eastAsiaTheme="minorEastAsia"/>
                <w:color w:val="000000"/>
                <w:lang w:eastAsia="en-AU"/>
              </w:rPr>
              <w:t xml:space="preserve"> </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Pr>
                <w:rFonts w:eastAsiaTheme="minorEastAsia"/>
                <w:color w:val="000000"/>
                <w:lang w:eastAsia="en-AU"/>
              </w:rPr>
              <w:t xml:space="preserve"> </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Pr>
                <w:rFonts w:eastAsiaTheme="minorEastAsia"/>
                <w:color w:val="000000"/>
                <w:lang w:eastAsia="en-AU"/>
              </w:rPr>
              <w:t xml:space="preserve"> </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Pr>
                <w:rFonts w:eastAsiaTheme="minorEastAsia"/>
                <w:color w:val="000000"/>
                <w:lang w:eastAsia="en-AU"/>
              </w:rPr>
              <w:t xml:space="preserve"> </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Deposits held and advances received</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0.4</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0.4</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0.4</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0.4</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0.4</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0.4</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Borrowings</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33.0</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33.3</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29.2</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32.0</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32.7</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33.5</w:t>
            </w:r>
          </w:p>
        </w:tc>
      </w:tr>
      <w:tr w:rsidR="00116054" w:rsidRPr="00023B72" w:rsidTr="0088203F">
        <w:trPr>
          <w:cantSplit/>
        </w:trPr>
        <w:tc>
          <w:tcPr>
            <w:tcW w:w="2420"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Total</w:t>
            </w:r>
          </w:p>
        </w:tc>
        <w:tc>
          <w:tcPr>
            <w:tcW w:w="892"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33.4</w:t>
            </w:r>
          </w:p>
        </w:tc>
        <w:tc>
          <w:tcPr>
            <w:tcW w:w="892" w:type="dxa"/>
            <w:gridSpan w:val="2"/>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33.8</w:t>
            </w:r>
          </w:p>
        </w:tc>
        <w:tc>
          <w:tcPr>
            <w:tcW w:w="893" w:type="dxa"/>
            <w:gridSpan w:val="2"/>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29.7</w:t>
            </w:r>
          </w:p>
        </w:tc>
        <w:tc>
          <w:tcPr>
            <w:tcW w:w="893"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32.4</w:t>
            </w:r>
          </w:p>
        </w:tc>
        <w:tc>
          <w:tcPr>
            <w:tcW w:w="893" w:type="dxa"/>
            <w:gridSpan w:val="4"/>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33.1</w:t>
            </w:r>
          </w:p>
        </w:tc>
        <w:tc>
          <w:tcPr>
            <w:tcW w:w="893"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34.0</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vertAlign w:val="superscript"/>
                <w:lang w:eastAsia="en-AU"/>
              </w:rPr>
            </w:pPr>
            <w:r w:rsidRPr="00023B72">
              <w:rPr>
                <w:rFonts w:eastAsiaTheme="minorEastAsia"/>
                <w:b/>
                <w:bCs/>
                <w:lang w:eastAsia="en-AU"/>
              </w:rPr>
              <w:t xml:space="preserve">Net debt </w:t>
            </w:r>
            <w:r w:rsidRPr="00023B72">
              <w:rPr>
                <w:rFonts w:eastAsiaTheme="minorEastAsia"/>
                <w:b/>
                <w:bCs/>
                <w:vertAlign w:val="superscript"/>
                <w:lang w:eastAsia="en-AU"/>
              </w:rPr>
              <w:t>(a)</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21.2</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21.2</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16.9</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19.3</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19.5</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19.8</w:t>
            </w:r>
          </w:p>
        </w:tc>
      </w:tr>
      <w:tr w:rsidR="00116054" w:rsidRPr="00023B72" w:rsidTr="0088203F">
        <w:trPr>
          <w:cantSplit/>
        </w:trPr>
        <w:tc>
          <w:tcPr>
            <w:tcW w:w="2420" w:type="dxa"/>
            <w:tcBorders>
              <w:top w:val="nil"/>
              <w:left w:val="nil"/>
              <w:bottom w:val="single" w:sz="6" w:space="0" w:color="auto"/>
              <w:right w:val="nil"/>
            </w:tcBorders>
            <w:shd w:val="solid" w:color="FFFFFF" w:fill="auto"/>
          </w:tcPr>
          <w:p w:rsidR="00116054" w:rsidRPr="00023B72" w:rsidRDefault="00116054" w:rsidP="00023B72">
            <w:pPr>
              <w:pStyle w:val="Tabletext"/>
              <w:rPr>
                <w:rFonts w:eastAsiaTheme="minorEastAsia"/>
                <w:lang w:eastAsia="en-AU"/>
              </w:rPr>
            </w:pPr>
            <w:r w:rsidRPr="00023B72">
              <w:rPr>
                <w:rFonts w:eastAsiaTheme="minorEastAsia"/>
                <w:lang w:eastAsia="en-AU"/>
              </w:rPr>
              <w:t>Superannuation liability</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25.7</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30.8</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29.8</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28.7</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28.1</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27.0</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lang w:eastAsia="en-AU"/>
              </w:rPr>
            </w:pPr>
            <w:r w:rsidRPr="00023B72">
              <w:rPr>
                <w:rFonts w:eastAsiaTheme="minorEastAsia"/>
                <w:b/>
                <w:bCs/>
                <w:lang w:eastAsia="en-AU"/>
              </w:rPr>
              <w:t>Net debt plus superannuation liability</w:t>
            </w:r>
          </w:p>
        </w:tc>
        <w:tc>
          <w:tcPr>
            <w:tcW w:w="892" w:type="dxa"/>
            <w:tcBorders>
              <w:top w:val="single" w:sz="6"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46.9</w:t>
            </w:r>
          </w:p>
        </w:tc>
        <w:tc>
          <w:tcPr>
            <w:tcW w:w="892" w:type="dxa"/>
            <w:gridSpan w:val="2"/>
            <w:tcBorders>
              <w:top w:val="single" w:sz="6"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52.0</w:t>
            </w:r>
          </w:p>
        </w:tc>
        <w:tc>
          <w:tcPr>
            <w:tcW w:w="893" w:type="dxa"/>
            <w:gridSpan w:val="2"/>
            <w:tcBorders>
              <w:top w:val="single" w:sz="6"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46.7</w:t>
            </w:r>
          </w:p>
        </w:tc>
        <w:tc>
          <w:tcPr>
            <w:tcW w:w="893" w:type="dxa"/>
            <w:tcBorders>
              <w:top w:val="single" w:sz="6"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47.9</w:t>
            </w:r>
          </w:p>
        </w:tc>
        <w:tc>
          <w:tcPr>
            <w:tcW w:w="893" w:type="dxa"/>
            <w:gridSpan w:val="4"/>
            <w:tcBorders>
              <w:top w:val="single" w:sz="6"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47.5</w:t>
            </w:r>
          </w:p>
        </w:tc>
        <w:tc>
          <w:tcPr>
            <w:tcW w:w="893" w:type="dxa"/>
            <w:tcBorders>
              <w:top w:val="single" w:sz="6" w:space="0" w:color="auto"/>
              <w:left w:val="nil"/>
              <w:bottom w:val="nil"/>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46.9</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vertAlign w:val="superscript"/>
                <w:lang w:eastAsia="en-AU"/>
              </w:rPr>
            </w:pPr>
            <w:r w:rsidRPr="00023B72">
              <w:rPr>
                <w:rFonts w:eastAsiaTheme="minorEastAsia"/>
                <w:lang w:eastAsia="en-AU"/>
              </w:rPr>
              <w:t xml:space="preserve">Other liabilities (net) </w:t>
            </w:r>
            <w:r w:rsidRPr="00023B72">
              <w:rPr>
                <w:rFonts w:eastAsiaTheme="minorEastAsia"/>
                <w:vertAlign w:val="superscript"/>
                <w:lang w:eastAsia="en-AU"/>
              </w:rPr>
              <w:t>(b)</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6.7</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7.6</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7.1</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7.3</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7.5</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 xml:space="preserve"> 7.4</w:t>
            </w:r>
          </w:p>
        </w:tc>
      </w:tr>
      <w:tr w:rsidR="00116054" w:rsidRPr="00023B72" w:rsidTr="0088203F">
        <w:trPr>
          <w:cantSplit/>
        </w:trPr>
        <w:tc>
          <w:tcPr>
            <w:tcW w:w="2420"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text"/>
              <w:rPr>
                <w:rFonts w:eastAsiaTheme="minorEastAsia"/>
                <w:b/>
                <w:bCs/>
                <w:vertAlign w:val="superscript"/>
                <w:lang w:eastAsia="en-AU"/>
              </w:rPr>
            </w:pPr>
            <w:r w:rsidRPr="00023B72">
              <w:rPr>
                <w:rFonts w:eastAsiaTheme="minorEastAsia"/>
                <w:b/>
                <w:bCs/>
                <w:lang w:eastAsia="en-AU"/>
              </w:rPr>
              <w:t xml:space="preserve">Net financial liabilities </w:t>
            </w:r>
            <w:r w:rsidRPr="00023B72">
              <w:rPr>
                <w:rFonts w:eastAsiaTheme="minorEastAsia"/>
                <w:b/>
                <w:bCs/>
                <w:vertAlign w:val="superscript"/>
                <w:lang w:eastAsia="en-AU"/>
              </w:rPr>
              <w:t>(c)</w:t>
            </w:r>
          </w:p>
        </w:tc>
        <w:tc>
          <w:tcPr>
            <w:tcW w:w="892"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53.5</w:t>
            </w:r>
          </w:p>
        </w:tc>
        <w:tc>
          <w:tcPr>
            <w:tcW w:w="892" w:type="dxa"/>
            <w:gridSpan w:val="2"/>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59.6</w:t>
            </w:r>
          </w:p>
        </w:tc>
        <w:tc>
          <w:tcPr>
            <w:tcW w:w="893" w:type="dxa"/>
            <w:gridSpan w:val="2"/>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53.8</w:t>
            </w:r>
          </w:p>
        </w:tc>
        <w:tc>
          <w:tcPr>
            <w:tcW w:w="893"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55.3</w:t>
            </w:r>
          </w:p>
        </w:tc>
        <w:tc>
          <w:tcPr>
            <w:tcW w:w="893" w:type="dxa"/>
            <w:gridSpan w:val="4"/>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55.0</w:t>
            </w:r>
          </w:p>
        </w:tc>
        <w:tc>
          <w:tcPr>
            <w:tcW w:w="893" w:type="dxa"/>
            <w:tcBorders>
              <w:top w:val="single" w:sz="6" w:space="0" w:color="auto"/>
              <w:left w:val="nil"/>
              <w:bottom w:val="single" w:sz="6" w:space="0" w:color="auto"/>
              <w:right w:val="nil"/>
            </w:tcBorders>
            <w:shd w:val="solid" w:color="FFFFFF" w:fill="auto"/>
          </w:tcPr>
          <w:p w:rsidR="00116054" w:rsidRPr="00023B72" w:rsidRDefault="00116054" w:rsidP="00023B72">
            <w:pPr>
              <w:pStyle w:val="TableofFigures"/>
              <w:rPr>
                <w:rFonts w:eastAsiaTheme="minorEastAsia"/>
                <w:b/>
                <w:bCs/>
                <w:color w:val="000000"/>
                <w:lang w:eastAsia="en-AU"/>
              </w:rPr>
            </w:pPr>
            <w:r w:rsidRPr="00023B72">
              <w:rPr>
                <w:rFonts w:eastAsiaTheme="minorEastAsia"/>
                <w:b/>
                <w:bCs/>
                <w:color w:val="000000"/>
                <w:lang w:eastAsia="en-AU"/>
              </w:rPr>
              <w:t xml:space="preserve"> 54.3</w:t>
            </w:r>
          </w:p>
        </w:tc>
      </w:tr>
      <w:tr w:rsidR="00116054" w:rsidRPr="00023B72" w:rsidTr="0088203F">
        <w:trPr>
          <w:cantSplit/>
        </w:trPr>
        <w:tc>
          <w:tcPr>
            <w:tcW w:w="3434" w:type="dxa"/>
            <w:gridSpan w:val="3"/>
            <w:tcBorders>
              <w:top w:val="nil"/>
              <w:left w:val="nil"/>
              <w:bottom w:val="nil"/>
              <w:right w:val="nil"/>
            </w:tcBorders>
            <w:shd w:val="solid" w:color="FFFFFF" w:fill="auto"/>
          </w:tcPr>
          <w:p w:rsidR="00116054" w:rsidRPr="00023B72" w:rsidRDefault="00116054" w:rsidP="0088203F">
            <w:pPr>
              <w:pStyle w:val="million"/>
              <w:rPr>
                <w:rFonts w:eastAsiaTheme="minorEastAsia"/>
                <w:lang w:eastAsia="en-AU"/>
              </w:rPr>
            </w:pPr>
            <w:r w:rsidRPr="00023B72">
              <w:rPr>
                <w:rFonts w:eastAsiaTheme="minorEastAsia"/>
                <w:lang w:eastAsia="en-AU"/>
              </w:rPr>
              <w:t xml:space="preserve"> </w:t>
            </w:r>
          </w:p>
        </w:tc>
        <w:tc>
          <w:tcPr>
            <w:tcW w:w="990" w:type="dxa"/>
            <w:gridSpan w:val="2"/>
            <w:tcBorders>
              <w:top w:val="nil"/>
              <w:left w:val="nil"/>
              <w:bottom w:val="nil"/>
              <w:right w:val="nil"/>
            </w:tcBorders>
            <w:shd w:val="solid" w:color="FFFFFF" w:fill="auto"/>
          </w:tcPr>
          <w:p w:rsidR="00116054" w:rsidRPr="00023B72" w:rsidRDefault="00116054" w:rsidP="0088203F">
            <w:pPr>
              <w:pStyle w:val="million"/>
              <w:rPr>
                <w:rFonts w:eastAsiaTheme="minorEastAsia"/>
                <w:color w:val="000000"/>
                <w:lang w:eastAsia="en-AU"/>
              </w:rPr>
            </w:pPr>
            <w:r w:rsidRPr="00023B72">
              <w:rPr>
                <w:rFonts w:eastAsiaTheme="minorEastAsia"/>
                <w:color w:val="000000"/>
                <w:lang w:eastAsia="en-AU"/>
              </w:rPr>
              <w:t>(per cent)</w:t>
            </w:r>
          </w:p>
        </w:tc>
        <w:tc>
          <w:tcPr>
            <w:tcW w:w="1964" w:type="dxa"/>
            <w:gridSpan w:val="3"/>
            <w:tcBorders>
              <w:top w:val="nil"/>
              <w:left w:val="nil"/>
              <w:bottom w:val="nil"/>
              <w:right w:val="nil"/>
            </w:tcBorders>
            <w:shd w:val="solid" w:color="FFFFFF" w:fill="auto"/>
          </w:tcPr>
          <w:p w:rsidR="00116054" w:rsidRPr="00023B72" w:rsidRDefault="00116054" w:rsidP="0088203F">
            <w:pPr>
              <w:pStyle w:val="million"/>
              <w:rPr>
                <w:rFonts w:eastAsiaTheme="minorEastAsia"/>
                <w:color w:val="000000"/>
                <w:lang w:eastAsia="en-AU"/>
              </w:rPr>
            </w:pPr>
            <w:r>
              <w:rPr>
                <w:rFonts w:eastAsiaTheme="minorEastAsia"/>
                <w:color w:val="000000"/>
                <w:lang w:eastAsia="en-AU"/>
              </w:rPr>
              <w:t xml:space="preserve"> </w:t>
            </w:r>
            <w:r w:rsidRPr="00023B72">
              <w:rPr>
                <w:rFonts w:eastAsiaTheme="minorEastAsia"/>
                <w:color w:val="000000"/>
                <w:lang w:eastAsia="en-AU"/>
              </w:rPr>
              <w:t xml:space="preserve"> </w:t>
            </w:r>
          </w:p>
        </w:tc>
        <w:tc>
          <w:tcPr>
            <w:tcW w:w="106" w:type="dxa"/>
            <w:tcBorders>
              <w:top w:val="nil"/>
              <w:left w:val="nil"/>
              <w:bottom w:val="nil"/>
              <w:right w:val="nil"/>
            </w:tcBorders>
            <w:shd w:val="solid" w:color="FFFFFF" w:fill="auto"/>
          </w:tcPr>
          <w:p w:rsidR="00116054" w:rsidRPr="00023B72" w:rsidRDefault="00116054" w:rsidP="0088203F">
            <w:pPr>
              <w:pStyle w:val="million"/>
              <w:rPr>
                <w:rFonts w:eastAsiaTheme="minorEastAsia"/>
                <w:color w:val="000000"/>
                <w:lang w:eastAsia="en-AU"/>
              </w:rPr>
            </w:pPr>
            <w:r>
              <w:rPr>
                <w:rFonts w:eastAsiaTheme="minorEastAsia"/>
                <w:color w:val="000000"/>
                <w:lang w:eastAsia="en-AU"/>
              </w:rPr>
              <w:t xml:space="preserve"> </w:t>
            </w:r>
            <w:r w:rsidRPr="00023B72">
              <w:rPr>
                <w:rFonts w:eastAsiaTheme="minorEastAsia"/>
                <w:color w:val="000000"/>
                <w:lang w:eastAsia="en-AU"/>
              </w:rPr>
              <w:t xml:space="preserve"> </w:t>
            </w:r>
          </w:p>
        </w:tc>
        <w:tc>
          <w:tcPr>
            <w:tcW w:w="270" w:type="dxa"/>
            <w:tcBorders>
              <w:top w:val="nil"/>
              <w:left w:val="nil"/>
              <w:bottom w:val="nil"/>
              <w:right w:val="nil"/>
            </w:tcBorders>
            <w:shd w:val="solid" w:color="FFFFFF" w:fill="auto"/>
          </w:tcPr>
          <w:p w:rsidR="00116054" w:rsidRPr="00023B72" w:rsidRDefault="00116054" w:rsidP="0088203F">
            <w:pPr>
              <w:pStyle w:val="million"/>
              <w:rPr>
                <w:rFonts w:eastAsiaTheme="minorEastAsia"/>
                <w:color w:val="000000"/>
                <w:lang w:eastAsia="en-AU"/>
              </w:rPr>
            </w:pPr>
            <w:r>
              <w:rPr>
                <w:rFonts w:eastAsiaTheme="minorEastAsia"/>
                <w:color w:val="000000"/>
                <w:lang w:eastAsia="en-AU"/>
              </w:rPr>
              <w:t xml:space="preserve"> </w:t>
            </w:r>
            <w:r w:rsidRPr="00023B72">
              <w:rPr>
                <w:rFonts w:eastAsiaTheme="minorEastAsia"/>
                <w:color w:val="000000"/>
                <w:lang w:eastAsia="en-AU"/>
              </w:rPr>
              <w:t xml:space="preserve"> </w:t>
            </w:r>
          </w:p>
        </w:tc>
        <w:tc>
          <w:tcPr>
            <w:tcW w:w="119" w:type="dxa"/>
            <w:tcBorders>
              <w:top w:val="nil"/>
              <w:left w:val="nil"/>
              <w:bottom w:val="nil"/>
              <w:right w:val="nil"/>
            </w:tcBorders>
            <w:shd w:val="solid" w:color="FFFFFF" w:fill="auto"/>
          </w:tcPr>
          <w:p w:rsidR="00116054" w:rsidRPr="00023B72" w:rsidRDefault="00116054" w:rsidP="0088203F">
            <w:pPr>
              <w:pStyle w:val="million"/>
              <w:rPr>
                <w:rFonts w:eastAsiaTheme="minorEastAsia"/>
                <w:color w:val="000000"/>
                <w:lang w:eastAsia="en-AU"/>
              </w:rPr>
            </w:pPr>
            <w:r>
              <w:rPr>
                <w:rFonts w:eastAsiaTheme="minorEastAsia"/>
                <w:color w:val="000000"/>
                <w:lang w:eastAsia="en-AU"/>
              </w:rPr>
              <w:t xml:space="preserve"> </w:t>
            </w:r>
            <w:r w:rsidRPr="00023B72">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116054" w:rsidRPr="00023B72" w:rsidRDefault="00116054" w:rsidP="0088203F">
            <w:pPr>
              <w:pStyle w:val="million"/>
              <w:rPr>
                <w:rFonts w:eastAsiaTheme="minorEastAsia"/>
                <w:color w:val="000000"/>
                <w:lang w:eastAsia="en-AU"/>
              </w:rPr>
            </w:pPr>
            <w:r>
              <w:rPr>
                <w:rFonts w:eastAsiaTheme="minorEastAsia"/>
                <w:color w:val="000000"/>
                <w:lang w:eastAsia="en-AU"/>
              </w:rPr>
              <w:t xml:space="preserve"> </w:t>
            </w:r>
            <w:r w:rsidRPr="00023B72">
              <w:rPr>
                <w:rFonts w:eastAsiaTheme="minorEastAsia"/>
                <w:color w:val="000000"/>
                <w:lang w:eastAsia="en-AU"/>
              </w:rPr>
              <w:t xml:space="preserve"> </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vertAlign w:val="superscript"/>
                <w:lang w:eastAsia="en-AU"/>
              </w:rPr>
            </w:pPr>
            <w:r w:rsidRPr="00023B72">
              <w:rPr>
                <w:rFonts w:eastAsiaTheme="minorEastAsia"/>
                <w:b/>
                <w:bCs/>
                <w:lang w:eastAsia="en-AU"/>
              </w:rPr>
              <w:t xml:space="preserve">Net debt to GSP </w:t>
            </w:r>
            <w:r w:rsidRPr="00023B72">
              <w:rPr>
                <w:rFonts w:eastAsiaTheme="minorEastAsia"/>
                <w:b/>
                <w:bCs/>
                <w:vertAlign w:val="superscript"/>
                <w:lang w:eastAsia="en-AU"/>
              </w:rPr>
              <w:t>(d)</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6.0</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5.8</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4.4</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4.8</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4.6</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4.4</w:t>
            </w:r>
          </w:p>
        </w:tc>
      </w:tr>
      <w:tr w:rsidR="00116054" w:rsidRPr="00023B72" w:rsidTr="0088203F">
        <w:trPr>
          <w:cantSplit/>
        </w:trPr>
        <w:tc>
          <w:tcPr>
            <w:tcW w:w="2420" w:type="dxa"/>
            <w:tcBorders>
              <w:top w:val="nil"/>
              <w:left w:val="nil"/>
              <w:bottom w:val="nil"/>
              <w:right w:val="nil"/>
            </w:tcBorders>
            <w:shd w:val="solid" w:color="FFFFFF" w:fill="auto"/>
          </w:tcPr>
          <w:p w:rsidR="00116054" w:rsidRPr="00023B72" w:rsidRDefault="00116054" w:rsidP="00023B72">
            <w:pPr>
              <w:pStyle w:val="Tabletext"/>
              <w:rPr>
                <w:rFonts w:eastAsiaTheme="minorEastAsia"/>
                <w:b/>
                <w:bCs/>
                <w:vertAlign w:val="superscript"/>
                <w:lang w:eastAsia="en-AU"/>
              </w:rPr>
            </w:pPr>
            <w:r w:rsidRPr="00023B72">
              <w:rPr>
                <w:rFonts w:eastAsiaTheme="minorEastAsia"/>
                <w:b/>
                <w:bCs/>
                <w:lang w:eastAsia="en-AU"/>
              </w:rPr>
              <w:t xml:space="preserve">Net debt plus superannuation liability to GSP </w:t>
            </w:r>
            <w:r w:rsidRPr="00023B72">
              <w:rPr>
                <w:rFonts w:eastAsiaTheme="minorEastAsia"/>
                <w:b/>
                <w:bCs/>
                <w:vertAlign w:val="superscript"/>
                <w:lang w:eastAsia="en-AU"/>
              </w:rPr>
              <w:t>(d)</w:t>
            </w:r>
          </w:p>
        </w:tc>
        <w:tc>
          <w:tcPr>
            <w:tcW w:w="892"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13.4</w:t>
            </w:r>
          </w:p>
        </w:tc>
        <w:tc>
          <w:tcPr>
            <w:tcW w:w="892"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14.3</w:t>
            </w:r>
          </w:p>
        </w:tc>
        <w:tc>
          <w:tcPr>
            <w:tcW w:w="893" w:type="dxa"/>
            <w:gridSpan w:val="2"/>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12.2</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11.8</w:t>
            </w:r>
          </w:p>
        </w:tc>
        <w:tc>
          <w:tcPr>
            <w:tcW w:w="893" w:type="dxa"/>
            <w:gridSpan w:val="4"/>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11.1</w:t>
            </w:r>
          </w:p>
        </w:tc>
        <w:tc>
          <w:tcPr>
            <w:tcW w:w="893" w:type="dxa"/>
            <w:tcBorders>
              <w:top w:val="nil"/>
              <w:left w:val="nil"/>
              <w:bottom w:val="nil"/>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10.4</w:t>
            </w:r>
          </w:p>
        </w:tc>
      </w:tr>
      <w:tr w:rsidR="00116054" w:rsidRPr="00023B72" w:rsidTr="0088203F">
        <w:trPr>
          <w:cantSplit/>
        </w:trPr>
        <w:tc>
          <w:tcPr>
            <w:tcW w:w="2420" w:type="dxa"/>
            <w:tcBorders>
              <w:top w:val="nil"/>
              <w:left w:val="nil"/>
              <w:bottom w:val="single" w:sz="12" w:space="0" w:color="auto"/>
              <w:right w:val="nil"/>
            </w:tcBorders>
            <w:shd w:val="solid" w:color="FFFFFF" w:fill="auto"/>
          </w:tcPr>
          <w:p w:rsidR="00116054" w:rsidRPr="00023B72" w:rsidRDefault="00116054" w:rsidP="00023B72">
            <w:pPr>
              <w:pStyle w:val="Tabletext"/>
              <w:rPr>
                <w:rFonts w:eastAsiaTheme="minorEastAsia"/>
                <w:b/>
                <w:bCs/>
                <w:vertAlign w:val="superscript"/>
                <w:lang w:eastAsia="en-AU"/>
              </w:rPr>
            </w:pPr>
            <w:r w:rsidRPr="00023B72">
              <w:rPr>
                <w:rFonts w:eastAsiaTheme="minorEastAsia"/>
                <w:b/>
                <w:bCs/>
                <w:lang w:eastAsia="en-AU"/>
              </w:rPr>
              <w:t xml:space="preserve">Net financial liabilities to GSP </w:t>
            </w:r>
            <w:r w:rsidRPr="00023B72">
              <w:rPr>
                <w:rFonts w:eastAsiaTheme="minorEastAsia"/>
                <w:b/>
                <w:bCs/>
                <w:vertAlign w:val="superscript"/>
                <w:lang w:eastAsia="en-AU"/>
              </w:rPr>
              <w:t>(d)</w:t>
            </w:r>
          </w:p>
        </w:tc>
        <w:tc>
          <w:tcPr>
            <w:tcW w:w="892" w:type="dxa"/>
            <w:tcBorders>
              <w:top w:val="nil"/>
              <w:left w:val="nil"/>
              <w:bottom w:val="single" w:sz="12"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15.3</w:t>
            </w:r>
          </w:p>
        </w:tc>
        <w:tc>
          <w:tcPr>
            <w:tcW w:w="892" w:type="dxa"/>
            <w:gridSpan w:val="2"/>
            <w:tcBorders>
              <w:top w:val="nil"/>
              <w:left w:val="nil"/>
              <w:bottom w:val="single" w:sz="12"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16.4</w:t>
            </w:r>
          </w:p>
        </w:tc>
        <w:tc>
          <w:tcPr>
            <w:tcW w:w="893" w:type="dxa"/>
            <w:gridSpan w:val="2"/>
            <w:tcBorders>
              <w:top w:val="nil"/>
              <w:left w:val="nil"/>
              <w:bottom w:val="single" w:sz="12"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14.0</w:t>
            </w:r>
          </w:p>
        </w:tc>
        <w:tc>
          <w:tcPr>
            <w:tcW w:w="893" w:type="dxa"/>
            <w:tcBorders>
              <w:top w:val="nil"/>
              <w:left w:val="nil"/>
              <w:bottom w:val="single" w:sz="12"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13.6</w:t>
            </w:r>
          </w:p>
        </w:tc>
        <w:tc>
          <w:tcPr>
            <w:tcW w:w="893" w:type="dxa"/>
            <w:gridSpan w:val="4"/>
            <w:tcBorders>
              <w:top w:val="nil"/>
              <w:left w:val="nil"/>
              <w:bottom w:val="single" w:sz="12"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12.9</w:t>
            </w:r>
          </w:p>
        </w:tc>
        <w:tc>
          <w:tcPr>
            <w:tcW w:w="893" w:type="dxa"/>
            <w:tcBorders>
              <w:top w:val="nil"/>
              <w:left w:val="nil"/>
              <w:bottom w:val="single" w:sz="12" w:space="0" w:color="auto"/>
              <w:right w:val="nil"/>
            </w:tcBorders>
            <w:shd w:val="solid" w:color="FFFFFF" w:fill="auto"/>
          </w:tcPr>
          <w:p w:rsidR="00116054" w:rsidRPr="00023B72" w:rsidRDefault="00116054" w:rsidP="00023B72">
            <w:pPr>
              <w:pStyle w:val="TableofFigures"/>
              <w:rPr>
                <w:rFonts w:eastAsiaTheme="minorEastAsia"/>
                <w:color w:val="000000"/>
                <w:lang w:eastAsia="en-AU"/>
              </w:rPr>
            </w:pPr>
            <w:r w:rsidRPr="00023B72">
              <w:rPr>
                <w:rFonts w:eastAsiaTheme="minorEastAsia"/>
                <w:color w:val="000000"/>
                <w:lang w:eastAsia="en-AU"/>
              </w:rPr>
              <w:t>12.1</w:t>
            </w:r>
          </w:p>
        </w:tc>
      </w:tr>
    </w:tbl>
    <w:p w:rsidR="00116054" w:rsidRPr="007E4E2E" w:rsidRDefault="00116054" w:rsidP="00ED3744">
      <w:pPr>
        <w:pStyle w:val="Source"/>
      </w:pPr>
      <w:r w:rsidRPr="007E4E2E">
        <w:t>Source: Department of Treasury and Finance</w:t>
      </w:r>
      <w:r>
        <w:fldChar w:fldCharType="begin"/>
      </w:r>
      <w:r>
        <w:instrText xml:space="preserve"> XE "</w:instrText>
      </w:r>
      <w:proofErr w:type="spellStart"/>
      <w:r w:rsidRPr="00D45981">
        <w:instrText>Superannuation:Liability</w:instrText>
      </w:r>
      <w:proofErr w:type="spellEnd"/>
      <w:r>
        <w:instrText xml:space="preserve">" \r "BP2SuperLiab" </w:instrText>
      </w:r>
      <w:r>
        <w:fldChar w:fldCharType="end"/>
      </w:r>
    </w:p>
    <w:p w:rsidR="00116054" w:rsidRPr="007E4E2E" w:rsidRDefault="00116054" w:rsidP="00ED3744">
      <w:pPr>
        <w:pStyle w:val="Notes"/>
      </w:pPr>
      <w:r w:rsidRPr="007E4E2E">
        <w:t>Notes:</w:t>
      </w:r>
    </w:p>
    <w:p w:rsidR="00116054" w:rsidRPr="007E4E2E" w:rsidRDefault="00116054" w:rsidP="00ED3744">
      <w:pPr>
        <w:pStyle w:val="Notes"/>
      </w:pPr>
      <w:r w:rsidRPr="007E4E2E">
        <w:t>(a)</w:t>
      </w:r>
      <w:r w:rsidRPr="007E4E2E">
        <w:tab/>
        <w:t>Net debt is the sum of deposits held, advances received and borrowings</w:t>
      </w:r>
      <w:r>
        <w:t>,</w:t>
      </w:r>
      <w:r w:rsidRPr="007E4E2E">
        <w:t xml:space="preserve"> less the sum of cash, deposits, advances paid and investments, loans and placements.</w:t>
      </w:r>
    </w:p>
    <w:p w:rsidR="00116054" w:rsidRPr="007E4E2E" w:rsidRDefault="00116054" w:rsidP="00ED3744">
      <w:pPr>
        <w:pStyle w:val="Notes"/>
      </w:pPr>
      <w:r w:rsidRPr="007E4E2E">
        <w:t>(b)</w:t>
      </w:r>
      <w:r w:rsidRPr="007E4E2E">
        <w:tab/>
        <w:t>Includes other employee entitlements and provisions and liabilities, less other non</w:t>
      </w:r>
      <w:r>
        <w:noBreakHyphen/>
      </w:r>
      <w:r w:rsidRPr="007E4E2E">
        <w:t>equity financial assets.</w:t>
      </w:r>
    </w:p>
    <w:p w:rsidR="00116054" w:rsidRPr="007E4E2E" w:rsidRDefault="00116054" w:rsidP="00ED3744">
      <w:pPr>
        <w:pStyle w:val="Notes"/>
      </w:pPr>
      <w:r w:rsidRPr="007E4E2E">
        <w:t>(c)</w:t>
      </w:r>
      <w:r w:rsidRPr="007E4E2E">
        <w:tab/>
        <w:t>Net financial liabilities are the sum of superannuation, borrowings and other liabilities less other non</w:t>
      </w:r>
      <w:r>
        <w:noBreakHyphen/>
      </w:r>
      <w:r w:rsidRPr="007E4E2E">
        <w:t>equity financial assets.</w:t>
      </w:r>
    </w:p>
    <w:p w:rsidR="00116054" w:rsidRPr="007E4E2E" w:rsidRDefault="00116054" w:rsidP="00ED3744">
      <w:pPr>
        <w:pStyle w:val="Notes"/>
      </w:pPr>
      <w:r w:rsidRPr="007E4E2E">
        <w:t xml:space="preserve">(d) </w:t>
      </w:r>
      <w:r w:rsidRPr="007E4E2E">
        <w:tab/>
        <w:t>Ratios to GSP may vary from publications year to year due to revisions to the ABS GSP data.</w:t>
      </w:r>
      <w:r>
        <w:fldChar w:fldCharType="begin"/>
      </w:r>
      <w:r>
        <w:instrText xml:space="preserve"> XE "</w:instrText>
      </w:r>
      <w:r w:rsidRPr="002159AD">
        <w:instrText>Net financial liabilities</w:instrText>
      </w:r>
      <w:r>
        <w:instrText xml:space="preserve">" \r "BP2Ch4NetFinLiabs" </w:instrText>
      </w:r>
      <w:r>
        <w:fldChar w:fldCharType="end"/>
      </w:r>
    </w:p>
    <w:p w:rsidR="00116054" w:rsidRDefault="00116054">
      <w:pPr>
        <w:spacing w:after="0"/>
        <w:rPr>
          <w:rFonts w:ascii="Calibri" w:hAnsi="Calibri"/>
          <w:b/>
          <w:caps/>
          <w:sz w:val="26"/>
          <w:szCs w:val="22"/>
        </w:rPr>
      </w:pPr>
      <w:bookmarkStart w:id="88" w:name="_Toc401056873"/>
      <w:bookmarkStart w:id="89" w:name="_Toc401147495"/>
      <w:bookmarkStart w:id="90" w:name="_Toc403386690"/>
      <w:bookmarkStart w:id="91" w:name="_Toc406162091"/>
      <w:bookmarkStart w:id="92" w:name="_Toc406670374"/>
      <w:bookmarkStart w:id="93" w:name="_Toc418081699"/>
      <w:bookmarkStart w:id="94" w:name="_Toc418255149"/>
      <w:bookmarkStart w:id="95" w:name="BP2FiscalRisks"/>
      <w:bookmarkEnd w:id="86"/>
      <w:bookmarkEnd w:id="87"/>
      <w:r>
        <w:br w:type="page"/>
      </w:r>
    </w:p>
    <w:p w:rsidR="00116054" w:rsidRPr="007E4E2E" w:rsidRDefault="00116054" w:rsidP="00ED3744">
      <w:pPr>
        <w:pStyle w:val="Heading1"/>
      </w:pPr>
      <w:r w:rsidRPr="007E4E2E">
        <w:lastRenderedPageBreak/>
        <w:t>Fiscal risks</w:t>
      </w:r>
      <w:bookmarkEnd w:id="88"/>
      <w:bookmarkEnd w:id="89"/>
      <w:bookmarkEnd w:id="90"/>
      <w:bookmarkEnd w:id="91"/>
      <w:bookmarkEnd w:id="92"/>
      <w:bookmarkEnd w:id="93"/>
      <w:bookmarkEnd w:id="94"/>
    </w:p>
    <w:p w:rsidR="00116054" w:rsidRPr="007E4E2E" w:rsidRDefault="00116054" w:rsidP="005E6747">
      <w:r w:rsidRPr="007E4E2E">
        <w:t>This section contains a number of known risks, which if realised, are likely to impact on the State</w:t>
      </w:r>
      <w:r>
        <w:t>’</w:t>
      </w:r>
      <w:r w:rsidRPr="007E4E2E">
        <w:t xml:space="preserve">s financial position and budget outcomes. </w:t>
      </w:r>
    </w:p>
    <w:p w:rsidR="00116054" w:rsidRPr="007E4E2E" w:rsidRDefault="00116054" w:rsidP="005E6747">
      <w:r w:rsidRPr="007E4E2E">
        <w:t>Details of specific contingent assets and liabilities, defined as possible assets or liabilities that arise from past events, whose existence will be confirmed only by the occurrence or non</w:t>
      </w:r>
      <w:r>
        <w:noBreakHyphen/>
      </w:r>
      <w:r w:rsidRPr="007E4E2E">
        <w:t xml:space="preserve">occurrence of one or more uncertain future events not wholly within the control of the entity, are contained within Budget Paper </w:t>
      </w:r>
      <w:r>
        <w:t>No. </w:t>
      </w:r>
      <w:r w:rsidRPr="007E4E2E">
        <w:t xml:space="preserve">5, </w:t>
      </w:r>
      <w:r>
        <w:t>Chapter </w:t>
      </w:r>
      <w:r w:rsidRPr="007E4E2E">
        <w:t xml:space="preserve">6 </w:t>
      </w:r>
      <w:r w:rsidRPr="007E4E2E">
        <w:rPr>
          <w:i/>
        </w:rPr>
        <w:t>Contingent assets and contingent liabilities</w:t>
      </w:r>
      <w:r w:rsidRPr="007E4E2E">
        <w:t>.</w:t>
      </w:r>
    </w:p>
    <w:p w:rsidR="00116054" w:rsidRPr="007E4E2E" w:rsidRDefault="00116054" w:rsidP="002B0452">
      <w:pPr>
        <w:pStyle w:val="Heading2"/>
      </w:pPr>
      <w:r w:rsidRPr="002B0452">
        <w:t>General</w:t>
      </w:r>
      <w:r w:rsidRPr="007E4E2E">
        <w:t xml:space="preserve"> fiscal risks</w:t>
      </w:r>
    </w:p>
    <w:p w:rsidR="00116054" w:rsidRPr="007E4E2E" w:rsidRDefault="00116054" w:rsidP="002B0452">
      <w:pPr>
        <w:pStyle w:val="Heading3"/>
      </w:pPr>
      <w:r w:rsidRPr="002B0452">
        <w:t>State</w:t>
      </w:r>
      <w:r w:rsidRPr="007E4E2E">
        <w:t xml:space="preserve"> taxes</w:t>
      </w:r>
    </w:p>
    <w:p w:rsidR="00116054" w:rsidRPr="007E4E2E" w:rsidRDefault="00116054" w:rsidP="00AF0B64">
      <w:r w:rsidRPr="007E4E2E">
        <w:t>State tax forecasts are primarily based on an estimated relationship between taxation revenue</w:t>
      </w:r>
      <w:r>
        <w:fldChar w:fldCharType="begin"/>
      </w:r>
      <w:r>
        <w:instrText xml:space="preserve"> XE "</w:instrText>
      </w:r>
      <w:proofErr w:type="spellStart"/>
      <w:r w:rsidRPr="00CA2E35">
        <w:instrText>Taxation:Revenue</w:instrText>
      </w:r>
      <w:proofErr w:type="spellEnd"/>
      <w:r>
        <w:instrText xml:space="preserve">" </w:instrText>
      </w:r>
      <w:r>
        <w:fldChar w:fldCharType="end"/>
      </w:r>
      <w:r w:rsidRPr="007E4E2E">
        <w:t xml:space="preserve"> and projected economic variables. As a result, the main source of risk to the taxation estimates is the economic environment.</w:t>
      </w:r>
    </w:p>
    <w:p w:rsidR="00116054" w:rsidRPr="007E4E2E" w:rsidRDefault="00116054" w:rsidP="00AF0B64">
      <w:r w:rsidRPr="007E4E2E">
        <w:t>For example, higher than expected economic activity or inflation</w:t>
      </w:r>
      <w:r>
        <w:fldChar w:fldCharType="begin"/>
      </w:r>
      <w:r>
        <w:instrText xml:space="preserve"> XE "</w:instrText>
      </w:r>
      <w:r w:rsidRPr="007B17C2">
        <w:instrText>Inflation</w:instrText>
      </w:r>
      <w:r>
        <w:instrText xml:space="preserve">" </w:instrText>
      </w:r>
      <w:r>
        <w:fldChar w:fldCharType="end"/>
      </w:r>
      <w:r w:rsidRPr="007E4E2E">
        <w:t xml:space="preserve"> will tend to lead to higher taxation revenue. Specific economic risks are presented in </w:t>
      </w:r>
      <w:r>
        <w:t>Chapter </w:t>
      </w:r>
      <w:r w:rsidRPr="007E4E2E">
        <w:t xml:space="preserve">2 </w:t>
      </w:r>
      <w:r w:rsidRPr="00DB40A4">
        <w:rPr>
          <w:i/>
        </w:rPr>
        <w:t>Economic context</w:t>
      </w:r>
      <w:r w:rsidRPr="007E4E2E">
        <w:t xml:space="preserve"> and the fiscal implications of variations in economic parameters from forecasts are considered in </w:t>
      </w:r>
      <w:r>
        <w:t>Appendix A</w:t>
      </w:r>
      <w:r w:rsidRPr="007E4E2E">
        <w:t xml:space="preserve"> </w:t>
      </w:r>
      <w:r w:rsidRPr="00DB40A4">
        <w:rPr>
          <w:i/>
        </w:rPr>
        <w:t>Sensitivity analysis</w:t>
      </w:r>
      <w:r w:rsidRPr="007E4E2E">
        <w:t>.</w:t>
      </w:r>
    </w:p>
    <w:p w:rsidR="00116054" w:rsidRPr="007E4E2E" w:rsidRDefault="00116054" w:rsidP="00AF0B64">
      <w:r w:rsidRPr="007E4E2E">
        <w:t>There is also the risk of changes in the relationship between the economic variables and taxation revenue (such as consumer spending</w:t>
      </w:r>
      <w:r>
        <w:fldChar w:fldCharType="begin"/>
      </w:r>
      <w:r>
        <w:instrText xml:space="preserve"> XE "</w:instrText>
      </w:r>
      <w:r w:rsidRPr="005376CE">
        <w:instrText>Consumer spending</w:instrText>
      </w:r>
      <w:r>
        <w:instrText xml:space="preserve">" </w:instrText>
      </w:r>
      <w:r>
        <w:fldChar w:fldCharType="end"/>
      </w:r>
      <w:r w:rsidRPr="007E4E2E">
        <w:t xml:space="preserve"> and motor vehicle taxes</w:t>
      </w:r>
      <w:r>
        <w:fldChar w:fldCharType="begin"/>
      </w:r>
      <w:r>
        <w:instrText xml:space="preserve"> XE "</w:instrText>
      </w:r>
      <w:r w:rsidRPr="00EF2DF8">
        <w:rPr>
          <w:lang w:val="en-US"/>
        </w:rPr>
        <w:instrText>Taxation:</w:instrText>
      </w:r>
      <w:r w:rsidRPr="00EF2DF8">
        <w:instrText>Motor vehicle</w:instrText>
      </w:r>
      <w:r>
        <w:instrText xml:space="preserve">" </w:instrText>
      </w:r>
      <w:r>
        <w:fldChar w:fldCharType="end"/>
      </w:r>
      <w:r w:rsidRPr="007E4E2E">
        <w:t>, or employment and payroll tax</w:t>
      </w:r>
      <w:r>
        <w:fldChar w:fldCharType="begin"/>
      </w:r>
      <w:r>
        <w:instrText xml:space="preserve"> XE "</w:instrText>
      </w:r>
      <w:r w:rsidRPr="00EF2DF8">
        <w:rPr>
          <w:lang w:val="en-US"/>
        </w:rPr>
        <w:instrText>Taxation:</w:instrText>
      </w:r>
      <w:r>
        <w:instrText xml:space="preserve">Payroll tax" </w:instrText>
      </w:r>
      <w:r>
        <w:fldChar w:fldCharType="end"/>
      </w:r>
      <w:r w:rsidRPr="007E4E2E">
        <w:t>). Some state taxes, such as stamp duty on land transfers, are sourced from relatively volatile tax bases, and revenue from these sources may be subject to substantial annual variations.</w:t>
      </w:r>
    </w:p>
    <w:p w:rsidR="00116054" w:rsidRPr="007E4E2E" w:rsidRDefault="00116054" w:rsidP="00AF0B64">
      <w:r w:rsidRPr="007E4E2E">
        <w:t>The most likely source of risks</w:t>
      </w:r>
      <w:r>
        <w:t xml:space="preserve"> to state tax revenue</w:t>
      </w:r>
      <w:r w:rsidRPr="007E4E2E">
        <w:t xml:space="preserve"> over the forward estimates </w:t>
      </w:r>
      <w:r>
        <w:t>is</w:t>
      </w:r>
      <w:r w:rsidRPr="007E4E2E">
        <w:t xml:space="preserve"> in land transfer duty</w:t>
      </w:r>
      <w:r>
        <w:fldChar w:fldCharType="begin"/>
      </w:r>
      <w:r>
        <w:instrText xml:space="preserve"> XE "</w:instrText>
      </w:r>
      <w:r w:rsidRPr="00292829">
        <w:instrText>Land transfer duty</w:instrText>
      </w:r>
      <w:r>
        <w:instrText xml:space="preserve">" </w:instrText>
      </w:r>
      <w:r>
        <w:fldChar w:fldCharType="end"/>
      </w:r>
      <w:r>
        <w:fldChar w:fldCharType="begin"/>
      </w:r>
      <w:r>
        <w:instrText xml:space="preserve"> XE "</w:instrText>
      </w:r>
      <w:proofErr w:type="spellStart"/>
      <w:r>
        <w:instrText>Taxation:</w:instrText>
      </w:r>
      <w:r w:rsidRPr="00292829">
        <w:instrText>Land</w:instrText>
      </w:r>
      <w:proofErr w:type="spellEnd"/>
      <w:r w:rsidRPr="00292829">
        <w:instrText xml:space="preserve"> transfer duty</w:instrText>
      </w:r>
      <w:r>
        <w:instrText xml:space="preserve">" </w:instrText>
      </w:r>
      <w:r>
        <w:fldChar w:fldCharType="end"/>
      </w:r>
      <w:r w:rsidRPr="007E4E2E">
        <w:t>. A fall in investor sentiment could cause a decline in Australia</w:t>
      </w:r>
      <w:r>
        <w:t>’</w:t>
      </w:r>
      <w:r w:rsidRPr="007E4E2E">
        <w:t>s property m</w:t>
      </w:r>
      <w:r>
        <w:t>arket activity and therefore tax revenue on property transactions.</w:t>
      </w:r>
    </w:p>
    <w:p w:rsidR="00116054" w:rsidRPr="007E4E2E" w:rsidRDefault="00116054" w:rsidP="00F15F23">
      <w:pPr>
        <w:pStyle w:val="Heading3"/>
      </w:pPr>
      <w:r w:rsidRPr="007E4E2E">
        <w:t>Commonwealth grants</w:t>
      </w:r>
    </w:p>
    <w:p w:rsidR="00116054" w:rsidRDefault="00116054" w:rsidP="007B20D4">
      <w:r>
        <w:fldChar w:fldCharType="begin"/>
      </w:r>
      <w:r>
        <w:instrText xml:space="preserve"> XE "</w:instrText>
      </w:r>
      <w:r w:rsidRPr="00964B63">
        <w:rPr>
          <w:lang w:val="en-US"/>
        </w:rPr>
        <w:instrText>Grants:</w:instrText>
      </w:r>
      <w:r w:rsidRPr="00964B63">
        <w:instrText>Commonwealth</w:instrText>
      </w:r>
      <w:r>
        <w:instrText xml:space="preserve">" </w:instrText>
      </w:r>
      <w:r>
        <w:fldChar w:fldCharType="end"/>
      </w:r>
      <w:r>
        <w:t>The distribution of GST grants between the states and territories is determined by the size of the national GST pool and each jurisdiction’s population share weighted by its GST relativity. Changes to national economic conditions</w:t>
      </w:r>
      <w:r>
        <w:fldChar w:fldCharType="begin"/>
      </w:r>
      <w:r>
        <w:instrText xml:space="preserve"> XE "</w:instrText>
      </w:r>
      <w:r w:rsidRPr="00750E38">
        <w:instrText>Economic conditions</w:instrText>
      </w:r>
      <w:r>
        <w:instrText xml:space="preserve">" </w:instrText>
      </w:r>
      <w:r>
        <w:fldChar w:fldCharType="end"/>
      </w:r>
      <w:r>
        <w:t>, particularly regarding consumer spending</w:t>
      </w:r>
      <w:r>
        <w:fldChar w:fldCharType="begin"/>
      </w:r>
      <w:r>
        <w:instrText xml:space="preserve"> XE "</w:instrText>
      </w:r>
      <w:r w:rsidRPr="005376CE">
        <w:instrText>Consumer spending</w:instrText>
      </w:r>
      <w:r>
        <w:instrText xml:space="preserve">" </w:instrText>
      </w:r>
      <w:r>
        <w:fldChar w:fldCharType="end"/>
      </w:r>
      <w:r>
        <w:t xml:space="preserve">, affect the size of the national pool. </w:t>
      </w:r>
    </w:p>
    <w:p w:rsidR="00116054" w:rsidRDefault="00116054" w:rsidP="007B20D4">
      <w:r>
        <w:t>Revenue sharing relativities are determined by the Commonwealth Treasurer, informed by the recommendations of the Commonwealth Grants Commission (CGC). The recommended 2015</w:t>
      </w:r>
      <w:r>
        <w:noBreakHyphen/>
        <w:t xml:space="preserve">16 GST relativities, as advised by the CGC, are discussed in Budget Paper No. 5, Chapter 4 </w:t>
      </w:r>
      <w:r>
        <w:rPr>
          <w:i/>
        </w:rPr>
        <w:t>State r</w:t>
      </w:r>
      <w:r w:rsidRPr="00ED15E1">
        <w:rPr>
          <w:i/>
        </w:rPr>
        <w:t>evenue</w:t>
      </w:r>
      <w:r w:rsidRPr="007B20D4">
        <w:rPr>
          <w:i/>
        </w:rPr>
        <w:t>.</w:t>
      </w:r>
    </w:p>
    <w:p w:rsidR="00116054" w:rsidRDefault="00116054">
      <w:pPr>
        <w:spacing w:after="0"/>
      </w:pPr>
      <w:r>
        <w:br w:type="page"/>
      </w:r>
    </w:p>
    <w:p w:rsidR="00116054" w:rsidRDefault="00116054" w:rsidP="007B20D4">
      <w:r>
        <w:lastRenderedPageBreak/>
        <w:t xml:space="preserve">States also require increased certainty over the handling of tied funding agreements. The </w:t>
      </w:r>
      <w:r w:rsidRPr="00C83188">
        <w:rPr>
          <w:i/>
        </w:rPr>
        <w:t>2014</w:t>
      </w:r>
      <w:r>
        <w:rPr>
          <w:i/>
        </w:rPr>
        <w:noBreakHyphen/>
      </w:r>
      <w:r w:rsidRPr="00C83188">
        <w:rPr>
          <w:i/>
        </w:rPr>
        <w:t>15 Commonwealth Budget</w:t>
      </w:r>
      <w:r w:rsidRPr="007E4E2E">
        <w:t xml:space="preserve"> </w:t>
      </w:r>
      <w:r>
        <w:t>unilaterally reversed existing funding agreements for</w:t>
      </w:r>
      <w:r w:rsidRPr="00C83188">
        <w:t xml:space="preserve"> </w:t>
      </w:r>
      <w:r>
        <w:t xml:space="preserve">the health and education sectors, </w:t>
      </w:r>
      <w:r w:rsidRPr="00C83188">
        <w:t>result</w:t>
      </w:r>
      <w:r>
        <w:t>ing</w:t>
      </w:r>
      <w:r w:rsidRPr="00C83188">
        <w:t xml:space="preserve"> in</w:t>
      </w:r>
      <w:r>
        <w:t xml:space="preserve"> significant cuts</w:t>
      </w:r>
      <w:r w:rsidRPr="00C83188">
        <w:t xml:space="preserve"> </w:t>
      </w:r>
      <w:r>
        <w:t>to Commonwealth funding for core services from 2017</w:t>
      </w:r>
      <w:r>
        <w:noBreakHyphen/>
      </w:r>
      <w:r w:rsidRPr="00C83188">
        <w:t>18</w:t>
      </w:r>
      <w:r>
        <w:t xml:space="preserve"> onwards</w:t>
      </w:r>
      <w:r w:rsidRPr="00C83188">
        <w:t>.</w:t>
      </w:r>
      <w:r>
        <w:t xml:space="preserve"> </w:t>
      </w:r>
    </w:p>
    <w:p w:rsidR="00116054" w:rsidRDefault="00116054" w:rsidP="007B20D4">
      <w:r>
        <w:t xml:space="preserve">The refusal to maintain funding previously agreed, as well as the Commonwealth’s refusal to provide funding certainty for a number of National Partnership agreements scheduled to expire, presents a financial and service delivery risk over coming years. </w:t>
      </w:r>
    </w:p>
    <w:p w:rsidR="00116054" w:rsidRPr="007E4E2E" w:rsidRDefault="00116054" w:rsidP="00ED3744">
      <w:pPr>
        <w:pStyle w:val="Heading3"/>
      </w:pPr>
      <w:r w:rsidRPr="007E4E2E">
        <w:t>Employee expenses</w:t>
      </w:r>
    </w:p>
    <w:p w:rsidR="00116054" w:rsidRPr="007E4E2E" w:rsidRDefault="00116054" w:rsidP="005E6747">
      <w:r w:rsidRPr="007E4E2E">
        <w:t>Employee expenses are the State</w:t>
      </w:r>
      <w:r>
        <w:t>’</w:t>
      </w:r>
      <w:r w:rsidRPr="007E4E2E">
        <w:t>s largest expense. Wages</w:t>
      </w:r>
      <w:r>
        <w:fldChar w:fldCharType="begin"/>
      </w:r>
      <w:r>
        <w:instrText xml:space="preserve"> XE "</w:instrText>
      </w:r>
      <w:r w:rsidRPr="008111AB">
        <w:instrText>Wages</w:instrText>
      </w:r>
      <w:r>
        <w:instrText xml:space="preserve">" </w:instrText>
      </w:r>
      <w:r>
        <w:fldChar w:fldCharType="end"/>
      </w:r>
      <w:r w:rsidRPr="007E4E2E">
        <w:t xml:space="preserve"> policy sets the framework for enterprise agreement negotiations and in part contributes to the projection of employee expenses.</w:t>
      </w:r>
    </w:p>
    <w:p w:rsidR="00116054" w:rsidRPr="007E4E2E" w:rsidRDefault="00116054" w:rsidP="00ED3744">
      <w:pPr>
        <w:pStyle w:val="Heading3"/>
      </w:pPr>
      <w:r w:rsidRPr="007E4E2E">
        <w:t>Demand growth</w:t>
      </w:r>
    </w:p>
    <w:p w:rsidR="00116054" w:rsidRPr="007E4E2E" w:rsidRDefault="00116054" w:rsidP="005E6747">
      <w:r w:rsidRPr="007E4E2E">
        <w:t xml:space="preserve">Another key risk is growth in demand for government services exceeding current projections. This can occur, for example, as a result of higher than forecast population growth or expenditure in response to unforeseen events such as natural disasters, including bushfires and floods. </w:t>
      </w:r>
    </w:p>
    <w:p w:rsidR="00116054" w:rsidRPr="007E4E2E" w:rsidRDefault="00116054" w:rsidP="005E6747">
      <w:r w:rsidRPr="007E4E2E">
        <w:t>The estimates incorporate contingency provisions to mitigate the impact of expenditure risks</w:t>
      </w:r>
      <w:r>
        <w:fldChar w:fldCharType="begin"/>
      </w:r>
      <w:r>
        <w:instrText xml:space="preserve"> XE "</w:instrText>
      </w:r>
      <w:proofErr w:type="spellStart"/>
      <w:r w:rsidRPr="00D86DE4">
        <w:instrText>Risks:Expenditure</w:instrText>
      </w:r>
      <w:proofErr w:type="spellEnd"/>
      <w:r>
        <w:instrText xml:space="preserve">" </w:instrText>
      </w:r>
      <w:r>
        <w:fldChar w:fldCharType="end"/>
      </w:r>
      <w:r w:rsidRPr="007E4E2E">
        <w:t>, which may be realised during the budget and forward estimates. The contingency provisions are designed to address the likely growth in Victoria</w:t>
      </w:r>
      <w:r>
        <w:t>’</w:t>
      </w:r>
      <w:r w:rsidRPr="007E4E2E">
        <w:t>s population</w:t>
      </w:r>
      <w:r>
        <w:fldChar w:fldCharType="begin"/>
      </w:r>
      <w:r>
        <w:instrText xml:space="preserve"> XE "</w:instrText>
      </w:r>
      <w:r w:rsidRPr="008219EA">
        <w:instrText>Population</w:instrText>
      </w:r>
      <w:r>
        <w:instrText xml:space="preserve">" </w:instrText>
      </w:r>
      <w:r>
        <w:fldChar w:fldCharType="end"/>
      </w:r>
      <w:r w:rsidRPr="007E4E2E">
        <w:t xml:space="preserve"> and consequent derived demand for government services.</w:t>
      </w:r>
    </w:p>
    <w:p w:rsidR="00116054" w:rsidRPr="007E4E2E" w:rsidRDefault="00116054" w:rsidP="005E6747">
      <w:r w:rsidRPr="007E4E2E">
        <w:t xml:space="preserve">Realised expenditure risks will affect total expenditure and the annual budget position to the extent they exceed the contingency provision factored into the estimates. More detailed disclosures of general government output and asset contingencies not allocated to departments are shown in note 12(c) and note 19(c) of Budget Paper </w:t>
      </w:r>
      <w:r>
        <w:t>No. 5, Chapter 1</w:t>
      </w:r>
      <w:r w:rsidRPr="007E4E2E">
        <w:t xml:space="preserve"> </w:t>
      </w:r>
      <w:r w:rsidRPr="007E4E2E">
        <w:rPr>
          <w:i/>
        </w:rPr>
        <w:t xml:space="preserve">Estimated financial statements </w:t>
      </w:r>
      <w:r>
        <w:rPr>
          <w:i/>
        </w:rPr>
        <w:t>for the general government sector.</w:t>
      </w:r>
    </w:p>
    <w:p w:rsidR="00116054" w:rsidRPr="007E4E2E" w:rsidRDefault="00116054" w:rsidP="005E6747">
      <w:r w:rsidRPr="007E4E2E">
        <w:t>In the longer term</w:t>
      </w:r>
      <w:r>
        <w:t>,</w:t>
      </w:r>
      <w:r w:rsidRPr="007E4E2E">
        <w:t xml:space="preserve"> </w:t>
      </w:r>
      <w:r>
        <w:t xml:space="preserve">the </w:t>
      </w:r>
      <w:r w:rsidRPr="007E4E2E">
        <w:t>demand for services is expected to come under increasing pressure due to demographic pressures such as an ageing population</w:t>
      </w:r>
      <w:r>
        <w:fldChar w:fldCharType="begin"/>
      </w:r>
      <w:r>
        <w:instrText xml:space="preserve"> XE "</w:instrText>
      </w:r>
      <w:r w:rsidRPr="008219EA">
        <w:instrText>Population</w:instrText>
      </w:r>
      <w:r>
        <w:instrText xml:space="preserve">" </w:instrText>
      </w:r>
      <w:r>
        <w:fldChar w:fldCharType="end"/>
      </w:r>
      <w:r w:rsidRPr="007E4E2E">
        <w:t>. The Government will need to become increasingly efficient and innovative in the delivery of services to ensure that key priorities can continue to be met.</w:t>
      </w:r>
    </w:p>
    <w:p w:rsidR="00116054" w:rsidRDefault="00116054">
      <w:pPr>
        <w:spacing w:after="0"/>
        <w:rPr>
          <w:rFonts w:ascii="Calibri" w:hAnsi="Calibri"/>
          <w:b/>
          <w:kern w:val="28"/>
          <w:sz w:val="26"/>
          <w:szCs w:val="22"/>
        </w:rPr>
      </w:pPr>
      <w:r>
        <w:br w:type="page"/>
      </w:r>
    </w:p>
    <w:p w:rsidR="00116054" w:rsidRPr="007E4E2E" w:rsidRDefault="00116054" w:rsidP="00ED3744">
      <w:pPr>
        <w:pStyle w:val="Heading2"/>
      </w:pPr>
      <w:r w:rsidRPr="007E4E2E">
        <w:lastRenderedPageBreak/>
        <w:t>Specific fiscal risks</w:t>
      </w:r>
    </w:p>
    <w:p w:rsidR="00116054" w:rsidRPr="007E4E2E" w:rsidRDefault="00116054" w:rsidP="00473C19">
      <w:pPr>
        <w:pStyle w:val="Heading3"/>
      </w:pPr>
      <w:r w:rsidRPr="007E4E2E">
        <w:t>National Disability Insurance Scheme</w:t>
      </w:r>
    </w:p>
    <w:p w:rsidR="00116054" w:rsidRDefault="00116054" w:rsidP="00230BEC">
      <w:pPr>
        <w:rPr>
          <w:rFonts w:ascii="Calibri" w:hAnsi="Calibri"/>
          <w:b/>
          <w:i/>
          <w:kern w:val="28"/>
          <w:sz w:val="24"/>
          <w:szCs w:val="22"/>
        </w:rPr>
      </w:pPr>
      <w:r>
        <w:fldChar w:fldCharType="begin"/>
      </w:r>
      <w:r>
        <w:instrText xml:space="preserve"> XE "</w:instrText>
      </w:r>
      <w:r w:rsidRPr="009D2CD4">
        <w:instrText>Insurance</w:instrText>
      </w:r>
      <w:r>
        <w:instrText xml:space="preserve">" </w:instrText>
      </w:r>
      <w:r>
        <w:fldChar w:fldCharType="end"/>
      </w:r>
      <w:r w:rsidRPr="004B61AB">
        <w:t>Victoria is hosting a launch site for the National Disability Insurance Scheme</w:t>
      </w:r>
      <w:r>
        <w:fldChar w:fldCharType="begin"/>
      </w:r>
      <w:r>
        <w:instrText xml:space="preserve"> XE "</w:instrText>
      </w:r>
      <w:r w:rsidRPr="00CE12C7">
        <w:instrText>National Disability Insurance Scheme</w:instrText>
      </w:r>
      <w:r>
        <w:instrText xml:space="preserve">" </w:instrText>
      </w:r>
      <w:r>
        <w:fldChar w:fldCharType="end"/>
      </w:r>
      <w:r w:rsidRPr="004B61AB">
        <w:t xml:space="preserve"> (NDIS), which will provide useful information to guide the rollout</w:t>
      </w:r>
      <w:r>
        <w:t xml:space="preserve"> of the full scheme across the S</w:t>
      </w:r>
      <w:r w:rsidRPr="004B61AB">
        <w:t>tate by July 2019. Once fully implemented, Victoria</w:t>
      </w:r>
      <w:r>
        <w:t>’</w:t>
      </w:r>
      <w:r w:rsidRPr="004B61AB">
        <w:t>s investment in disability care and support will increase to an estimated $2.5</w:t>
      </w:r>
      <w:r>
        <w:t> billion</w:t>
      </w:r>
      <w:r w:rsidRPr="004B61AB">
        <w:t xml:space="preserve"> a year, with the Commonwealth providing around $2.6</w:t>
      </w:r>
      <w:r>
        <w:t> billion</w:t>
      </w:r>
      <w:r w:rsidRPr="004B61AB">
        <w:t xml:space="preserve"> a year. Victoria will work with the Commonwealth Govern</w:t>
      </w:r>
      <w:r w:rsidRPr="00357977">
        <w:t>ment to monitor and manage any risks associated with implementing the full scheme.</w:t>
      </w:r>
    </w:p>
    <w:p w:rsidR="00116054" w:rsidRPr="007E4E2E" w:rsidRDefault="00116054" w:rsidP="00ED3744">
      <w:pPr>
        <w:pStyle w:val="Heading3"/>
      </w:pPr>
      <w:r w:rsidRPr="007E4E2E">
        <w:t>National Injury Insurance Scheme</w:t>
      </w:r>
    </w:p>
    <w:p w:rsidR="00116054" w:rsidRPr="00357977" w:rsidRDefault="00116054" w:rsidP="00FF13AD">
      <w:r w:rsidRPr="004B61AB">
        <w:t xml:space="preserve">The Productivity Commission recommended the establishment of a National Injury Insurance Scheme (NIIS) to support people who suffer catastrophic injuries. The Commonwealth Government expects the State to fund </w:t>
      </w:r>
      <w:r>
        <w:t>the total cost in Victoria of a</w:t>
      </w:r>
      <w:r w:rsidRPr="004B61AB">
        <w:t xml:space="preserve"> NIIS, as well as contribute to the cost of the NDIS. Victoria already provides support for people injured in motor vehicle and workplace accidents, and i</w:t>
      </w:r>
      <w:r>
        <w:t>s discussing other streams of a</w:t>
      </w:r>
      <w:r w:rsidRPr="004B61AB">
        <w:t xml:space="preserve"> NIIS with other jurisdictions but has not agreed to implement them.</w:t>
      </w:r>
    </w:p>
    <w:p w:rsidR="00116054" w:rsidRDefault="00116054" w:rsidP="00F34AED">
      <w:pPr>
        <w:pStyle w:val="Heading3"/>
      </w:pPr>
      <w:r>
        <w:t>Commonwealth schools funding</w:t>
      </w:r>
    </w:p>
    <w:p w:rsidR="00116054" w:rsidRDefault="00116054" w:rsidP="00F34AED">
      <w:r>
        <w:t xml:space="preserve">While final State allocations for the 2018 and 2019 school years are still subject to negotiation, the </w:t>
      </w:r>
      <w:r w:rsidRPr="00F34AED">
        <w:rPr>
          <w:i/>
        </w:rPr>
        <w:t>2014</w:t>
      </w:r>
      <w:r>
        <w:rPr>
          <w:i/>
        </w:rPr>
        <w:noBreakHyphen/>
      </w:r>
      <w:r w:rsidRPr="00F34AED">
        <w:rPr>
          <w:i/>
        </w:rPr>
        <w:t>15 Commonwealth Budget</w:t>
      </w:r>
      <w:r>
        <w:t xml:space="preserve"> indicated that Commonwealth funding for Victorian schools</w:t>
      </w:r>
      <w:r>
        <w:fldChar w:fldCharType="begin"/>
      </w:r>
      <w:r>
        <w:instrText xml:space="preserve"> XE "</w:instrText>
      </w:r>
      <w:r w:rsidRPr="00166877">
        <w:instrText>Schools</w:instrText>
      </w:r>
      <w:r>
        <w:instrText xml:space="preserve">" </w:instrText>
      </w:r>
      <w:r>
        <w:fldChar w:fldCharType="end"/>
      </w:r>
      <w:r>
        <w:t xml:space="preserve"> would be reduced to the rate of growth of the consumer price index, plus an adjustment for enrolment growth. This is expected to significantly reduce Commonwealth growth funding to Victoria from 2017</w:t>
      </w:r>
      <w:r>
        <w:noBreakHyphen/>
        <w:t>18 onwards.</w:t>
      </w:r>
    </w:p>
    <w:p w:rsidR="00116054" w:rsidRDefault="00116054" w:rsidP="001929F5">
      <w:pPr>
        <w:pStyle w:val="Heading3"/>
      </w:pPr>
      <w:r>
        <w:t>Universal Access to Early Childhood Education</w:t>
      </w:r>
    </w:p>
    <w:p w:rsidR="00116054" w:rsidRPr="00F34AED" w:rsidRDefault="00116054" w:rsidP="00F34AED">
      <w:r w:rsidRPr="007E4E2E">
        <w:t xml:space="preserve">Commonwealth funding under the </w:t>
      </w:r>
      <w:r>
        <w:t xml:space="preserve">National Partnership Agreement on Universal Access to </w:t>
      </w:r>
      <w:r w:rsidRPr="007E4E2E">
        <w:t xml:space="preserve">Early Childhood </w:t>
      </w:r>
      <w:r>
        <w:t>Education</w:t>
      </w:r>
      <w:r w:rsidRPr="007E4E2E">
        <w:t xml:space="preserve"> which provides for </w:t>
      </w:r>
      <w:r>
        <w:t>one</w:t>
      </w:r>
      <w:r>
        <w:noBreakHyphen/>
        <w:t>third of the 15 </w:t>
      </w:r>
      <w:r w:rsidRPr="007E4E2E">
        <w:t>hours per week of pre</w:t>
      </w:r>
      <w:r>
        <w:noBreakHyphen/>
      </w:r>
      <w:r w:rsidRPr="007E4E2E">
        <w:t>school support per student i</w:t>
      </w:r>
      <w:r>
        <w:t>s currently due to cease from 1 January 2016 with ongoing Commonwealth</w:t>
      </w:r>
      <w:r w:rsidRPr="007E4E2E">
        <w:t xml:space="preserve"> funding uncertain.</w:t>
      </w:r>
    </w:p>
    <w:p w:rsidR="00116054" w:rsidRPr="00664F12" w:rsidRDefault="00116054" w:rsidP="00ED3744">
      <w:pPr>
        <w:pStyle w:val="Heading3"/>
      </w:pPr>
      <w:r w:rsidRPr="00664F12">
        <w:t>National Health Reform</w:t>
      </w:r>
    </w:p>
    <w:p w:rsidR="00116054" w:rsidRDefault="00116054" w:rsidP="0091037C">
      <w:r w:rsidRPr="00664F12">
        <w:t xml:space="preserve">The National Health Reform Agreement (NHRA) significantly changed the way the Commonwealth funds Victorian hospitals. Commonwealth growth funding is derived from a complex model based on the number of procedures delivered (activity) and an efficient price determined by an independent administrator. </w:t>
      </w:r>
      <w:r w:rsidRPr="00644C88">
        <w:t>The</w:t>
      </w:r>
      <w:r w:rsidRPr="00664F12">
        <w:rPr>
          <w:i/>
        </w:rPr>
        <w:t xml:space="preserve"> 2014</w:t>
      </w:r>
      <w:r>
        <w:rPr>
          <w:i/>
        </w:rPr>
        <w:noBreakHyphen/>
      </w:r>
      <w:r w:rsidRPr="00664F12">
        <w:rPr>
          <w:i/>
        </w:rPr>
        <w:t>15 Commonwealth Budget</w:t>
      </w:r>
      <w:r w:rsidRPr="00664F12">
        <w:t xml:space="preserve"> announced that from </w:t>
      </w:r>
      <w:r>
        <w:t>1 July</w:t>
      </w:r>
      <w:r w:rsidRPr="00664F12">
        <w:t xml:space="preserve"> 2017, the Commonwealth will cease the NHRA and provide significantly lower growth funding based on the consumer price index and population growth</w:t>
      </w:r>
      <w:r>
        <w:fldChar w:fldCharType="begin"/>
      </w:r>
      <w:r>
        <w:instrText xml:space="preserve"> XE "</w:instrText>
      </w:r>
      <w:proofErr w:type="spellStart"/>
      <w:r w:rsidRPr="008219EA">
        <w:instrText>Population</w:instrText>
      </w:r>
      <w:r>
        <w:instrText>:Growth</w:instrText>
      </w:r>
      <w:proofErr w:type="spellEnd"/>
      <w:r>
        <w:instrText xml:space="preserve">" </w:instrText>
      </w:r>
      <w:r>
        <w:fldChar w:fldCharType="end"/>
      </w:r>
      <w:r w:rsidRPr="00664F12">
        <w:t>. This is expected to significantly reduce the Commonwealth contribution for Victorian hospitals from 2017</w:t>
      </w:r>
      <w:r>
        <w:noBreakHyphen/>
      </w:r>
      <w:r w:rsidRPr="00664F12">
        <w:t>18 onwards.</w:t>
      </w:r>
      <w:r>
        <w:fldChar w:fldCharType="begin"/>
      </w:r>
      <w:r>
        <w:instrText xml:space="preserve"> XE "</w:instrText>
      </w:r>
      <w:proofErr w:type="spellStart"/>
      <w:r w:rsidRPr="00D72605">
        <w:instrText>Risks:Fiscal</w:instrText>
      </w:r>
      <w:proofErr w:type="spellEnd"/>
      <w:r>
        <w:instrText xml:space="preserve">" \r "BP2EcoRisks" </w:instrText>
      </w:r>
      <w:r>
        <w:fldChar w:fldCharType="end"/>
      </w:r>
    </w:p>
    <w:bookmarkEnd w:id="95"/>
    <w:p w:rsidR="00116054" w:rsidRDefault="00116054">
      <w:pPr>
        <w:spacing w:after="0"/>
      </w:pPr>
      <w:r>
        <w:br w:type="page"/>
      </w:r>
    </w:p>
    <w:p w:rsidR="00116054" w:rsidRPr="00F34AED" w:rsidRDefault="00116054" w:rsidP="00B55917">
      <w:pPr>
        <w:spacing w:after="0"/>
      </w:pPr>
    </w:p>
    <w:p w:rsidR="00116054" w:rsidRDefault="00116054" w:rsidP="000542A7"/>
    <w:p w:rsidR="00116054" w:rsidRDefault="00116054" w:rsidP="00EC4C51">
      <w:pPr>
        <w:sectPr w:rsidR="00116054" w:rsidSect="006E2CEC">
          <w:footerReference w:type="even" r:id="rId41"/>
          <w:footerReference w:type="default" r:id="rId42"/>
          <w:type w:val="oddPage"/>
          <w:pgSz w:w="9979" w:h="14181" w:code="138"/>
          <w:pgMar w:top="1138" w:right="1138" w:bottom="1138" w:left="1138" w:header="720" w:footer="432" w:gutter="0"/>
          <w:cols w:space="708"/>
          <w:docGrid w:linePitch="360"/>
        </w:sectPr>
      </w:pPr>
    </w:p>
    <w:p w:rsidR="00116054" w:rsidRPr="00640316" w:rsidRDefault="00116054" w:rsidP="00B3283C">
      <w:pPr>
        <w:pStyle w:val="ChapterHeading"/>
      </w:pPr>
      <w:bookmarkStart w:id="96" w:name="_Toc418255150"/>
      <w:r>
        <w:lastRenderedPageBreak/>
        <w:t>Chapter </w:t>
      </w:r>
      <w:r w:rsidRPr="00640316">
        <w:t xml:space="preserve">5 – Position and </w:t>
      </w:r>
      <w:r w:rsidRPr="00DF7518">
        <w:t>outlook of the broader public sector</w:t>
      </w:r>
      <w:bookmarkEnd w:id="96"/>
    </w:p>
    <w:p w:rsidR="00116054" w:rsidRPr="00614140" w:rsidRDefault="00116054" w:rsidP="00B3283C">
      <w:pPr>
        <w:pStyle w:val="HighlightBoxBullet"/>
      </w:pPr>
      <w:r w:rsidRPr="00614140">
        <w:t>The non</w:t>
      </w:r>
      <w:r>
        <w:noBreakHyphen/>
      </w:r>
      <w:r w:rsidRPr="00614140">
        <w:t>financial public sector</w:t>
      </w:r>
      <w:r>
        <w:fldChar w:fldCharType="begin"/>
      </w:r>
      <w:r>
        <w:instrText xml:space="preserve"> XE "</w:instrText>
      </w:r>
      <w:r w:rsidRPr="00666553">
        <w:instrText>Non</w:instrText>
      </w:r>
      <w:r w:rsidRPr="00666553">
        <w:noBreakHyphen/>
        <w:instrText>financial public sector</w:instrText>
      </w:r>
      <w:r>
        <w:instrText xml:space="preserve">" </w:instrText>
      </w:r>
      <w:r>
        <w:fldChar w:fldCharType="end"/>
      </w:r>
      <w:r w:rsidRPr="00614140">
        <w:t xml:space="preserve"> (NFPS) is </w:t>
      </w:r>
      <w:r>
        <w:t>estimated</w:t>
      </w:r>
      <w:r w:rsidRPr="00614140">
        <w:t xml:space="preserve"> to generate </w:t>
      </w:r>
      <w:r>
        <w:t>positive</w:t>
      </w:r>
      <w:r w:rsidRPr="00614140">
        <w:t xml:space="preserve"> operating results over the budget and forward estimates period. This reflects the </w:t>
      </w:r>
      <w:r>
        <w:t>strong</w:t>
      </w:r>
      <w:r w:rsidRPr="00614140">
        <w:t xml:space="preserve"> outlook in the general government sector</w:t>
      </w:r>
      <w:r>
        <w:t xml:space="preserve"> </w:t>
      </w:r>
      <w:r w:rsidRPr="00614140">
        <w:t>focus</w:t>
      </w:r>
      <w:r>
        <w:t>ed</w:t>
      </w:r>
      <w:r w:rsidRPr="00614140">
        <w:t xml:space="preserve"> on </w:t>
      </w:r>
      <w:r>
        <w:t>delivering high</w:t>
      </w:r>
      <w:r>
        <w:noBreakHyphen/>
      </w:r>
      <w:r w:rsidRPr="007E4E2E">
        <w:t>qual</w:t>
      </w:r>
      <w:r>
        <w:t>ity services for all Victorians in a fiscally responsible manner.</w:t>
      </w:r>
    </w:p>
    <w:p w:rsidR="00116054" w:rsidRPr="00614140" w:rsidRDefault="00116054" w:rsidP="00B3283C">
      <w:pPr>
        <w:pStyle w:val="HighlightBoxBullet"/>
      </w:pPr>
      <w:r w:rsidRPr="00614140">
        <w:t xml:space="preserve">NFPS gross debt is projected to </w:t>
      </w:r>
      <w:r>
        <w:t>reach 80.7 per cent</w:t>
      </w:r>
      <w:r w:rsidRPr="00614140">
        <w:t xml:space="preserve"> of revenue in 201</w:t>
      </w:r>
      <w:r>
        <w:t>4</w:t>
      </w:r>
      <w:r>
        <w:noBreakHyphen/>
      </w:r>
      <w:r w:rsidRPr="00614140">
        <w:t>1</w:t>
      </w:r>
      <w:r>
        <w:t>5</w:t>
      </w:r>
      <w:r w:rsidRPr="00614140">
        <w:t xml:space="preserve">, before declining to </w:t>
      </w:r>
      <w:r>
        <w:t>73.6 per cent</w:t>
      </w:r>
      <w:r w:rsidRPr="00614140">
        <w:t xml:space="preserve"> by 201</w:t>
      </w:r>
      <w:r>
        <w:t>8</w:t>
      </w:r>
      <w:r>
        <w:noBreakHyphen/>
      </w:r>
      <w:r w:rsidRPr="00614140">
        <w:t>1</w:t>
      </w:r>
      <w:r>
        <w:t>9</w:t>
      </w:r>
      <w:r w:rsidRPr="00614140">
        <w:t xml:space="preserve"> as </w:t>
      </w:r>
      <w:r>
        <w:t>cash flow surpluses reduce the reliance on debt funding</w:t>
      </w:r>
      <w:r w:rsidRPr="00614140">
        <w:t xml:space="preserve">. The </w:t>
      </w:r>
      <w:r>
        <w:t>strong outlook for the</w:t>
      </w:r>
      <w:r w:rsidRPr="00614140">
        <w:t xml:space="preserve"> State</w:t>
      </w:r>
      <w:r>
        <w:t>’</w:t>
      </w:r>
      <w:r w:rsidRPr="00614140">
        <w:t>s financial position supports the State</w:t>
      </w:r>
      <w:r>
        <w:t>’</w:t>
      </w:r>
      <w:r w:rsidRPr="00614140">
        <w:t>s triple</w:t>
      </w:r>
      <w:r>
        <w:noBreakHyphen/>
      </w:r>
      <w:r w:rsidRPr="00614140">
        <w:t>A credit rating</w:t>
      </w:r>
      <w:r>
        <w:fldChar w:fldCharType="begin"/>
      </w:r>
      <w:r>
        <w:instrText xml:space="preserve"> XE "</w:instrText>
      </w:r>
      <w:r w:rsidRPr="00DE7E32">
        <w:instrText>Triple</w:instrText>
      </w:r>
      <w:r w:rsidRPr="00DE7E32">
        <w:noBreakHyphen/>
        <w:instrText>A credit rating</w:instrText>
      </w:r>
      <w:r>
        <w:instrText xml:space="preserve">" </w:instrText>
      </w:r>
      <w:r>
        <w:fldChar w:fldCharType="end"/>
      </w:r>
      <w:r w:rsidRPr="00614140">
        <w:t>.</w:t>
      </w:r>
    </w:p>
    <w:p w:rsidR="00116054" w:rsidRDefault="00116054" w:rsidP="00B3283C">
      <w:pPr>
        <w:pStyle w:val="HighlightBoxBullet"/>
      </w:pPr>
      <w:r w:rsidRPr="00614140">
        <w:t>The</w:t>
      </w:r>
      <w:r>
        <w:t xml:space="preserve"> net result of</w:t>
      </w:r>
      <w:r w:rsidRPr="00614140">
        <w:t xml:space="preserve"> </w:t>
      </w:r>
      <w:r>
        <w:t xml:space="preserve">the </w:t>
      </w:r>
      <w:r w:rsidRPr="00614140">
        <w:t>public financial corporations</w:t>
      </w:r>
      <w:r>
        <w:fldChar w:fldCharType="begin"/>
      </w:r>
      <w:r>
        <w:instrText xml:space="preserve"> XE "</w:instrText>
      </w:r>
      <w:r w:rsidRPr="00454FD0">
        <w:instrText>Public financial corporations</w:instrText>
      </w:r>
      <w:r>
        <w:instrText xml:space="preserve">" </w:instrText>
      </w:r>
      <w:r>
        <w:fldChar w:fldCharType="end"/>
      </w:r>
      <w:r w:rsidRPr="00614140">
        <w:t xml:space="preserve"> (PFC) sector is </w:t>
      </w:r>
      <w:r>
        <w:t>estimated</w:t>
      </w:r>
      <w:r w:rsidRPr="00614140">
        <w:t xml:space="preserve"> to </w:t>
      </w:r>
      <w:r>
        <w:t>be</w:t>
      </w:r>
      <w:r w:rsidRPr="00614140">
        <w:t xml:space="preserve"> stable </w:t>
      </w:r>
      <w:r>
        <w:t xml:space="preserve">with </w:t>
      </w:r>
      <w:r w:rsidRPr="00614140">
        <w:t>surpluses averaging $</w:t>
      </w:r>
      <w:r>
        <w:t>672 million a year over the b</w:t>
      </w:r>
      <w:r w:rsidRPr="00614140">
        <w:t xml:space="preserve">udget </w:t>
      </w:r>
      <w:r>
        <w:t>and forward estimates</w:t>
      </w:r>
      <w:r w:rsidRPr="00614140">
        <w:t>.</w:t>
      </w:r>
    </w:p>
    <w:p w:rsidR="00116054" w:rsidRPr="00614140" w:rsidRDefault="00116054" w:rsidP="00B3283C">
      <w:pPr>
        <w:pStyle w:val="HighlightBoxBullet"/>
      </w:pPr>
      <w:r>
        <w:t>The net result from transactions of the public non</w:t>
      </w:r>
      <w:r>
        <w:noBreakHyphen/>
        <w:t>financial corporations</w:t>
      </w:r>
      <w:r>
        <w:fldChar w:fldCharType="begin"/>
      </w:r>
      <w:r>
        <w:instrText xml:space="preserve"> XE "</w:instrText>
      </w:r>
      <w:r w:rsidRPr="00A01ACA">
        <w:instrText>Public non</w:instrText>
      </w:r>
      <w:r w:rsidRPr="00A01ACA">
        <w:noBreakHyphen/>
        <w:instrText>financial corporations</w:instrText>
      </w:r>
      <w:r>
        <w:instrText xml:space="preserve">" </w:instrText>
      </w:r>
      <w:r>
        <w:fldChar w:fldCharType="end"/>
      </w:r>
      <w:r>
        <w:t xml:space="preserve"> (PNFC) sector is estimated to be an average deficit of $439 million a year over the b</w:t>
      </w:r>
      <w:r w:rsidRPr="00614140">
        <w:t xml:space="preserve">udget </w:t>
      </w:r>
      <w:r>
        <w:t>and forward estimates</w:t>
      </w:r>
      <w:r w:rsidRPr="00614140">
        <w:t>.</w:t>
      </w:r>
    </w:p>
    <w:p w:rsidR="00116054" w:rsidRPr="00614140" w:rsidRDefault="00116054" w:rsidP="00B3283C"/>
    <w:p w:rsidR="00116054" w:rsidRPr="00614140" w:rsidRDefault="00116054" w:rsidP="00583E73">
      <w:r w:rsidRPr="00614140">
        <w:t>This chapter</w:t>
      </w:r>
      <w:r>
        <w:t xml:space="preserve"> provides an overview</w:t>
      </w:r>
      <w:r w:rsidRPr="00614140">
        <w:t xml:space="preserve"> of the activities of the broader public sector, comprising:</w:t>
      </w:r>
    </w:p>
    <w:p w:rsidR="00116054" w:rsidRPr="00614140" w:rsidRDefault="00116054" w:rsidP="00AD65BB">
      <w:pPr>
        <w:pStyle w:val="BulletText"/>
      </w:pPr>
      <w:r w:rsidRPr="00614140">
        <w:t>the NFPS, which consolidates the general government sector and the public non</w:t>
      </w:r>
      <w:r>
        <w:noBreakHyphen/>
      </w:r>
      <w:r w:rsidRPr="00614140">
        <w:t>financial corporations sector. The general government</w:t>
      </w:r>
      <w:r>
        <w:t xml:space="preserve"> sector is discussed in Chapter </w:t>
      </w:r>
      <w:r w:rsidRPr="00614140">
        <w:t xml:space="preserve">4 </w:t>
      </w:r>
      <w:r w:rsidRPr="00614140">
        <w:rPr>
          <w:i/>
        </w:rPr>
        <w:t>Budget position and outlook</w:t>
      </w:r>
      <w:r w:rsidRPr="00614140">
        <w:t>. The PNFC sector comprises a wide range of entities that provide services primarily funded from user charges and fees. The largest PNFCs provide water, housing, transport and port services; and</w:t>
      </w:r>
    </w:p>
    <w:p w:rsidR="00116054" w:rsidRPr="00614140" w:rsidRDefault="00116054" w:rsidP="00AD65BB">
      <w:pPr>
        <w:pStyle w:val="BulletText"/>
      </w:pPr>
      <w:r w:rsidRPr="00614140">
        <w:t xml:space="preserve">the State of Victoria, which is a consolidation of the NFPS and the PFC sectors. PFCs can be categorised into two broad types: those that provide services to the general public and businesses (such as </w:t>
      </w:r>
      <w:proofErr w:type="spellStart"/>
      <w:r>
        <w:t>WorkSafe</w:t>
      </w:r>
      <w:proofErr w:type="spellEnd"/>
      <w:r>
        <w:t xml:space="preserve"> Victoria</w:t>
      </w:r>
      <w:r w:rsidRPr="00614140">
        <w:t xml:space="preserve"> </w:t>
      </w:r>
      <w:r>
        <w:fldChar w:fldCharType="begin"/>
      </w:r>
      <w:r>
        <w:instrText xml:space="preserve"> XE "</w:instrText>
      </w:r>
      <w:proofErr w:type="spellStart"/>
      <w:r>
        <w:instrText>WorkSafe</w:instrText>
      </w:r>
      <w:proofErr w:type="spellEnd"/>
      <w:r>
        <w:instrText xml:space="preserve"> Victoria" </w:instrText>
      </w:r>
      <w:r>
        <w:fldChar w:fldCharType="end"/>
      </w:r>
      <w:r w:rsidRPr="00614140">
        <w:t xml:space="preserve"> and </w:t>
      </w:r>
      <w:r>
        <w:t xml:space="preserve">the </w:t>
      </w:r>
      <w:r w:rsidRPr="00614140">
        <w:t>Transport Accident Commission</w:t>
      </w:r>
      <w:r>
        <w:fldChar w:fldCharType="begin"/>
      </w:r>
      <w:r>
        <w:instrText xml:space="preserve"> XE "</w:instrText>
      </w:r>
      <w:r w:rsidRPr="00CF2B60">
        <w:instrText>Transport Accident Commission</w:instrText>
      </w:r>
      <w:r>
        <w:instrText xml:space="preserve">" </w:instrText>
      </w:r>
      <w:r>
        <w:fldChar w:fldCharType="end"/>
      </w:r>
      <w:r>
        <w:t>)</w:t>
      </w:r>
      <w:r w:rsidRPr="00614140">
        <w:t>, and those that provide financial services, predominantly to other government entities (such as the Victorian F</w:t>
      </w:r>
      <w:r>
        <w:t xml:space="preserve">unds Management Corporation, </w:t>
      </w:r>
      <w:r w:rsidRPr="00614140">
        <w:t>Treasury Corporation of Victoria</w:t>
      </w:r>
      <w:r>
        <w:t xml:space="preserve"> and the Victorian Managed Insurance Authority</w:t>
      </w:r>
      <w:r w:rsidRPr="00614140">
        <w:t>).</w:t>
      </w:r>
    </w:p>
    <w:p w:rsidR="00116054" w:rsidRDefault="00116054">
      <w:pPr>
        <w:spacing w:after="0"/>
        <w:rPr>
          <w:rFonts w:ascii="Calibri" w:hAnsi="Calibri"/>
          <w:b/>
          <w:caps/>
          <w:sz w:val="26"/>
          <w:szCs w:val="22"/>
        </w:rPr>
      </w:pPr>
      <w:r>
        <w:br w:type="page"/>
      </w:r>
    </w:p>
    <w:p w:rsidR="00116054" w:rsidRPr="00614140" w:rsidRDefault="00116054" w:rsidP="00B3283C">
      <w:pPr>
        <w:pStyle w:val="Heading1"/>
      </w:pPr>
      <w:bookmarkStart w:id="97" w:name="_Toc418255151"/>
      <w:bookmarkStart w:id="98" w:name="BP2Ch5NFPSOpResult"/>
      <w:bookmarkStart w:id="99" w:name="BP2Ch5NFPS"/>
      <w:r w:rsidRPr="00614140">
        <w:lastRenderedPageBreak/>
        <w:t xml:space="preserve">Summary operating </w:t>
      </w:r>
      <w:r w:rsidRPr="00B3283C">
        <w:t>results</w:t>
      </w:r>
      <w:r w:rsidRPr="00614140">
        <w:t xml:space="preserve"> – non</w:t>
      </w:r>
      <w:r>
        <w:noBreakHyphen/>
      </w:r>
      <w:r w:rsidRPr="00614140">
        <w:t>financial public sector</w:t>
      </w:r>
      <w:bookmarkEnd w:id="97"/>
    </w:p>
    <w:p w:rsidR="00116054" w:rsidRPr="00614140" w:rsidRDefault="00116054" w:rsidP="00B3283C">
      <w:pPr>
        <w:pStyle w:val="Tableheading"/>
        <w:rPr>
          <w:vertAlign w:val="superscript"/>
        </w:rPr>
      </w:pPr>
      <w:r w:rsidRPr="00614140">
        <w:t xml:space="preserve">Table 5.1: </w:t>
      </w:r>
      <w:r w:rsidRPr="00614140">
        <w:tab/>
        <w:t>Summary operating statement for the non</w:t>
      </w:r>
      <w:r>
        <w:noBreakHyphen/>
      </w:r>
      <w:r w:rsidRPr="00614140">
        <w:t>financial public sector</w:t>
      </w:r>
      <w:r>
        <w:rPr>
          <w:vertAlign w:val="superscript"/>
        </w:rPr>
        <w:t>(a)</w:t>
      </w:r>
    </w:p>
    <w:p w:rsidR="00116054" w:rsidRPr="00F22A75" w:rsidRDefault="00116054" w:rsidP="00F22A75">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24"/>
        <w:gridCol w:w="90"/>
        <w:gridCol w:w="778"/>
        <w:gridCol w:w="892"/>
        <w:gridCol w:w="893"/>
        <w:gridCol w:w="893"/>
        <w:gridCol w:w="893"/>
        <w:gridCol w:w="893"/>
      </w:tblGrid>
      <w:tr w:rsidR="00116054" w:rsidRPr="00F22A75" w:rsidTr="00F22A75">
        <w:tc>
          <w:tcPr>
            <w:tcW w:w="2420" w:type="dxa"/>
            <w:tcBorders>
              <w:top w:val="single" w:sz="4" w:space="0" w:color="auto"/>
              <w:left w:val="single" w:sz="4" w:space="0" w:color="auto"/>
              <w:bottom w:val="nil"/>
              <w:right w:val="nil"/>
            </w:tcBorders>
            <w:shd w:val="clear" w:color="auto" w:fill="000000"/>
          </w:tcPr>
          <w:p w:rsidR="00116054" w:rsidRPr="00F22A75" w:rsidRDefault="00116054" w:rsidP="00F22A75">
            <w:pPr>
              <w:pStyle w:val="Tabletext"/>
              <w:rPr>
                <w:rFonts w:eastAsiaTheme="minorEastAsia"/>
                <w:lang w:eastAsia="en-AU"/>
              </w:rPr>
            </w:pPr>
          </w:p>
        </w:tc>
        <w:tc>
          <w:tcPr>
            <w:tcW w:w="892" w:type="dxa"/>
            <w:gridSpan w:val="3"/>
            <w:tcBorders>
              <w:top w:val="single" w:sz="4" w:space="0" w:color="auto"/>
              <w:left w:val="nil"/>
              <w:bottom w:val="nil"/>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2013</w:t>
            </w:r>
            <w:r>
              <w:rPr>
                <w:rFonts w:eastAsiaTheme="minorEastAsia"/>
                <w:lang w:eastAsia="en-AU"/>
              </w:rPr>
              <w:noBreakHyphen/>
            </w:r>
            <w:r w:rsidRPr="00F22A75">
              <w:rPr>
                <w:rFonts w:eastAsiaTheme="minorEastAsia"/>
                <w:lang w:eastAsia="en-AU"/>
              </w:rPr>
              <w:t>14</w:t>
            </w:r>
          </w:p>
        </w:tc>
        <w:tc>
          <w:tcPr>
            <w:tcW w:w="892" w:type="dxa"/>
            <w:tcBorders>
              <w:top w:val="single" w:sz="4" w:space="0" w:color="auto"/>
              <w:left w:val="nil"/>
              <w:bottom w:val="nil"/>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2014</w:t>
            </w:r>
            <w:r>
              <w:rPr>
                <w:rFonts w:eastAsiaTheme="minorEastAsia"/>
                <w:lang w:eastAsia="en-AU"/>
              </w:rPr>
              <w:noBreakHyphen/>
            </w:r>
            <w:r w:rsidRPr="00F22A75">
              <w:rPr>
                <w:rFonts w:eastAsiaTheme="minorEastAsia"/>
                <w:lang w:eastAsia="en-AU"/>
              </w:rPr>
              <w:t>15</w:t>
            </w:r>
          </w:p>
        </w:tc>
        <w:tc>
          <w:tcPr>
            <w:tcW w:w="893" w:type="dxa"/>
            <w:tcBorders>
              <w:top w:val="single" w:sz="4" w:space="0" w:color="auto"/>
              <w:left w:val="nil"/>
              <w:bottom w:val="nil"/>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2015</w:t>
            </w:r>
            <w:r>
              <w:rPr>
                <w:rFonts w:eastAsiaTheme="minorEastAsia"/>
                <w:lang w:eastAsia="en-AU"/>
              </w:rPr>
              <w:noBreakHyphen/>
            </w:r>
            <w:r w:rsidRPr="00F22A75">
              <w:rPr>
                <w:rFonts w:eastAsiaTheme="minorEastAsia"/>
                <w:lang w:eastAsia="en-AU"/>
              </w:rPr>
              <w:t>16</w:t>
            </w:r>
          </w:p>
        </w:tc>
        <w:tc>
          <w:tcPr>
            <w:tcW w:w="893" w:type="dxa"/>
            <w:tcBorders>
              <w:top w:val="single" w:sz="4" w:space="0" w:color="auto"/>
              <w:left w:val="nil"/>
              <w:bottom w:val="nil"/>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2016</w:t>
            </w:r>
            <w:r>
              <w:rPr>
                <w:rFonts w:eastAsiaTheme="minorEastAsia"/>
                <w:lang w:eastAsia="en-AU"/>
              </w:rPr>
              <w:noBreakHyphen/>
            </w:r>
            <w:r w:rsidRPr="00F22A75">
              <w:rPr>
                <w:rFonts w:eastAsiaTheme="minorEastAsia"/>
                <w:lang w:eastAsia="en-AU"/>
              </w:rPr>
              <w:t>17</w:t>
            </w:r>
          </w:p>
        </w:tc>
        <w:tc>
          <w:tcPr>
            <w:tcW w:w="893" w:type="dxa"/>
            <w:tcBorders>
              <w:top w:val="single" w:sz="4" w:space="0" w:color="auto"/>
              <w:left w:val="nil"/>
              <w:bottom w:val="nil"/>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2017</w:t>
            </w:r>
            <w:r>
              <w:rPr>
                <w:rFonts w:eastAsiaTheme="minorEastAsia"/>
                <w:lang w:eastAsia="en-AU"/>
              </w:rPr>
              <w:noBreakHyphen/>
            </w:r>
            <w:r w:rsidRPr="00F22A75">
              <w:rPr>
                <w:rFonts w:eastAsiaTheme="minorEastAsia"/>
                <w:lang w:eastAsia="en-AU"/>
              </w:rPr>
              <w:t>18</w:t>
            </w:r>
          </w:p>
        </w:tc>
        <w:tc>
          <w:tcPr>
            <w:tcW w:w="893" w:type="dxa"/>
            <w:tcBorders>
              <w:top w:val="single" w:sz="4" w:space="0" w:color="auto"/>
              <w:left w:val="nil"/>
              <w:bottom w:val="nil"/>
              <w:right w:val="single" w:sz="4" w:space="0" w:color="auto"/>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2018</w:t>
            </w:r>
            <w:r>
              <w:rPr>
                <w:rFonts w:eastAsiaTheme="minorEastAsia"/>
                <w:lang w:eastAsia="en-AU"/>
              </w:rPr>
              <w:noBreakHyphen/>
            </w:r>
            <w:r w:rsidRPr="00F22A75">
              <w:rPr>
                <w:rFonts w:eastAsiaTheme="minorEastAsia"/>
                <w:lang w:eastAsia="en-AU"/>
              </w:rPr>
              <w:t>19</w:t>
            </w:r>
          </w:p>
        </w:tc>
      </w:tr>
      <w:tr w:rsidR="00116054" w:rsidRPr="00F22A75" w:rsidTr="00F22A75">
        <w:tc>
          <w:tcPr>
            <w:tcW w:w="2420" w:type="dxa"/>
            <w:tcBorders>
              <w:top w:val="nil"/>
              <w:left w:val="single" w:sz="4" w:space="0" w:color="auto"/>
              <w:bottom w:val="single" w:sz="4" w:space="0" w:color="auto"/>
              <w:right w:val="nil"/>
            </w:tcBorders>
            <w:shd w:val="clear" w:color="auto" w:fill="000000"/>
          </w:tcPr>
          <w:p w:rsidR="00116054" w:rsidRPr="00F22A75" w:rsidRDefault="00116054" w:rsidP="00F22A75">
            <w:pPr>
              <w:pStyle w:val="Tabletext"/>
              <w:rPr>
                <w:rFonts w:eastAsiaTheme="minorEastAsia"/>
                <w:lang w:eastAsia="en-AU"/>
              </w:rPr>
            </w:pPr>
          </w:p>
        </w:tc>
        <w:tc>
          <w:tcPr>
            <w:tcW w:w="892" w:type="dxa"/>
            <w:gridSpan w:val="3"/>
            <w:tcBorders>
              <w:top w:val="nil"/>
              <w:left w:val="nil"/>
              <w:bottom w:val="single" w:sz="4" w:space="0" w:color="auto"/>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116054" w:rsidRPr="00F22A75" w:rsidRDefault="00116054" w:rsidP="00F22A75">
            <w:pPr>
              <w:pStyle w:val="Tabletextheading"/>
              <w:rPr>
                <w:rFonts w:eastAsiaTheme="minorEastAsia"/>
                <w:lang w:eastAsia="en-AU"/>
              </w:rPr>
            </w:pPr>
            <w:r w:rsidRPr="00F22A75">
              <w:rPr>
                <w:rFonts w:eastAsiaTheme="minorEastAsia"/>
                <w:lang w:eastAsia="en-AU"/>
              </w:rPr>
              <w:t>estimate</w:t>
            </w:r>
          </w:p>
        </w:tc>
      </w:tr>
      <w:tr w:rsidR="00116054" w:rsidRPr="00F22A75" w:rsidTr="00F22A75">
        <w:tc>
          <w:tcPr>
            <w:tcW w:w="2420" w:type="dxa"/>
            <w:tcBorders>
              <w:top w:val="single" w:sz="4" w:space="0" w:color="auto"/>
              <w:left w:val="nil"/>
              <w:bottom w:val="nil"/>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Revenue</w:t>
            </w:r>
          </w:p>
        </w:tc>
        <w:tc>
          <w:tcPr>
            <w:tcW w:w="892" w:type="dxa"/>
            <w:gridSpan w:val="3"/>
            <w:tcBorders>
              <w:top w:val="single" w:sz="4" w:space="0" w:color="auto"/>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22A75" w:rsidRDefault="00116054" w:rsidP="00F22A75">
            <w:pPr>
              <w:pStyle w:val="TableofFigures"/>
              <w:rPr>
                <w:rFonts w:eastAsiaTheme="minorEastAsia"/>
                <w:color w:val="000000"/>
                <w:lang w:eastAsia="en-AU"/>
              </w:rPr>
            </w:pP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Taxation revenue</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16 505</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17 861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18 595</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19 567</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20 148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21 065</w:t>
            </w:r>
          </w:p>
        </w:tc>
      </w:tr>
      <w:tr w:rsidR="00116054" w:rsidRPr="00F22A75" w:rsidTr="00F22A75">
        <w:tc>
          <w:tcPr>
            <w:tcW w:w="2534" w:type="dxa"/>
            <w:gridSpan w:val="3"/>
            <w:tcBorders>
              <w:top w:val="nil"/>
              <w:left w:val="nil"/>
              <w:bottom w:val="nil"/>
              <w:right w:val="nil"/>
            </w:tcBorders>
          </w:tcPr>
          <w:p w:rsidR="00116054" w:rsidRPr="00F22A75" w:rsidRDefault="00116054" w:rsidP="00F22A75">
            <w:pPr>
              <w:pStyle w:val="Tabletext"/>
              <w:rPr>
                <w:rFonts w:eastAsiaTheme="minorEastAsia" w:cs="Calibri"/>
                <w:color w:val="000000"/>
                <w:vertAlign w:val="superscript"/>
                <w:lang w:eastAsia="en-AU"/>
              </w:rPr>
            </w:pPr>
            <w:r w:rsidRPr="00F22A75">
              <w:rPr>
                <w:rFonts w:eastAsiaTheme="minorEastAsia"/>
                <w:lang w:eastAsia="en-AU"/>
              </w:rPr>
              <w:t>Dividends, income tax equivalents and interest</w:t>
            </w:r>
            <w:r w:rsidRPr="00F22A75">
              <w:rPr>
                <w:rFonts w:eastAsiaTheme="minorEastAsia"/>
                <w:vertAlign w:val="superscript"/>
                <w:lang w:eastAsia="en-AU"/>
              </w:rPr>
              <w:t xml:space="preserve"> </w:t>
            </w:r>
            <w:r w:rsidRPr="00F22A75">
              <w:rPr>
                <w:rFonts w:eastAsiaTheme="minorEastAsia" w:cs="Calibri"/>
                <w:color w:val="000000"/>
                <w:vertAlign w:val="superscript"/>
                <w:lang w:eastAsia="en-AU"/>
              </w:rPr>
              <w:t>(b)</w:t>
            </w:r>
          </w:p>
        </w:tc>
        <w:tc>
          <w:tcPr>
            <w:tcW w:w="778"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669</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1 060</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1 201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1 131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1 161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1 161</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Sales of goods and services</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11 005</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10 533</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10 654</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10 595</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10 912</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11 269</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Grants</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25 125</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24 586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25 581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26 093</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27 510</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28 608</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Other revenue</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2 730</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2 786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2 592</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2 686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2 686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2 758</w:t>
            </w:r>
          </w:p>
        </w:tc>
      </w:tr>
      <w:tr w:rsidR="00116054" w:rsidRPr="00F22A75" w:rsidTr="00F22A75">
        <w:tc>
          <w:tcPr>
            <w:tcW w:w="2420" w:type="dxa"/>
            <w:tcBorders>
              <w:top w:val="single" w:sz="6" w:space="0" w:color="auto"/>
              <w:left w:val="nil"/>
              <w:bottom w:val="nil"/>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Total revenue</w:t>
            </w:r>
          </w:p>
        </w:tc>
        <w:tc>
          <w:tcPr>
            <w:tcW w:w="892" w:type="dxa"/>
            <w:gridSpan w:val="3"/>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56 034</w:t>
            </w:r>
          </w:p>
        </w:tc>
        <w:tc>
          <w:tcPr>
            <w:tcW w:w="892"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56 827</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58 623</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60 073</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62 418</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64 862</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i/>
                <w:lang w:eastAsia="en-AU"/>
              </w:rPr>
            </w:pPr>
            <w:r w:rsidRPr="00F22A75">
              <w:rPr>
                <w:rFonts w:eastAsiaTheme="minorEastAsia"/>
                <w:i/>
                <w:lang w:eastAsia="en-AU"/>
              </w:rPr>
              <w:t>% change</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s="Calibri"/>
                <w:color w:val="000000"/>
                <w:lang w:eastAsia="en-AU"/>
              </w:rPr>
            </w:pPr>
            <w:r w:rsidRPr="00F22A75">
              <w:rPr>
                <w:rFonts w:eastAsiaTheme="minorEastAsia"/>
                <w:color w:val="000000"/>
                <w:lang w:eastAsia="en-AU"/>
              </w:rPr>
              <w:t xml:space="preserve"> </w:t>
            </w:r>
            <w:r w:rsidRPr="00F22A75">
              <w:rPr>
                <w:rFonts w:eastAsiaTheme="minorEastAsia" w:cs="Calibri"/>
                <w:color w:val="000000"/>
                <w:lang w:eastAsia="en-AU"/>
              </w:rPr>
              <w:t>10.6</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1.4</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3.2</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2.5</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3.9</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3.9</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Expenses</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b/>
                <w:bCs/>
                <w:color w:val="000000"/>
                <w:lang w:eastAsia="en-AU"/>
              </w:rPr>
            </w:pP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Employee expenses</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19 019</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19 505</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20 940</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21 612</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22 560</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23 432</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vertAlign w:val="superscript"/>
                <w:lang w:eastAsia="en-AU"/>
              </w:rPr>
            </w:pPr>
            <w:r w:rsidRPr="00F22A75">
              <w:rPr>
                <w:rFonts w:eastAsiaTheme="minorEastAsia"/>
                <w:lang w:eastAsia="en-AU"/>
              </w:rPr>
              <w:t xml:space="preserve">Superannuation </w:t>
            </w:r>
            <w:r w:rsidRPr="00F22A75">
              <w:rPr>
                <w:rFonts w:eastAsiaTheme="minorEastAsia"/>
                <w:vertAlign w:val="superscript"/>
                <w:lang w:eastAsia="en-AU"/>
              </w:rPr>
              <w:t>(c)</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3 030</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2 990</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3 078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3 058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3 048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3 042</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Depreciation</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4 251</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4 475</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4 707</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4 956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5 138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5 511</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Interest expense</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2 824</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2 757</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2 753</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2 745</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2 808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2 788</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Other operating expenses</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20 099</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21 291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20 863</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20 816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21 568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22 055</w:t>
            </w:r>
          </w:p>
        </w:tc>
      </w:tr>
      <w:tr w:rsidR="00116054" w:rsidRPr="00F22A75" w:rsidTr="00F22A75">
        <w:tc>
          <w:tcPr>
            <w:tcW w:w="2420" w:type="dxa"/>
            <w:tcBorders>
              <w:top w:val="nil"/>
              <w:left w:val="nil"/>
              <w:bottom w:val="nil"/>
              <w:right w:val="nil"/>
            </w:tcBorders>
          </w:tcPr>
          <w:p w:rsidR="00116054" w:rsidRPr="00F22A75" w:rsidRDefault="00116054" w:rsidP="00F22A75">
            <w:pPr>
              <w:pStyle w:val="Tabletext"/>
              <w:rPr>
                <w:rFonts w:eastAsiaTheme="minorEastAsia"/>
                <w:lang w:eastAsia="en-AU"/>
              </w:rPr>
            </w:pPr>
            <w:r w:rsidRPr="00F22A75">
              <w:rPr>
                <w:rFonts w:eastAsiaTheme="minorEastAsia"/>
                <w:lang w:eastAsia="en-AU"/>
              </w:rPr>
              <w:t>Grants and other transfers</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5 041</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5 576</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5 822</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6 169</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6 503</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6 806</w:t>
            </w:r>
          </w:p>
        </w:tc>
      </w:tr>
      <w:tr w:rsidR="00116054" w:rsidRPr="00F22A75" w:rsidTr="00F22A75">
        <w:tc>
          <w:tcPr>
            <w:tcW w:w="2420" w:type="dxa"/>
            <w:tcBorders>
              <w:top w:val="single" w:sz="6" w:space="0" w:color="auto"/>
              <w:left w:val="nil"/>
              <w:bottom w:val="nil"/>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Total expenses</w:t>
            </w:r>
          </w:p>
        </w:tc>
        <w:tc>
          <w:tcPr>
            <w:tcW w:w="892" w:type="dxa"/>
            <w:gridSpan w:val="3"/>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54 263</w:t>
            </w:r>
          </w:p>
        </w:tc>
        <w:tc>
          <w:tcPr>
            <w:tcW w:w="892"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56 594</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58 162</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59 357</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61 626</w:t>
            </w:r>
          </w:p>
        </w:tc>
        <w:tc>
          <w:tcPr>
            <w:tcW w:w="893" w:type="dxa"/>
            <w:tcBorders>
              <w:top w:val="single" w:sz="6" w:space="0" w:color="auto"/>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63 633</w:t>
            </w:r>
          </w:p>
        </w:tc>
      </w:tr>
      <w:tr w:rsidR="00116054" w:rsidRPr="00F22A75" w:rsidTr="00F22A75">
        <w:tc>
          <w:tcPr>
            <w:tcW w:w="2420" w:type="dxa"/>
            <w:tcBorders>
              <w:top w:val="nil"/>
              <w:left w:val="nil"/>
              <w:bottom w:val="single" w:sz="6" w:space="0" w:color="auto"/>
              <w:right w:val="nil"/>
            </w:tcBorders>
          </w:tcPr>
          <w:p w:rsidR="00116054" w:rsidRPr="00F22A75" w:rsidRDefault="00116054" w:rsidP="00F22A75">
            <w:pPr>
              <w:pStyle w:val="Tabletext"/>
              <w:rPr>
                <w:rFonts w:eastAsiaTheme="minorEastAsia"/>
                <w:lang w:eastAsia="en-AU"/>
              </w:rPr>
            </w:pPr>
            <w:r w:rsidRPr="00F22A75">
              <w:rPr>
                <w:rFonts w:eastAsiaTheme="minorEastAsia"/>
                <w:i/>
                <w:lang w:eastAsia="en-AU"/>
              </w:rPr>
              <w:t>% change</w:t>
            </w:r>
          </w:p>
        </w:tc>
        <w:tc>
          <w:tcPr>
            <w:tcW w:w="892" w:type="dxa"/>
            <w:gridSpan w:val="3"/>
            <w:tcBorders>
              <w:top w:val="nil"/>
              <w:left w:val="nil"/>
              <w:bottom w:val="single" w:sz="6" w:space="0" w:color="auto"/>
              <w:right w:val="nil"/>
            </w:tcBorders>
          </w:tcPr>
          <w:p w:rsidR="00116054" w:rsidRPr="00F22A75" w:rsidRDefault="00116054" w:rsidP="00F22A75">
            <w:pPr>
              <w:pStyle w:val="TableofFigures"/>
              <w:rPr>
                <w:rFonts w:eastAsiaTheme="minorEastAsia" w:cs="Calibri"/>
                <w:color w:val="000000"/>
                <w:lang w:eastAsia="en-AU"/>
              </w:rPr>
            </w:pPr>
            <w:r w:rsidRPr="00F22A75">
              <w:rPr>
                <w:rFonts w:eastAsiaTheme="minorEastAsia"/>
                <w:color w:val="000000"/>
                <w:lang w:eastAsia="en-AU"/>
              </w:rPr>
              <w:t xml:space="preserve"> </w:t>
            </w:r>
            <w:r w:rsidRPr="00F22A75">
              <w:rPr>
                <w:rFonts w:eastAsiaTheme="minorEastAsia" w:cs="Calibri"/>
                <w:color w:val="000000"/>
                <w:lang w:eastAsia="en-AU"/>
              </w:rPr>
              <w:t>3.6</w:t>
            </w:r>
          </w:p>
        </w:tc>
        <w:tc>
          <w:tcPr>
            <w:tcW w:w="892"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4.3</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2.8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2.1</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3.8</w:t>
            </w:r>
          </w:p>
        </w:tc>
        <w:tc>
          <w:tcPr>
            <w:tcW w:w="893" w:type="dxa"/>
            <w:tcBorders>
              <w:top w:val="nil"/>
              <w:left w:val="nil"/>
              <w:bottom w:val="nil"/>
              <w:right w:val="nil"/>
            </w:tcBorders>
          </w:tcPr>
          <w:p w:rsidR="00116054" w:rsidRPr="00F22A75" w:rsidRDefault="00116054" w:rsidP="00F22A75">
            <w:pPr>
              <w:pStyle w:val="TableofFigures"/>
              <w:rPr>
                <w:rFonts w:eastAsiaTheme="minorEastAsia"/>
                <w:color w:val="000000"/>
                <w:lang w:eastAsia="en-AU"/>
              </w:rPr>
            </w:pPr>
            <w:r w:rsidRPr="00F22A75">
              <w:rPr>
                <w:rFonts w:eastAsiaTheme="minorEastAsia"/>
                <w:color w:val="000000"/>
                <w:lang w:eastAsia="en-AU"/>
              </w:rPr>
              <w:t xml:space="preserve"> 3.3</w:t>
            </w:r>
          </w:p>
        </w:tc>
      </w:tr>
      <w:tr w:rsidR="00116054" w:rsidRPr="00F22A75" w:rsidTr="00F22A75">
        <w:tc>
          <w:tcPr>
            <w:tcW w:w="2444" w:type="dxa"/>
            <w:gridSpan w:val="2"/>
            <w:tcBorders>
              <w:top w:val="single" w:sz="6" w:space="0" w:color="auto"/>
              <w:left w:val="nil"/>
              <w:bottom w:val="single" w:sz="6" w:space="0" w:color="auto"/>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Net result from transactions</w:t>
            </w:r>
          </w:p>
        </w:tc>
        <w:tc>
          <w:tcPr>
            <w:tcW w:w="868" w:type="dxa"/>
            <w:gridSpan w:val="2"/>
            <w:tcBorders>
              <w:top w:val="single" w:sz="6" w:space="0" w:color="auto"/>
              <w:left w:val="nil"/>
              <w:bottom w:val="single" w:sz="6"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1 771</w:t>
            </w:r>
          </w:p>
        </w:tc>
        <w:tc>
          <w:tcPr>
            <w:tcW w:w="892" w:type="dxa"/>
            <w:tcBorders>
              <w:top w:val="single" w:sz="6" w:space="0" w:color="auto"/>
              <w:left w:val="nil"/>
              <w:bottom w:val="single" w:sz="6"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232</w:t>
            </w:r>
          </w:p>
        </w:tc>
        <w:tc>
          <w:tcPr>
            <w:tcW w:w="893" w:type="dxa"/>
            <w:tcBorders>
              <w:top w:val="single" w:sz="6" w:space="0" w:color="auto"/>
              <w:left w:val="nil"/>
              <w:bottom w:val="single" w:sz="6"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460</w:t>
            </w:r>
          </w:p>
        </w:tc>
        <w:tc>
          <w:tcPr>
            <w:tcW w:w="893" w:type="dxa"/>
            <w:tcBorders>
              <w:top w:val="single" w:sz="6" w:space="0" w:color="auto"/>
              <w:left w:val="nil"/>
              <w:bottom w:val="single" w:sz="6"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716</w:t>
            </w:r>
          </w:p>
        </w:tc>
        <w:tc>
          <w:tcPr>
            <w:tcW w:w="893" w:type="dxa"/>
            <w:tcBorders>
              <w:top w:val="single" w:sz="6" w:space="0" w:color="auto"/>
              <w:left w:val="nil"/>
              <w:bottom w:val="single" w:sz="6"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793</w:t>
            </w:r>
          </w:p>
        </w:tc>
        <w:tc>
          <w:tcPr>
            <w:tcW w:w="893" w:type="dxa"/>
            <w:tcBorders>
              <w:top w:val="single" w:sz="6" w:space="0" w:color="auto"/>
              <w:left w:val="nil"/>
              <w:bottom w:val="single" w:sz="6"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1 229</w:t>
            </w:r>
          </w:p>
        </w:tc>
      </w:tr>
      <w:tr w:rsidR="00116054" w:rsidRPr="00F22A75" w:rsidTr="00F22A75">
        <w:tc>
          <w:tcPr>
            <w:tcW w:w="2420" w:type="dxa"/>
            <w:tcBorders>
              <w:top w:val="single" w:sz="6" w:space="0" w:color="auto"/>
              <w:left w:val="nil"/>
              <w:bottom w:val="single" w:sz="6" w:space="0" w:color="auto"/>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Total other economic flows included in net result</w:t>
            </w:r>
          </w:p>
        </w:tc>
        <w:tc>
          <w:tcPr>
            <w:tcW w:w="892" w:type="dxa"/>
            <w:gridSpan w:val="3"/>
            <w:tcBorders>
              <w:top w:val="nil"/>
              <w:left w:val="nil"/>
              <w:bottom w:val="nil"/>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(1 165)</w:t>
            </w:r>
          </w:p>
        </w:tc>
        <w:tc>
          <w:tcPr>
            <w:tcW w:w="892" w:type="dxa"/>
            <w:tcBorders>
              <w:top w:val="nil"/>
              <w:left w:val="nil"/>
              <w:bottom w:val="nil"/>
              <w:right w:val="nil"/>
            </w:tcBorders>
          </w:tcPr>
          <w:p w:rsidR="00116054" w:rsidRPr="00F22A75" w:rsidRDefault="00116054" w:rsidP="00F22A75">
            <w:pPr>
              <w:pStyle w:val="TableofFigures"/>
              <w:rPr>
                <w:rFonts w:eastAsiaTheme="minorEastAsia"/>
                <w:b/>
                <w:color w:val="000000"/>
                <w:lang w:eastAsia="en-AU"/>
              </w:rPr>
            </w:pPr>
            <w:r w:rsidRPr="00F22A75">
              <w:rPr>
                <w:rFonts w:eastAsiaTheme="minorEastAsia"/>
                <w:b/>
                <w:color w:val="000000"/>
                <w:lang w:eastAsia="en-AU"/>
              </w:rPr>
              <w:t xml:space="preserve"> ( 343)</w:t>
            </w:r>
          </w:p>
        </w:tc>
        <w:tc>
          <w:tcPr>
            <w:tcW w:w="893" w:type="dxa"/>
            <w:tcBorders>
              <w:top w:val="nil"/>
              <w:left w:val="nil"/>
              <w:bottom w:val="nil"/>
              <w:right w:val="nil"/>
            </w:tcBorders>
          </w:tcPr>
          <w:p w:rsidR="00116054" w:rsidRPr="00F22A75" w:rsidRDefault="00116054" w:rsidP="00F22A75">
            <w:pPr>
              <w:pStyle w:val="TableofFigures"/>
              <w:rPr>
                <w:rFonts w:eastAsiaTheme="minorEastAsia"/>
                <w:b/>
                <w:color w:val="000000"/>
                <w:lang w:eastAsia="en-AU"/>
              </w:rPr>
            </w:pPr>
            <w:r w:rsidRPr="00F22A75">
              <w:rPr>
                <w:rFonts w:eastAsiaTheme="minorEastAsia"/>
                <w:b/>
                <w:color w:val="000000"/>
                <w:lang w:eastAsia="en-AU"/>
              </w:rPr>
              <w:t>3 831</w:t>
            </w:r>
          </w:p>
        </w:tc>
        <w:tc>
          <w:tcPr>
            <w:tcW w:w="893" w:type="dxa"/>
            <w:tcBorders>
              <w:top w:val="nil"/>
              <w:left w:val="nil"/>
              <w:bottom w:val="nil"/>
              <w:right w:val="nil"/>
            </w:tcBorders>
          </w:tcPr>
          <w:p w:rsidR="00116054" w:rsidRPr="00F22A75" w:rsidRDefault="00116054" w:rsidP="00F22A75">
            <w:pPr>
              <w:pStyle w:val="TableofFigures"/>
              <w:rPr>
                <w:rFonts w:eastAsiaTheme="minorEastAsia"/>
                <w:b/>
                <w:color w:val="000000"/>
                <w:lang w:eastAsia="en-AU"/>
              </w:rPr>
            </w:pPr>
            <w:r w:rsidRPr="00F22A75">
              <w:rPr>
                <w:rFonts w:eastAsiaTheme="minorEastAsia"/>
                <w:b/>
                <w:color w:val="000000"/>
                <w:lang w:eastAsia="en-AU"/>
              </w:rPr>
              <w:t xml:space="preserve"> ( 273)</w:t>
            </w:r>
          </w:p>
        </w:tc>
        <w:tc>
          <w:tcPr>
            <w:tcW w:w="893" w:type="dxa"/>
            <w:tcBorders>
              <w:top w:val="nil"/>
              <w:left w:val="nil"/>
              <w:bottom w:val="nil"/>
              <w:right w:val="nil"/>
            </w:tcBorders>
          </w:tcPr>
          <w:p w:rsidR="00116054" w:rsidRPr="00F22A75" w:rsidRDefault="00116054" w:rsidP="00F22A75">
            <w:pPr>
              <w:pStyle w:val="TableofFigures"/>
              <w:rPr>
                <w:rFonts w:eastAsiaTheme="minorEastAsia"/>
                <w:b/>
                <w:color w:val="000000"/>
                <w:lang w:eastAsia="en-AU"/>
              </w:rPr>
            </w:pPr>
            <w:r w:rsidRPr="00F22A75">
              <w:rPr>
                <w:rFonts w:eastAsiaTheme="minorEastAsia"/>
                <w:b/>
                <w:color w:val="000000"/>
                <w:lang w:eastAsia="en-AU"/>
              </w:rPr>
              <w:t xml:space="preserve"> ( 242)</w:t>
            </w:r>
          </w:p>
        </w:tc>
        <w:tc>
          <w:tcPr>
            <w:tcW w:w="893" w:type="dxa"/>
            <w:tcBorders>
              <w:top w:val="nil"/>
              <w:left w:val="nil"/>
              <w:bottom w:val="nil"/>
              <w:right w:val="nil"/>
            </w:tcBorders>
          </w:tcPr>
          <w:p w:rsidR="00116054" w:rsidRPr="00F22A75" w:rsidRDefault="00116054" w:rsidP="00F22A75">
            <w:pPr>
              <w:pStyle w:val="TableofFigures"/>
              <w:rPr>
                <w:rFonts w:eastAsiaTheme="minorEastAsia"/>
                <w:b/>
                <w:color w:val="000000"/>
                <w:lang w:eastAsia="en-AU"/>
              </w:rPr>
            </w:pPr>
            <w:r w:rsidRPr="00F22A75">
              <w:rPr>
                <w:rFonts w:eastAsiaTheme="minorEastAsia"/>
                <w:b/>
                <w:color w:val="000000"/>
                <w:lang w:eastAsia="en-AU"/>
              </w:rPr>
              <w:t xml:space="preserve"> ( 292)</w:t>
            </w:r>
          </w:p>
        </w:tc>
      </w:tr>
      <w:tr w:rsidR="00116054" w:rsidRPr="00F22A75" w:rsidTr="00F22A75">
        <w:tc>
          <w:tcPr>
            <w:tcW w:w="2420" w:type="dxa"/>
            <w:tcBorders>
              <w:top w:val="single" w:sz="6" w:space="0" w:color="auto"/>
              <w:left w:val="nil"/>
              <w:bottom w:val="single" w:sz="12" w:space="0" w:color="auto"/>
              <w:right w:val="nil"/>
            </w:tcBorders>
          </w:tcPr>
          <w:p w:rsidR="00116054" w:rsidRPr="00F22A75" w:rsidRDefault="00116054" w:rsidP="00F22A75">
            <w:pPr>
              <w:pStyle w:val="Tabletext"/>
              <w:rPr>
                <w:rFonts w:eastAsiaTheme="minorEastAsia"/>
                <w:b/>
                <w:bCs/>
                <w:lang w:eastAsia="en-AU"/>
              </w:rPr>
            </w:pPr>
            <w:r w:rsidRPr="00F22A75">
              <w:rPr>
                <w:rFonts w:eastAsiaTheme="minorEastAsia"/>
                <w:b/>
                <w:bCs/>
                <w:lang w:eastAsia="en-AU"/>
              </w:rPr>
              <w:t>Net result</w:t>
            </w:r>
          </w:p>
        </w:tc>
        <w:tc>
          <w:tcPr>
            <w:tcW w:w="892" w:type="dxa"/>
            <w:gridSpan w:val="3"/>
            <w:tcBorders>
              <w:top w:val="single" w:sz="6" w:space="0" w:color="auto"/>
              <w:left w:val="nil"/>
              <w:bottom w:val="single" w:sz="12"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606</w:t>
            </w:r>
          </w:p>
        </w:tc>
        <w:tc>
          <w:tcPr>
            <w:tcW w:w="892" w:type="dxa"/>
            <w:tcBorders>
              <w:top w:val="single" w:sz="6" w:space="0" w:color="auto"/>
              <w:left w:val="nil"/>
              <w:bottom w:val="single" w:sz="12" w:space="0" w:color="auto"/>
              <w:right w:val="nil"/>
            </w:tcBorders>
          </w:tcPr>
          <w:p w:rsidR="00116054" w:rsidRPr="00F22A75" w:rsidRDefault="00116054" w:rsidP="00F22A75">
            <w:pPr>
              <w:pStyle w:val="TableofFigures"/>
              <w:rPr>
                <w:rFonts w:eastAsiaTheme="minorEastAsia" w:cs="Calibri"/>
                <w:b/>
                <w:bCs/>
                <w:color w:val="000000"/>
                <w:lang w:eastAsia="en-AU"/>
              </w:rPr>
            </w:pPr>
            <w:r w:rsidRPr="00F22A75">
              <w:rPr>
                <w:rFonts w:eastAsiaTheme="minorEastAsia"/>
                <w:b/>
                <w:bCs/>
                <w:color w:val="000000"/>
                <w:lang w:eastAsia="en-AU"/>
              </w:rPr>
              <w:t xml:space="preserve"> ( </w:t>
            </w:r>
            <w:r w:rsidRPr="00F22A75">
              <w:rPr>
                <w:rFonts w:eastAsiaTheme="minorEastAsia" w:cs="Calibri"/>
                <w:b/>
                <w:bCs/>
                <w:color w:val="000000"/>
                <w:lang w:eastAsia="en-AU"/>
              </w:rPr>
              <w:t>111)</w:t>
            </w:r>
          </w:p>
        </w:tc>
        <w:tc>
          <w:tcPr>
            <w:tcW w:w="893" w:type="dxa"/>
            <w:tcBorders>
              <w:top w:val="single" w:sz="6" w:space="0" w:color="auto"/>
              <w:left w:val="nil"/>
              <w:bottom w:val="single" w:sz="12"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4 292</w:t>
            </w:r>
          </w:p>
        </w:tc>
        <w:tc>
          <w:tcPr>
            <w:tcW w:w="893" w:type="dxa"/>
            <w:tcBorders>
              <w:top w:val="single" w:sz="6" w:space="0" w:color="auto"/>
              <w:left w:val="nil"/>
              <w:bottom w:val="single" w:sz="12"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443</w:t>
            </w:r>
          </w:p>
        </w:tc>
        <w:tc>
          <w:tcPr>
            <w:tcW w:w="893" w:type="dxa"/>
            <w:tcBorders>
              <w:top w:val="single" w:sz="6" w:space="0" w:color="auto"/>
              <w:left w:val="nil"/>
              <w:bottom w:val="single" w:sz="12"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551</w:t>
            </w:r>
          </w:p>
        </w:tc>
        <w:tc>
          <w:tcPr>
            <w:tcW w:w="893" w:type="dxa"/>
            <w:tcBorders>
              <w:top w:val="single" w:sz="6" w:space="0" w:color="auto"/>
              <w:left w:val="nil"/>
              <w:bottom w:val="single" w:sz="12" w:space="0" w:color="auto"/>
              <w:right w:val="nil"/>
            </w:tcBorders>
          </w:tcPr>
          <w:p w:rsidR="00116054" w:rsidRPr="00F22A75" w:rsidRDefault="00116054" w:rsidP="00F22A75">
            <w:pPr>
              <w:pStyle w:val="TableofFigures"/>
              <w:rPr>
                <w:rFonts w:eastAsiaTheme="minorEastAsia"/>
                <w:b/>
                <w:bCs/>
                <w:color w:val="000000"/>
                <w:lang w:eastAsia="en-AU"/>
              </w:rPr>
            </w:pPr>
            <w:r w:rsidRPr="00F22A75">
              <w:rPr>
                <w:rFonts w:eastAsiaTheme="minorEastAsia"/>
                <w:b/>
                <w:bCs/>
                <w:color w:val="000000"/>
                <w:lang w:eastAsia="en-AU"/>
              </w:rPr>
              <w:t xml:space="preserve"> 938</w:t>
            </w:r>
          </w:p>
        </w:tc>
      </w:tr>
    </w:tbl>
    <w:p w:rsidR="00116054" w:rsidRDefault="00116054" w:rsidP="00564EEA">
      <w:pPr>
        <w:pStyle w:val="Source"/>
      </w:pPr>
      <w:r>
        <w:t>Source: Department of Treasury and Finance</w:t>
      </w:r>
      <w:r>
        <w:fldChar w:fldCharType="begin"/>
      </w:r>
      <w:r>
        <w:instrText xml:space="preserve"> XE "</w:instrText>
      </w:r>
      <w:proofErr w:type="spellStart"/>
      <w:r w:rsidRPr="00CA2E35">
        <w:instrText>Taxation:Revenue</w:instrText>
      </w:r>
      <w:proofErr w:type="spellEnd"/>
      <w:r>
        <w:instrText xml:space="preserve">" </w:instrText>
      </w:r>
      <w:r>
        <w:fldChar w:fldCharType="end"/>
      </w:r>
    </w:p>
    <w:p w:rsidR="00116054" w:rsidRDefault="00116054" w:rsidP="00564EEA">
      <w:pPr>
        <w:pStyle w:val="Notes"/>
      </w:pPr>
      <w:r>
        <w:t>Notes:</w:t>
      </w:r>
    </w:p>
    <w:p w:rsidR="00116054" w:rsidRDefault="00116054" w:rsidP="00AA2D61">
      <w:pPr>
        <w:pStyle w:val="Notes"/>
      </w:pPr>
      <w:r>
        <w:t xml:space="preserve">(a) </w:t>
      </w:r>
      <w:r>
        <w:tab/>
        <w:t xml:space="preserve">This is a summary operating statement. The comprehensive operating statement is presented in Budget Paper No. 5 </w:t>
      </w:r>
      <w:r w:rsidRPr="00AA2D61">
        <w:rPr>
          <w:i w:val="0"/>
        </w:rPr>
        <w:t>Statement of Finances</w:t>
      </w:r>
      <w:r>
        <w:t xml:space="preserve">. </w:t>
      </w:r>
    </w:p>
    <w:p w:rsidR="00116054" w:rsidRDefault="00116054" w:rsidP="00AA2D61">
      <w:pPr>
        <w:pStyle w:val="Notes"/>
      </w:pPr>
      <w:r>
        <w:t xml:space="preserve">(b) </w:t>
      </w:r>
      <w:r>
        <w:tab/>
        <w:t>Comprises dividends, income tax and rate equivalent revenue and interest.</w:t>
      </w:r>
    </w:p>
    <w:p w:rsidR="00116054" w:rsidRDefault="00116054" w:rsidP="00F22A75">
      <w:pPr>
        <w:pStyle w:val="Notes"/>
      </w:pPr>
      <w:r>
        <w:t xml:space="preserve">(c) </w:t>
      </w:r>
      <w:r>
        <w:tab/>
        <w:t xml:space="preserve">Comprises superannuation interest expense and other superannuation expenses. </w:t>
      </w:r>
    </w:p>
    <w:p w:rsidR="00116054" w:rsidRPr="00B3283C" w:rsidRDefault="00116054" w:rsidP="00023E8D"/>
    <w:p w:rsidR="00116054" w:rsidRPr="00614140" w:rsidRDefault="00116054" w:rsidP="00583E73">
      <w:r>
        <w:t>Table 5.1</w:t>
      </w:r>
      <w:r w:rsidRPr="00614140">
        <w:t xml:space="preserve"> shows that the operating performance of the NFPS is forecast to improve over the budget and forward estimates period, with the net result from transactions </w:t>
      </w:r>
      <w:r>
        <w:t>rising to</w:t>
      </w:r>
      <w:r w:rsidRPr="00614140">
        <w:t xml:space="preserve"> </w:t>
      </w:r>
      <w:r>
        <w:t xml:space="preserve">a </w:t>
      </w:r>
      <w:r w:rsidRPr="00614140">
        <w:t>$</w:t>
      </w:r>
      <w:r>
        <w:t>1.2 billion</w:t>
      </w:r>
      <w:r w:rsidRPr="00614140">
        <w:t xml:space="preserve"> surplus by 201</w:t>
      </w:r>
      <w:r>
        <w:t>8</w:t>
      </w:r>
      <w:r>
        <w:noBreakHyphen/>
      </w:r>
      <w:r w:rsidRPr="00614140">
        <w:t>1</w:t>
      </w:r>
      <w:r>
        <w:t>9</w:t>
      </w:r>
      <w:r w:rsidRPr="00614140">
        <w:t xml:space="preserve">. The improvement is </w:t>
      </w:r>
      <w:r>
        <w:t xml:space="preserve">mainly </w:t>
      </w:r>
      <w:r w:rsidRPr="00614140">
        <w:t>driven by the performance of the general government sector, which is projected to record a net result from transactions of $</w:t>
      </w:r>
      <w:r>
        <w:t>1.8 billion in</w:t>
      </w:r>
      <w:r w:rsidRPr="00614140">
        <w:t xml:space="preserve"> 201</w:t>
      </w:r>
      <w:r>
        <w:t>8</w:t>
      </w:r>
      <w:r>
        <w:noBreakHyphen/>
      </w:r>
      <w:r w:rsidRPr="00614140">
        <w:t>1</w:t>
      </w:r>
      <w:r>
        <w:t>9</w:t>
      </w:r>
      <w:r w:rsidRPr="00614140">
        <w:t>.</w:t>
      </w:r>
      <w:r>
        <w:t xml:space="preserve"> The c</w:t>
      </w:r>
      <w:r w:rsidRPr="007B2462">
        <w:t>omponents of the NFPS net operating result from transactions</w:t>
      </w:r>
      <w:r w:rsidRPr="00614140">
        <w:t xml:space="preserve"> </w:t>
      </w:r>
      <w:r>
        <w:t>are shown in Chart 5.1.</w:t>
      </w:r>
    </w:p>
    <w:p w:rsidR="00116054" w:rsidRPr="007B2462" w:rsidRDefault="00116054" w:rsidP="00614140">
      <w:pPr>
        <w:pStyle w:val="Chartheading"/>
      </w:pPr>
      <w:r w:rsidRPr="007B2462">
        <w:lastRenderedPageBreak/>
        <w:t>Chart 5.1:</w:t>
      </w:r>
      <w:r w:rsidRPr="007B2462">
        <w:tab/>
        <w:t>Components of the NFPS net operating result from transactions</w:t>
      </w:r>
    </w:p>
    <w:p w:rsidR="00116054" w:rsidRDefault="00CC5D46" w:rsidP="00A92C56">
      <w:pPr>
        <w:pStyle w:val="Chartpara"/>
      </w:pPr>
      <w:r>
        <w:pict>
          <v:shape id="_x0000_i1045" type="#_x0000_t75" style="width:384.2pt;height:233.75pt">
            <v:imagedata r:id="rId43" o:title=""/>
          </v:shape>
        </w:pict>
      </w:r>
    </w:p>
    <w:p w:rsidR="00116054" w:rsidRDefault="00116054" w:rsidP="00CA018D">
      <w:pPr>
        <w:pStyle w:val="Source"/>
      </w:pPr>
      <w:r>
        <w:t>Source: Department of Treasury and Finance</w:t>
      </w:r>
    </w:p>
    <w:p w:rsidR="00116054" w:rsidRDefault="00116054" w:rsidP="00CA018D">
      <w:pPr>
        <w:pStyle w:val="Notes"/>
      </w:pPr>
      <w:r>
        <w:t>Note:</w:t>
      </w:r>
    </w:p>
    <w:p w:rsidR="00116054" w:rsidRPr="00CA018D" w:rsidRDefault="00116054" w:rsidP="001B3EFF">
      <w:pPr>
        <w:pStyle w:val="Notes"/>
      </w:pPr>
      <w:r>
        <w:t>(a)</w:t>
      </w:r>
      <w:r>
        <w:tab/>
      </w:r>
      <w:r w:rsidRPr="00CA018D">
        <w:t>Eliminations include transactions between the sectors, inc</w:t>
      </w:r>
      <w:r>
        <w:t>luding dividends paid from PNFC</w:t>
      </w:r>
      <w:r w:rsidRPr="00CA018D">
        <w:t>s to the general government sector.</w:t>
      </w:r>
    </w:p>
    <w:p w:rsidR="00116054" w:rsidRPr="00A92C56" w:rsidRDefault="00116054" w:rsidP="00A92C56">
      <w:pPr>
        <w:pStyle w:val="Chartpara"/>
      </w:pPr>
    </w:p>
    <w:p w:rsidR="00116054" w:rsidRDefault="00116054" w:rsidP="00583E73">
      <w:r>
        <w:t>The PNFC sector is projected to record an average deficit of $439 million over the budget and forward estimates.</w:t>
      </w:r>
    </w:p>
    <w:p w:rsidR="00116054" w:rsidRPr="00614140" w:rsidRDefault="00116054" w:rsidP="00583E73">
      <w:r w:rsidRPr="00614140">
        <w:t xml:space="preserve">A major contributor to the projected deficits </w:t>
      </w:r>
      <w:r>
        <w:t>of</w:t>
      </w:r>
      <w:r w:rsidRPr="00614140">
        <w:t xml:space="preserve"> the PNFC sector is the operating position of </w:t>
      </w:r>
      <w:proofErr w:type="spellStart"/>
      <w:r w:rsidRPr="00614140">
        <w:t>VicTrack</w:t>
      </w:r>
      <w:proofErr w:type="spellEnd"/>
      <w:r>
        <w:t>.</w:t>
      </w:r>
      <w:r w:rsidRPr="00614140">
        <w:t xml:space="preserve"> </w:t>
      </w:r>
      <w:r>
        <w:t xml:space="preserve">Cash operating surpluses of </w:t>
      </w:r>
      <w:proofErr w:type="spellStart"/>
      <w:r>
        <w:t>VicTrack</w:t>
      </w:r>
      <w:proofErr w:type="spellEnd"/>
      <w:r w:rsidRPr="00614140">
        <w:t xml:space="preserve"> do not fully cover depreciation on a regular basis, resulting in reported operating losses over the budget and forward estimates. </w:t>
      </w:r>
      <w:r>
        <w:t xml:space="preserve">The net result from transactions of </w:t>
      </w:r>
      <w:proofErr w:type="spellStart"/>
      <w:r>
        <w:t>VicTrack</w:t>
      </w:r>
      <w:proofErr w:type="spellEnd"/>
      <w:r>
        <w:t xml:space="preserve"> is estimated to be a deficit of $460 million on average over the budget and forward estimates. But the operating cash flow surplus of </w:t>
      </w:r>
      <w:proofErr w:type="spellStart"/>
      <w:r>
        <w:t>VicTrack</w:t>
      </w:r>
      <w:proofErr w:type="spellEnd"/>
      <w:r>
        <w:t xml:space="preserve"> is, on average, $127 million over the budget and forward estimates. </w:t>
      </w:r>
      <w:r w:rsidRPr="00614140">
        <w:t xml:space="preserve">The Government considers that </w:t>
      </w:r>
      <w:proofErr w:type="spellStart"/>
      <w:r w:rsidRPr="00614140">
        <w:t>VicTrack</w:t>
      </w:r>
      <w:proofErr w:type="spellEnd"/>
      <w:r w:rsidRPr="00614140">
        <w:t xml:space="preserve"> is financially sustainable from a cash perspective.</w:t>
      </w:r>
    </w:p>
    <w:p w:rsidR="00116054" w:rsidRDefault="00116054" w:rsidP="00583E73">
      <w:r w:rsidRPr="00614140">
        <w:t>M</w:t>
      </w:r>
      <w:r>
        <w:t>ost</w:t>
      </w:r>
      <w:r w:rsidRPr="00614140">
        <w:t xml:space="preserve"> PNFC entities are projected to record operating profits across the budget and forward </w:t>
      </w:r>
      <w:r>
        <w:t>estimates period. The metropolitan water sector averages a net result from transactions of $240 million per year over the budget and forward estimates.</w:t>
      </w:r>
    </w:p>
    <w:p w:rsidR="00116054" w:rsidRDefault="00116054" w:rsidP="00583E73">
      <w:r w:rsidRPr="00044EFD">
        <w:t>A strong performance from the metropolitan water sector has improved the projected performance</w:t>
      </w:r>
      <w:r>
        <w:t xml:space="preserve"> </w:t>
      </w:r>
      <w:r w:rsidRPr="00614140">
        <w:t xml:space="preserve">of the PNFC sector compared with the previous estimates contained in the </w:t>
      </w:r>
      <w:r w:rsidRPr="00614140">
        <w:rPr>
          <w:i/>
        </w:rPr>
        <w:t>201</w:t>
      </w:r>
      <w:r>
        <w:rPr>
          <w:i/>
        </w:rPr>
        <w:t>4</w:t>
      </w:r>
      <w:r>
        <w:rPr>
          <w:i/>
        </w:rPr>
        <w:noBreakHyphen/>
      </w:r>
      <w:r w:rsidRPr="00614140">
        <w:rPr>
          <w:i/>
        </w:rPr>
        <w:t>1</w:t>
      </w:r>
      <w:r>
        <w:rPr>
          <w:i/>
        </w:rPr>
        <w:t>5</w:t>
      </w:r>
      <w:r w:rsidRPr="00614140">
        <w:rPr>
          <w:i/>
        </w:rPr>
        <w:t xml:space="preserve"> Budget Update</w:t>
      </w:r>
      <w:r>
        <w:t>.</w:t>
      </w:r>
      <w:r>
        <w:fldChar w:fldCharType="begin"/>
      </w:r>
      <w:r>
        <w:instrText xml:space="preserve"> XE "</w:instrText>
      </w:r>
      <w:r w:rsidRPr="003E72F4">
        <w:instrText xml:space="preserve">Operating </w:instrText>
      </w:r>
      <w:proofErr w:type="spellStart"/>
      <w:r w:rsidRPr="003E72F4">
        <w:instrText>result:Non-financial</w:instrText>
      </w:r>
      <w:proofErr w:type="spellEnd"/>
      <w:r w:rsidRPr="003E72F4">
        <w:instrText xml:space="preserve"> public sector</w:instrText>
      </w:r>
      <w:r>
        <w:instrText xml:space="preserve">" \r "BP2Ch5NFPSOpResult" </w:instrText>
      </w:r>
      <w:r>
        <w:fldChar w:fldCharType="end"/>
      </w:r>
    </w:p>
    <w:bookmarkEnd w:id="98"/>
    <w:p w:rsidR="00116054" w:rsidRDefault="00116054">
      <w:pPr>
        <w:spacing w:after="0"/>
        <w:rPr>
          <w:rFonts w:asciiTheme="minorHAnsi" w:hAnsiTheme="minorHAnsi" w:cstheme="minorHAnsi"/>
          <w:b/>
          <w:caps/>
          <w:szCs w:val="22"/>
        </w:rPr>
      </w:pPr>
      <w:r>
        <w:rPr>
          <w:rFonts w:asciiTheme="minorHAnsi" w:hAnsiTheme="minorHAnsi" w:cstheme="minorHAnsi"/>
        </w:rPr>
        <w:br w:type="page"/>
      </w:r>
    </w:p>
    <w:p w:rsidR="00116054" w:rsidRPr="00614140" w:rsidRDefault="00116054" w:rsidP="00B3283C">
      <w:pPr>
        <w:pStyle w:val="Heading1"/>
      </w:pPr>
      <w:bookmarkStart w:id="100" w:name="_Toc418255152"/>
      <w:r w:rsidRPr="00614140">
        <w:lastRenderedPageBreak/>
        <w:t xml:space="preserve">Application of </w:t>
      </w:r>
      <w:r w:rsidRPr="00B3283C">
        <w:t>cash</w:t>
      </w:r>
      <w:r w:rsidRPr="00614140">
        <w:t xml:space="preserve"> resources</w:t>
      </w:r>
      <w:bookmarkEnd w:id="100"/>
    </w:p>
    <w:p w:rsidR="00116054" w:rsidRPr="00614140" w:rsidRDefault="00116054" w:rsidP="00583E73">
      <w:r>
        <w:t>Table 5.2</w:t>
      </w:r>
      <w:r w:rsidRPr="00614140">
        <w:t xml:space="preserve"> shows that the NFPS is projected to generate operating cash flow surpluses averaging $</w:t>
      </w:r>
      <w:r>
        <w:t>5.5 billion</w:t>
      </w:r>
      <w:r w:rsidRPr="00614140">
        <w:t xml:space="preserve"> a year over the budget and forward estimates period. These surpluses will be used to fund the State</w:t>
      </w:r>
      <w:r>
        <w:t>’</w:t>
      </w:r>
      <w:r w:rsidRPr="00614140">
        <w:t>s infrastructure program</w:t>
      </w:r>
      <w:r>
        <w:t>.</w:t>
      </w:r>
      <w:r w:rsidRPr="00614140">
        <w:t xml:space="preserve"> </w:t>
      </w:r>
    </w:p>
    <w:p w:rsidR="00116054" w:rsidRPr="00614140" w:rsidRDefault="00116054" w:rsidP="00614140">
      <w:pPr>
        <w:pStyle w:val="Tableheading"/>
        <w:rPr>
          <w:rFonts w:asciiTheme="minorHAnsi" w:hAnsiTheme="minorHAnsi" w:cstheme="minorHAnsi"/>
          <w:szCs w:val="22"/>
        </w:rPr>
      </w:pPr>
      <w:r w:rsidRPr="00614140">
        <w:rPr>
          <w:rFonts w:asciiTheme="minorHAnsi" w:hAnsiTheme="minorHAnsi" w:cstheme="minorHAnsi"/>
          <w:szCs w:val="22"/>
        </w:rPr>
        <w:t xml:space="preserve">Table 5.2: </w:t>
      </w:r>
      <w:r w:rsidRPr="00614140">
        <w:rPr>
          <w:rFonts w:asciiTheme="minorHAnsi" w:hAnsiTheme="minorHAnsi" w:cstheme="minorHAnsi"/>
          <w:szCs w:val="22"/>
        </w:rPr>
        <w:tab/>
        <w:t>Application of cash resources for the non</w:t>
      </w:r>
      <w:r>
        <w:rPr>
          <w:rFonts w:asciiTheme="minorHAnsi" w:hAnsiTheme="minorHAnsi" w:cstheme="minorHAnsi"/>
          <w:szCs w:val="22"/>
        </w:rPr>
        <w:noBreakHyphen/>
      </w:r>
      <w:r w:rsidRPr="00614140">
        <w:rPr>
          <w:rFonts w:asciiTheme="minorHAnsi" w:hAnsiTheme="minorHAnsi" w:cstheme="minorHAnsi"/>
          <w:szCs w:val="22"/>
        </w:rPr>
        <w:t>financial public sector</w:t>
      </w:r>
    </w:p>
    <w:p w:rsidR="00116054" w:rsidRPr="00F01379" w:rsidRDefault="00116054" w:rsidP="00F01379">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537"/>
        <w:gridCol w:w="527"/>
        <w:gridCol w:w="236"/>
        <w:gridCol w:w="892"/>
        <w:gridCol w:w="892"/>
        <w:gridCol w:w="892"/>
        <w:gridCol w:w="892"/>
        <w:gridCol w:w="892"/>
      </w:tblGrid>
      <w:tr w:rsidR="00116054" w:rsidRPr="00F01379" w:rsidTr="00DD1704">
        <w:tc>
          <w:tcPr>
            <w:tcW w:w="2537" w:type="dxa"/>
            <w:tcBorders>
              <w:top w:val="single" w:sz="6" w:space="0" w:color="auto"/>
              <w:left w:val="single" w:sz="6" w:space="0" w:color="auto"/>
              <w:bottom w:val="nil"/>
              <w:right w:val="nil"/>
            </w:tcBorders>
            <w:shd w:val="clear" w:color="000000" w:fill="000000"/>
          </w:tcPr>
          <w:p w:rsidR="00116054" w:rsidRPr="00DD1704" w:rsidRDefault="00116054" w:rsidP="00F01379">
            <w:pPr>
              <w:pStyle w:val="Tabletext"/>
              <w:rPr>
                <w:rFonts w:eastAsiaTheme="minorEastAsia"/>
                <w:sz w:val="19"/>
                <w:szCs w:val="19"/>
                <w:lang w:eastAsia="en-AU"/>
              </w:rPr>
            </w:pPr>
            <w:r w:rsidRPr="00DD1704">
              <w:rPr>
                <w:rFonts w:eastAsiaTheme="minorEastAsia"/>
                <w:sz w:val="19"/>
                <w:szCs w:val="19"/>
                <w:lang w:eastAsia="en-AU"/>
              </w:rPr>
              <w:t xml:space="preserve"> </w:t>
            </w:r>
          </w:p>
        </w:tc>
        <w:tc>
          <w:tcPr>
            <w:tcW w:w="763" w:type="dxa"/>
            <w:gridSpan w:val="2"/>
            <w:tcBorders>
              <w:top w:val="single" w:sz="6" w:space="0" w:color="auto"/>
              <w:left w:val="nil"/>
              <w:bottom w:val="nil"/>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2013</w:t>
            </w:r>
            <w:r>
              <w:rPr>
                <w:rFonts w:eastAsiaTheme="minorEastAsia"/>
                <w:iCs/>
                <w:color w:val="FFFFFF"/>
                <w:sz w:val="19"/>
                <w:szCs w:val="19"/>
                <w:lang w:eastAsia="en-AU"/>
              </w:rPr>
              <w:noBreakHyphen/>
            </w:r>
            <w:r w:rsidRPr="00F01379">
              <w:rPr>
                <w:rFonts w:eastAsiaTheme="minorEastAsia"/>
                <w:iCs/>
                <w:color w:val="FFFFFF"/>
                <w:sz w:val="19"/>
                <w:szCs w:val="19"/>
                <w:lang w:eastAsia="en-AU"/>
              </w:rPr>
              <w:t>14</w:t>
            </w:r>
          </w:p>
        </w:tc>
        <w:tc>
          <w:tcPr>
            <w:tcW w:w="892" w:type="dxa"/>
            <w:tcBorders>
              <w:top w:val="single" w:sz="6" w:space="0" w:color="auto"/>
              <w:left w:val="nil"/>
              <w:bottom w:val="nil"/>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2014</w:t>
            </w:r>
            <w:r>
              <w:rPr>
                <w:rFonts w:eastAsiaTheme="minorEastAsia"/>
                <w:iCs/>
                <w:color w:val="FFFFFF"/>
                <w:sz w:val="19"/>
                <w:szCs w:val="19"/>
                <w:lang w:eastAsia="en-AU"/>
              </w:rPr>
              <w:noBreakHyphen/>
            </w:r>
            <w:r w:rsidRPr="00F01379">
              <w:rPr>
                <w:rFonts w:eastAsiaTheme="minorEastAsia"/>
                <w:iCs/>
                <w:color w:val="FFFFFF"/>
                <w:sz w:val="19"/>
                <w:szCs w:val="19"/>
                <w:lang w:eastAsia="en-AU"/>
              </w:rPr>
              <w:t>15</w:t>
            </w:r>
          </w:p>
        </w:tc>
        <w:tc>
          <w:tcPr>
            <w:tcW w:w="892" w:type="dxa"/>
            <w:tcBorders>
              <w:top w:val="single" w:sz="6" w:space="0" w:color="auto"/>
              <w:left w:val="nil"/>
              <w:bottom w:val="nil"/>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2015</w:t>
            </w:r>
            <w:r>
              <w:rPr>
                <w:rFonts w:eastAsiaTheme="minorEastAsia"/>
                <w:iCs/>
                <w:color w:val="FFFFFF"/>
                <w:sz w:val="19"/>
                <w:szCs w:val="19"/>
                <w:lang w:eastAsia="en-AU"/>
              </w:rPr>
              <w:noBreakHyphen/>
            </w:r>
            <w:r w:rsidRPr="00F01379">
              <w:rPr>
                <w:rFonts w:eastAsiaTheme="minorEastAsia"/>
                <w:iCs/>
                <w:color w:val="FFFFFF"/>
                <w:sz w:val="19"/>
                <w:szCs w:val="19"/>
                <w:lang w:eastAsia="en-AU"/>
              </w:rPr>
              <w:t>16</w:t>
            </w:r>
          </w:p>
        </w:tc>
        <w:tc>
          <w:tcPr>
            <w:tcW w:w="892" w:type="dxa"/>
            <w:tcBorders>
              <w:top w:val="single" w:sz="6" w:space="0" w:color="auto"/>
              <w:left w:val="nil"/>
              <w:bottom w:val="nil"/>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2016</w:t>
            </w:r>
            <w:r>
              <w:rPr>
                <w:rFonts w:eastAsiaTheme="minorEastAsia"/>
                <w:iCs/>
                <w:color w:val="FFFFFF"/>
                <w:sz w:val="19"/>
                <w:szCs w:val="19"/>
                <w:lang w:eastAsia="en-AU"/>
              </w:rPr>
              <w:noBreakHyphen/>
            </w:r>
            <w:r w:rsidRPr="00F01379">
              <w:rPr>
                <w:rFonts w:eastAsiaTheme="minorEastAsia"/>
                <w:iCs/>
                <w:color w:val="FFFFFF"/>
                <w:sz w:val="19"/>
                <w:szCs w:val="19"/>
                <w:lang w:eastAsia="en-AU"/>
              </w:rPr>
              <w:t>17</w:t>
            </w:r>
          </w:p>
        </w:tc>
        <w:tc>
          <w:tcPr>
            <w:tcW w:w="892" w:type="dxa"/>
            <w:tcBorders>
              <w:top w:val="single" w:sz="6" w:space="0" w:color="auto"/>
              <w:left w:val="nil"/>
              <w:bottom w:val="nil"/>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2017</w:t>
            </w:r>
            <w:r>
              <w:rPr>
                <w:rFonts w:eastAsiaTheme="minorEastAsia"/>
                <w:iCs/>
                <w:color w:val="FFFFFF"/>
                <w:sz w:val="19"/>
                <w:szCs w:val="19"/>
                <w:lang w:eastAsia="en-AU"/>
              </w:rPr>
              <w:noBreakHyphen/>
            </w:r>
            <w:r w:rsidRPr="00F01379">
              <w:rPr>
                <w:rFonts w:eastAsiaTheme="minorEastAsia"/>
                <w:iCs/>
                <w:color w:val="FFFFFF"/>
                <w:sz w:val="19"/>
                <w:szCs w:val="19"/>
                <w:lang w:eastAsia="en-AU"/>
              </w:rPr>
              <w:t>18</w:t>
            </w:r>
          </w:p>
        </w:tc>
        <w:tc>
          <w:tcPr>
            <w:tcW w:w="892" w:type="dxa"/>
            <w:tcBorders>
              <w:top w:val="single" w:sz="6" w:space="0" w:color="auto"/>
              <w:left w:val="nil"/>
              <w:bottom w:val="nil"/>
              <w:right w:val="single" w:sz="6" w:space="0" w:color="auto"/>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2018</w:t>
            </w:r>
            <w:r>
              <w:rPr>
                <w:rFonts w:eastAsiaTheme="minorEastAsia"/>
                <w:iCs/>
                <w:color w:val="FFFFFF"/>
                <w:sz w:val="19"/>
                <w:szCs w:val="19"/>
                <w:lang w:eastAsia="en-AU"/>
              </w:rPr>
              <w:noBreakHyphen/>
            </w:r>
            <w:r w:rsidRPr="00F01379">
              <w:rPr>
                <w:rFonts w:eastAsiaTheme="minorEastAsia"/>
                <w:iCs/>
                <w:color w:val="FFFFFF"/>
                <w:sz w:val="19"/>
                <w:szCs w:val="19"/>
                <w:lang w:eastAsia="en-AU"/>
              </w:rPr>
              <w:t>19</w:t>
            </w:r>
          </w:p>
        </w:tc>
      </w:tr>
      <w:tr w:rsidR="00116054" w:rsidRPr="00F01379" w:rsidTr="00DD1704">
        <w:tc>
          <w:tcPr>
            <w:tcW w:w="2537" w:type="dxa"/>
            <w:tcBorders>
              <w:top w:val="nil"/>
              <w:left w:val="single" w:sz="6" w:space="0" w:color="auto"/>
              <w:bottom w:val="single" w:sz="6" w:space="0" w:color="auto"/>
              <w:right w:val="nil"/>
            </w:tcBorders>
            <w:shd w:val="clear" w:color="000000" w:fill="000000"/>
          </w:tcPr>
          <w:p w:rsidR="00116054" w:rsidRPr="00F01379" w:rsidRDefault="00116054" w:rsidP="00F01379">
            <w:pPr>
              <w:pStyle w:val="Tabletext"/>
              <w:rPr>
                <w:rFonts w:eastAsiaTheme="minorEastAsia"/>
                <w:sz w:val="19"/>
                <w:szCs w:val="19"/>
                <w:lang w:eastAsia="en-AU"/>
              </w:rPr>
            </w:pPr>
            <w:r w:rsidRPr="00F01379">
              <w:rPr>
                <w:rFonts w:eastAsiaTheme="minorEastAsia"/>
                <w:sz w:val="19"/>
                <w:szCs w:val="19"/>
                <w:lang w:eastAsia="en-AU"/>
              </w:rPr>
              <w:t xml:space="preserve"> </w:t>
            </w:r>
          </w:p>
        </w:tc>
        <w:tc>
          <w:tcPr>
            <w:tcW w:w="763" w:type="dxa"/>
            <w:gridSpan w:val="2"/>
            <w:tcBorders>
              <w:top w:val="nil"/>
              <w:left w:val="nil"/>
              <w:bottom w:val="single" w:sz="6" w:space="0" w:color="auto"/>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actual</w:t>
            </w:r>
          </w:p>
        </w:tc>
        <w:tc>
          <w:tcPr>
            <w:tcW w:w="892" w:type="dxa"/>
            <w:tcBorders>
              <w:top w:val="nil"/>
              <w:left w:val="nil"/>
              <w:bottom w:val="single" w:sz="6" w:space="0" w:color="auto"/>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revised</w:t>
            </w:r>
          </w:p>
        </w:tc>
        <w:tc>
          <w:tcPr>
            <w:tcW w:w="892" w:type="dxa"/>
            <w:tcBorders>
              <w:top w:val="nil"/>
              <w:left w:val="nil"/>
              <w:bottom w:val="single" w:sz="6" w:space="0" w:color="auto"/>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budget</w:t>
            </w:r>
          </w:p>
        </w:tc>
        <w:tc>
          <w:tcPr>
            <w:tcW w:w="892" w:type="dxa"/>
            <w:tcBorders>
              <w:top w:val="nil"/>
              <w:left w:val="nil"/>
              <w:bottom w:val="single" w:sz="6" w:space="0" w:color="auto"/>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estimate</w:t>
            </w:r>
          </w:p>
        </w:tc>
        <w:tc>
          <w:tcPr>
            <w:tcW w:w="892" w:type="dxa"/>
            <w:tcBorders>
              <w:top w:val="nil"/>
              <w:left w:val="nil"/>
              <w:bottom w:val="single" w:sz="6" w:space="0" w:color="auto"/>
              <w:right w:val="nil"/>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estimate</w:t>
            </w:r>
          </w:p>
        </w:tc>
        <w:tc>
          <w:tcPr>
            <w:tcW w:w="892" w:type="dxa"/>
            <w:tcBorders>
              <w:top w:val="nil"/>
              <w:left w:val="nil"/>
              <w:bottom w:val="single" w:sz="6" w:space="0" w:color="auto"/>
              <w:right w:val="single" w:sz="6" w:space="0" w:color="auto"/>
            </w:tcBorders>
            <w:shd w:val="clear" w:color="000000" w:fill="000000"/>
          </w:tcPr>
          <w:p w:rsidR="00116054" w:rsidRPr="00F01379" w:rsidRDefault="00116054" w:rsidP="00F01379">
            <w:pPr>
              <w:pStyle w:val="Tabletextheading"/>
              <w:rPr>
                <w:rFonts w:eastAsiaTheme="minorEastAsia"/>
                <w:iCs/>
                <w:color w:val="FFFFFF"/>
                <w:sz w:val="19"/>
                <w:szCs w:val="19"/>
                <w:lang w:eastAsia="en-AU"/>
              </w:rPr>
            </w:pPr>
            <w:r w:rsidRPr="00F01379">
              <w:rPr>
                <w:rFonts w:eastAsiaTheme="minorEastAsia"/>
                <w:iCs/>
                <w:color w:val="FFFFFF"/>
                <w:sz w:val="19"/>
                <w:szCs w:val="19"/>
                <w:lang w:eastAsia="en-AU"/>
              </w:rPr>
              <w:t>estimate</w:t>
            </w:r>
          </w:p>
        </w:tc>
      </w:tr>
      <w:tr w:rsidR="00116054" w:rsidRPr="00F01379" w:rsidTr="00DD1704">
        <w:tc>
          <w:tcPr>
            <w:tcW w:w="2537" w:type="dxa"/>
            <w:tcBorders>
              <w:top w:val="single" w:sz="6" w:space="0" w:color="auto"/>
              <w:left w:val="nil"/>
              <w:bottom w:val="nil"/>
              <w:right w:val="nil"/>
            </w:tcBorders>
          </w:tcPr>
          <w:p w:rsidR="00116054" w:rsidRPr="00F01379" w:rsidRDefault="00116054" w:rsidP="00F01379">
            <w:pPr>
              <w:pStyle w:val="Tabletext"/>
              <w:rPr>
                <w:rFonts w:eastAsiaTheme="minorEastAsia"/>
                <w:b/>
                <w:bCs/>
                <w:sz w:val="19"/>
                <w:szCs w:val="19"/>
                <w:lang w:eastAsia="en-AU"/>
              </w:rPr>
            </w:pPr>
            <w:r w:rsidRPr="00F01379">
              <w:rPr>
                <w:rFonts w:eastAsiaTheme="minorEastAsia"/>
                <w:b/>
                <w:bCs/>
                <w:sz w:val="19"/>
                <w:szCs w:val="19"/>
                <w:lang w:eastAsia="en-AU"/>
              </w:rPr>
              <w:t>Net result from transactions</w:t>
            </w:r>
          </w:p>
        </w:tc>
        <w:tc>
          <w:tcPr>
            <w:tcW w:w="763" w:type="dxa"/>
            <w:gridSpan w:val="2"/>
            <w:tcBorders>
              <w:top w:val="single" w:sz="6" w:space="0" w:color="auto"/>
              <w:left w:val="nil"/>
              <w:bottom w:val="nil"/>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1 771</w:t>
            </w:r>
          </w:p>
        </w:tc>
        <w:tc>
          <w:tcPr>
            <w:tcW w:w="892" w:type="dxa"/>
            <w:tcBorders>
              <w:top w:val="single" w:sz="6" w:space="0" w:color="auto"/>
              <w:left w:val="nil"/>
              <w:bottom w:val="nil"/>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 xml:space="preserve"> 232</w:t>
            </w:r>
          </w:p>
        </w:tc>
        <w:tc>
          <w:tcPr>
            <w:tcW w:w="892" w:type="dxa"/>
            <w:tcBorders>
              <w:top w:val="single" w:sz="6" w:space="0" w:color="auto"/>
              <w:left w:val="nil"/>
              <w:bottom w:val="nil"/>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 xml:space="preserve"> 460</w:t>
            </w:r>
          </w:p>
        </w:tc>
        <w:tc>
          <w:tcPr>
            <w:tcW w:w="892" w:type="dxa"/>
            <w:tcBorders>
              <w:top w:val="single" w:sz="6" w:space="0" w:color="auto"/>
              <w:left w:val="nil"/>
              <w:bottom w:val="nil"/>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 xml:space="preserve"> 716</w:t>
            </w:r>
          </w:p>
        </w:tc>
        <w:tc>
          <w:tcPr>
            <w:tcW w:w="892" w:type="dxa"/>
            <w:tcBorders>
              <w:top w:val="single" w:sz="6" w:space="0" w:color="auto"/>
              <w:left w:val="nil"/>
              <w:bottom w:val="nil"/>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 xml:space="preserve"> 793</w:t>
            </w:r>
          </w:p>
        </w:tc>
        <w:tc>
          <w:tcPr>
            <w:tcW w:w="892" w:type="dxa"/>
            <w:tcBorders>
              <w:top w:val="single" w:sz="6" w:space="0" w:color="auto"/>
              <w:left w:val="nil"/>
              <w:bottom w:val="nil"/>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1 229</w:t>
            </w:r>
          </w:p>
        </w:tc>
      </w:tr>
      <w:tr w:rsidR="00116054" w:rsidRPr="00F01379" w:rsidTr="00DD1704">
        <w:tc>
          <w:tcPr>
            <w:tcW w:w="2537" w:type="dxa"/>
            <w:tcBorders>
              <w:top w:val="nil"/>
              <w:left w:val="nil"/>
              <w:bottom w:val="single" w:sz="6" w:space="0" w:color="auto"/>
              <w:right w:val="nil"/>
            </w:tcBorders>
          </w:tcPr>
          <w:p w:rsidR="00116054" w:rsidRPr="00F01379" w:rsidRDefault="00116054" w:rsidP="00F01379">
            <w:pPr>
              <w:pStyle w:val="Tabletext"/>
              <w:rPr>
                <w:rFonts w:eastAsiaTheme="minorEastAsia"/>
                <w:sz w:val="19"/>
                <w:szCs w:val="19"/>
                <w:vertAlign w:val="superscript"/>
                <w:lang w:eastAsia="en-AU"/>
              </w:rPr>
            </w:pPr>
            <w:r w:rsidRPr="00F01379">
              <w:rPr>
                <w:rFonts w:eastAsiaTheme="minorEastAsia"/>
                <w:sz w:val="19"/>
                <w:szCs w:val="19"/>
                <w:lang w:eastAsia="en-AU"/>
              </w:rPr>
              <w:t>Add back: non</w:t>
            </w:r>
            <w:r>
              <w:rPr>
                <w:rFonts w:eastAsiaTheme="minorEastAsia"/>
                <w:sz w:val="19"/>
                <w:szCs w:val="19"/>
                <w:lang w:eastAsia="en-AU"/>
              </w:rPr>
              <w:noBreakHyphen/>
            </w:r>
            <w:r w:rsidRPr="00F01379">
              <w:rPr>
                <w:rFonts w:eastAsiaTheme="minorEastAsia"/>
                <w:sz w:val="19"/>
                <w:szCs w:val="19"/>
                <w:lang w:eastAsia="en-AU"/>
              </w:rPr>
              <w:t>cash income and expenses (net)</w:t>
            </w:r>
            <w:r w:rsidRPr="00F01379">
              <w:rPr>
                <w:rFonts w:eastAsiaTheme="minorEastAsia"/>
                <w:sz w:val="19"/>
                <w:szCs w:val="19"/>
                <w:vertAlign w:val="superscript"/>
                <w:lang w:eastAsia="en-AU"/>
              </w:rPr>
              <w:t xml:space="preserve"> (a)</w:t>
            </w:r>
          </w:p>
        </w:tc>
        <w:tc>
          <w:tcPr>
            <w:tcW w:w="763" w:type="dxa"/>
            <w:gridSpan w:val="2"/>
            <w:tcBorders>
              <w:top w:val="nil"/>
              <w:left w:val="nil"/>
              <w:bottom w:val="single" w:sz="6" w:space="0" w:color="auto"/>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3 865</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5 257</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4 415</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4 341</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5 169</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4 991</w:t>
            </w:r>
          </w:p>
        </w:tc>
      </w:tr>
      <w:tr w:rsidR="00116054" w:rsidRPr="00F01379" w:rsidTr="00DD1704">
        <w:tc>
          <w:tcPr>
            <w:tcW w:w="2537" w:type="dxa"/>
            <w:tcBorders>
              <w:top w:val="single" w:sz="6" w:space="0" w:color="auto"/>
              <w:left w:val="nil"/>
              <w:bottom w:val="nil"/>
              <w:right w:val="nil"/>
            </w:tcBorders>
          </w:tcPr>
          <w:p w:rsidR="00116054" w:rsidRPr="00F01379" w:rsidRDefault="00116054" w:rsidP="00F01379">
            <w:pPr>
              <w:pStyle w:val="Tabletext"/>
              <w:rPr>
                <w:rFonts w:eastAsiaTheme="minorEastAsia"/>
                <w:b/>
                <w:bCs/>
                <w:sz w:val="19"/>
                <w:szCs w:val="19"/>
                <w:lang w:eastAsia="en-AU"/>
              </w:rPr>
            </w:pPr>
            <w:r w:rsidRPr="00F01379">
              <w:rPr>
                <w:rFonts w:eastAsiaTheme="minorEastAsia"/>
                <w:b/>
                <w:bCs/>
                <w:sz w:val="19"/>
                <w:szCs w:val="19"/>
                <w:lang w:eastAsia="en-AU"/>
              </w:rPr>
              <w:t>Net cash flows from operating activities</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5 636</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5 490</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4 875</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5 057</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5 962</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6 221</w:t>
            </w:r>
          </w:p>
        </w:tc>
      </w:tr>
      <w:tr w:rsidR="00116054" w:rsidRPr="00F01379" w:rsidTr="00DD1704">
        <w:tc>
          <w:tcPr>
            <w:tcW w:w="2537" w:type="dxa"/>
            <w:tcBorders>
              <w:top w:val="nil"/>
              <w:left w:val="nil"/>
              <w:bottom w:val="nil"/>
              <w:right w:val="nil"/>
            </w:tcBorders>
          </w:tcPr>
          <w:p w:rsidR="00116054" w:rsidRPr="00F01379" w:rsidRDefault="00116054" w:rsidP="00F01379">
            <w:pPr>
              <w:pStyle w:val="Tabletext"/>
              <w:rPr>
                <w:rFonts w:eastAsiaTheme="minorEastAsia"/>
                <w:sz w:val="19"/>
                <w:szCs w:val="19"/>
                <w:lang w:eastAsia="en-AU"/>
              </w:rPr>
            </w:pPr>
            <w:r w:rsidRPr="00F01379">
              <w:rPr>
                <w:rFonts w:eastAsiaTheme="minorEastAsia"/>
                <w:sz w:val="19"/>
                <w:szCs w:val="19"/>
                <w:lang w:eastAsia="en-AU"/>
              </w:rPr>
              <w:t>Less:</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p>
        </w:tc>
      </w:tr>
      <w:tr w:rsidR="00116054" w:rsidRPr="00F01379" w:rsidTr="00F01379">
        <w:tc>
          <w:tcPr>
            <w:tcW w:w="3064" w:type="dxa"/>
            <w:gridSpan w:val="2"/>
            <w:tcBorders>
              <w:top w:val="nil"/>
              <w:left w:val="nil"/>
              <w:bottom w:val="nil"/>
              <w:right w:val="nil"/>
            </w:tcBorders>
          </w:tcPr>
          <w:p w:rsidR="00116054" w:rsidRPr="00F01379" w:rsidRDefault="00116054" w:rsidP="00F01379">
            <w:pPr>
              <w:pStyle w:val="Tabletext"/>
              <w:rPr>
                <w:rFonts w:eastAsiaTheme="minorEastAsia"/>
                <w:b/>
                <w:bCs/>
                <w:sz w:val="19"/>
                <w:szCs w:val="19"/>
                <w:lang w:eastAsia="en-AU"/>
              </w:rPr>
            </w:pPr>
            <w:r w:rsidRPr="00F01379">
              <w:rPr>
                <w:rFonts w:eastAsiaTheme="minorEastAsia"/>
                <w:b/>
                <w:bCs/>
                <w:sz w:val="19"/>
                <w:szCs w:val="19"/>
                <w:lang w:eastAsia="en-AU"/>
              </w:rPr>
              <w:t>Net investment in fixed assets</w:t>
            </w:r>
          </w:p>
        </w:tc>
        <w:tc>
          <w:tcPr>
            <w:tcW w:w="236" w:type="dxa"/>
            <w:tcBorders>
              <w:top w:val="nil"/>
              <w:left w:val="nil"/>
              <w:bottom w:val="nil"/>
              <w:right w:val="nil"/>
            </w:tcBorders>
          </w:tcPr>
          <w:p w:rsidR="00116054" w:rsidRPr="00F01379" w:rsidRDefault="00116054" w:rsidP="00F01379">
            <w:pPr>
              <w:pStyle w:val="TableofFigures"/>
              <w:rPr>
                <w:rFonts w:eastAsiaTheme="minorEastAsia"/>
                <w:b/>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b/>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b/>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b/>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b/>
                <w:sz w:val="19"/>
                <w:szCs w:val="19"/>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b/>
                <w:sz w:val="19"/>
                <w:szCs w:val="19"/>
                <w:lang w:eastAsia="en-AU"/>
              </w:rPr>
            </w:pPr>
          </w:p>
        </w:tc>
      </w:tr>
      <w:tr w:rsidR="00116054" w:rsidRPr="00F01379" w:rsidTr="00DD1704">
        <w:tc>
          <w:tcPr>
            <w:tcW w:w="2537" w:type="dxa"/>
            <w:tcBorders>
              <w:top w:val="nil"/>
              <w:left w:val="nil"/>
              <w:bottom w:val="nil"/>
              <w:right w:val="nil"/>
            </w:tcBorders>
          </w:tcPr>
          <w:p w:rsidR="00116054" w:rsidRPr="00F01379" w:rsidRDefault="00116054" w:rsidP="00F01379">
            <w:pPr>
              <w:pStyle w:val="Tabletext"/>
              <w:rPr>
                <w:rFonts w:eastAsiaTheme="minorEastAsia" w:cs="Calibri"/>
                <w:color w:val="000000"/>
                <w:sz w:val="19"/>
                <w:szCs w:val="19"/>
                <w:lang w:eastAsia="en-AU"/>
              </w:rPr>
            </w:pPr>
            <w:r w:rsidRPr="00F01379">
              <w:rPr>
                <w:rFonts w:eastAsiaTheme="minorEastAsia"/>
                <w:sz w:val="19"/>
                <w:szCs w:val="19"/>
                <w:lang w:eastAsia="en-AU"/>
              </w:rPr>
              <w:t xml:space="preserve">Net cash flows from </w:t>
            </w:r>
            <w:r w:rsidRPr="00F01379">
              <w:rPr>
                <w:rFonts w:eastAsiaTheme="minorEastAsia" w:cs="Calibri"/>
                <w:color w:val="000000"/>
                <w:sz w:val="19"/>
                <w:szCs w:val="19"/>
                <w:lang w:eastAsia="en-AU"/>
              </w:rPr>
              <w:t>investments in non</w:t>
            </w:r>
            <w:r>
              <w:rPr>
                <w:rFonts w:eastAsiaTheme="minorEastAsia" w:cs="Calibri"/>
                <w:color w:val="000000"/>
                <w:sz w:val="19"/>
                <w:szCs w:val="19"/>
                <w:lang w:eastAsia="en-AU"/>
              </w:rPr>
              <w:noBreakHyphen/>
            </w:r>
            <w:r w:rsidRPr="00F01379">
              <w:rPr>
                <w:rFonts w:eastAsiaTheme="minorEastAsia" w:cs="Calibri"/>
                <w:color w:val="000000"/>
                <w:sz w:val="19"/>
                <w:szCs w:val="19"/>
                <w:lang w:eastAsia="en-AU"/>
              </w:rPr>
              <w:t>financial assets</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6 791</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6 115</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( 506)</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6 964</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5 828</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5 410</w:t>
            </w:r>
          </w:p>
        </w:tc>
      </w:tr>
      <w:tr w:rsidR="00116054" w:rsidRPr="00F01379" w:rsidTr="00DD1704">
        <w:tc>
          <w:tcPr>
            <w:tcW w:w="2537" w:type="dxa"/>
            <w:tcBorders>
              <w:top w:val="nil"/>
              <w:left w:val="nil"/>
              <w:bottom w:val="nil"/>
              <w:right w:val="nil"/>
            </w:tcBorders>
          </w:tcPr>
          <w:p w:rsidR="00116054" w:rsidRPr="00F01379" w:rsidRDefault="00116054" w:rsidP="00F01379">
            <w:pPr>
              <w:pStyle w:val="Tabletext"/>
              <w:rPr>
                <w:rFonts w:eastAsiaTheme="minorEastAsia"/>
                <w:sz w:val="19"/>
                <w:szCs w:val="19"/>
                <w:lang w:eastAsia="en-AU"/>
              </w:rPr>
            </w:pPr>
            <w:r w:rsidRPr="00F01379">
              <w:rPr>
                <w:rFonts w:eastAsiaTheme="minorEastAsia"/>
                <w:sz w:val="19"/>
                <w:szCs w:val="19"/>
                <w:lang w:eastAsia="en-AU"/>
              </w:rPr>
              <w:t>Net cash flows from investments in financial assets for policy purposes</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 </w:t>
            </w:r>
            <w:r w:rsidRPr="00F01379">
              <w:rPr>
                <w:rFonts w:eastAsiaTheme="minorEastAsia" w:cs="Calibri"/>
                <w:color w:val="000000"/>
                <w:sz w:val="19"/>
                <w:szCs w:val="19"/>
                <w:lang w:eastAsia="en-AU"/>
              </w:rPr>
              <w:t>13)</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 </w:t>
            </w:r>
            <w:r w:rsidRPr="00F01379">
              <w:rPr>
                <w:rFonts w:eastAsiaTheme="minorEastAsia" w:cs="Calibri"/>
                <w:color w:val="000000"/>
                <w:sz w:val="19"/>
                <w:szCs w:val="19"/>
                <w:lang w:eastAsia="en-AU"/>
              </w:rPr>
              <w:t>386)</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53</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 </w:t>
            </w:r>
            <w:r w:rsidRPr="00F01379">
              <w:rPr>
                <w:rFonts w:eastAsiaTheme="minorEastAsia" w:cs="Calibri"/>
                <w:color w:val="000000"/>
                <w:sz w:val="19"/>
                <w:szCs w:val="19"/>
                <w:lang w:eastAsia="en-AU"/>
              </w:rPr>
              <w:t>46)</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(1</w:t>
            </w:r>
            <w:r w:rsidRPr="00F01379">
              <w:rPr>
                <w:rFonts w:eastAsiaTheme="minorEastAsia" w:cs="Calibri"/>
                <w:color w:val="000000"/>
                <w:sz w:val="19"/>
                <w:szCs w:val="19"/>
                <w:lang w:eastAsia="en-AU"/>
              </w:rPr>
              <w:t xml:space="preserve"> 179)</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52</w:t>
            </w:r>
          </w:p>
        </w:tc>
      </w:tr>
      <w:tr w:rsidR="00116054" w:rsidRPr="00F01379" w:rsidTr="00DD1704">
        <w:tc>
          <w:tcPr>
            <w:tcW w:w="2537" w:type="dxa"/>
            <w:tcBorders>
              <w:top w:val="nil"/>
              <w:left w:val="nil"/>
              <w:bottom w:val="nil"/>
              <w:right w:val="nil"/>
            </w:tcBorders>
          </w:tcPr>
          <w:p w:rsidR="00116054" w:rsidRPr="00F01379" w:rsidRDefault="00116054" w:rsidP="00F01379">
            <w:pPr>
              <w:pStyle w:val="Tabletext"/>
              <w:rPr>
                <w:rFonts w:eastAsiaTheme="minorEastAsia"/>
                <w:sz w:val="19"/>
                <w:szCs w:val="19"/>
                <w:vertAlign w:val="superscript"/>
                <w:lang w:eastAsia="en-AU"/>
              </w:rPr>
            </w:pPr>
            <w:r w:rsidRPr="00F01379">
              <w:rPr>
                <w:rFonts w:eastAsiaTheme="minorEastAsia"/>
                <w:sz w:val="19"/>
                <w:szCs w:val="19"/>
                <w:lang w:eastAsia="en-AU"/>
              </w:rPr>
              <w:t>Capital provision approved but not yet allocated</w:t>
            </w:r>
            <w:r w:rsidRPr="00F01379">
              <w:rPr>
                <w:rFonts w:eastAsiaTheme="minorEastAsia"/>
                <w:sz w:val="19"/>
                <w:szCs w:val="19"/>
                <w:vertAlign w:val="superscript"/>
                <w:lang w:eastAsia="en-AU"/>
              </w:rPr>
              <w:t xml:space="preserve"> (b)</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w:t>
            </w:r>
          </w:p>
        </w:tc>
        <w:tc>
          <w:tcPr>
            <w:tcW w:w="892" w:type="dxa"/>
            <w:tcBorders>
              <w:top w:val="nil"/>
              <w:left w:val="nil"/>
              <w:bottom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w:t>
            </w:r>
          </w:p>
        </w:tc>
        <w:tc>
          <w:tcPr>
            <w:tcW w:w="892" w:type="dxa"/>
            <w:tcBorders>
              <w:top w:val="nil"/>
              <w:left w:val="nil"/>
              <w:bottom w:val="nil"/>
              <w:right w:val="nil"/>
            </w:tcBorders>
            <w:shd w:val="solid" w:color="FFFFFF" w:fill="auto"/>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500</w:t>
            </w:r>
          </w:p>
        </w:tc>
        <w:tc>
          <w:tcPr>
            <w:tcW w:w="892" w:type="dxa"/>
            <w:tcBorders>
              <w:top w:val="nil"/>
              <w:left w:val="nil"/>
              <w:bottom w:val="nil"/>
              <w:right w:val="nil"/>
            </w:tcBorders>
            <w:shd w:val="solid" w:color="FFFFFF" w:fill="auto"/>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1 000</w:t>
            </w:r>
          </w:p>
        </w:tc>
        <w:tc>
          <w:tcPr>
            <w:tcW w:w="892" w:type="dxa"/>
            <w:tcBorders>
              <w:top w:val="nil"/>
              <w:left w:val="nil"/>
              <w:bottom w:val="nil"/>
              <w:right w:val="nil"/>
            </w:tcBorders>
            <w:shd w:val="solid" w:color="FFFFFF" w:fill="auto"/>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1 450</w:t>
            </w:r>
          </w:p>
        </w:tc>
      </w:tr>
      <w:tr w:rsidR="00116054" w:rsidRPr="00F01379" w:rsidTr="00DD1704">
        <w:tc>
          <w:tcPr>
            <w:tcW w:w="2537" w:type="dxa"/>
            <w:tcBorders>
              <w:top w:val="nil"/>
              <w:left w:val="nil"/>
              <w:bottom w:val="single" w:sz="6" w:space="0" w:color="auto"/>
              <w:right w:val="nil"/>
            </w:tcBorders>
          </w:tcPr>
          <w:p w:rsidR="00116054" w:rsidRPr="00F01379" w:rsidRDefault="00116054" w:rsidP="00F01379">
            <w:pPr>
              <w:pStyle w:val="Tabletext"/>
              <w:rPr>
                <w:rFonts w:eastAsiaTheme="minorEastAsia" w:cs="Calibri"/>
                <w:b/>
                <w:bCs/>
                <w:color w:val="000000"/>
                <w:sz w:val="19"/>
                <w:szCs w:val="19"/>
                <w:vertAlign w:val="superscript"/>
                <w:lang w:eastAsia="en-AU"/>
              </w:rPr>
            </w:pPr>
            <w:r w:rsidRPr="00F01379">
              <w:rPr>
                <w:rFonts w:eastAsiaTheme="minorEastAsia"/>
                <w:b/>
                <w:sz w:val="19"/>
                <w:szCs w:val="19"/>
                <w:lang w:eastAsia="en-AU"/>
              </w:rPr>
              <w:t xml:space="preserve">Total net investment in </w:t>
            </w:r>
            <w:r w:rsidRPr="00F01379">
              <w:rPr>
                <w:rFonts w:eastAsiaTheme="minorEastAsia" w:cs="Calibri"/>
                <w:b/>
                <w:bCs/>
                <w:color w:val="000000"/>
                <w:sz w:val="19"/>
                <w:szCs w:val="19"/>
                <w:lang w:eastAsia="en-AU"/>
              </w:rPr>
              <w:t xml:space="preserve">fixed assets </w:t>
            </w:r>
            <w:r w:rsidRPr="00F01379">
              <w:rPr>
                <w:rFonts w:eastAsiaTheme="minorEastAsia" w:cs="Calibri"/>
                <w:b/>
                <w:bCs/>
                <w:color w:val="000000"/>
                <w:sz w:val="19"/>
                <w:szCs w:val="19"/>
                <w:vertAlign w:val="superscript"/>
                <w:lang w:eastAsia="en-AU"/>
              </w:rPr>
              <w:t>(c)</w:t>
            </w:r>
          </w:p>
        </w:tc>
        <w:tc>
          <w:tcPr>
            <w:tcW w:w="763" w:type="dxa"/>
            <w:gridSpan w:val="2"/>
            <w:tcBorders>
              <w:top w:val="nil"/>
              <w:left w:val="nil"/>
              <w:bottom w:val="single" w:sz="6"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6 779</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5 729</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 xml:space="preserve"> ( 453)</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7 418</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5 649</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b/>
                <w:sz w:val="19"/>
                <w:szCs w:val="19"/>
                <w:lang w:eastAsia="en-AU"/>
              </w:rPr>
            </w:pPr>
            <w:r w:rsidRPr="00F01379">
              <w:rPr>
                <w:rFonts w:eastAsiaTheme="minorEastAsia"/>
                <w:b/>
                <w:sz w:val="19"/>
                <w:szCs w:val="19"/>
                <w:lang w:eastAsia="en-AU"/>
              </w:rPr>
              <w:t>6 912</w:t>
            </w:r>
          </w:p>
        </w:tc>
      </w:tr>
      <w:tr w:rsidR="00116054" w:rsidRPr="00F01379" w:rsidTr="00DD1704">
        <w:tc>
          <w:tcPr>
            <w:tcW w:w="2537" w:type="dxa"/>
            <w:tcBorders>
              <w:top w:val="nil"/>
              <w:left w:val="nil"/>
              <w:bottom w:val="nil"/>
              <w:right w:val="nil"/>
            </w:tcBorders>
          </w:tcPr>
          <w:p w:rsidR="00116054" w:rsidRPr="00F01379" w:rsidRDefault="00116054" w:rsidP="00F01379">
            <w:pPr>
              <w:pStyle w:val="Tabletext"/>
              <w:rPr>
                <w:rFonts w:eastAsiaTheme="minorEastAsia" w:cs="Calibri"/>
                <w:b/>
                <w:bCs/>
                <w:color w:val="000000"/>
                <w:sz w:val="19"/>
                <w:szCs w:val="19"/>
                <w:lang w:eastAsia="en-AU"/>
              </w:rPr>
            </w:pPr>
            <w:r w:rsidRPr="00F01379">
              <w:rPr>
                <w:rFonts w:eastAsiaTheme="minorEastAsia"/>
                <w:b/>
                <w:bCs/>
                <w:sz w:val="19"/>
                <w:szCs w:val="19"/>
                <w:lang w:eastAsia="en-AU"/>
              </w:rPr>
              <w:t>Surplus/(deficit) of cash from operations after</w:t>
            </w:r>
            <w:r w:rsidRPr="00F01379">
              <w:rPr>
                <w:rFonts w:eastAsiaTheme="minorEastAsia"/>
                <w:b/>
                <w:bCs/>
                <w:sz w:val="19"/>
                <w:szCs w:val="19"/>
                <w:vertAlign w:val="superscript"/>
                <w:lang w:eastAsia="en-AU"/>
              </w:rPr>
              <w:t xml:space="preserve"> </w:t>
            </w:r>
            <w:r w:rsidRPr="00F01379">
              <w:rPr>
                <w:rFonts w:eastAsiaTheme="minorEastAsia" w:cs="Calibri"/>
                <w:b/>
                <w:bCs/>
                <w:color w:val="000000"/>
                <w:sz w:val="19"/>
                <w:szCs w:val="19"/>
                <w:lang w:eastAsia="en-AU"/>
              </w:rPr>
              <w:t>funding net investment in fixed assets</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cs="Calibri"/>
                <w:b/>
                <w:bCs/>
                <w:color w:val="000000"/>
                <w:sz w:val="19"/>
                <w:szCs w:val="19"/>
                <w:lang w:eastAsia="en-AU"/>
              </w:rPr>
            </w:pPr>
            <w:r w:rsidRPr="00F01379">
              <w:rPr>
                <w:rFonts w:eastAsiaTheme="minorEastAsia"/>
                <w:b/>
                <w:bCs/>
                <w:sz w:val="19"/>
                <w:szCs w:val="19"/>
                <w:lang w:eastAsia="en-AU"/>
              </w:rPr>
              <w:t xml:space="preserve"> (1 </w:t>
            </w:r>
            <w:r w:rsidRPr="00F01379">
              <w:rPr>
                <w:rFonts w:eastAsiaTheme="minorEastAsia" w:cs="Calibri"/>
                <w:b/>
                <w:bCs/>
                <w:color w:val="000000"/>
                <w:sz w:val="19"/>
                <w:szCs w:val="19"/>
                <w:lang w:eastAsia="en-AU"/>
              </w:rPr>
              <w:t>143)</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b/>
                <w:bCs/>
                <w:color w:val="000000"/>
                <w:sz w:val="19"/>
                <w:szCs w:val="19"/>
                <w:lang w:eastAsia="en-AU"/>
              </w:rPr>
            </w:pPr>
            <w:r w:rsidRPr="00F01379">
              <w:rPr>
                <w:rFonts w:eastAsiaTheme="minorEastAsia"/>
                <w:b/>
                <w:bCs/>
                <w:sz w:val="19"/>
                <w:szCs w:val="19"/>
                <w:lang w:eastAsia="en-AU"/>
              </w:rPr>
              <w:t xml:space="preserve"> ( 239</w:t>
            </w:r>
            <w:r w:rsidRPr="00F01379">
              <w:rPr>
                <w:rFonts w:eastAsiaTheme="minorEastAsia" w:cs="Calibri"/>
                <w:b/>
                <w:bCs/>
                <w:color w:val="000000"/>
                <w:sz w:val="19"/>
                <w:szCs w:val="19"/>
                <w:lang w:eastAsia="en-AU"/>
              </w:rPr>
              <w:t>)</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b/>
                <w:bCs/>
                <w:color w:val="000000"/>
                <w:sz w:val="19"/>
                <w:szCs w:val="19"/>
                <w:lang w:eastAsia="en-AU"/>
              </w:rPr>
            </w:pPr>
            <w:r w:rsidRPr="00F01379">
              <w:rPr>
                <w:rFonts w:eastAsiaTheme="minorEastAsia"/>
                <w:b/>
                <w:bCs/>
                <w:sz w:val="19"/>
                <w:szCs w:val="19"/>
                <w:lang w:eastAsia="en-AU"/>
              </w:rPr>
              <w:t>5 328</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b/>
                <w:bCs/>
                <w:color w:val="000000"/>
                <w:sz w:val="19"/>
                <w:szCs w:val="19"/>
                <w:lang w:eastAsia="en-AU"/>
              </w:rPr>
            </w:pPr>
            <w:r w:rsidRPr="00F01379">
              <w:rPr>
                <w:rFonts w:eastAsiaTheme="minorEastAsia"/>
                <w:b/>
                <w:bCs/>
                <w:sz w:val="19"/>
                <w:szCs w:val="19"/>
                <w:lang w:eastAsia="en-AU"/>
              </w:rPr>
              <w:t xml:space="preserve"> (2 </w:t>
            </w:r>
            <w:r w:rsidRPr="00F01379">
              <w:rPr>
                <w:rFonts w:eastAsiaTheme="minorEastAsia" w:cs="Calibri"/>
                <w:b/>
                <w:bCs/>
                <w:color w:val="000000"/>
                <w:sz w:val="19"/>
                <w:szCs w:val="19"/>
                <w:lang w:eastAsia="en-AU"/>
              </w:rPr>
              <w:t>361)</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sz w:val="19"/>
                <w:szCs w:val="19"/>
                <w:lang w:eastAsia="en-AU"/>
              </w:rPr>
            </w:pPr>
            <w:r w:rsidRPr="00F01379">
              <w:rPr>
                <w:rFonts w:eastAsiaTheme="minorEastAsia"/>
                <w:b/>
                <w:bCs/>
                <w:sz w:val="19"/>
                <w:szCs w:val="19"/>
                <w:lang w:eastAsia="en-AU"/>
              </w:rPr>
              <w:t xml:space="preserve"> 313</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b/>
                <w:bCs/>
                <w:color w:val="000000"/>
                <w:sz w:val="19"/>
                <w:szCs w:val="19"/>
                <w:lang w:eastAsia="en-AU"/>
              </w:rPr>
            </w:pPr>
            <w:r w:rsidRPr="00F01379">
              <w:rPr>
                <w:rFonts w:eastAsiaTheme="minorEastAsia"/>
                <w:b/>
                <w:bCs/>
                <w:sz w:val="19"/>
                <w:szCs w:val="19"/>
                <w:lang w:eastAsia="en-AU"/>
              </w:rPr>
              <w:t xml:space="preserve"> ( 691</w:t>
            </w:r>
            <w:r w:rsidRPr="00F01379">
              <w:rPr>
                <w:rFonts w:eastAsiaTheme="minorEastAsia" w:cs="Calibri"/>
                <w:b/>
                <w:bCs/>
                <w:color w:val="000000"/>
                <w:sz w:val="19"/>
                <w:szCs w:val="19"/>
                <w:lang w:eastAsia="en-AU"/>
              </w:rPr>
              <w:t>)</w:t>
            </w:r>
          </w:p>
        </w:tc>
      </w:tr>
      <w:tr w:rsidR="00116054" w:rsidRPr="00F01379" w:rsidTr="00DD1704">
        <w:tc>
          <w:tcPr>
            <w:tcW w:w="2537" w:type="dxa"/>
            <w:tcBorders>
              <w:top w:val="nil"/>
              <w:left w:val="nil"/>
              <w:bottom w:val="nil"/>
              <w:right w:val="nil"/>
            </w:tcBorders>
          </w:tcPr>
          <w:p w:rsidR="00116054" w:rsidRPr="00F01379" w:rsidRDefault="00116054" w:rsidP="00F01379">
            <w:pPr>
              <w:pStyle w:val="Tabletext"/>
              <w:rPr>
                <w:rFonts w:eastAsiaTheme="minorEastAsia" w:cs="Calibri"/>
                <w:color w:val="000000"/>
                <w:sz w:val="19"/>
                <w:szCs w:val="19"/>
                <w:vertAlign w:val="superscript"/>
                <w:lang w:eastAsia="en-AU"/>
              </w:rPr>
            </w:pPr>
            <w:r w:rsidRPr="00F01379">
              <w:rPr>
                <w:rFonts w:eastAsiaTheme="minorEastAsia"/>
                <w:bCs/>
                <w:sz w:val="19"/>
                <w:szCs w:val="19"/>
                <w:lang w:eastAsia="en-AU"/>
              </w:rPr>
              <w:t xml:space="preserve">Finance leases </w:t>
            </w:r>
            <w:r w:rsidRPr="00F01379">
              <w:rPr>
                <w:rFonts w:eastAsiaTheme="minorEastAsia"/>
                <w:bCs/>
                <w:sz w:val="19"/>
                <w:szCs w:val="19"/>
                <w:vertAlign w:val="superscript"/>
                <w:lang w:eastAsia="en-AU"/>
              </w:rPr>
              <w:t>(d</w:t>
            </w:r>
            <w:r w:rsidRPr="00F01379">
              <w:rPr>
                <w:rFonts w:eastAsiaTheme="minorEastAsia" w:cs="Calibri"/>
                <w:color w:val="000000"/>
                <w:sz w:val="19"/>
                <w:szCs w:val="19"/>
                <w:vertAlign w:val="superscript"/>
                <w:lang w:eastAsia="en-AU"/>
              </w:rPr>
              <w:t>)</w:t>
            </w:r>
          </w:p>
        </w:tc>
        <w:tc>
          <w:tcPr>
            <w:tcW w:w="763" w:type="dxa"/>
            <w:gridSpan w:val="2"/>
            <w:tcBorders>
              <w:top w:val="nil"/>
              <w:left w:val="nil"/>
              <w:bottom w:val="nil"/>
              <w:right w:val="nil"/>
            </w:tcBorders>
          </w:tcPr>
          <w:p w:rsidR="00116054" w:rsidRPr="00F01379" w:rsidRDefault="00116054" w:rsidP="00F01379">
            <w:pPr>
              <w:pStyle w:val="TableofFigures"/>
              <w:rPr>
                <w:rFonts w:eastAsiaTheme="minorEastAsia"/>
                <w:bCs/>
                <w:sz w:val="19"/>
                <w:szCs w:val="19"/>
                <w:lang w:eastAsia="en-AU"/>
              </w:rPr>
            </w:pPr>
            <w:r w:rsidRPr="00F01379">
              <w:rPr>
                <w:rFonts w:eastAsiaTheme="minorEastAsia"/>
                <w:bCs/>
                <w:sz w:val="19"/>
                <w:szCs w:val="19"/>
                <w:lang w:eastAsia="en-AU"/>
              </w:rPr>
              <w:t xml:space="preserve"> 110</w:t>
            </w:r>
          </w:p>
        </w:tc>
        <w:tc>
          <w:tcPr>
            <w:tcW w:w="892" w:type="dxa"/>
            <w:tcBorders>
              <w:top w:val="nil"/>
              <w:left w:val="nil"/>
              <w:bottom w:val="nil"/>
              <w:right w:val="nil"/>
            </w:tcBorders>
          </w:tcPr>
          <w:p w:rsidR="00116054" w:rsidRPr="00F01379" w:rsidRDefault="00116054" w:rsidP="00F01379">
            <w:pPr>
              <w:pStyle w:val="TableofFigures"/>
              <w:rPr>
                <w:rFonts w:eastAsiaTheme="minorEastAsia"/>
                <w:bCs/>
                <w:sz w:val="19"/>
                <w:szCs w:val="19"/>
                <w:lang w:eastAsia="en-AU"/>
              </w:rPr>
            </w:pPr>
            <w:r w:rsidRPr="00F01379">
              <w:rPr>
                <w:rFonts w:eastAsiaTheme="minorEastAsia"/>
                <w:bCs/>
                <w:sz w:val="19"/>
                <w:szCs w:val="19"/>
                <w:lang w:eastAsia="en-AU"/>
              </w:rPr>
              <w:t xml:space="preserve"> 36</w:t>
            </w:r>
          </w:p>
        </w:tc>
        <w:tc>
          <w:tcPr>
            <w:tcW w:w="892" w:type="dxa"/>
            <w:tcBorders>
              <w:top w:val="nil"/>
              <w:left w:val="nil"/>
              <w:bottom w:val="nil"/>
              <w:right w:val="nil"/>
            </w:tcBorders>
          </w:tcPr>
          <w:p w:rsidR="00116054" w:rsidRPr="00F01379" w:rsidRDefault="00116054" w:rsidP="00F01379">
            <w:pPr>
              <w:pStyle w:val="TableofFigures"/>
              <w:rPr>
                <w:rFonts w:eastAsiaTheme="minorEastAsia"/>
                <w:bCs/>
                <w:sz w:val="19"/>
                <w:szCs w:val="19"/>
                <w:lang w:eastAsia="en-AU"/>
              </w:rPr>
            </w:pPr>
            <w:r w:rsidRPr="00F01379">
              <w:rPr>
                <w:rFonts w:eastAsiaTheme="minorEastAsia"/>
                <w:bCs/>
                <w:sz w:val="19"/>
                <w:szCs w:val="19"/>
                <w:lang w:eastAsia="en-AU"/>
              </w:rPr>
              <w:t>1 050</w:t>
            </w:r>
          </w:p>
        </w:tc>
        <w:tc>
          <w:tcPr>
            <w:tcW w:w="892" w:type="dxa"/>
            <w:tcBorders>
              <w:top w:val="nil"/>
              <w:left w:val="nil"/>
              <w:bottom w:val="nil"/>
              <w:right w:val="nil"/>
            </w:tcBorders>
          </w:tcPr>
          <w:p w:rsidR="00116054" w:rsidRPr="00F01379" w:rsidRDefault="00116054" w:rsidP="00F01379">
            <w:pPr>
              <w:pStyle w:val="TableofFigures"/>
              <w:rPr>
                <w:rFonts w:eastAsiaTheme="minorEastAsia"/>
                <w:bCs/>
                <w:sz w:val="19"/>
                <w:szCs w:val="19"/>
                <w:lang w:eastAsia="en-AU"/>
              </w:rPr>
            </w:pPr>
            <w:r w:rsidRPr="00F01379">
              <w:rPr>
                <w:rFonts w:eastAsiaTheme="minorEastAsia"/>
                <w:bCs/>
                <w:sz w:val="19"/>
                <w:szCs w:val="19"/>
                <w:lang w:eastAsia="en-AU"/>
              </w:rPr>
              <w:t xml:space="preserve"> 417</w:t>
            </w:r>
          </w:p>
        </w:tc>
        <w:tc>
          <w:tcPr>
            <w:tcW w:w="892" w:type="dxa"/>
            <w:tcBorders>
              <w:top w:val="nil"/>
              <w:left w:val="nil"/>
              <w:bottom w:val="nil"/>
              <w:right w:val="nil"/>
            </w:tcBorders>
          </w:tcPr>
          <w:p w:rsidR="00116054" w:rsidRPr="00F01379" w:rsidRDefault="00116054" w:rsidP="00F01379">
            <w:pPr>
              <w:pStyle w:val="TableofFigures"/>
              <w:rPr>
                <w:rFonts w:eastAsiaTheme="minorEastAsia"/>
                <w:bCs/>
                <w:sz w:val="19"/>
                <w:szCs w:val="19"/>
                <w:lang w:eastAsia="en-AU"/>
              </w:rPr>
            </w:pPr>
            <w:r w:rsidRPr="00F01379">
              <w:rPr>
                <w:rFonts w:eastAsiaTheme="minorEastAsia"/>
                <w:bCs/>
                <w:sz w:val="19"/>
                <w:szCs w:val="19"/>
                <w:lang w:eastAsia="en-AU"/>
              </w:rPr>
              <w:t xml:space="preserve"> 654</w:t>
            </w:r>
          </w:p>
        </w:tc>
        <w:tc>
          <w:tcPr>
            <w:tcW w:w="892" w:type="dxa"/>
            <w:tcBorders>
              <w:top w:val="nil"/>
              <w:left w:val="nil"/>
              <w:bottom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bCs/>
                <w:sz w:val="19"/>
                <w:szCs w:val="19"/>
                <w:lang w:eastAsia="en-AU"/>
              </w:rPr>
              <w:t xml:space="preserve"> ..</w:t>
            </w:r>
          </w:p>
        </w:tc>
      </w:tr>
      <w:tr w:rsidR="00116054" w:rsidRPr="00F01379" w:rsidTr="00DD1704">
        <w:tc>
          <w:tcPr>
            <w:tcW w:w="2537" w:type="dxa"/>
            <w:tcBorders>
              <w:top w:val="nil"/>
              <w:left w:val="nil"/>
              <w:right w:val="nil"/>
            </w:tcBorders>
          </w:tcPr>
          <w:p w:rsidR="00116054" w:rsidRPr="00F01379" w:rsidRDefault="00116054" w:rsidP="00F01379">
            <w:pPr>
              <w:pStyle w:val="Tabletext"/>
              <w:rPr>
                <w:rFonts w:eastAsiaTheme="minorEastAsia" w:cs="Calibri"/>
                <w:color w:val="000000"/>
                <w:sz w:val="19"/>
                <w:szCs w:val="19"/>
                <w:lang w:eastAsia="en-AU"/>
              </w:rPr>
            </w:pPr>
            <w:r w:rsidRPr="00F01379">
              <w:rPr>
                <w:rFonts w:eastAsiaTheme="minorEastAsia"/>
                <w:sz w:val="19"/>
                <w:szCs w:val="19"/>
                <w:lang w:eastAsia="en-AU"/>
              </w:rPr>
              <w:t xml:space="preserve">Other investment </w:t>
            </w:r>
            <w:r w:rsidRPr="00F01379">
              <w:rPr>
                <w:rFonts w:eastAsiaTheme="minorEastAsia" w:cs="Calibri"/>
                <w:color w:val="000000"/>
                <w:sz w:val="19"/>
                <w:szCs w:val="19"/>
                <w:lang w:eastAsia="en-AU"/>
              </w:rPr>
              <w:t>activities (net)</w:t>
            </w:r>
          </w:p>
        </w:tc>
        <w:tc>
          <w:tcPr>
            <w:tcW w:w="763" w:type="dxa"/>
            <w:gridSpan w:val="2"/>
            <w:tcBorders>
              <w:top w:val="nil"/>
              <w:left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89</w:t>
            </w:r>
          </w:p>
        </w:tc>
        <w:tc>
          <w:tcPr>
            <w:tcW w:w="892" w:type="dxa"/>
            <w:tcBorders>
              <w:top w:val="nil"/>
              <w:left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 </w:t>
            </w:r>
            <w:r w:rsidRPr="00F01379">
              <w:rPr>
                <w:rFonts w:eastAsiaTheme="minorEastAsia" w:cs="Calibri"/>
                <w:color w:val="000000"/>
                <w:sz w:val="19"/>
                <w:szCs w:val="19"/>
                <w:lang w:eastAsia="en-AU"/>
              </w:rPr>
              <w:t>56)</w:t>
            </w:r>
          </w:p>
        </w:tc>
        <w:tc>
          <w:tcPr>
            <w:tcW w:w="892" w:type="dxa"/>
            <w:tcBorders>
              <w:top w:val="nil"/>
              <w:left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587</w:t>
            </w:r>
          </w:p>
        </w:tc>
        <w:tc>
          <w:tcPr>
            <w:tcW w:w="892" w:type="dxa"/>
            <w:tcBorders>
              <w:top w:val="nil"/>
              <w:left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 </w:t>
            </w:r>
            <w:r w:rsidRPr="00F01379">
              <w:rPr>
                <w:rFonts w:eastAsiaTheme="minorEastAsia" w:cs="Calibri"/>
                <w:color w:val="000000"/>
                <w:sz w:val="19"/>
                <w:szCs w:val="19"/>
                <w:lang w:eastAsia="en-AU"/>
              </w:rPr>
              <w:t>4)</w:t>
            </w:r>
          </w:p>
        </w:tc>
        <w:tc>
          <w:tcPr>
            <w:tcW w:w="892" w:type="dxa"/>
            <w:tcBorders>
              <w:top w:val="nil"/>
              <w:left w:val="nil"/>
              <w:right w:val="nil"/>
            </w:tcBorders>
          </w:tcPr>
          <w:p w:rsidR="00116054" w:rsidRPr="00F01379" w:rsidRDefault="00116054" w:rsidP="00F01379">
            <w:pPr>
              <w:pStyle w:val="TableofFigures"/>
              <w:rPr>
                <w:rFonts w:eastAsiaTheme="minorEastAsia" w:cs="Calibri"/>
                <w:color w:val="000000"/>
                <w:sz w:val="19"/>
                <w:szCs w:val="19"/>
                <w:lang w:eastAsia="en-AU"/>
              </w:rPr>
            </w:pPr>
            <w:r w:rsidRPr="00F01379">
              <w:rPr>
                <w:rFonts w:eastAsiaTheme="minorEastAsia"/>
                <w:sz w:val="19"/>
                <w:szCs w:val="19"/>
                <w:lang w:eastAsia="en-AU"/>
              </w:rPr>
              <w:t xml:space="preserve"> ( </w:t>
            </w:r>
            <w:r w:rsidRPr="00F01379">
              <w:rPr>
                <w:rFonts w:eastAsiaTheme="minorEastAsia" w:cs="Calibri"/>
                <w:color w:val="000000"/>
                <w:sz w:val="19"/>
                <w:szCs w:val="19"/>
                <w:lang w:eastAsia="en-AU"/>
              </w:rPr>
              <w:t>40)</w:t>
            </w:r>
          </w:p>
        </w:tc>
        <w:tc>
          <w:tcPr>
            <w:tcW w:w="892" w:type="dxa"/>
            <w:tcBorders>
              <w:top w:val="nil"/>
              <w:left w:val="nil"/>
              <w:right w:val="nil"/>
            </w:tcBorders>
          </w:tcPr>
          <w:p w:rsidR="00116054" w:rsidRPr="00F01379" w:rsidRDefault="00116054" w:rsidP="00F01379">
            <w:pPr>
              <w:pStyle w:val="TableofFigures"/>
              <w:rPr>
                <w:rFonts w:eastAsiaTheme="minorEastAsia"/>
                <w:sz w:val="19"/>
                <w:szCs w:val="19"/>
                <w:lang w:eastAsia="en-AU"/>
              </w:rPr>
            </w:pPr>
            <w:r w:rsidRPr="00F01379">
              <w:rPr>
                <w:rFonts w:eastAsiaTheme="minorEastAsia"/>
                <w:sz w:val="19"/>
                <w:szCs w:val="19"/>
                <w:lang w:eastAsia="en-AU"/>
              </w:rPr>
              <w:t xml:space="preserve"> 2</w:t>
            </w:r>
          </w:p>
        </w:tc>
      </w:tr>
      <w:tr w:rsidR="00116054" w:rsidRPr="00F01379" w:rsidTr="00DD1704">
        <w:tc>
          <w:tcPr>
            <w:tcW w:w="2537" w:type="dxa"/>
            <w:tcBorders>
              <w:top w:val="nil"/>
              <w:left w:val="nil"/>
              <w:bottom w:val="single" w:sz="12" w:space="0" w:color="auto"/>
              <w:right w:val="nil"/>
            </w:tcBorders>
          </w:tcPr>
          <w:p w:rsidR="00116054" w:rsidRPr="00F01379" w:rsidRDefault="00116054" w:rsidP="00F01379">
            <w:pPr>
              <w:pStyle w:val="Tabletext"/>
              <w:rPr>
                <w:rFonts w:eastAsiaTheme="minorEastAsia" w:cs="Calibri"/>
                <w:b/>
                <w:bCs/>
                <w:color w:val="000000"/>
                <w:sz w:val="19"/>
                <w:szCs w:val="19"/>
                <w:lang w:eastAsia="en-AU"/>
              </w:rPr>
            </w:pPr>
            <w:r w:rsidRPr="00F01379">
              <w:rPr>
                <w:rFonts w:eastAsiaTheme="minorEastAsia"/>
                <w:b/>
                <w:sz w:val="19"/>
                <w:szCs w:val="19"/>
                <w:lang w:eastAsia="en-AU"/>
              </w:rPr>
              <w:t xml:space="preserve">Decrease/(increase) in net </w:t>
            </w:r>
            <w:r w:rsidRPr="00F01379">
              <w:rPr>
                <w:rFonts w:eastAsiaTheme="minorEastAsia" w:cs="Calibri"/>
                <w:b/>
                <w:bCs/>
                <w:color w:val="000000"/>
                <w:sz w:val="19"/>
                <w:szCs w:val="19"/>
                <w:lang w:eastAsia="en-AU"/>
              </w:rPr>
              <w:t>debt</w:t>
            </w:r>
          </w:p>
        </w:tc>
        <w:tc>
          <w:tcPr>
            <w:tcW w:w="763" w:type="dxa"/>
            <w:gridSpan w:val="2"/>
            <w:tcBorders>
              <w:top w:val="nil"/>
              <w:left w:val="nil"/>
              <w:bottom w:val="single" w:sz="12"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 xml:space="preserve"> (1</w:t>
            </w:r>
            <w:r w:rsidRPr="00F01379">
              <w:rPr>
                <w:rFonts w:eastAsiaTheme="minorEastAsia" w:cs="Calibri"/>
                <w:b/>
                <w:color w:val="000000"/>
                <w:sz w:val="19"/>
                <w:szCs w:val="19"/>
                <w:lang w:eastAsia="en-AU"/>
              </w:rPr>
              <w:t xml:space="preserve"> 341)</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 xml:space="preserve"> ( </w:t>
            </w:r>
            <w:r w:rsidRPr="00F01379">
              <w:rPr>
                <w:rFonts w:eastAsiaTheme="minorEastAsia" w:cs="Calibri"/>
                <w:b/>
                <w:color w:val="000000"/>
                <w:sz w:val="19"/>
                <w:szCs w:val="19"/>
                <w:lang w:eastAsia="en-AU"/>
              </w:rPr>
              <w:t>220)</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3 691</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 xml:space="preserve"> (2</w:t>
            </w:r>
            <w:r w:rsidRPr="00F01379">
              <w:rPr>
                <w:rFonts w:eastAsiaTheme="minorEastAsia" w:cs="Calibri"/>
                <w:b/>
                <w:color w:val="000000"/>
                <w:sz w:val="19"/>
                <w:szCs w:val="19"/>
                <w:lang w:eastAsia="en-AU"/>
              </w:rPr>
              <w:t xml:space="preserve"> 774)</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 xml:space="preserve"> ( </w:t>
            </w:r>
            <w:r w:rsidRPr="00F01379">
              <w:rPr>
                <w:rFonts w:eastAsiaTheme="minorEastAsia" w:cs="Calibri"/>
                <w:b/>
                <w:color w:val="000000"/>
                <w:sz w:val="19"/>
                <w:szCs w:val="19"/>
                <w:lang w:eastAsia="en-AU"/>
              </w:rPr>
              <w:t>301)</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s="Calibri"/>
                <w:b/>
                <w:color w:val="000000"/>
                <w:sz w:val="19"/>
                <w:szCs w:val="19"/>
                <w:lang w:eastAsia="en-AU"/>
              </w:rPr>
            </w:pPr>
            <w:r w:rsidRPr="00F01379">
              <w:rPr>
                <w:rFonts w:eastAsiaTheme="minorEastAsia"/>
                <w:b/>
                <w:sz w:val="19"/>
                <w:szCs w:val="19"/>
                <w:lang w:eastAsia="en-AU"/>
              </w:rPr>
              <w:t xml:space="preserve"> ( </w:t>
            </w:r>
            <w:r w:rsidRPr="00F01379">
              <w:rPr>
                <w:rFonts w:eastAsiaTheme="minorEastAsia" w:cs="Calibri"/>
                <w:b/>
                <w:color w:val="000000"/>
                <w:sz w:val="19"/>
                <w:szCs w:val="19"/>
                <w:lang w:eastAsia="en-AU"/>
              </w:rPr>
              <w:t>693)</w:t>
            </w:r>
          </w:p>
        </w:tc>
      </w:tr>
    </w:tbl>
    <w:p w:rsidR="00116054" w:rsidRPr="00D24DBC" w:rsidRDefault="00116054" w:rsidP="00DA79F6">
      <w:pPr>
        <w:pStyle w:val="Source"/>
      </w:pPr>
      <w:r w:rsidRPr="00D24DBC">
        <w:t>Source: Department of Treasury and Finance</w:t>
      </w:r>
    </w:p>
    <w:p w:rsidR="00116054" w:rsidRPr="001B3EFF" w:rsidRDefault="00116054" w:rsidP="001B3EFF">
      <w:pPr>
        <w:pStyle w:val="Notes"/>
      </w:pPr>
      <w:r w:rsidRPr="001B3EFF">
        <w:t>Note</w:t>
      </w:r>
      <w:r>
        <w:t>s</w:t>
      </w:r>
      <w:r w:rsidRPr="001B3EFF">
        <w:t>:</w:t>
      </w:r>
    </w:p>
    <w:p w:rsidR="00116054" w:rsidRPr="001B3EFF" w:rsidRDefault="00116054" w:rsidP="001B3EFF">
      <w:pPr>
        <w:pStyle w:val="Notes"/>
      </w:pPr>
      <w:r w:rsidRPr="001B3EFF">
        <w:t>(a)</w:t>
      </w:r>
      <w:r>
        <w:tab/>
      </w:r>
      <w:r w:rsidRPr="001B3EFF">
        <w:t xml:space="preserve"> Includes depreciation and movements in the unfunded superannuation liability</w:t>
      </w:r>
      <w:r>
        <w:fldChar w:fldCharType="begin"/>
      </w:r>
      <w:r>
        <w:instrText xml:space="preserve"> XE "</w:instrText>
      </w:r>
      <w:r w:rsidRPr="004261B2">
        <w:rPr>
          <w:lang w:val="en-US"/>
        </w:rPr>
        <w:instrText>Superannuation:</w:instrText>
      </w:r>
      <w:r w:rsidRPr="004261B2">
        <w:instrText>Unfunded superannuation liability</w:instrText>
      </w:r>
      <w:r>
        <w:instrText xml:space="preserve">" </w:instrText>
      </w:r>
      <w:r>
        <w:fldChar w:fldCharType="end"/>
      </w:r>
      <w:r w:rsidRPr="001B3EFF">
        <w:t xml:space="preserve"> and liability for employee benefits.</w:t>
      </w:r>
    </w:p>
    <w:p w:rsidR="00116054" w:rsidRPr="001B3EFF" w:rsidRDefault="00116054" w:rsidP="001B3EFF">
      <w:pPr>
        <w:pStyle w:val="Notes"/>
      </w:pPr>
      <w:r w:rsidRPr="001B3EFF">
        <w:t xml:space="preserve">(b) </w:t>
      </w:r>
      <w:r>
        <w:tab/>
        <w:t>The a</w:t>
      </w:r>
      <w:r w:rsidRPr="001B3EFF">
        <w:t>mount available to be allocated to specific departments and projects in future budgets including capital contributions to other sectors.</w:t>
      </w:r>
    </w:p>
    <w:p w:rsidR="00116054" w:rsidRDefault="00116054" w:rsidP="001B3EFF">
      <w:pPr>
        <w:pStyle w:val="Notes"/>
      </w:pPr>
      <w:r w:rsidRPr="001B3EFF">
        <w:t xml:space="preserve">(c) </w:t>
      </w:r>
      <w:r>
        <w:tab/>
      </w:r>
      <w:r w:rsidRPr="001B3EFF">
        <w:t>Includes total purchases of plant, property and equipment, and capital contributions to other sectors of government net of proceeds from asset sales.</w:t>
      </w:r>
    </w:p>
    <w:p w:rsidR="00116054" w:rsidRPr="001B3EFF" w:rsidRDefault="00116054" w:rsidP="001B3EFF">
      <w:pPr>
        <w:pStyle w:val="Notes"/>
      </w:pPr>
      <w:r w:rsidRPr="007354C5">
        <w:t xml:space="preserve">(d) </w:t>
      </w:r>
      <w:r w:rsidRPr="007354C5">
        <w:tab/>
        <w:t>The 2013 14 actual relates to the metropolitan Melbo</w:t>
      </w:r>
      <w:r>
        <w:t>urne buses contract. The 2015</w:t>
      </w:r>
      <w:r>
        <w:noBreakHyphen/>
        <w:t xml:space="preserve">16 </w:t>
      </w:r>
      <w:r w:rsidRPr="007354C5">
        <w:t>figure relates to the Victorian Comprehensive</w:t>
      </w:r>
      <w:r>
        <w:t xml:space="preserve"> Cancer Centre (VCCC). The 2016</w:t>
      </w:r>
      <w:r>
        <w:noBreakHyphen/>
      </w:r>
      <w:r w:rsidRPr="007354C5">
        <w:t>17 figure relates to the Bendigo Hospital redevelopment (Stage 1) and the New Sc</w:t>
      </w:r>
      <w:r>
        <w:t>hools PPP (Tranche 1). The 2017</w:t>
      </w:r>
      <w:r>
        <w:noBreakHyphen/>
        <w:t>18 estimate relates to the Ravenhall Prison project, the Bendigo Hospital project (stage 2) and the New Schools PPP project (tranche 2).</w:t>
      </w:r>
    </w:p>
    <w:p w:rsidR="00116054" w:rsidRDefault="00116054">
      <w:pPr>
        <w:spacing w:after="0"/>
        <w:rPr>
          <w:rFonts w:asciiTheme="minorHAnsi" w:hAnsiTheme="minorHAnsi" w:cstheme="minorHAnsi"/>
          <w:b/>
          <w:szCs w:val="22"/>
        </w:rPr>
      </w:pPr>
      <w:r>
        <w:rPr>
          <w:rFonts w:asciiTheme="minorHAnsi" w:hAnsiTheme="minorHAnsi" w:cstheme="minorHAnsi"/>
        </w:rPr>
        <w:br w:type="page"/>
      </w:r>
    </w:p>
    <w:p w:rsidR="00116054" w:rsidRPr="00614140" w:rsidRDefault="00116054" w:rsidP="00B3283C">
      <w:pPr>
        <w:pStyle w:val="Heading2"/>
      </w:pPr>
      <w:r w:rsidRPr="00614140">
        <w:lastRenderedPageBreak/>
        <w:t>Infrastructure</w:t>
      </w:r>
    </w:p>
    <w:p w:rsidR="00116054" w:rsidRPr="00614140" w:rsidRDefault="00116054" w:rsidP="00B3283C">
      <w:r>
        <w:t>Table 5.2</w:t>
      </w:r>
      <w:r w:rsidRPr="00614140">
        <w:t xml:space="preserve"> also provides estimates of </w:t>
      </w:r>
      <w:r>
        <w:t xml:space="preserve">net investment in fixed assets </w:t>
      </w:r>
      <w:r w:rsidRPr="00614140">
        <w:t xml:space="preserve">which </w:t>
      </w:r>
      <w:r>
        <w:t xml:space="preserve">consists of </w:t>
      </w:r>
      <w:r w:rsidRPr="00614140">
        <w:t>infrastructure expenditure net of proceeds from asset sales.</w:t>
      </w:r>
      <w:r>
        <w:t xml:space="preserve"> S</w:t>
      </w:r>
      <w:r w:rsidRPr="00614140">
        <w:t>ubstantial proc</w:t>
      </w:r>
      <w:r>
        <w:t>eeds from asset sales result</w:t>
      </w:r>
      <w:r w:rsidRPr="00614140">
        <w:t xml:space="preserve"> in a net </w:t>
      </w:r>
      <w:r>
        <w:t xml:space="preserve">inflow of </w:t>
      </w:r>
      <w:r w:rsidRPr="00614140">
        <w:t>inv</w:t>
      </w:r>
      <w:r>
        <w:t>estment in fixed assets</w:t>
      </w:r>
      <w:r w:rsidRPr="00614140">
        <w:t xml:space="preserve"> in 2015</w:t>
      </w:r>
      <w:r>
        <w:noBreakHyphen/>
      </w:r>
      <w:r w:rsidRPr="00614140">
        <w:t>16 before increasing to $</w:t>
      </w:r>
      <w:r>
        <w:t>7.4 billion</w:t>
      </w:r>
      <w:r w:rsidRPr="00614140">
        <w:t xml:space="preserve"> in 201</w:t>
      </w:r>
      <w:r>
        <w:t>6</w:t>
      </w:r>
      <w:r>
        <w:noBreakHyphen/>
      </w:r>
      <w:r w:rsidRPr="00614140">
        <w:t>1</w:t>
      </w:r>
      <w:r>
        <w:t>7</w:t>
      </w:r>
      <w:r w:rsidRPr="00614140">
        <w:t>.</w:t>
      </w:r>
      <w:r w:rsidRPr="00614140">
        <w:rPr>
          <w:shd w:val="clear" w:color="auto" w:fill="FFC000"/>
        </w:rPr>
        <w:t xml:space="preserve"> </w:t>
      </w:r>
    </w:p>
    <w:p w:rsidR="00116054" w:rsidRPr="00614140" w:rsidRDefault="00116054" w:rsidP="00583E73">
      <w:r>
        <w:t xml:space="preserve">Forecasts indicate the </w:t>
      </w:r>
      <w:r w:rsidRPr="00614140">
        <w:t xml:space="preserve">PNFC sector </w:t>
      </w:r>
      <w:r>
        <w:t>will</w:t>
      </w:r>
      <w:r w:rsidRPr="00614140">
        <w:t xml:space="preserve"> deliver a significant proportion of the</w:t>
      </w:r>
      <w:r>
        <w:t xml:space="preserve"> Government’s projected</w:t>
      </w:r>
      <w:r w:rsidRPr="00614140">
        <w:t xml:space="preserve"> infrastructure program. The key PNFC sector infrastructure projects under development include:</w:t>
      </w:r>
    </w:p>
    <w:p w:rsidR="00116054" w:rsidRPr="00614140" w:rsidRDefault="00116054" w:rsidP="005F1E67">
      <w:pPr>
        <w:pStyle w:val="BulletText"/>
        <w:rPr>
          <w:b/>
          <w:caps/>
        </w:rPr>
      </w:pPr>
      <w:r w:rsidRPr="005F1E67">
        <w:t>investment in transport infrastructure to meet patronage growth and improve network performance. This includes extensive investment t</w:t>
      </w:r>
      <w:r>
        <w:t>o transform Melbourne’s busiest</w:t>
      </w:r>
      <w:r w:rsidRPr="005F1E67">
        <w:t xml:space="preserve"> train line, the Cranbourne</w:t>
      </w:r>
      <w:r>
        <w:noBreakHyphen/>
      </w:r>
      <w:r w:rsidRPr="005F1E67">
        <w:t xml:space="preserve">Pakenham </w:t>
      </w:r>
      <w:r>
        <w:t>rail corridor, with 37 new high</w:t>
      </w:r>
      <w:r>
        <w:noBreakHyphen/>
        <w:t>capacity trains, a new maintenance depot and associated infrastructure upgrades</w:t>
      </w:r>
      <w:r w:rsidRPr="005F1E67">
        <w:t xml:space="preserve">. Further rolling stock investments across the network include new </w:t>
      </w:r>
      <w:proofErr w:type="spellStart"/>
      <w:r w:rsidRPr="005F1E67">
        <w:t>X</w:t>
      </w:r>
      <w:r>
        <w:t>’</w:t>
      </w:r>
      <w:r w:rsidRPr="005F1E67">
        <w:t>Trapolis</w:t>
      </w:r>
      <w:proofErr w:type="spellEnd"/>
      <w:r w:rsidRPr="005F1E67">
        <w:t xml:space="preserve"> metropolitan trains, regional trains, and life extension works to components of the existing metropolitan train and tram fleet;</w:t>
      </w:r>
    </w:p>
    <w:p w:rsidR="00116054" w:rsidRPr="00614140" w:rsidRDefault="00116054" w:rsidP="007D4BD4">
      <w:pPr>
        <w:pStyle w:val="BulletText"/>
        <w:rPr>
          <w:b/>
          <w:caps/>
        </w:rPr>
      </w:pPr>
      <w:r w:rsidRPr="00614140">
        <w:t>various water</w:t>
      </w:r>
      <w:r>
        <w:noBreakHyphen/>
      </w:r>
      <w:r w:rsidRPr="00614140">
        <w:t>related infrastructure, including Goulburn</w:t>
      </w:r>
      <w:r>
        <w:noBreakHyphen/>
      </w:r>
      <w:r w:rsidRPr="00614140">
        <w:t>Murray Water</w:t>
      </w:r>
      <w:r>
        <w:t>’</w:t>
      </w:r>
      <w:r w:rsidRPr="00614140">
        <w:t>s Connections Program, connecting irrigators to a modernised main system of irrigation channels; and</w:t>
      </w:r>
    </w:p>
    <w:p w:rsidR="00116054" w:rsidRPr="00614140" w:rsidRDefault="00116054" w:rsidP="007D4BD4">
      <w:pPr>
        <w:pStyle w:val="BulletText"/>
        <w:rPr>
          <w:b/>
          <w:caps/>
        </w:rPr>
      </w:pPr>
      <w:r w:rsidRPr="00614140">
        <w:t>the Port Capacity Expansion project</w:t>
      </w:r>
      <w:r>
        <w:fldChar w:fldCharType="begin"/>
      </w:r>
      <w:r>
        <w:instrText xml:space="preserve"> XE "</w:instrText>
      </w:r>
      <w:r w:rsidRPr="00402E48">
        <w:instrText>Port Capacity Expansion project</w:instrText>
      </w:r>
      <w:r>
        <w:instrText xml:space="preserve">" </w:instrText>
      </w:r>
      <w:r>
        <w:fldChar w:fldCharType="end"/>
      </w:r>
      <w:r w:rsidRPr="00614140">
        <w:t xml:space="preserve">, which includes developing a third </w:t>
      </w:r>
      <w:r>
        <w:t xml:space="preserve">international container terminal and a Pre–Delivery Inspection Facility </w:t>
      </w:r>
      <w:r w:rsidRPr="00614140">
        <w:t xml:space="preserve">at Webb Dock. This will </w:t>
      </w:r>
      <w:r>
        <w:t xml:space="preserve">enhance stevedore competition and </w:t>
      </w:r>
      <w:r w:rsidRPr="00614140">
        <w:t>ensure that Vi</w:t>
      </w:r>
      <w:r>
        <w:t>ctoria can continue to respond to trade demand.</w:t>
      </w:r>
      <w:r w:rsidRPr="00C56D6B">
        <w:t xml:space="preserve"> </w:t>
      </w:r>
      <w:r>
        <w:fldChar w:fldCharType="begin"/>
      </w:r>
      <w:r>
        <w:instrText xml:space="preserve"> XE "</w:instrText>
      </w:r>
      <w:r w:rsidRPr="0000763E">
        <w:instrText>Non</w:instrText>
      </w:r>
      <w:r w:rsidRPr="0000763E">
        <w:noBreakHyphen/>
        <w:instrText>financial public sector</w:instrText>
      </w:r>
      <w:r>
        <w:instrText xml:space="preserve">" \r "BP2Ch5NFPS" </w:instrText>
      </w:r>
      <w:r>
        <w:fldChar w:fldCharType="end"/>
      </w:r>
    </w:p>
    <w:p w:rsidR="00116054" w:rsidRPr="00614140" w:rsidRDefault="00116054" w:rsidP="00B3283C">
      <w:pPr>
        <w:pStyle w:val="Heading1"/>
      </w:pPr>
      <w:bookmarkStart w:id="101" w:name="_Toc418255153"/>
      <w:bookmarkStart w:id="102" w:name="BP2Ch5NFPSNetdebt"/>
      <w:bookmarkStart w:id="103" w:name="BP2Ch5NetFinLiabs"/>
      <w:bookmarkEnd w:id="99"/>
      <w:r w:rsidRPr="00614140">
        <w:t>Non</w:t>
      </w:r>
      <w:r>
        <w:noBreakHyphen/>
      </w:r>
      <w:r w:rsidRPr="00B3283C">
        <w:t>financial</w:t>
      </w:r>
      <w:r w:rsidRPr="00614140">
        <w:t xml:space="preserve"> public sector net debt and net financial liabilities</w:t>
      </w:r>
      <w:bookmarkEnd w:id="101"/>
    </w:p>
    <w:p w:rsidR="00116054" w:rsidRPr="00614140" w:rsidRDefault="00116054" w:rsidP="00583E73">
      <w:r>
        <w:t>Table 5.3</w:t>
      </w:r>
      <w:r w:rsidRPr="00614140">
        <w:t xml:space="preserve"> provides details of NFPS net debt and superannuation liabilities. It shows that the ratio of net debt to </w:t>
      </w:r>
      <w:r>
        <w:t>gross state product</w:t>
      </w:r>
      <w:r>
        <w:fldChar w:fldCharType="begin"/>
      </w:r>
      <w:r>
        <w:instrText xml:space="preserve"> XE "</w:instrText>
      </w:r>
      <w:r w:rsidRPr="001A7F97">
        <w:instrText>Gross state product</w:instrText>
      </w:r>
      <w:r>
        <w:instrText xml:space="preserve">" </w:instrText>
      </w:r>
      <w:r>
        <w:fldChar w:fldCharType="end"/>
      </w:r>
      <w:r>
        <w:t xml:space="preserve"> (</w:t>
      </w:r>
      <w:r w:rsidRPr="00614140">
        <w:t>GSP</w:t>
      </w:r>
      <w:r>
        <w:t>)</w:t>
      </w:r>
      <w:r w:rsidRPr="00614140">
        <w:t xml:space="preserve"> </w:t>
      </w:r>
      <w:r>
        <w:t>will</w:t>
      </w:r>
      <w:r w:rsidRPr="00614140">
        <w:t xml:space="preserve"> fall from </w:t>
      </w:r>
      <w:r>
        <w:t>9.9 per cent</w:t>
      </w:r>
      <w:r w:rsidRPr="00614140">
        <w:t xml:space="preserve"> in 201</w:t>
      </w:r>
      <w:r>
        <w:t>4</w:t>
      </w:r>
      <w:r>
        <w:noBreakHyphen/>
      </w:r>
      <w:r w:rsidRPr="00614140">
        <w:t>1</w:t>
      </w:r>
      <w:r>
        <w:t>5</w:t>
      </w:r>
      <w:r w:rsidRPr="00614140">
        <w:t xml:space="preserve"> to </w:t>
      </w:r>
      <w:r>
        <w:t>8.1 per cent</w:t>
      </w:r>
      <w:r w:rsidRPr="00614140">
        <w:t xml:space="preserve"> by 201</w:t>
      </w:r>
      <w:r>
        <w:t>8</w:t>
      </w:r>
      <w:r>
        <w:noBreakHyphen/>
      </w:r>
      <w:r w:rsidRPr="00614140">
        <w:t>1</w:t>
      </w:r>
      <w:r>
        <w:t>9</w:t>
      </w:r>
      <w:r w:rsidRPr="00614140">
        <w:t>.</w:t>
      </w:r>
    </w:p>
    <w:p w:rsidR="00116054" w:rsidRPr="00614140" w:rsidRDefault="00116054" w:rsidP="00583E73">
      <w:r w:rsidRPr="00614140">
        <w:t xml:space="preserve">Superannuation liabilities are projected to fall slightly over the forward estimates, resulting in a fall in net financial liabilities to GSP from </w:t>
      </w:r>
      <w:r>
        <w:t>20.4 per cent</w:t>
      </w:r>
      <w:r w:rsidRPr="00614140">
        <w:t xml:space="preserve"> in 201</w:t>
      </w:r>
      <w:r>
        <w:t>4</w:t>
      </w:r>
      <w:r>
        <w:noBreakHyphen/>
      </w:r>
      <w:r w:rsidRPr="00614140">
        <w:t>1</w:t>
      </w:r>
      <w:r>
        <w:t>5</w:t>
      </w:r>
      <w:r w:rsidRPr="00614140">
        <w:t xml:space="preserve"> to </w:t>
      </w:r>
      <w:r>
        <w:t>15.6 per cent</w:t>
      </w:r>
      <w:r w:rsidRPr="00614140">
        <w:t xml:space="preserve"> in 201</w:t>
      </w:r>
      <w:r>
        <w:t>8</w:t>
      </w:r>
      <w:r>
        <w:noBreakHyphen/>
      </w:r>
      <w:r w:rsidRPr="00614140">
        <w:t>1</w:t>
      </w:r>
      <w:r>
        <w:t>9</w:t>
      </w:r>
      <w:r w:rsidRPr="00614140">
        <w:t>.</w:t>
      </w:r>
    </w:p>
    <w:p w:rsidR="00116054" w:rsidRDefault="00116054">
      <w:pPr>
        <w:spacing w:after="0"/>
        <w:rPr>
          <w:rFonts w:ascii="Calibri" w:hAnsi="Calibri"/>
          <w:b/>
        </w:rPr>
      </w:pPr>
      <w:r>
        <w:br w:type="page"/>
      </w:r>
    </w:p>
    <w:p w:rsidR="00116054" w:rsidRPr="007B2462" w:rsidRDefault="00116054" w:rsidP="00614140">
      <w:pPr>
        <w:pStyle w:val="Tableheading"/>
        <w:spacing w:before="180" w:after="60"/>
      </w:pPr>
      <w:r w:rsidRPr="007B2462">
        <w:lastRenderedPageBreak/>
        <w:t>Table 5.3:</w:t>
      </w:r>
      <w:r w:rsidRPr="007B2462">
        <w:tab/>
        <w:t>Non</w:t>
      </w:r>
      <w:r>
        <w:noBreakHyphen/>
      </w:r>
      <w:r w:rsidRPr="007B2462">
        <w:t>financial public sector net debt and net financial liabilities</w:t>
      </w:r>
    </w:p>
    <w:p w:rsidR="00116054" w:rsidRPr="00F01379" w:rsidRDefault="00116054" w:rsidP="00F01379">
      <w:pPr>
        <w:pStyle w:val="million"/>
        <w:rPr>
          <w:rFonts w:ascii="Times New Roman" w:hAnsi="Times New Roman"/>
          <w:sz w:val="20"/>
          <w:lang w:eastAsia="en-AU"/>
        </w:rPr>
      </w:pPr>
      <w:r>
        <w:t>($ billion)</w:t>
      </w:r>
    </w:p>
    <w:tbl>
      <w:tblPr>
        <w:tblW w:w="7776" w:type="dxa"/>
        <w:tblInd w:w="29" w:type="dxa"/>
        <w:tblLayout w:type="fixed"/>
        <w:tblCellMar>
          <w:left w:w="43" w:type="dxa"/>
          <w:right w:w="43" w:type="dxa"/>
        </w:tblCellMar>
        <w:tblLook w:val="0000" w:firstRow="0" w:lastRow="0" w:firstColumn="0" w:lastColumn="0" w:noHBand="0" w:noVBand="0"/>
      </w:tblPr>
      <w:tblGrid>
        <w:gridCol w:w="2624"/>
        <w:gridCol w:w="106"/>
        <w:gridCol w:w="74"/>
        <w:gridCol w:w="90"/>
        <w:gridCol w:w="588"/>
        <w:gridCol w:w="859"/>
        <w:gridCol w:w="859"/>
        <w:gridCol w:w="858"/>
        <w:gridCol w:w="859"/>
        <w:gridCol w:w="859"/>
      </w:tblGrid>
      <w:tr w:rsidR="00116054" w:rsidRPr="00F01379" w:rsidTr="00F01379">
        <w:tc>
          <w:tcPr>
            <w:tcW w:w="2624" w:type="dxa"/>
            <w:tcBorders>
              <w:top w:val="single" w:sz="4" w:space="0" w:color="auto"/>
              <w:left w:val="single" w:sz="4" w:space="0" w:color="auto"/>
              <w:bottom w:val="nil"/>
              <w:right w:val="nil"/>
            </w:tcBorders>
            <w:shd w:val="clear" w:color="auto" w:fill="000000"/>
          </w:tcPr>
          <w:p w:rsidR="00116054" w:rsidRPr="00F01379" w:rsidRDefault="00116054" w:rsidP="00F01379">
            <w:pPr>
              <w:pStyle w:val="Tabletext"/>
              <w:rPr>
                <w:rFonts w:eastAsiaTheme="minorEastAsia"/>
                <w:lang w:eastAsia="en-AU"/>
              </w:rPr>
            </w:pPr>
          </w:p>
        </w:tc>
        <w:tc>
          <w:tcPr>
            <w:tcW w:w="858" w:type="dxa"/>
            <w:gridSpan w:val="4"/>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2013</w:t>
            </w:r>
            <w:r>
              <w:rPr>
                <w:rFonts w:eastAsiaTheme="minorEastAsia"/>
                <w:lang w:eastAsia="en-AU"/>
              </w:rPr>
              <w:noBreakHyphen/>
            </w:r>
            <w:r w:rsidRPr="00F01379">
              <w:rPr>
                <w:rFonts w:eastAsiaTheme="minorEastAsia"/>
                <w:lang w:eastAsia="en-AU"/>
              </w:rPr>
              <w:t>14</w:t>
            </w:r>
          </w:p>
        </w:tc>
        <w:tc>
          <w:tcPr>
            <w:tcW w:w="859"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2014</w:t>
            </w:r>
            <w:r>
              <w:rPr>
                <w:rFonts w:eastAsiaTheme="minorEastAsia"/>
                <w:lang w:eastAsia="en-AU"/>
              </w:rPr>
              <w:noBreakHyphen/>
            </w:r>
            <w:r w:rsidRPr="00F01379">
              <w:rPr>
                <w:rFonts w:eastAsiaTheme="minorEastAsia"/>
                <w:lang w:eastAsia="en-AU"/>
              </w:rPr>
              <w:t>15</w:t>
            </w:r>
          </w:p>
        </w:tc>
        <w:tc>
          <w:tcPr>
            <w:tcW w:w="859"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2015</w:t>
            </w:r>
            <w:r>
              <w:rPr>
                <w:rFonts w:eastAsiaTheme="minorEastAsia"/>
                <w:lang w:eastAsia="en-AU"/>
              </w:rPr>
              <w:noBreakHyphen/>
            </w:r>
            <w:r w:rsidRPr="00F01379">
              <w:rPr>
                <w:rFonts w:eastAsiaTheme="minorEastAsia"/>
                <w:lang w:eastAsia="en-AU"/>
              </w:rPr>
              <w:t>16</w:t>
            </w:r>
          </w:p>
        </w:tc>
        <w:tc>
          <w:tcPr>
            <w:tcW w:w="858"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2016</w:t>
            </w:r>
            <w:r>
              <w:rPr>
                <w:rFonts w:eastAsiaTheme="minorEastAsia"/>
                <w:lang w:eastAsia="en-AU"/>
              </w:rPr>
              <w:noBreakHyphen/>
            </w:r>
            <w:r w:rsidRPr="00F01379">
              <w:rPr>
                <w:rFonts w:eastAsiaTheme="minorEastAsia"/>
                <w:lang w:eastAsia="en-AU"/>
              </w:rPr>
              <w:t>17</w:t>
            </w:r>
          </w:p>
        </w:tc>
        <w:tc>
          <w:tcPr>
            <w:tcW w:w="859"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2017</w:t>
            </w:r>
            <w:r>
              <w:rPr>
                <w:rFonts w:eastAsiaTheme="minorEastAsia"/>
                <w:lang w:eastAsia="en-AU"/>
              </w:rPr>
              <w:noBreakHyphen/>
            </w:r>
            <w:r w:rsidRPr="00F01379">
              <w:rPr>
                <w:rFonts w:eastAsiaTheme="minorEastAsia"/>
                <w:lang w:eastAsia="en-AU"/>
              </w:rPr>
              <w:t>18</w:t>
            </w:r>
          </w:p>
        </w:tc>
        <w:tc>
          <w:tcPr>
            <w:tcW w:w="859" w:type="dxa"/>
            <w:tcBorders>
              <w:top w:val="single" w:sz="4" w:space="0" w:color="auto"/>
              <w:left w:val="nil"/>
              <w:bottom w:val="nil"/>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2018</w:t>
            </w:r>
            <w:r>
              <w:rPr>
                <w:rFonts w:eastAsiaTheme="minorEastAsia"/>
                <w:lang w:eastAsia="en-AU"/>
              </w:rPr>
              <w:noBreakHyphen/>
            </w:r>
            <w:r w:rsidRPr="00F01379">
              <w:rPr>
                <w:rFonts w:eastAsiaTheme="minorEastAsia"/>
                <w:lang w:eastAsia="en-AU"/>
              </w:rPr>
              <w:t>19</w:t>
            </w:r>
          </w:p>
        </w:tc>
      </w:tr>
      <w:tr w:rsidR="00116054" w:rsidRPr="00F01379" w:rsidTr="00F01379">
        <w:tc>
          <w:tcPr>
            <w:tcW w:w="2624" w:type="dxa"/>
            <w:tcBorders>
              <w:top w:val="nil"/>
              <w:left w:val="single" w:sz="4" w:space="0" w:color="auto"/>
              <w:bottom w:val="single" w:sz="4" w:space="0" w:color="auto"/>
              <w:right w:val="nil"/>
            </w:tcBorders>
            <w:shd w:val="clear" w:color="auto" w:fill="000000"/>
          </w:tcPr>
          <w:p w:rsidR="00116054" w:rsidRPr="00F01379" w:rsidRDefault="00116054" w:rsidP="00F01379">
            <w:pPr>
              <w:pStyle w:val="Tabletext"/>
              <w:rPr>
                <w:rFonts w:eastAsiaTheme="minorEastAsia"/>
                <w:lang w:eastAsia="en-AU"/>
              </w:rPr>
            </w:pPr>
          </w:p>
        </w:tc>
        <w:tc>
          <w:tcPr>
            <w:tcW w:w="858" w:type="dxa"/>
            <w:gridSpan w:val="4"/>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actual</w:t>
            </w:r>
          </w:p>
        </w:tc>
        <w:tc>
          <w:tcPr>
            <w:tcW w:w="859"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revised</w:t>
            </w:r>
          </w:p>
        </w:tc>
        <w:tc>
          <w:tcPr>
            <w:tcW w:w="859"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budget</w:t>
            </w:r>
          </w:p>
        </w:tc>
        <w:tc>
          <w:tcPr>
            <w:tcW w:w="858"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59"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59" w:type="dxa"/>
            <w:tcBorders>
              <w:top w:val="nil"/>
              <w:left w:val="nil"/>
              <w:bottom w:val="single" w:sz="4" w:space="0" w:color="auto"/>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r>
      <w:tr w:rsidR="00116054" w:rsidRPr="00F01379" w:rsidTr="00F01379">
        <w:tc>
          <w:tcPr>
            <w:tcW w:w="2624" w:type="dxa"/>
            <w:tcBorders>
              <w:top w:val="single" w:sz="4" w:space="0" w:color="auto"/>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Financial assets</w:t>
            </w:r>
          </w:p>
        </w:tc>
        <w:tc>
          <w:tcPr>
            <w:tcW w:w="858" w:type="dxa"/>
            <w:gridSpan w:val="4"/>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8"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Cash and deposits</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5.6</w:t>
            </w:r>
          </w:p>
        </w:tc>
        <w:tc>
          <w:tcPr>
            <w:tcW w:w="85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5.8</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6.2</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6.5</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Advances paid</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0.1</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0.1</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0.1</w:t>
            </w:r>
          </w:p>
        </w:tc>
        <w:tc>
          <w:tcPr>
            <w:tcW w:w="85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0.1</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0.1</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0.1</w:t>
            </w:r>
          </w:p>
        </w:tc>
      </w:tr>
      <w:tr w:rsidR="00116054" w:rsidRPr="00F01379" w:rsidTr="00F01379">
        <w:tc>
          <w:tcPr>
            <w:tcW w:w="2624" w:type="dxa"/>
            <w:tcBorders>
              <w:top w:val="nil"/>
              <w:left w:val="nil"/>
              <w:bottom w:val="single" w:sz="6" w:space="0" w:color="auto"/>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Investments, loans and placements</w:t>
            </w:r>
          </w:p>
        </w:tc>
        <w:tc>
          <w:tcPr>
            <w:tcW w:w="858" w:type="dxa"/>
            <w:gridSpan w:val="4"/>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4.1</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4.1</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4.3</w:t>
            </w:r>
          </w:p>
        </w:tc>
        <w:tc>
          <w:tcPr>
            <w:tcW w:w="858"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4.3</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4.6</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4.9</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Total</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9.7</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9.7</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10.0</w:t>
            </w:r>
          </w:p>
        </w:tc>
        <w:tc>
          <w:tcPr>
            <w:tcW w:w="858"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10.2</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10.8</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11.5</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Financial liabilities</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Pr>
                <w:rFonts w:eastAsiaTheme="minorEastAsia"/>
                <w:color w:val="000000"/>
                <w:lang w:eastAsia="en-AU"/>
              </w:rPr>
              <w:t xml:space="preserve">  </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Deposits held and advances received</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0.5</w:t>
            </w:r>
          </w:p>
        </w:tc>
        <w:tc>
          <w:tcPr>
            <w:tcW w:w="85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0.5</w:t>
            </w:r>
          </w:p>
        </w:tc>
      </w:tr>
      <w:tr w:rsidR="00116054" w:rsidRPr="00F01379" w:rsidTr="00F01379">
        <w:tc>
          <w:tcPr>
            <w:tcW w:w="2624" w:type="dxa"/>
            <w:tcBorders>
              <w:top w:val="nil"/>
              <w:left w:val="nil"/>
              <w:bottom w:val="single" w:sz="6" w:space="0" w:color="auto"/>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Borrowings</w:t>
            </w:r>
          </w:p>
        </w:tc>
        <w:tc>
          <w:tcPr>
            <w:tcW w:w="858" w:type="dxa"/>
            <w:gridSpan w:val="4"/>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45.1</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45.4</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41.9</w:t>
            </w:r>
          </w:p>
        </w:tc>
        <w:tc>
          <w:tcPr>
            <w:tcW w:w="858"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45.0</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45.9</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47.2</w:t>
            </w:r>
          </w:p>
        </w:tc>
      </w:tr>
      <w:tr w:rsidR="00116054" w:rsidRPr="00F01379" w:rsidTr="00F01379">
        <w:tc>
          <w:tcPr>
            <w:tcW w:w="2624" w:type="dxa"/>
            <w:tcBorders>
              <w:top w:val="single" w:sz="6" w:space="0" w:color="auto"/>
              <w:left w:val="nil"/>
              <w:bottom w:val="single" w:sz="6" w:space="0" w:color="auto"/>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Total</w:t>
            </w:r>
          </w:p>
        </w:tc>
        <w:tc>
          <w:tcPr>
            <w:tcW w:w="858" w:type="dxa"/>
            <w:gridSpan w:val="4"/>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45.6</w:t>
            </w:r>
          </w:p>
        </w:tc>
        <w:tc>
          <w:tcPr>
            <w:tcW w:w="859"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45.8</w:t>
            </w:r>
          </w:p>
        </w:tc>
        <w:tc>
          <w:tcPr>
            <w:tcW w:w="859"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42.4</w:t>
            </w:r>
          </w:p>
        </w:tc>
        <w:tc>
          <w:tcPr>
            <w:tcW w:w="858"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45.5</w:t>
            </w:r>
          </w:p>
        </w:tc>
        <w:tc>
          <w:tcPr>
            <w:tcW w:w="859"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46.4</w:t>
            </w:r>
          </w:p>
        </w:tc>
        <w:tc>
          <w:tcPr>
            <w:tcW w:w="859"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47.7</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b/>
                <w:bCs/>
                <w:vertAlign w:val="superscript"/>
                <w:lang w:eastAsia="en-AU"/>
              </w:rPr>
            </w:pPr>
            <w:r w:rsidRPr="00F01379">
              <w:rPr>
                <w:rFonts w:eastAsiaTheme="minorEastAsia"/>
                <w:b/>
                <w:bCs/>
                <w:lang w:eastAsia="en-AU"/>
              </w:rPr>
              <w:t xml:space="preserve">Net debt </w:t>
            </w:r>
            <w:r w:rsidRPr="00F01379">
              <w:rPr>
                <w:rFonts w:eastAsiaTheme="minorEastAsia"/>
                <w:b/>
                <w:bCs/>
                <w:vertAlign w:val="superscript"/>
                <w:lang w:eastAsia="en-AU"/>
              </w:rPr>
              <w:t>(a)</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35.9</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36.1</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32.5</w:t>
            </w:r>
          </w:p>
        </w:tc>
        <w:tc>
          <w:tcPr>
            <w:tcW w:w="858"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35.2</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35.5</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36.2</w:t>
            </w:r>
          </w:p>
        </w:tc>
      </w:tr>
      <w:tr w:rsidR="00116054" w:rsidRPr="00F01379" w:rsidTr="00F01379">
        <w:tc>
          <w:tcPr>
            <w:tcW w:w="2624" w:type="dxa"/>
            <w:tcBorders>
              <w:top w:val="nil"/>
              <w:left w:val="nil"/>
              <w:bottom w:val="single" w:sz="6" w:space="0" w:color="auto"/>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Superannuation liability</w:t>
            </w:r>
          </w:p>
        </w:tc>
        <w:tc>
          <w:tcPr>
            <w:tcW w:w="858" w:type="dxa"/>
            <w:gridSpan w:val="4"/>
            <w:tcBorders>
              <w:top w:val="nil"/>
              <w:left w:val="nil"/>
              <w:bottom w:val="single" w:sz="6" w:space="0" w:color="auto"/>
              <w:right w:val="nil"/>
            </w:tcBorders>
          </w:tcPr>
          <w:p w:rsidR="00116054" w:rsidRPr="00F01379" w:rsidRDefault="00116054" w:rsidP="00F01379">
            <w:pPr>
              <w:pStyle w:val="TableofFigures"/>
              <w:rPr>
                <w:rFonts w:eastAsiaTheme="minorEastAsia"/>
                <w:bCs/>
                <w:color w:val="000000"/>
                <w:lang w:eastAsia="en-AU"/>
              </w:rPr>
            </w:pPr>
            <w:r w:rsidRPr="00F01379">
              <w:rPr>
                <w:rFonts w:eastAsiaTheme="minorEastAsia"/>
                <w:b/>
                <w:bCs/>
                <w:color w:val="000000"/>
                <w:lang w:eastAsia="en-AU"/>
              </w:rPr>
              <w:t xml:space="preserve"> </w:t>
            </w:r>
            <w:r w:rsidRPr="00F01379">
              <w:rPr>
                <w:rFonts w:eastAsiaTheme="minorEastAsia"/>
                <w:bCs/>
                <w:color w:val="000000"/>
                <w:lang w:eastAsia="en-AU"/>
              </w:rPr>
              <w:t>25.7</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30.8</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29.8</w:t>
            </w:r>
          </w:p>
        </w:tc>
        <w:tc>
          <w:tcPr>
            <w:tcW w:w="858"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28.7</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28.1</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27.1</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Net debt plus superannuation liability</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61.7</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66.9</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62.3</w:t>
            </w:r>
          </w:p>
        </w:tc>
        <w:tc>
          <w:tcPr>
            <w:tcW w:w="858"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63.9</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63.6</w:t>
            </w:r>
          </w:p>
        </w:tc>
        <w:tc>
          <w:tcPr>
            <w:tcW w:w="859"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63.3</w:t>
            </w:r>
          </w:p>
        </w:tc>
      </w:tr>
      <w:tr w:rsidR="00116054" w:rsidRPr="00F01379" w:rsidTr="00F01379">
        <w:tc>
          <w:tcPr>
            <w:tcW w:w="2624" w:type="dxa"/>
            <w:tcBorders>
              <w:top w:val="nil"/>
              <w:left w:val="nil"/>
              <w:bottom w:val="single" w:sz="6" w:space="0" w:color="auto"/>
              <w:right w:val="nil"/>
            </w:tcBorders>
          </w:tcPr>
          <w:p w:rsidR="00116054" w:rsidRPr="00F01379" w:rsidRDefault="00116054" w:rsidP="00F01379">
            <w:pPr>
              <w:pStyle w:val="Tabletext"/>
              <w:rPr>
                <w:rFonts w:eastAsiaTheme="minorEastAsia" w:cs="Calibri"/>
                <w:color w:val="000000"/>
                <w:vertAlign w:val="superscript"/>
                <w:lang w:eastAsia="en-AU"/>
              </w:rPr>
            </w:pPr>
            <w:r w:rsidRPr="00F01379">
              <w:rPr>
                <w:rFonts w:eastAsiaTheme="minorEastAsia"/>
                <w:lang w:eastAsia="en-AU"/>
              </w:rPr>
              <w:t>Other</w:t>
            </w:r>
            <w:r w:rsidRPr="00F01379">
              <w:rPr>
                <w:rFonts w:eastAsiaTheme="minorEastAsia" w:cs="Calibri"/>
                <w:color w:val="000000"/>
                <w:lang w:eastAsia="en-AU"/>
              </w:rPr>
              <w:t xml:space="preserve"> liabilities (net)</w:t>
            </w:r>
            <w:r w:rsidRPr="00F01379">
              <w:rPr>
                <w:rFonts w:eastAsiaTheme="minorEastAsia" w:cs="Calibri"/>
                <w:color w:val="000000"/>
                <w:vertAlign w:val="superscript"/>
                <w:lang w:eastAsia="en-AU"/>
              </w:rPr>
              <w:t xml:space="preserve"> (b)</w:t>
            </w:r>
          </w:p>
        </w:tc>
        <w:tc>
          <w:tcPr>
            <w:tcW w:w="858" w:type="dxa"/>
            <w:gridSpan w:val="4"/>
            <w:tcBorders>
              <w:top w:val="nil"/>
              <w:left w:val="nil"/>
              <w:bottom w:val="single" w:sz="6" w:space="0" w:color="auto"/>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w:t>
            </w:r>
            <w:r w:rsidRPr="00F01379">
              <w:rPr>
                <w:rFonts w:eastAsiaTheme="minorEastAsia" w:cs="Calibri"/>
                <w:color w:val="000000"/>
                <w:lang w:eastAsia="en-AU"/>
              </w:rPr>
              <w:t>6.4</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7.2</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6.7</w:t>
            </w:r>
          </w:p>
        </w:tc>
        <w:tc>
          <w:tcPr>
            <w:tcW w:w="858"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6.7</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6.8</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6.7</w:t>
            </w:r>
          </w:p>
        </w:tc>
      </w:tr>
      <w:tr w:rsidR="00116054" w:rsidRPr="00F01379" w:rsidTr="00F01379">
        <w:tc>
          <w:tcPr>
            <w:tcW w:w="2624" w:type="dxa"/>
            <w:tcBorders>
              <w:top w:val="nil"/>
              <w:left w:val="nil"/>
              <w:bottom w:val="single" w:sz="6" w:space="0" w:color="auto"/>
              <w:right w:val="nil"/>
            </w:tcBorders>
          </w:tcPr>
          <w:p w:rsidR="00116054" w:rsidRPr="00F01379" w:rsidRDefault="00116054" w:rsidP="00F01379">
            <w:pPr>
              <w:pStyle w:val="Tabletext"/>
              <w:rPr>
                <w:rFonts w:eastAsiaTheme="minorEastAsia" w:cs="Calibri"/>
                <w:b/>
                <w:bCs/>
                <w:color w:val="000000"/>
                <w:vertAlign w:val="superscript"/>
                <w:lang w:eastAsia="en-AU"/>
              </w:rPr>
            </w:pPr>
            <w:r w:rsidRPr="00F01379">
              <w:rPr>
                <w:rFonts w:eastAsiaTheme="minorEastAsia"/>
                <w:b/>
                <w:bCs/>
                <w:lang w:eastAsia="en-AU"/>
              </w:rPr>
              <w:t>Net</w:t>
            </w:r>
            <w:r w:rsidRPr="00F01379">
              <w:rPr>
                <w:rFonts w:eastAsiaTheme="minorEastAsia" w:cs="Calibri"/>
                <w:b/>
                <w:bCs/>
                <w:color w:val="000000"/>
                <w:lang w:eastAsia="en-AU"/>
              </w:rPr>
              <w:t xml:space="preserve"> financial liabilities </w:t>
            </w:r>
            <w:r w:rsidRPr="00F01379">
              <w:rPr>
                <w:rFonts w:eastAsiaTheme="minorEastAsia" w:cs="Calibri"/>
                <w:b/>
                <w:bCs/>
                <w:color w:val="000000"/>
                <w:vertAlign w:val="superscript"/>
                <w:lang w:eastAsia="en-AU"/>
              </w:rPr>
              <w:t>(c)</w:t>
            </w:r>
          </w:p>
        </w:tc>
        <w:tc>
          <w:tcPr>
            <w:tcW w:w="858" w:type="dxa"/>
            <w:gridSpan w:val="4"/>
            <w:tcBorders>
              <w:top w:val="nil"/>
              <w:left w:val="nil"/>
              <w:bottom w:val="single" w:sz="6" w:space="0" w:color="auto"/>
              <w:right w:val="nil"/>
            </w:tcBorders>
          </w:tcPr>
          <w:p w:rsidR="00116054" w:rsidRPr="00F01379" w:rsidRDefault="00116054" w:rsidP="00F01379">
            <w:pPr>
              <w:pStyle w:val="TableofFigures"/>
              <w:rPr>
                <w:rFonts w:eastAsiaTheme="minorEastAsia" w:cs="Calibri"/>
                <w:b/>
                <w:bCs/>
                <w:color w:val="000000"/>
                <w:lang w:eastAsia="en-AU"/>
              </w:rPr>
            </w:pPr>
            <w:r w:rsidRPr="00F01379">
              <w:rPr>
                <w:rFonts w:eastAsiaTheme="minorEastAsia"/>
                <w:b/>
                <w:bCs/>
                <w:color w:val="000000"/>
                <w:lang w:eastAsia="en-AU"/>
              </w:rPr>
              <w:t xml:space="preserve"> </w:t>
            </w:r>
            <w:r w:rsidRPr="00F01379">
              <w:rPr>
                <w:rFonts w:eastAsiaTheme="minorEastAsia" w:cs="Calibri"/>
                <w:b/>
                <w:bCs/>
                <w:color w:val="000000"/>
                <w:lang w:eastAsia="en-AU"/>
              </w:rPr>
              <w:t>68.0</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74.2</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69.0</w:t>
            </w:r>
          </w:p>
        </w:tc>
        <w:tc>
          <w:tcPr>
            <w:tcW w:w="858" w:type="dxa"/>
            <w:tcBorders>
              <w:top w:val="nil"/>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70.7</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70.4</w:t>
            </w:r>
          </w:p>
        </w:tc>
        <w:tc>
          <w:tcPr>
            <w:tcW w:w="859" w:type="dxa"/>
            <w:tcBorders>
              <w:top w:val="nil"/>
              <w:left w:val="nil"/>
              <w:bottom w:val="single" w:sz="6" w:space="0" w:color="auto"/>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 xml:space="preserve"> 70.0</w:t>
            </w:r>
          </w:p>
        </w:tc>
      </w:tr>
      <w:tr w:rsidR="00116054" w:rsidRPr="00F01379" w:rsidTr="00F01379">
        <w:tc>
          <w:tcPr>
            <w:tcW w:w="2624" w:type="dxa"/>
            <w:tcBorders>
              <w:top w:val="nil"/>
              <w:left w:val="nil"/>
              <w:bottom w:val="nil"/>
              <w:right w:val="nil"/>
            </w:tcBorders>
          </w:tcPr>
          <w:p w:rsidR="00116054" w:rsidRPr="00F01379" w:rsidRDefault="00116054" w:rsidP="00F01379">
            <w:pPr>
              <w:pStyle w:val="million"/>
              <w:rPr>
                <w:rFonts w:eastAsiaTheme="minorEastAsia"/>
                <w:lang w:eastAsia="en-AU"/>
              </w:rPr>
            </w:pPr>
            <w:r w:rsidRPr="00F01379">
              <w:rPr>
                <w:rFonts w:eastAsiaTheme="minorEastAsia"/>
                <w:lang w:eastAsia="en-AU"/>
              </w:rPr>
              <w:t xml:space="preserve"> </w:t>
            </w:r>
          </w:p>
        </w:tc>
        <w:tc>
          <w:tcPr>
            <w:tcW w:w="106" w:type="dxa"/>
            <w:tcBorders>
              <w:top w:val="nil"/>
              <w:left w:val="nil"/>
              <w:bottom w:val="nil"/>
              <w:right w:val="nil"/>
            </w:tcBorders>
          </w:tcPr>
          <w:p w:rsidR="00116054" w:rsidRPr="00F01379" w:rsidRDefault="00116054" w:rsidP="00F01379">
            <w:pPr>
              <w:pStyle w:val="million"/>
              <w:rPr>
                <w:rFonts w:eastAsiaTheme="minorEastAsia"/>
                <w:color w:val="000000"/>
                <w:lang w:eastAsia="en-AU"/>
              </w:rPr>
            </w:pPr>
            <w:r w:rsidRPr="00F01379">
              <w:rPr>
                <w:rFonts w:eastAsiaTheme="minorEastAsia"/>
                <w:color w:val="000000"/>
                <w:lang w:eastAsia="en-AU"/>
              </w:rPr>
              <w:t xml:space="preserve"> </w:t>
            </w:r>
          </w:p>
        </w:tc>
        <w:tc>
          <w:tcPr>
            <w:tcW w:w="164" w:type="dxa"/>
            <w:gridSpan w:val="2"/>
            <w:tcBorders>
              <w:top w:val="nil"/>
              <w:left w:val="nil"/>
              <w:bottom w:val="nil"/>
              <w:right w:val="nil"/>
            </w:tcBorders>
          </w:tcPr>
          <w:p w:rsidR="00116054" w:rsidRPr="00F01379" w:rsidRDefault="00116054" w:rsidP="00F01379">
            <w:pPr>
              <w:pStyle w:val="million"/>
              <w:rPr>
                <w:rFonts w:eastAsiaTheme="minorEastAsia"/>
                <w:color w:val="000000"/>
                <w:lang w:eastAsia="en-AU"/>
              </w:rPr>
            </w:pPr>
          </w:p>
        </w:tc>
        <w:tc>
          <w:tcPr>
            <w:tcW w:w="2306" w:type="dxa"/>
            <w:gridSpan w:val="3"/>
            <w:tcBorders>
              <w:top w:val="nil"/>
              <w:left w:val="nil"/>
              <w:bottom w:val="nil"/>
              <w:right w:val="nil"/>
            </w:tcBorders>
          </w:tcPr>
          <w:p w:rsidR="00116054" w:rsidRPr="00F01379" w:rsidRDefault="00116054" w:rsidP="00F01379">
            <w:pPr>
              <w:pStyle w:val="million"/>
              <w:rPr>
                <w:rFonts w:eastAsiaTheme="minorEastAsia" w:cs="Calibri"/>
                <w:iCs/>
                <w:color w:val="000000"/>
                <w:sz w:val="20"/>
                <w:lang w:eastAsia="en-AU"/>
              </w:rPr>
            </w:pPr>
            <w:r w:rsidRPr="00F01379">
              <w:rPr>
                <w:rFonts w:eastAsiaTheme="minorEastAsia"/>
                <w:color w:val="000000"/>
                <w:lang w:eastAsia="en-AU"/>
              </w:rPr>
              <w:t>(per</w:t>
            </w:r>
            <w:r w:rsidRPr="00F01379">
              <w:rPr>
                <w:rFonts w:eastAsiaTheme="minorEastAsia" w:cs="Calibri"/>
                <w:iCs/>
                <w:color w:val="000000"/>
                <w:sz w:val="20"/>
                <w:lang w:eastAsia="en-AU"/>
              </w:rPr>
              <w:t xml:space="preserve"> cent)</w:t>
            </w:r>
          </w:p>
        </w:tc>
        <w:tc>
          <w:tcPr>
            <w:tcW w:w="858" w:type="dxa"/>
            <w:tcBorders>
              <w:top w:val="nil"/>
              <w:left w:val="nil"/>
              <w:bottom w:val="nil"/>
              <w:right w:val="nil"/>
            </w:tcBorders>
          </w:tcPr>
          <w:p w:rsidR="00116054" w:rsidRPr="00F01379" w:rsidRDefault="00116054" w:rsidP="00F01379">
            <w:pPr>
              <w:pStyle w:val="million"/>
              <w:rPr>
                <w:rFonts w:eastAsiaTheme="minorEastAsia"/>
                <w:color w:val="000000"/>
                <w:lang w:eastAsia="en-AU"/>
              </w:rPr>
            </w:pPr>
            <w:r w:rsidRPr="00F01379">
              <w:rPr>
                <w:rFonts w:eastAsiaTheme="minorEastAsia"/>
                <w:color w:val="000000"/>
                <w:lang w:eastAsia="en-AU"/>
              </w:rPr>
              <w:t xml:space="preserve"> </w:t>
            </w:r>
          </w:p>
        </w:tc>
        <w:tc>
          <w:tcPr>
            <w:tcW w:w="859" w:type="dxa"/>
            <w:tcBorders>
              <w:top w:val="nil"/>
              <w:left w:val="nil"/>
              <w:bottom w:val="nil"/>
              <w:right w:val="nil"/>
            </w:tcBorders>
          </w:tcPr>
          <w:p w:rsidR="00116054" w:rsidRPr="00F01379" w:rsidRDefault="00116054" w:rsidP="00F01379">
            <w:pPr>
              <w:pStyle w:val="million"/>
              <w:rPr>
                <w:rFonts w:eastAsiaTheme="minorEastAsia"/>
                <w:color w:val="000000"/>
                <w:lang w:eastAsia="en-AU"/>
              </w:rPr>
            </w:pPr>
            <w:r w:rsidRPr="00F01379">
              <w:rPr>
                <w:rFonts w:eastAsiaTheme="minorEastAsia"/>
                <w:color w:val="000000"/>
                <w:lang w:eastAsia="en-AU"/>
              </w:rPr>
              <w:t xml:space="preserve"> </w:t>
            </w:r>
          </w:p>
        </w:tc>
        <w:tc>
          <w:tcPr>
            <w:tcW w:w="859" w:type="dxa"/>
            <w:tcBorders>
              <w:top w:val="nil"/>
              <w:left w:val="nil"/>
              <w:bottom w:val="nil"/>
              <w:right w:val="nil"/>
            </w:tcBorders>
          </w:tcPr>
          <w:p w:rsidR="00116054" w:rsidRPr="00F01379" w:rsidRDefault="00116054" w:rsidP="00F01379">
            <w:pPr>
              <w:pStyle w:val="million"/>
              <w:rPr>
                <w:rFonts w:eastAsiaTheme="minorEastAsia"/>
                <w:color w:val="000000"/>
                <w:lang w:eastAsia="en-AU"/>
              </w:rPr>
            </w:pPr>
            <w:r w:rsidRPr="00F01379">
              <w:rPr>
                <w:rFonts w:eastAsiaTheme="minorEastAsia"/>
                <w:color w:val="000000"/>
                <w:lang w:eastAsia="en-AU"/>
              </w:rPr>
              <w:t xml:space="preserve"> </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cs="Calibri"/>
                <w:b/>
                <w:bCs/>
                <w:color w:val="000000"/>
                <w:vertAlign w:val="superscript"/>
                <w:lang w:eastAsia="en-AU"/>
              </w:rPr>
            </w:pPr>
            <w:r w:rsidRPr="00F01379">
              <w:rPr>
                <w:rFonts w:eastAsiaTheme="minorEastAsia"/>
                <w:b/>
                <w:bCs/>
                <w:lang w:eastAsia="en-AU"/>
              </w:rPr>
              <w:t xml:space="preserve">Net debt to GSP </w:t>
            </w:r>
            <w:r w:rsidRPr="00F01379">
              <w:rPr>
                <w:rFonts w:eastAsiaTheme="minorEastAsia"/>
                <w:b/>
                <w:bCs/>
                <w:vertAlign w:val="superscript"/>
                <w:lang w:eastAsia="en-AU"/>
              </w:rPr>
              <w:t>(d</w:t>
            </w:r>
            <w:r w:rsidRPr="00F01379">
              <w:rPr>
                <w:rFonts w:eastAsiaTheme="minorEastAsia" w:cs="Calibri"/>
                <w:b/>
                <w:bCs/>
                <w:color w:val="000000"/>
                <w:vertAlign w:val="superscript"/>
                <w:lang w:eastAsia="en-AU"/>
              </w:rPr>
              <w:t>)</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10.3</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9.9</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8.5</w:t>
            </w:r>
          </w:p>
        </w:tc>
        <w:tc>
          <w:tcPr>
            <w:tcW w:w="85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8.7</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8.3</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8.1</w:t>
            </w:r>
          </w:p>
        </w:tc>
      </w:tr>
      <w:tr w:rsidR="00116054" w:rsidRPr="00F01379" w:rsidTr="00F01379">
        <w:tc>
          <w:tcPr>
            <w:tcW w:w="2624" w:type="dxa"/>
            <w:tcBorders>
              <w:top w:val="nil"/>
              <w:left w:val="nil"/>
              <w:bottom w:val="nil"/>
              <w:right w:val="nil"/>
            </w:tcBorders>
          </w:tcPr>
          <w:p w:rsidR="00116054" w:rsidRPr="00F01379" w:rsidRDefault="00116054" w:rsidP="00F01379">
            <w:pPr>
              <w:pStyle w:val="Tabletext"/>
              <w:rPr>
                <w:rFonts w:eastAsiaTheme="minorEastAsia" w:cs="Calibri"/>
                <w:b/>
                <w:bCs/>
                <w:color w:val="000000"/>
                <w:vertAlign w:val="superscript"/>
                <w:lang w:eastAsia="en-AU"/>
              </w:rPr>
            </w:pPr>
            <w:r w:rsidRPr="00F01379">
              <w:rPr>
                <w:rFonts w:eastAsiaTheme="minorEastAsia"/>
                <w:b/>
                <w:bCs/>
                <w:lang w:eastAsia="en-AU"/>
              </w:rPr>
              <w:t xml:space="preserve">Net </w:t>
            </w:r>
            <w:r w:rsidRPr="00F01379">
              <w:rPr>
                <w:rFonts w:eastAsiaTheme="minorEastAsia" w:cs="Calibri"/>
                <w:b/>
                <w:bCs/>
                <w:color w:val="000000"/>
                <w:lang w:eastAsia="en-AU"/>
              </w:rPr>
              <w:t xml:space="preserve">debt plus superannuation liability to GSP </w:t>
            </w:r>
            <w:r w:rsidRPr="00F01379">
              <w:rPr>
                <w:rFonts w:eastAsiaTheme="minorEastAsia" w:cs="Calibri"/>
                <w:b/>
                <w:bCs/>
                <w:color w:val="000000"/>
                <w:vertAlign w:val="superscript"/>
                <w:lang w:eastAsia="en-AU"/>
              </w:rPr>
              <w:t>(d)</w:t>
            </w:r>
          </w:p>
        </w:tc>
        <w:tc>
          <w:tcPr>
            <w:tcW w:w="858" w:type="dxa"/>
            <w:gridSpan w:val="4"/>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17.6</w:t>
            </w:r>
          </w:p>
        </w:tc>
        <w:tc>
          <w:tcPr>
            <w:tcW w:w="859" w:type="dxa"/>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18.4</w:t>
            </w:r>
          </w:p>
        </w:tc>
        <w:tc>
          <w:tcPr>
            <w:tcW w:w="859" w:type="dxa"/>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16.2</w:t>
            </w:r>
          </w:p>
        </w:tc>
        <w:tc>
          <w:tcPr>
            <w:tcW w:w="858" w:type="dxa"/>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15.8</w:t>
            </w:r>
          </w:p>
        </w:tc>
        <w:tc>
          <w:tcPr>
            <w:tcW w:w="859" w:type="dxa"/>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14.9</w:t>
            </w:r>
          </w:p>
        </w:tc>
        <w:tc>
          <w:tcPr>
            <w:tcW w:w="859" w:type="dxa"/>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14.1</w:t>
            </w:r>
          </w:p>
        </w:tc>
      </w:tr>
      <w:tr w:rsidR="00116054" w:rsidRPr="00F01379" w:rsidTr="00F01379">
        <w:tc>
          <w:tcPr>
            <w:tcW w:w="2804" w:type="dxa"/>
            <w:gridSpan w:val="3"/>
            <w:tcBorders>
              <w:top w:val="nil"/>
              <w:left w:val="nil"/>
              <w:bottom w:val="nil"/>
              <w:right w:val="nil"/>
            </w:tcBorders>
          </w:tcPr>
          <w:p w:rsidR="00116054" w:rsidRPr="00F01379" w:rsidRDefault="00116054" w:rsidP="00F01379">
            <w:pPr>
              <w:pStyle w:val="Tabletext"/>
              <w:rPr>
                <w:rFonts w:eastAsiaTheme="minorEastAsia" w:cs="Calibri"/>
                <w:b/>
                <w:bCs/>
                <w:color w:val="000000"/>
                <w:vertAlign w:val="superscript"/>
                <w:lang w:eastAsia="en-AU"/>
              </w:rPr>
            </w:pPr>
            <w:r w:rsidRPr="00F01379">
              <w:rPr>
                <w:rFonts w:eastAsiaTheme="minorEastAsia"/>
                <w:b/>
                <w:bCs/>
                <w:lang w:eastAsia="en-AU"/>
              </w:rPr>
              <w:t xml:space="preserve">Net financial liabilities to GSP </w:t>
            </w:r>
            <w:r w:rsidRPr="00F01379">
              <w:rPr>
                <w:rFonts w:eastAsiaTheme="minorEastAsia"/>
                <w:b/>
                <w:bCs/>
                <w:vertAlign w:val="superscript"/>
                <w:lang w:eastAsia="en-AU"/>
              </w:rPr>
              <w:t>(d</w:t>
            </w:r>
            <w:r w:rsidRPr="00F01379">
              <w:rPr>
                <w:rFonts w:eastAsiaTheme="minorEastAsia" w:cs="Calibri"/>
                <w:b/>
                <w:bCs/>
                <w:color w:val="000000"/>
                <w:vertAlign w:val="superscript"/>
                <w:lang w:eastAsia="en-AU"/>
              </w:rPr>
              <w:t>)</w:t>
            </w:r>
          </w:p>
        </w:tc>
        <w:tc>
          <w:tcPr>
            <w:tcW w:w="678"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19.4</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20.4</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18.0</w:t>
            </w:r>
          </w:p>
        </w:tc>
        <w:tc>
          <w:tcPr>
            <w:tcW w:w="85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17.5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16.5</w:t>
            </w:r>
          </w:p>
        </w:tc>
        <w:tc>
          <w:tcPr>
            <w:tcW w:w="859"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15.6</w:t>
            </w:r>
          </w:p>
        </w:tc>
      </w:tr>
      <w:tr w:rsidR="00116054" w:rsidRPr="00F01379" w:rsidTr="00F01379">
        <w:tc>
          <w:tcPr>
            <w:tcW w:w="2624" w:type="dxa"/>
            <w:tcBorders>
              <w:top w:val="nil"/>
              <w:left w:val="nil"/>
              <w:bottom w:val="single" w:sz="12" w:space="0" w:color="auto"/>
              <w:right w:val="nil"/>
            </w:tcBorders>
          </w:tcPr>
          <w:p w:rsidR="00116054" w:rsidRPr="00F01379" w:rsidRDefault="00116054" w:rsidP="00F01379">
            <w:pPr>
              <w:pStyle w:val="Tabletext"/>
              <w:rPr>
                <w:rFonts w:eastAsiaTheme="minorEastAsia"/>
                <w:b/>
                <w:bCs/>
                <w:vertAlign w:val="superscript"/>
                <w:lang w:eastAsia="en-AU"/>
              </w:rPr>
            </w:pPr>
            <w:r w:rsidRPr="00F01379">
              <w:rPr>
                <w:rFonts w:eastAsiaTheme="minorEastAsia"/>
                <w:b/>
                <w:bCs/>
                <w:lang w:eastAsia="en-AU"/>
              </w:rPr>
              <w:t xml:space="preserve">Net debt plus superannuation liability to revenue </w:t>
            </w:r>
            <w:r w:rsidRPr="00F01379">
              <w:rPr>
                <w:rFonts w:eastAsiaTheme="minorEastAsia"/>
                <w:b/>
                <w:bCs/>
                <w:vertAlign w:val="superscript"/>
                <w:lang w:eastAsia="en-AU"/>
              </w:rPr>
              <w:t>(e)</w:t>
            </w:r>
          </w:p>
        </w:tc>
        <w:tc>
          <w:tcPr>
            <w:tcW w:w="858" w:type="dxa"/>
            <w:gridSpan w:val="4"/>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110.0</w:t>
            </w:r>
          </w:p>
        </w:tc>
        <w:tc>
          <w:tcPr>
            <w:tcW w:w="859"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117.8</w:t>
            </w:r>
          </w:p>
        </w:tc>
        <w:tc>
          <w:tcPr>
            <w:tcW w:w="859"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106.3</w:t>
            </w:r>
          </w:p>
        </w:tc>
        <w:tc>
          <w:tcPr>
            <w:tcW w:w="858"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106.4</w:t>
            </w:r>
          </w:p>
        </w:tc>
        <w:tc>
          <w:tcPr>
            <w:tcW w:w="859"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101.9</w:t>
            </w:r>
          </w:p>
        </w:tc>
        <w:tc>
          <w:tcPr>
            <w:tcW w:w="859"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97.6</w:t>
            </w:r>
          </w:p>
        </w:tc>
      </w:tr>
    </w:tbl>
    <w:p w:rsidR="00116054" w:rsidRPr="00D24DBC" w:rsidRDefault="00116054" w:rsidP="00B3225D">
      <w:pPr>
        <w:pStyle w:val="Source"/>
        <w:rPr>
          <w:rFonts w:asciiTheme="minorHAnsi" w:hAnsiTheme="minorHAnsi" w:cstheme="minorHAnsi"/>
          <w:i w:val="0"/>
          <w:szCs w:val="15"/>
        </w:rPr>
      </w:pPr>
      <w:r w:rsidRPr="00D24DBC">
        <w:rPr>
          <w:rFonts w:asciiTheme="minorHAnsi" w:hAnsiTheme="minorHAnsi" w:cstheme="minorHAnsi"/>
          <w:szCs w:val="15"/>
        </w:rPr>
        <w:t>Source: Department of Treasury and Finance</w:t>
      </w:r>
      <w:r>
        <w:fldChar w:fldCharType="begin"/>
      </w:r>
      <w:r>
        <w:instrText xml:space="preserve"> XE "</w:instrText>
      </w:r>
      <w:proofErr w:type="spellStart"/>
      <w:r w:rsidRPr="00A718DF">
        <w:instrText>Superannuation:</w:instrText>
      </w:r>
      <w:r>
        <w:instrText>Liability</w:instrText>
      </w:r>
      <w:proofErr w:type="spellEnd"/>
      <w:r>
        <w:instrText xml:space="preserve">" </w:instrText>
      </w:r>
      <w:r>
        <w:fldChar w:fldCharType="end"/>
      </w:r>
    </w:p>
    <w:p w:rsidR="00116054" w:rsidRPr="001B3EFF" w:rsidRDefault="00116054" w:rsidP="001B3EFF">
      <w:pPr>
        <w:pStyle w:val="Notes"/>
      </w:pPr>
      <w:r w:rsidRPr="001B3EFF">
        <w:t>Notes:</w:t>
      </w:r>
    </w:p>
    <w:p w:rsidR="00116054" w:rsidRPr="001B3EFF" w:rsidRDefault="00116054" w:rsidP="001B3EFF">
      <w:pPr>
        <w:pStyle w:val="Notes"/>
      </w:pPr>
      <w:r w:rsidRPr="001B3EFF">
        <w:t xml:space="preserve">(a) </w:t>
      </w:r>
      <w:r>
        <w:tab/>
      </w:r>
      <w:r w:rsidRPr="001B3EFF">
        <w:t>The sum of borrowings, deposits held and advances received less the sum of cash and deposits, advances paid, and investments, loans</w:t>
      </w:r>
      <w:r>
        <w:t xml:space="preserve"> and placements.</w:t>
      </w:r>
    </w:p>
    <w:p w:rsidR="00116054" w:rsidRPr="001B3EFF" w:rsidRDefault="00116054" w:rsidP="001B3EFF">
      <w:pPr>
        <w:pStyle w:val="Notes"/>
      </w:pPr>
      <w:r w:rsidRPr="001B3EFF">
        <w:t xml:space="preserve">(b) </w:t>
      </w:r>
      <w:r>
        <w:tab/>
      </w:r>
      <w:r w:rsidRPr="001B3EFF">
        <w:t>Includes other employee entitlements and provisions and other non</w:t>
      </w:r>
      <w:r>
        <w:noBreakHyphen/>
      </w:r>
      <w:r w:rsidRPr="001B3EFF">
        <w:t>equity liabilities, less other non</w:t>
      </w:r>
      <w:r>
        <w:noBreakHyphen/>
      </w:r>
      <w:r w:rsidRPr="001B3EFF">
        <w:t>equ</w:t>
      </w:r>
      <w:r>
        <w:t>ity financial assets</w:t>
      </w:r>
      <w:r w:rsidRPr="001B3EFF">
        <w:t>.</w:t>
      </w:r>
    </w:p>
    <w:p w:rsidR="00116054" w:rsidRPr="001B3EFF" w:rsidRDefault="00116054" w:rsidP="001B3EFF">
      <w:pPr>
        <w:pStyle w:val="Notes"/>
      </w:pPr>
      <w:r w:rsidRPr="001B3EFF">
        <w:t xml:space="preserve">(c) </w:t>
      </w:r>
      <w:r>
        <w:tab/>
      </w:r>
      <w:r w:rsidRPr="001B3EFF">
        <w:t>Total liabilities less financial assets (excluding investments in other sector entities).</w:t>
      </w:r>
    </w:p>
    <w:p w:rsidR="00116054" w:rsidRPr="001B3EFF" w:rsidRDefault="00116054" w:rsidP="001B3EFF">
      <w:pPr>
        <w:pStyle w:val="Notes"/>
      </w:pPr>
      <w:r w:rsidRPr="001B3EFF">
        <w:t xml:space="preserve">(d) </w:t>
      </w:r>
      <w:r>
        <w:tab/>
        <w:t>The r</w:t>
      </w:r>
      <w:r w:rsidRPr="001B3EFF">
        <w:t>atios to GSP may vary from publications year to year due to revisions to the ABS GSP data.</w:t>
      </w:r>
    </w:p>
    <w:p w:rsidR="00116054" w:rsidRDefault="00116054" w:rsidP="001B3EFF">
      <w:pPr>
        <w:pStyle w:val="Notes"/>
      </w:pPr>
      <w:r w:rsidRPr="001B3EFF">
        <w:t xml:space="preserve">(e) </w:t>
      </w:r>
      <w:r>
        <w:tab/>
      </w:r>
      <w:r w:rsidRPr="001B3EFF">
        <w:t>The sum of non</w:t>
      </w:r>
      <w:r>
        <w:noBreakHyphen/>
      </w:r>
      <w:r w:rsidRPr="001B3EFF">
        <w:t>financial public sector net</w:t>
      </w:r>
      <w:r>
        <w:t xml:space="preserve"> debt </w:t>
      </w:r>
      <w:r w:rsidRPr="001B3EFF">
        <w:t>plus the superannuation liability as a proportion of non</w:t>
      </w:r>
      <w:r>
        <w:noBreakHyphen/>
      </w:r>
      <w:r w:rsidRPr="001B3EFF">
        <w:t xml:space="preserve">financial public </w:t>
      </w:r>
      <w:r>
        <w:t>sector total operating revenue.</w:t>
      </w:r>
      <w:r>
        <w:fldChar w:fldCharType="begin"/>
      </w:r>
      <w:r>
        <w:instrText xml:space="preserve"> XE "</w:instrText>
      </w:r>
      <w:proofErr w:type="spellStart"/>
      <w:r w:rsidRPr="00732EE4">
        <w:instrText>Debt:Non-financial</w:instrText>
      </w:r>
      <w:proofErr w:type="spellEnd"/>
      <w:r w:rsidRPr="00732EE4">
        <w:instrText xml:space="preserve"> public sector</w:instrText>
      </w:r>
      <w:r>
        <w:instrText xml:space="preserve">" \r "BP2Ch5NFPSNetdebt" </w:instrText>
      </w:r>
      <w:r>
        <w:fldChar w:fldCharType="end"/>
      </w:r>
    </w:p>
    <w:bookmarkEnd w:id="102"/>
    <w:p w:rsidR="00116054" w:rsidRPr="001B3EFF" w:rsidRDefault="00116054" w:rsidP="001B3EFF">
      <w:pPr>
        <w:pStyle w:val="Notes"/>
      </w:pPr>
    </w:p>
    <w:p w:rsidR="00116054" w:rsidRDefault="00116054">
      <w:pPr>
        <w:spacing w:after="0"/>
      </w:pPr>
      <w:r>
        <w:br w:type="page"/>
      </w:r>
    </w:p>
    <w:p w:rsidR="00116054" w:rsidRDefault="00116054" w:rsidP="00B3283C">
      <w:r>
        <w:lastRenderedPageBreak/>
        <w:t>Table 5.4</w:t>
      </w:r>
      <w:r w:rsidRPr="00614140">
        <w:t xml:space="preserve"> pr</w:t>
      </w:r>
      <w:r>
        <w:t>ojects</w:t>
      </w:r>
      <w:r w:rsidRPr="00614140">
        <w:t xml:space="preserve"> several indicators of financial sustainability for the NFPS which are </w:t>
      </w:r>
      <w:r>
        <w:t>expected to</w:t>
      </w:r>
      <w:r w:rsidRPr="00614140">
        <w:t xml:space="preserve"> improv</w:t>
      </w:r>
      <w:r>
        <w:t>e by 2018</w:t>
      </w:r>
      <w:r>
        <w:noBreakHyphen/>
        <w:t>19.</w:t>
      </w:r>
      <w:r w:rsidRPr="00614140">
        <w:t xml:space="preserve"> The improvement is driven by the strengthening operating cash flow surpluses and </w:t>
      </w:r>
      <w:r>
        <w:t xml:space="preserve">receipts from </w:t>
      </w:r>
      <w:r w:rsidRPr="00614140">
        <w:t xml:space="preserve">asset sales. </w:t>
      </w:r>
    </w:p>
    <w:p w:rsidR="00116054" w:rsidRPr="00614140" w:rsidRDefault="00116054" w:rsidP="00B3283C">
      <w:r w:rsidRPr="00614140">
        <w:t xml:space="preserve">The ratio of operating cash flow surplus to revenue </w:t>
      </w:r>
      <w:r>
        <w:t>indicates</w:t>
      </w:r>
      <w:r w:rsidRPr="00614140">
        <w:t xml:space="preserve"> the extent to which cash generated from operations can be </w:t>
      </w:r>
      <w:r>
        <w:t>used</w:t>
      </w:r>
      <w:r w:rsidRPr="00614140">
        <w:t xml:space="preserve"> to fund infrastructure. </w:t>
      </w:r>
    </w:p>
    <w:p w:rsidR="00116054" w:rsidRPr="00614140" w:rsidRDefault="00116054" w:rsidP="00B3283C">
      <w:r w:rsidRPr="00614140">
        <w:t>The ratio of gross debt to revenue is a measure of indebtedness.</w:t>
      </w:r>
      <w:r>
        <w:t xml:space="preserve"> </w:t>
      </w:r>
      <w:r w:rsidRPr="00614140">
        <w:t>The decline in the State</w:t>
      </w:r>
      <w:r>
        <w:t>’</w:t>
      </w:r>
      <w:r w:rsidRPr="00614140">
        <w:t>s indebtedness</w:t>
      </w:r>
      <w:r>
        <w:t xml:space="preserve"> compared to 2013</w:t>
      </w:r>
      <w:r>
        <w:noBreakHyphen/>
        <w:t>14 and 2014</w:t>
      </w:r>
      <w:r>
        <w:noBreakHyphen/>
        <w:t>15 levels are reflected in</w:t>
      </w:r>
      <w:r w:rsidRPr="00614140">
        <w:t xml:space="preserve"> the improved ratio of interest expense to revenue. This ratio measures the extent to which revenues can be used to fund essential services and infrastructure, rat</w:t>
      </w:r>
      <w:r>
        <w:t>her than meet debt obligations.</w:t>
      </w:r>
    </w:p>
    <w:p w:rsidR="00116054" w:rsidRDefault="00116054" w:rsidP="000957A9">
      <w:pPr>
        <w:pStyle w:val="Tableheading"/>
        <w:rPr>
          <w:rFonts w:asciiTheme="minorHAnsi" w:hAnsiTheme="minorHAnsi" w:cstheme="minorHAnsi"/>
        </w:rPr>
      </w:pPr>
      <w:r w:rsidRPr="00614140">
        <w:rPr>
          <w:rFonts w:asciiTheme="minorHAnsi" w:hAnsiTheme="minorHAnsi" w:cstheme="minorHAnsi"/>
        </w:rPr>
        <w:t>Table 5.4:</w:t>
      </w:r>
      <w:r w:rsidRPr="00614140">
        <w:rPr>
          <w:rFonts w:asciiTheme="minorHAnsi" w:hAnsiTheme="minorHAnsi" w:cstheme="minorHAnsi"/>
        </w:rPr>
        <w:tab/>
        <w:t xml:space="preserve">Indicators of financial sustainability for </w:t>
      </w:r>
      <w:r>
        <w:rPr>
          <w:rFonts w:asciiTheme="minorHAnsi" w:hAnsiTheme="minorHAnsi" w:cstheme="minorHAnsi"/>
        </w:rPr>
        <w:t>the non</w:t>
      </w:r>
      <w:r>
        <w:rPr>
          <w:rFonts w:asciiTheme="minorHAnsi" w:hAnsiTheme="minorHAnsi" w:cstheme="minorHAnsi"/>
        </w:rPr>
        <w:noBreakHyphen/>
        <w:t>financial public sector</w:t>
      </w:r>
    </w:p>
    <w:p w:rsidR="00116054" w:rsidRPr="00F01379" w:rsidRDefault="00116054" w:rsidP="00F01379">
      <w:pPr>
        <w:pStyle w:val="million"/>
        <w:rPr>
          <w:sz w:val="22"/>
        </w:rPr>
      </w:pPr>
      <w:r>
        <w:t>(per cent)</w:t>
      </w:r>
    </w:p>
    <w:tbl>
      <w:tblPr>
        <w:tblW w:w="7922" w:type="dxa"/>
        <w:tblInd w:w="29" w:type="dxa"/>
        <w:tblLayout w:type="fixed"/>
        <w:tblCellMar>
          <w:left w:w="43" w:type="dxa"/>
          <w:right w:w="43" w:type="dxa"/>
        </w:tblCellMar>
        <w:tblLook w:val="0000" w:firstRow="0" w:lastRow="0" w:firstColumn="0" w:lastColumn="0" w:noHBand="0" w:noVBand="0"/>
      </w:tblPr>
      <w:tblGrid>
        <w:gridCol w:w="2566"/>
        <w:gridCol w:w="892"/>
        <w:gridCol w:w="892"/>
        <w:gridCol w:w="893"/>
        <w:gridCol w:w="893"/>
        <w:gridCol w:w="893"/>
        <w:gridCol w:w="893"/>
      </w:tblGrid>
      <w:tr w:rsidR="00116054" w:rsidRPr="00F01379" w:rsidTr="00F01379">
        <w:tc>
          <w:tcPr>
            <w:tcW w:w="2566" w:type="dxa"/>
            <w:tcBorders>
              <w:top w:val="single" w:sz="4" w:space="0" w:color="auto"/>
              <w:left w:val="single" w:sz="4" w:space="0" w:color="auto"/>
              <w:bottom w:val="nil"/>
              <w:right w:val="nil"/>
            </w:tcBorders>
            <w:shd w:val="clear" w:color="auto" w:fill="000000"/>
          </w:tcPr>
          <w:p w:rsidR="00116054" w:rsidRPr="00F01379" w:rsidRDefault="00116054" w:rsidP="00F01379">
            <w:pPr>
              <w:pStyle w:val="Tabletext"/>
              <w:rPr>
                <w:rFonts w:eastAsiaTheme="minorEastAsia"/>
                <w:lang w:eastAsia="en-AU"/>
              </w:rPr>
            </w:pP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2013</w:t>
            </w:r>
            <w:r>
              <w:rPr>
                <w:rFonts w:eastAsiaTheme="minorEastAsia"/>
                <w:lang w:eastAsia="en-AU"/>
              </w:rPr>
              <w:noBreakHyphen/>
            </w:r>
            <w:r w:rsidRPr="00F01379">
              <w:rPr>
                <w:rFonts w:eastAsiaTheme="minorEastAsia"/>
                <w:lang w:eastAsia="en-AU"/>
              </w:rPr>
              <w:t>14</w:t>
            </w: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2014</w:t>
            </w:r>
            <w:r>
              <w:rPr>
                <w:rFonts w:eastAsiaTheme="minorEastAsia"/>
                <w:lang w:eastAsia="en-AU"/>
              </w:rPr>
              <w:noBreakHyphen/>
            </w:r>
            <w:r w:rsidRPr="00F01379">
              <w:rPr>
                <w:rFonts w:eastAsiaTheme="minorEastAsia"/>
                <w:lang w:eastAsia="en-AU"/>
              </w:rPr>
              <w:t>15</w:t>
            </w:r>
          </w:p>
        </w:tc>
        <w:tc>
          <w:tcPr>
            <w:tcW w:w="893"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2015</w:t>
            </w:r>
            <w:r>
              <w:rPr>
                <w:rFonts w:eastAsiaTheme="minorEastAsia"/>
                <w:lang w:eastAsia="en-AU"/>
              </w:rPr>
              <w:noBreakHyphen/>
            </w:r>
            <w:r w:rsidRPr="00F01379">
              <w:rPr>
                <w:rFonts w:eastAsiaTheme="minorEastAsia"/>
                <w:lang w:eastAsia="en-AU"/>
              </w:rPr>
              <w:t>16</w:t>
            </w:r>
          </w:p>
        </w:tc>
        <w:tc>
          <w:tcPr>
            <w:tcW w:w="893"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2016</w:t>
            </w:r>
            <w:r>
              <w:rPr>
                <w:rFonts w:eastAsiaTheme="minorEastAsia"/>
                <w:lang w:eastAsia="en-AU"/>
              </w:rPr>
              <w:noBreakHyphen/>
            </w:r>
            <w:r w:rsidRPr="00F01379">
              <w:rPr>
                <w:rFonts w:eastAsiaTheme="minorEastAsia"/>
                <w:lang w:eastAsia="en-AU"/>
              </w:rPr>
              <w:t>17</w:t>
            </w:r>
          </w:p>
        </w:tc>
        <w:tc>
          <w:tcPr>
            <w:tcW w:w="893"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2017</w:t>
            </w:r>
            <w:r>
              <w:rPr>
                <w:rFonts w:eastAsiaTheme="minorEastAsia"/>
                <w:lang w:eastAsia="en-AU"/>
              </w:rPr>
              <w:noBreakHyphen/>
            </w:r>
            <w:r w:rsidRPr="00F01379">
              <w:rPr>
                <w:rFonts w:eastAsiaTheme="minorEastAsia"/>
                <w:lang w:eastAsia="en-AU"/>
              </w:rPr>
              <w:t>18</w:t>
            </w:r>
          </w:p>
        </w:tc>
        <w:tc>
          <w:tcPr>
            <w:tcW w:w="893" w:type="dxa"/>
            <w:tcBorders>
              <w:top w:val="single" w:sz="4" w:space="0" w:color="auto"/>
              <w:left w:val="nil"/>
              <w:bottom w:val="nil"/>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2018</w:t>
            </w:r>
            <w:r>
              <w:rPr>
                <w:rFonts w:eastAsiaTheme="minorEastAsia"/>
                <w:lang w:eastAsia="en-AU"/>
              </w:rPr>
              <w:noBreakHyphen/>
            </w:r>
            <w:r w:rsidRPr="00F01379">
              <w:rPr>
                <w:rFonts w:eastAsiaTheme="minorEastAsia"/>
                <w:lang w:eastAsia="en-AU"/>
              </w:rPr>
              <w:t>19</w:t>
            </w:r>
          </w:p>
        </w:tc>
      </w:tr>
      <w:tr w:rsidR="00116054" w:rsidRPr="00F01379" w:rsidTr="00F01379">
        <w:tc>
          <w:tcPr>
            <w:tcW w:w="2566" w:type="dxa"/>
            <w:tcBorders>
              <w:top w:val="nil"/>
              <w:left w:val="single" w:sz="4" w:space="0" w:color="auto"/>
              <w:bottom w:val="single" w:sz="4" w:space="0" w:color="auto"/>
              <w:right w:val="nil"/>
            </w:tcBorders>
            <w:shd w:val="clear" w:color="auto" w:fill="000000"/>
          </w:tcPr>
          <w:p w:rsidR="00116054" w:rsidRPr="00F01379" w:rsidRDefault="00116054" w:rsidP="00F01379">
            <w:pPr>
              <w:pStyle w:val="Tabletext"/>
              <w:rPr>
                <w:rFonts w:eastAsiaTheme="minorEastAsia"/>
                <w:lang w:eastAsia="en-AU"/>
              </w:rPr>
            </w:pP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r>
      <w:tr w:rsidR="00116054" w:rsidRPr="00F01379" w:rsidTr="00F01379">
        <w:tc>
          <w:tcPr>
            <w:tcW w:w="2566"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Operating cash flow surplus to revenue</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10.1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9.7</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8.3</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8.4</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9.6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9.6</w:t>
            </w:r>
          </w:p>
        </w:tc>
      </w:tr>
      <w:tr w:rsidR="00116054" w:rsidRPr="00F01379" w:rsidTr="00F01379">
        <w:tc>
          <w:tcPr>
            <w:tcW w:w="2566" w:type="dxa"/>
            <w:tcBorders>
              <w:top w:val="nil"/>
              <w:left w:val="nil"/>
              <w:right w:val="nil"/>
            </w:tcBorders>
          </w:tcPr>
          <w:p w:rsidR="00116054" w:rsidRPr="00F01379" w:rsidRDefault="00116054" w:rsidP="00F01379">
            <w:pPr>
              <w:pStyle w:val="Tabletext"/>
              <w:rPr>
                <w:rFonts w:eastAsiaTheme="minorEastAsia" w:cs="Calibri"/>
                <w:color w:val="000000"/>
                <w:lang w:eastAsia="en-AU"/>
              </w:rPr>
            </w:pPr>
            <w:r w:rsidRPr="00F01379">
              <w:rPr>
                <w:rFonts w:eastAsiaTheme="minorEastAsia"/>
                <w:lang w:eastAsia="en-AU"/>
              </w:rPr>
              <w:t xml:space="preserve">Gross debt to revenue </w:t>
            </w:r>
            <w:r w:rsidRPr="00F01379">
              <w:rPr>
                <w:rFonts w:eastAsiaTheme="minorEastAsia" w:cs="Calibri"/>
                <w:color w:val="000000"/>
                <w:vertAlign w:val="superscript"/>
                <w:lang w:eastAsia="en-AU"/>
              </w:rPr>
              <w:t>(a)</w:t>
            </w:r>
          </w:p>
        </w:tc>
        <w:tc>
          <w:tcPr>
            <w:tcW w:w="892" w:type="dxa"/>
            <w:tcBorders>
              <w:top w:val="nil"/>
              <w:left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81.4</w:t>
            </w:r>
          </w:p>
        </w:tc>
        <w:tc>
          <w:tcPr>
            <w:tcW w:w="892" w:type="dxa"/>
            <w:tcBorders>
              <w:top w:val="nil"/>
              <w:left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80.7</w:t>
            </w:r>
          </w:p>
        </w:tc>
        <w:tc>
          <w:tcPr>
            <w:tcW w:w="893" w:type="dxa"/>
            <w:tcBorders>
              <w:top w:val="nil"/>
              <w:left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72.4</w:t>
            </w:r>
          </w:p>
        </w:tc>
        <w:tc>
          <w:tcPr>
            <w:tcW w:w="893" w:type="dxa"/>
            <w:tcBorders>
              <w:top w:val="nil"/>
              <w:left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75.7</w:t>
            </w:r>
          </w:p>
        </w:tc>
        <w:tc>
          <w:tcPr>
            <w:tcW w:w="893" w:type="dxa"/>
            <w:tcBorders>
              <w:top w:val="nil"/>
              <w:left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74.3</w:t>
            </w:r>
          </w:p>
        </w:tc>
        <w:tc>
          <w:tcPr>
            <w:tcW w:w="893" w:type="dxa"/>
            <w:tcBorders>
              <w:top w:val="nil"/>
              <w:left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73.6</w:t>
            </w:r>
          </w:p>
        </w:tc>
      </w:tr>
      <w:tr w:rsidR="00116054" w:rsidRPr="00F01379" w:rsidTr="00F01379">
        <w:tc>
          <w:tcPr>
            <w:tcW w:w="2566" w:type="dxa"/>
            <w:tcBorders>
              <w:top w:val="nil"/>
              <w:left w:val="nil"/>
              <w:bottom w:val="single" w:sz="12" w:space="0" w:color="auto"/>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Interest expense to revenue</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5.0</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4.9</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4.7</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4.6</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4.5</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4.3</w:t>
            </w:r>
          </w:p>
        </w:tc>
      </w:tr>
    </w:tbl>
    <w:p w:rsidR="00116054" w:rsidRPr="002B37F7" w:rsidRDefault="00116054" w:rsidP="002B37F7">
      <w:pPr>
        <w:pStyle w:val="Source"/>
        <w:rPr>
          <w:rFonts w:asciiTheme="minorHAnsi" w:hAnsiTheme="minorHAnsi" w:cstheme="minorHAnsi"/>
          <w:szCs w:val="15"/>
        </w:rPr>
      </w:pPr>
      <w:r w:rsidRPr="002B37F7">
        <w:rPr>
          <w:rFonts w:asciiTheme="minorHAnsi" w:hAnsiTheme="minorHAnsi" w:cstheme="minorHAnsi"/>
          <w:szCs w:val="15"/>
        </w:rPr>
        <w:t>Source: Department of Treasury and Finance</w:t>
      </w:r>
    </w:p>
    <w:p w:rsidR="00116054" w:rsidRDefault="00116054" w:rsidP="002B37F7">
      <w:pPr>
        <w:pStyle w:val="Notes"/>
      </w:pPr>
      <w:r w:rsidRPr="002B37F7">
        <w:t>Note:</w:t>
      </w:r>
    </w:p>
    <w:p w:rsidR="00116054" w:rsidRPr="004028EF" w:rsidRDefault="00116054" w:rsidP="004028EF">
      <w:pPr>
        <w:pStyle w:val="Notes"/>
      </w:pPr>
      <w:r w:rsidRPr="002B37F7">
        <w:t xml:space="preserve">(a) </w:t>
      </w:r>
      <w:r>
        <w:tab/>
      </w:r>
      <w:r w:rsidRPr="002B37F7">
        <w:t>Gross debt includes borrowings and deposits held and advances received.</w:t>
      </w:r>
      <w:r>
        <w:fldChar w:fldCharType="begin"/>
      </w:r>
      <w:r>
        <w:instrText xml:space="preserve"> XE "</w:instrText>
      </w:r>
      <w:r w:rsidRPr="00AD5D16">
        <w:instrText>Net financial liabilities</w:instrText>
      </w:r>
      <w:r>
        <w:instrText xml:space="preserve">" \r "BP2Ch5NetFinLiabs" </w:instrText>
      </w:r>
      <w:r>
        <w:fldChar w:fldCharType="end"/>
      </w:r>
    </w:p>
    <w:bookmarkEnd w:id="103"/>
    <w:p w:rsidR="00116054" w:rsidRDefault="00116054">
      <w:pPr>
        <w:spacing w:after="0"/>
        <w:rPr>
          <w:rFonts w:ascii="Calibri" w:hAnsi="Calibri"/>
          <w:b/>
          <w:caps/>
          <w:sz w:val="26"/>
          <w:szCs w:val="22"/>
        </w:rPr>
      </w:pPr>
      <w:r>
        <w:br w:type="page"/>
      </w:r>
    </w:p>
    <w:p w:rsidR="00116054" w:rsidRPr="007B2462" w:rsidRDefault="00116054" w:rsidP="00614140">
      <w:pPr>
        <w:pStyle w:val="Heading1"/>
      </w:pPr>
      <w:bookmarkStart w:id="104" w:name="_Toc418255154"/>
      <w:bookmarkStart w:id="105" w:name="BP2Ch5VicOpResult"/>
      <w:r w:rsidRPr="007B2462">
        <w:lastRenderedPageBreak/>
        <w:t>Summary operating results – State of Victoria</w:t>
      </w:r>
      <w:bookmarkEnd w:id="104"/>
    </w:p>
    <w:p w:rsidR="00116054" w:rsidRPr="007B2462" w:rsidRDefault="00116054" w:rsidP="00614140">
      <w:pPr>
        <w:pStyle w:val="Tableheading"/>
      </w:pPr>
      <w:r w:rsidRPr="007B2462">
        <w:t xml:space="preserve">Table 5.5: </w:t>
      </w:r>
      <w:r w:rsidRPr="007B2462">
        <w:tab/>
        <w:t>Summary operating statement for the State of Victoria</w:t>
      </w:r>
      <w:r>
        <w:rPr>
          <w:vertAlign w:val="superscript"/>
        </w:rPr>
        <w:t>(a)</w:t>
      </w:r>
    </w:p>
    <w:p w:rsidR="00116054" w:rsidRPr="00F01379" w:rsidRDefault="00116054" w:rsidP="00F01379">
      <w:pPr>
        <w:pStyle w:val="million"/>
      </w:pPr>
      <w:r>
        <w:t>(</w:t>
      </w:r>
      <w:r w:rsidRPr="00BD776A">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114"/>
        <w:gridCol w:w="778"/>
        <w:gridCol w:w="892"/>
        <w:gridCol w:w="893"/>
        <w:gridCol w:w="893"/>
        <w:gridCol w:w="893"/>
        <w:gridCol w:w="893"/>
      </w:tblGrid>
      <w:tr w:rsidR="00116054" w:rsidRPr="00F01379" w:rsidTr="00F01379">
        <w:tc>
          <w:tcPr>
            <w:tcW w:w="2420" w:type="dxa"/>
            <w:tcBorders>
              <w:top w:val="single" w:sz="4" w:space="0" w:color="auto"/>
              <w:left w:val="single" w:sz="4" w:space="0" w:color="auto"/>
              <w:bottom w:val="nil"/>
              <w:right w:val="nil"/>
            </w:tcBorders>
            <w:shd w:val="clear" w:color="auto" w:fill="000000"/>
          </w:tcPr>
          <w:p w:rsidR="00116054" w:rsidRPr="00F01379" w:rsidRDefault="00116054" w:rsidP="00F01379">
            <w:pPr>
              <w:pStyle w:val="Tabletext"/>
              <w:rPr>
                <w:rFonts w:eastAsiaTheme="minorEastAsia"/>
                <w:lang w:eastAsia="en-AU"/>
              </w:rPr>
            </w:pPr>
            <w:r w:rsidRPr="00F01379">
              <w:rPr>
                <w:rFonts w:eastAsiaTheme="minorEastAsia"/>
                <w:lang w:eastAsia="en-AU"/>
              </w:rPr>
              <w:t xml:space="preserve"> </w:t>
            </w:r>
          </w:p>
        </w:tc>
        <w:tc>
          <w:tcPr>
            <w:tcW w:w="892" w:type="dxa"/>
            <w:gridSpan w:val="2"/>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2013</w:t>
            </w:r>
            <w:r>
              <w:rPr>
                <w:rFonts w:eastAsiaTheme="minorEastAsia"/>
                <w:lang w:eastAsia="en-AU"/>
              </w:rPr>
              <w:noBreakHyphen/>
            </w:r>
            <w:r w:rsidRPr="00F01379">
              <w:rPr>
                <w:rFonts w:eastAsiaTheme="minorEastAsia"/>
                <w:lang w:eastAsia="en-AU"/>
              </w:rPr>
              <w:t>14</w:t>
            </w: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2014</w:t>
            </w:r>
            <w:r>
              <w:rPr>
                <w:rFonts w:eastAsiaTheme="minorEastAsia"/>
                <w:lang w:eastAsia="en-AU"/>
              </w:rPr>
              <w:noBreakHyphen/>
            </w:r>
            <w:r w:rsidRPr="00F01379">
              <w:rPr>
                <w:rFonts w:eastAsiaTheme="minorEastAsia"/>
                <w:lang w:eastAsia="en-AU"/>
              </w:rPr>
              <w:t>15</w:t>
            </w:r>
          </w:p>
        </w:tc>
        <w:tc>
          <w:tcPr>
            <w:tcW w:w="893"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2015</w:t>
            </w:r>
            <w:r>
              <w:rPr>
                <w:rFonts w:eastAsiaTheme="minorEastAsia"/>
                <w:lang w:eastAsia="en-AU"/>
              </w:rPr>
              <w:noBreakHyphen/>
            </w:r>
            <w:r w:rsidRPr="00F01379">
              <w:rPr>
                <w:rFonts w:eastAsiaTheme="minorEastAsia"/>
                <w:lang w:eastAsia="en-AU"/>
              </w:rPr>
              <w:t>16</w:t>
            </w:r>
          </w:p>
        </w:tc>
        <w:tc>
          <w:tcPr>
            <w:tcW w:w="893"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2016</w:t>
            </w:r>
            <w:r>
              <w:rPr>
                <w:rFonts w:eastAsiaTheme="minorEastAsia"/>
                <w:lang w:eastAsia="en-AU"/>
              </w:rPr>
              <w:noBreakHyphen/>
            </w:r>
            <w:r w:rsidRPr="00F01379">
              <w:rPr>
                <w:rFonts w:eastAsiaTheme="minorEastAsia"/>
                <w:lang w:eastAsia="en-AU"/>
              </w:rPr>
              <w:t>17</w:t>
            </w:r>
          </w:p>
        </w:tc>
        <w:tc>
          <w:tcPr>
            <w:tcW w:w="893"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2017</w:t>
            </w:r>
            <w:r>
              <w:rPr>
                <w:rFonts w:eastAsiaTheme="minorEastAsia"/>
                <w:lang w:eastAsia="en-AU"/>
              </w:rPr>
              <w:noBreakHyphen/>
            </w:r>
            <w:r w:rsidRPr="00F01379">
              <w:rPr>
                <w:rFonts w:eastAsiaTheme="minorEastAsia"/>
                <w:lang w:eastAsia="en-AU"/>
              </w:rPr>
              <w:t>18</w:t>
            </w:r>
          </w:p>
        </w:tc>
        <w:tc>
          <w:tcPr>
            <w:tcW w:w="893" w:type="dxa"/>
            <w:tcBorders>
              <w:top w:val="single" w:sz="4" w:space="0" w:color="auto"/>
              <w:left w:val="nil"/>
              <w:bottom w:val="nil"/>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2018</w:t>
            </w:r>
            <w:r>
              <w:rPr>
                <w:rFonts w:eastAsiaTheme="minorEastAsia"/>
                <w:lang w:eastAsia="en-AU"/>
              </w:rPr>
              <w:noBreakHyphen/>
            </w:r>
            <w:r w:rsidRPr="00F01379">
              <w:rPr>
                <w:rFonts w:eastAsiaTheme="minorEastAsia"/>
                <w:lang w:eastAsia="en-AU"/>
              </w:rPr>
              <w:t>19</w:t>
            </w:r>
          </w:p>
        </w:tc>
      </w:tr>
      <w:tr w:rsidR="00116054" w:rsidRPr="00F01379" w:rsidTr="00F01379">
        <w:tc>
          <w:tcPr>
            <w:tcW w:w="2420" w:type="dxa"/>
            <w:tcBorders>
              <w:top w:val="nil"/>
              <w:left w:val="single" w:sz="4" w:space="0" w:color="auto"/>
              <w:bottom w:val="single" w:sz="4" w:space="0" w:color="auto"/>
              <w:right w:val="nil"/>
            </w:tcBorders>
            <w:shd w:val="clear" w:color="auto" w:fill="000000"/>
          </w:tcPr>
          <w:p w:rsidR="00116054" w:rsidRPr="00F01379" w:rsidRDefault="00116054" w:rsidP="00F01379">
            <w:pPr>
              <w:pStyle w:val="Tabletext"/>
              <w:rPr>
                <w:rFonts w:eastAsiaTheme="minorEastAsia"/>
                <w:lang w:eastAsia="en-AU"/>
              </w:rPr>
            </w:pPr>
            <w:r w:rsidRPr="00F01379">
              <w:rPr>
                <w:rFonts w:eastAsiaTheme="minorEastAsia"/>
                <w:lang w:eastAsia="en-AU"/>
              </w:rPr>
              <w:t xml:space="preserve"> </w:t>
            </w:r>
          </w:p>
        </w:tc>
        <w:tc>
          <w:tcPr>
            <w:tcW w:w="892" w:type="dxa"/>
            <w:gridSpan w:val="2"/>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r>
      <w:tr w:rsidR="00116054" w:rsidRPr="00F01379" w:rsidTr="00F01379">
        <w:tc>
          <w:tcPr>
            <w:tcW w:w="2420" w:type="dxa"/>
            <w:tcBorders>
              <w:top w:val="single" w:sz="4" w:space="0" w:color="auto"/>
              <w:left w:val="nil"/>
              <w:bottom w:val="nil"/>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Revenue</w:t>
            </w:r>
          </w:p>
        </w:tc>
        <w:tc>
          <w:tcPr>
            <w:tcW w:w="892" w:type="dxa"/>
            <w:gridSpan w:val="2"/>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Taxation revenue</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16 490</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17 847</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18 581</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19 552</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20 133</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21 049</w:t>
            </w:r>
          </w:p>
        </w:tc>
      </w:tr>
      <w:tr w:rsidR="00116054" w:rsidRPr="00F01379" w:rsidTr="00F01379">
        <w:tc>
          <w:tcPr>
            <w:tcW w:w="2534" w:type="dxa"/>
            <w:gridSpan w:val="2"/>
            <w:tcBorders>
              <w:top w:val="nil"/>
              <w:left w:val="nil"/>
              <w:bottom w:val="nil"/>
              <w:right w:val="nil"/>
            </w:tcBorders>
          </w:tcPr>
          <w:p w:rsidR="00116054" w:rsidRPr="00F01379" w:rsidRDefault="00116054" w:rsidP="00F01379">
            <w:pPr>
              <w:pStyle w:val="Tabletext"/>
              <w:rPr>
                <w:rFonts w:eastAsiaTheme="minorEastAsia" w:cs="Calibri"/>
                <w:color w:val="000000"/>
                <w:vertAlign w:val="superscript"/>
                <w:lang w:eastAsia="en-AU"/>
              </w:rPr>
            </w:pPr>
            <w:r w:rsidRPr="00F01379">
              <w:rPr>
                <w:rFonts w:eastAsiaTheme="minorEastAsia"/>
                <w:color w:val="000000"/>
                <w:lang w:eastAsia="en-AU"/>
              </w:rPr>
              <w:t>Dividends, income tax equivalents and interest</w:t>
            </w:r>
            <w:r w:rsidRPr="00F01379">
              <w:rPr>
                <w:rFonts w:eastAsiaTheme="minorEastAsia"/>
                <w:color w:val="000000"/>
                <w:vertAlign w:val="superscript"/>
                <w:lang w:eastAsia="en-AU"/>
              </w:rPr>
              <w:t xml:space="preserve"> </w:t>
            </w:r>
            <w:r w:rsidRPr="00F01379">
              <w:rPr>
                <w:rFonts w:eastAsiaTheme="minorEastAsia" w:cs="Calibri"/>
                <w:color w:val="000000"/>
                <w:vertAlign w:val="superscript"/>
                <w:lang w:eastAsia="en-AU"/>
              </w:rPr>
              <w:t>(b)</w:t>
            </w:r>
          </w:p>
        </w:tc>
        <w:tc>
          <w:tcPr>
            <w:tcW w:w="778"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1 853</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1 519</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1 913</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2 119</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2 141</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2 032</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Sales of goods and services</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14 233</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13 856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14 137</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14 252</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14 748</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15 291</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Grants</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25 019</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24 470</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25 435</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25 941</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27 366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28 465</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Other revenue</w:t>
            </w:r>
          </w:p>
        </w:tc>
        <w:tc>
          <w:tcPr>
            <w:tcW w:w="892" w:type="dxa"/>
            <w:gridSpan w:val="2"/>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2 750</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2 811</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2 615</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2 710</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2 711</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2 784</w:t>
            </w:r>
          </w:p>
        </w:tc>
      </w:tr>
      <w:tr w:rsidR="00116054" w:rsidRPr="00F01379" w:rsidTr="00F01379">
        <w:tc>
          <w:tcPr>
            <w:tcW w:w="2420" w:type="dxa"/>
            <w:tcBorders>
              <w:top w:val="single" w:sz="6" w:space="0" w:color="auto"/>
              <w:left w:val="nil"/>
              <w:bottom w:val="nil"/>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Total revenue</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60 346</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60 503</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62 680</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64 574</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67 100</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69 621</w:t>
            </w:r>
          </w:p>
        </w:tc>
      </w:tr>
      <w:tr w:rsidR="00116054" w:rsidRPr="00F01379" w:rsidTr="00F01379">
        <w:tc>
          <w:tcPr>
            <w:tcW w:w="2420" w:type="dxa"/>
            <w:tcBorders>
              <w:top w:val="nil"/>
              <w:left w:val="nil"/>
              <w:bottom w:val="nil"/>
              <w:right w:val="nil"/>
            </w:tcBorders>
          </w:tcPr>
          <w:p w:rsidR="00116054" w:rsidRPr="00230BEC" w:rsidRDefault="00116054" w:rsidP="00F01379">
            <w:pPr>
              <w:pStyle w:val="Tabletext"/>
              <w:rPr>
                <w:rFonts w:eastAsiaTheme="minorEastAsia"/>
                <w:i/>
                <w:color w:val="000000"/>
                <w:lang w:eastAsia="en-AU"/>
              </w:rPr>
            </w:pPr>
            <w:r w:rsidRPr="00230BEC">
              <w:rPr>
                <w:rFonts w:eastAsiaTheme="minorEastAsia"/>
                <w:i/>
                <w:color w:val="000000"/>
                <w:lang w:eastAsia="en-AU"/>
              </w:rPr>
              <w:t>% change</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w:t>
            </w:r>
            <w:r w:rsidRPr="00F01379">
              <w:rPr>
                <w:rFonts w:eastAsiaTheme="minorEastAsia" w:cs="Calibri"/>
                <w:color w:val="000000"/>
                <w:lang w:eastAsia="en-AU"/>
              </w:rPr>
              <w:t>11.3</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0.3</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3.0</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3.9</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3.8</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Expenses</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Employee expenses</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19 038</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19 476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20 900</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21 577</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22 528</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23 410</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vertAlign w:val="superscript"/>
                <w:lang w:eastAsia="en-AU"/>
              </w:rPr>
            </w:pPr>
            <w:r w:rsidRPr="00F01379">
              <w:rPr>
                <w:rFonts w:eastAsiaTheme="minorEastAsia"/>
                <w:color w:val="000000"/>
                <w:lang w:eastAsia="en-AU"/>
              </w:rPr>
              <w:t xml:space="preserve">Superannuation </w:t>
            </w:r>
            <w:r w:rsidRPr="00F01379">
              <w:rPr>
                <w:rFonts w:eastAsiaTheme="minorEastAsia"/>
                <w:color w:val="000000"/>
                <w:vertAlign w:val="superscript"/>
                <w:lang w:eastAsia="en-AU"/>
              </w:rPr>
              <w:t>(c)</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3 054</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3 013</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3 102</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3 082</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3 072</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3 066</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Depreciation</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4 294</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4 527</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4 761</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5 014</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5 193</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5 567</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Interest expense</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2 954</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2 866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2 841</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2 828</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2 887</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2 851</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Other operating expenses</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25 114</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26 405</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26 225</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26 379</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27 416</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28 142</w:t>
            </w:r>
          </w:p>
        </w:tc>
      </w:tr>
      <w:tr w:rsidR="00116054" w:rsidRPr="00F01379" w:rsidTr="00F01379">
        <w:tc>
          <w:tcPr>
            <w:tcW w:w="2420" w:type="dxa"/>
            <w:tcBorders>
              <w:top w:val="nil"/>
              <w:left w:val="nil"/>
              <w:bottom w:val="nil"/>
              <w:right w:val="nil"/>
            </w:tcBorders>
          </w:tcPr>
          <w:p w:rsidR="00116054" w:rsidRPr="00F01379" w:rsidRDefault="00116054" w:rsidP="00F01379">
            <w:pPr>
              <w:pStyle w:val="Tabletext"/>
              <w:rPr>
                <w:rFonts w:eastAsiaTheme="minorEastAsia"/>
                <w:color w:val="000000"/>
                <w:lang w:eastAsia="en-AU"/>
              </w:rPr>
            </w:pPr>
            <w:r w:rsidRPr="00F01379">
              <w:rPr>
                <w:rFonts w:eastAsiaTheme="minorEastAsia"/>
                <w:color w:val="000000"/>
                <w:lang w:eastAsia="en-AU"/>
              </w:rPr>
              <w:t>Grants and other transfers</w:t>
            </w:r>
          </w:p>
        </w:tc>
        <w:tc>
          <w:tcPr>
            <w:tcW w:w="892" w:type="dxa"/>
            <w:gridSpan w:val="2"/>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5 037</w:t>
            </w:r>
          </w:p>
        </w:tc>
        <w:tc>
          <w:tcPr>
            <w:tcW w:w="892"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5 574</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5 822</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6 169</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6 503</w:t>
            </w:r>
          </w:p>
        </w:tc>
        <w:tc>
          <w:tcPr>
            <w:tcW w:w="893" w:type="dxa"/>
            <w:tcBorders>
              <w:top w:val="nil"/>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6 806</w:t>
            </w:r>
          </w:p>
        </w:tc>
      </w:tr>
      <w:tr w:rsidR="00116054" w:rsidRPr="00F01379" w:rsidTr="00F01379">
        <w:tc>
          <w:tcPr>
            <w:tcW w:w="2420" w:type="dxa"/>
            <w:tcBorders>
              <w:top w:val="single" w:sz="6" w:space="0" w:color="auto"/>
              <w:left w:val="nil"/>
              <w:bottom w:val="nil"/>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Total expenses</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59 490</w:t>
            </w:r>
          </w:p>
        </w:tc>
        <w:tc>
          <w:tcPr>
            <w:tcW w:w="892"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61 861</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63 652</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65 049</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67 599</w:t>
            </w:r>
          </w:p>
        </w:tc>
        <w:tc>
          <w:tcPr>
            <w:tcW w:w="893" w:type="dxa"/>
            <w:tcBorders>
              <w:top w:val="nil"/>
              <w:left w:val="nil"/>
              <w:bottom w:val="nil"/>
              <w:right w:val="nil"/>
            </w:tcBorders>
          </w:tcPr>
          <w:p w:rsidR="00116054" w:rsidRPr="00F01379" w:rsidRDefault="00116054" w:rsidP="00F01379">
            <w:pPr>
              <w:pStyle w:val="TableofFigures"/>
              <w:rPr>
                <w:rFonts w:eastAsiaTheme="minorEastAsia"/>
                <w:b/>
                <w:bCs/>
                <w:color w:val="000000"/>
                <w:lang w:eastAsia="en-AU"/>
              </w:rPr>
            </w:pPr>
            <w:r w:rsidRPr="00F01379">
              <w:rPr>
                <w:rFonts w:eastAsiaTheme="minorEastAsia"/>
                <w:b/>
                <w:bCs/>
                <w:color w:val="000000"/>
                <w:lang w:eastAsia="en-AU"/>
              </w:rPr>
              <w:t>69 841</w:t>
            </w:r>
          </w:p>
        </w:tc>
      </w:tr>
      <w:tr w:rsidR="00116054" w:rsidRPr="00F01379" w:rsidTr="00F01379">
        <w:tc>
          <w:tcPr>
            <w:tcW w:w="2420" w:type="dxa"/>
            <w:tcBorders>
              <w:top w:val="nil"/>
              <w:left w:val="nil"/>
              <w:bottom w:val="single" w:sz="6" w:space="0" w:color="auto"/>
              <w:right w:val="nil"/>
            </w:tcBorders>
          </w:tcPr>
          <w:p w:rsidR="00116054" w:rsidRPr="00230BEC" w:rsidRDefault="00116054" w:rsidP="00F01379">
            <w:pPr>
              <w:pStyle w:val="Tabletext"/>
              <w:rPr>
                <w:rFonts w:eastAsiaTheme="minorEastAsia"/>
                <w:i/>
                <w:color w:val="000000"/>
                <w:lang w:eastAsia="en-AU"/>
              </w:rPr>
            </w:pPr>
            <w:r w:rsidRPr="00230BEC">
              <w:rPr>
                <w:rFonts w:eastAsiaTheme="minorEastAsia"/>
                <w:i/>
                <w:color w:val="000000"/>
                <w:lang w:eastAsia="en-AU"/>
              </w:rPr>
              <w:t>% change</w:t>
            </w:r>
          </w:p>
        </w:tc>
        <w:tc>
          <w:tcPr>
            <w:tcW w:w="892" w:type="dxa"/>
            <w:gridSpan w:val="2"/>
            <w:tcBorders>
              <w:top w:val="nil"/>
              <w:left w:val="nil"/>
              <w:bottom w:val="nil"/>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w:t>
            </w:r>
            <w:r w:rsidRPr="00F01379">
              <w:rPr>
                <w:rFonts w:eastAsiaTheme="minorEastAsia" w:cs="Calibri"/>
                <w:color w:val="000000"/>
                <w:lang w:eastAsia="en-AU"/>
              </w:rPr>
              <w:t>3.8</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4.0</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2.9</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2.2</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3.9</w:t>
            </w:r>
          </w:p>
        </w:tc>
        <w:tc>
          <w:tcPr>
            <w:tcW w:w="893"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3.3</w:t>
            </w:r>
          </w:p>
        </w:tc>
      </w:tr>
      <w:tr w:rsidR="00116054" w:rsidRPr="00F01379" w:rsidTr="00F01379">
        <w:tc>
          <w:tcPr>
            <w:tcW w:w="2534" w:type="dxa"/>
            <w:gridSpan w:val="2"/>
            <w:tcBorders>
              <w:top w:val="single" w:sz="6" w:space="0" w:color="auto"/>
              <w:left w:val="nil"/>
              <w:bottom w:val="single" w:sz="6" w:space="0" w:color="auto"/>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Net result from transactions</w:t>
            </w:r>
          </w:p>
        </w:tc>
        <w:tc>
          <w:tcPr>
            <w:tcW w:w="778"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857</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(1 358)</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 </w:t>
            </w:r>
            <w:r w:rsidRPr="00F01379">
              <w:rPr>
                <w:rFonts w:eastAsiaTheme="minorEastAsia" w:cs="Calibri"/>
                <w:color w:val="000000"/>
                <w:lang w:eastAsia="en-AU"/>
              </w:rPr>
              <w:t>972)</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 </w:t>
            </w:r>
            <w:r w:rsidRPr="00F01379">
              <w:rPr>
                <w:rFonts w:eastAsiaTheme="minorEastAsia" w:cs="Calibri"/>
                <w:color w:val="000000"/>
                <w:lang w:eastAsia="en-AU"/>
              </w:rPr>
              <w:t>475)</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( 500)</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 xml:space="preserve"> ( </w:t>
            </w:r>
            <w:r w:rsidRPr="00F01379">
              <w:rPr>
                <w:rFonts w:eastAsiaTheme="minorEastAsia" w:cs="Calibri"/>
                <w:color w:val="000000"/>
                <w:lang w:eastAsia="en-AU"/>
              </w:rPr>
              <w:t>220)</w:t>
            </w:r>
          </w:p>
        </w:tc>
      </w:tr>
      <w:tr w:rsidR="00116054" w:rsidRPr="00F01379" w:rsidTr="00F01379">
        <w:tc>
          <w:tcPr>
            <w:tcW w:w="2420" w:type="dxa"/>
            <w:tcBorders>
              <w:top w:val="single" w:sz="6" w:space="0" w:color="auto"/>
              <w:left w:val="nil"/>
              <w:bottom w:val="single" w:sz="6" w:space="0" w:color="auto"/>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Total other economic flows included in net result</w:t>
            </w:r>
          </w:p>
        </w:tc>
        <w:tc>
          <w:tcPr>
            <w:tcW w:w="892" w:type="dxa"/>
            <w:gridSpan w:val="2"/>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803</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( 254.1)</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5 314</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s="Calibri"/>
                <w:color w:val="000000"/>
                <w:lang w:eastAsia="en-AU"/>
              </w:rPr>
            </w:pPr>
            <w:r w:rsidRPr="00F01379">
              <w:rPr>
                <w:rFonts w:eastAsiaTheme="minorEastAsia"/>
                <w:color w:val="000000"/>
                <w:lang w:eastAsia="en-AU"/>
              </w:rPr>
              <w:t>1 165</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1 364</w:t>
            </w:r>
          </w:p>
        </w:tc>
        <w:tc>
          <w:tcPr>
            <w:tcW w:w="893"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1 514</w:t>
            </w:r>
          </w:p>
        </w:tc>
      </w:tr>
      <w:tr w:rsidR="00116054" w:rsidRPr="00F01379" w:rsidTr="00F01379">
        <w:tc>
          <w:tcPr>
            <w:tcW w:w="2420" w:type="dxa"/>
            <w:tcBorders>
              <w:top w:val="single" w:sz="6" w:space="0" w:color="auto"/>
              <w:left w:val="nil"/>
              <w:bottom w:val="single" w:sz="12" w:space="0" w:color="auto"/>
              <w:right w:val="nil"/>
            </w:tcBorders>
          </w:tcPr>
          <w:p w:rsidR="00116054" w:rsidRPr="00F01379" w:rsidRDefault="00116054" w:rsidP="00F01379">
            <w:pPr>
              <w:pStyle w:val="Tabletext"/>
              <w:rPr>
                <w:rFonts w:eastAsiaTheme="minorEastAsia"/>
                <w:b/>
                <w:bCs/>
                <w:color w:val="000000"/>
                <w:lang w:eastAsia="en-AU"/>
              </w:rPr>
            </w:pPr>
            <w:r w:rsidRPr="00F01379">
              <w:rPr>
                <w:rFonts w:eastAsiaTheme="minorEastAsia"/>
                <w:b/>
                <w:bCs/>
                <w:color w:val="000000"/>
                <w:lang w:eastAsia="en-AU"/>
              </w:rPr>
              <w:t>Net result</w:t>
            </w:r>
          </w:p>
        </w:tc>
        <w:tc>
          <w:tcPr>
            <w:tcW w:w="892" w:type="dxa"/>
            <w:gridSpan w:val="2"/>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1 659</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(1 613)</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4 342</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690</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864</w:t>
            </w:r>
          </w:p>
        </w:tc>
        <w:tc>
          <w:tcPr>
            <w:tcW w:w="893"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1 295</w:t>
            </w:r>
          </w:p>
        </w:tc>
      </w:tr>
    </w:tbl>
    <w:p w:rsidR="00116054" w:rsidRPr="00D24DBC" w:rsidRDefault="00116054" w:rsidP="00583E73">
      <w:pPr>
        <w:rPr>
          <w:rFonts w:asciiTheme="minorHAnsi" w:hAnsiTheme="minorHAnsi" w:cstheme="minorHAnsi"/>
          <w:i/>
          <w:sz w:val="15"/>
          <w:szCs w:val="15"/>
        </w:rPr>
      </w:pPr>
      <w:r w:rsidRPr="00D24DBC">
        <w:rPr>
          <w:rFonts w:asciiTheme="minorHAnsi" w:hAnsiTheme="minorHAnsi" w:cstheme="minorHAnsi"/>
          <w:i/>
          <w:sz w:val="15"/>
          <w:szCs w:val="15"/>
        </w:rPr>
        <w:t>Source: Department of Treasury and Finance</w:t>
      </w:r>
    </w:p>
    <w:p w:rsidR="00116054" w:rsidRPr="001B3EFF" w:rsidRDefault="00116054" w:rsidP="001B3EFF">
      <w:pPr>
        <w:pStyle w:val="Notes"/>
      </w:pPr>
      <w:r w:rsidRPr="001B3EFF">
        <w:t>Notes:</w:t>
      </w:r>
    </w:p>
    <w:p w:rsidR="00116054" w:rsidRPr="001B3EFF" w:rsidRDefault="00116054" w:rsidP="001B3EFF">
      <w:pPr>
        <w:pStyle w:val="Notes"/>
      </w:pPr>
      <w:r w:rsidRPr="001B3EFF">
        <w:t xml:space="preserve">(a) </w:t>
      </w:r>
      <w:r>
        <w:tab/>
      </w:r>
      <w:r w:rsidRPr="001B3EFF">
        <w:t xml:space="preserve">This is a summary operating statement. The comprehensive operating statement is presented in Budget Paper </w:t>
      </w:r>
      <w:r>
        <w:t>No. </w:t>
      </w:r>
      <w:r w:rsidRPr="001B3EFF">
        <w:t xml:space="preserve">5 </w:t>
      </w:r>
      <w:r w:rsidRPr="0059734E">
        <w:rPr>
          <w:i w:val="0"/>
        </w:rPr>
        <w:t>Statement of Finances</w:t>
      </w:r>
      <w:r w:rsidRPr="001B3EFF">
        <w:t>.</w:t>
      </w:r>
    </w:p>
    <w:p w:rsidR="00116054" w:rsidRPr="001B3EFF" w:rsidRDefault="00116054" w:rsidP="001B3EFF">
      <w:pPr>
        <w:pStyle w:val="Notes"/>
      </w:pPr>
      <w:r w:rsidRPr="001B3EFF">
        <w:t xml:space="preserve">(b) </w:t>
      </w:r>
      <w:r>
        <w:tab/>
      </w:r>
      <w:r w:rsidRPr="001B3EFF">
        <w:t>Comprises dividends, income tax and rate equivalent revenue and interest.</w:t>
      </w:r>
    </w:p>
    <w:p w:rsidR="00116054" w:rsidRDefault="00116054" w:rsidP="00F22A75">
      <w:pPr>
        <w:pStyle w:val="Notes"/>
      </w:pPr>
      <w:r w:rsidRPr="001B3EFF">
        <w:t xml:space="preserve">(c) </w:t>
      </w:r>
      <w:r>
        <w:tab/>
      </w:r>
      <w:r w:rsidRPr="001B3EFF">
        <w:t>Comprises superannuation interest expense and other superannuation expenses.</w:t>
      </w:r>
      <w:r>
        <w:t xml:space="preserve"> </w:t>
      </w:r>
    </w:p>
    <w:p w:rsidR="00116054" w:rsidRDefault="00116054" w:rsidP="00583E73"/>
    <w:p w:rsidR="00116054" w:rsidRDefault="00116054" w:rsidP="00B3283C">
      <w:r>
        <w:t>Table 5.5</w:t>
      </w:r>
      <w:r w:rsidRPr="00614140">
        <w:t xml:space="preserve"> shows the operating results </w:t>
      </w:r>
      <w:r>
        <w:t xml:space="preserve">for </w:t>
      </w:r>
      <w:r w:rsidRPr="00614140">
        <w:t>the State</w:t>
      </w:r>
      <w:r>
        <w:t>.</w:t>
      </w:r>
      <w:r w:rsidRPr="00614140">
        <w:t xml:space="preserve"> The net result for the State </w:t>
      </w:r>
      <w:r>
        <w:t xml:space="preserve">is projected to be in surplus over the budget and forward estimates. The net result </w:t>
      </w:r>
      <w:r w:rsidRPr="00614140">
        <w:t>includes other economic flows, which are projected to contribute an average of $</w:t>
      </w:r>
      <w:r>
        <w:t>2.3 billion</w:t>
      </w:r>
      <w:r w:rsidRPr="00614140">
        <w:t xml:space="preserve"> a year toward the net surplus over the budget and forward estimates period. The other economic flows </w:t>
      </w:r>
      <w:r>
        <w:t>include</w:t>
      </w:r>
      <w:r w:rsidRPr="00614140">
        <w:t xml:space="preserve"> projected investment returns of the State</w:t>
      </w:r>
      <w:r>
        <w:t>’</w:t>
      </w:r>
      <w:r w:rsidRPr="00614140">
        <w:t>s insurance</w:t>
      </w:r>
      <w:r>
        <w:t xml:space="preserve"> </w:t>
      </w:r>
      <w:r w:rsidRPr="00614140">
        <w:t>agencies</w:t>
      </w:r>
      <w:r>
        <w:fldChar w:fldCharType="begin"/>
      </w:r>
      <w:r>
        <w:instrText xml:space="preserve"> XE "</w:instrText>
      </w:r>
      <w:proofErr w:type="spellStart"/>
      <w:r w:rsidRPr="009D2CD4">
        <w:instrText>Insurance</w:instrText>
      </w:r>
      <w:r>
        <w:instrText>:Agencies</w:instrText>
      </w:r>
      <w:proofErr w:type="spellEnd"/>
      <w:r>
        <w:instrText xml:space="preserve">" </w:instrText>
      </w:r>
      <w:r>
        <w:fldChar w:fldCharType="end"/>
      </w:r>
      <w:r w:rsidRPr="00614140">
        <w:t xml:space="preserve"> which are used to service their liabilities.</w:t>
      </w:r>
    </w:p>
    <w:p w:rsidR="00116054" w:rsidRDefault="00116054">
      <w:pPr>
        <w:spacing w:after="0"/>
      </w:pPr>
      <w:r>
        <w:br w:type="page"/>
      </w:r>
    </w:p>
    <w:p w:rsidR="00116054" w:rsidRPr="00614140" w:rsidRDefault="00116054" w:rsidP="00583E73">
      <w:r>
        <w:lastRenderedPageBreak/>
        <w:t>As a result</w:t>
      </w:r>
      <w:r w:rsidRPr="00614140">
        <w:t>, the net result is considered a more meaningful measure of the expected operating position of this sector and the State. Other economic flows also include valuation gains on revaluation of financial liabilities, which primarily result from movements in bond rates used to value these liabilities. For budgeting purposes, these items are assumed to be zero in the forward estimates but historical movements in these revaluations can be significant</w:t>
      </w:r>
      <w:r>
        <w:t>. Other</w:t>
      </w:r>
      <w:r w:rsidRPr="00614140">
        <w:t xml:space="preserve"> economic flows </w:t>
      </w:r>
      <w:r>
        <w:t>are expected to increase</w:t>
      </w:r>
      <w:r w:rsidRPr="00614140">
        <w:t xml:space="preserve"> significantly in 201</w:t>
      </w:r>
      <w:r>
        <w:t>5</w:t>
      </w:r>
      <w:r>
        <w:noBreakHyphen/>
      </w:r>
      <w:r w:rsidRPr="00614140">
        <w:t>1</w:t>
      </w:r>
      <w:r>
        <w:t>6</w:t>
      </w:r>
      <w:r w:rsidRPr="00614140">
        <w:t xml:space="preserve"> to $</w:t>
      </w:r>
      <w:r>
        <w:t>5.3 billion.</w:t>
      </w:r>
    </w:p>
    <w:p w:rsidR="00116054" w:rsidRDefault="00116054" w:rsidP="0084027C">
      <w:r w:rsidRPr="00614140">
        <w:t>The PFC sector is forecast to record a</w:t>
      </w:r>
      <w:r>
        <w:t>n</w:t>
      </w:r>
      <w:r w:rsidRPr="00614140">
        <w:t xml:space="preserve"> </w:t>
      </w:r>
      <w:r>
        <w:t xml:space="preserve">average </w:t>
      </w:r>
      <w:r w:rsidRPr="00614140">
        <w:t>net surplus of $</w:t>
      </w:r>
      <w:r>
        <w:t>672 million</w:t>
      </w:r>
      <w:r w:rsidRPr="00614140">
        <w:t xml:space="preserve"> </w:t>
      </w:r>
      <w:r>
        <w:t>between</w:t>
      </w:r>
      <w:r w:rsidRPr="00614140">
        <w:t xml:space="preserve"> </w:t>
      </w:r>
      <w:r>
        <w:t>2015</w:t>
      </w:r>
      <w:r>
        <w:noBreakHyphen/>
        <w:t>16 and 2018</w:t>
      </w:r>
      <w:r>
        <w:noBreakHyphen/>
        <w:t>19</w:t>
      </w:r>
      <w:r w:rsidRPr="00614140">
        <w:t xml:space="preserve">, primarily due to strong investment returns and valuation gains associated with improved financial market conditions. The sector is projected to remain </w:t>
      </w:r>
      <w:r>
        <w:t>in a strong financial position.</w:t>
      </w:r>
    </w:p>
    <w:p w:rsidR="00116054" w:rsidRPr="007B2462" w:rsidRDefault="00116054" w:rsidP="00614140">
      <w:pPr>
        <w:pStyle w:val="Chartheading"/>
      </w:pPr>
      <w:r w:rsidRPr="007B2462">
        <w:t>Char</w:t>
      </w:r>
      <w:r>
        <w:t xml:space="preserve">t 5.2: </w:t>
      </w:r>
      <w:r>
        <w:tab/>
        <w:t>Components of whole of s</w:t>
      </w:r>
      <w:r w:rsidRPr="007B2462">
        <w:t>tate net result (after other economic flows)</w:t>
      </w:r>
    </w:p>
    <w:p w:rsidR="00116054" w:rsidRDefault="00CC5D46" w:rsidP="00CD0B66">
      <w:pPr>
        <w:pStyle w:val="Chartpara"/>
      </w:pPr>
      <w:r>
        <w:pict>
          <v:shape id="_x0000_i1046" type="#_x0000_t75" style="width:382.55pt;height:218.15pt">
            <v:imagedata r:id="rId44" o:title=""/>
          </v:shape>
        </w:pict>
      </w:r>
    </w:p>
    <w:p w:rsidR="00116054" w:rsidRPr="00D24DBC" w:rsidRDefault="00116054" w:rsidP="001B3EFF">
      <w:pPr>
        <w:rPr>
          <w:rFonts w:asciiTheme="minorHAnsi" w:hAnsiTheme="minorHAnsi" w:cstheme="minorHAnsi"/>
          <w:i/>
          <w:sz w:val="15"/>
          <w:szCs w:val="15"/>
        </w:rPr>
      </w:pPr>
      <w:r w:rsidRPr="00D24DBC">
        <w:rPr>
          <w:rFonts w:asciiTheme="minorHAnsi" w:hAnsiTheme="minorHAnsi" w:cstheme="minorHAnsi"/>
          <w:i/>
          <w:sz w:val="15"/>
          <w:szCs w:val="15"/>
        </w:rPr>
        <w:t>Source: Department of Treasury and Finance</w:t>
      </w:r>
    </w:p>
    <w:p w:rsidR="00116054" w:rsidRDefault="00116054" w:rsidP="00E92DB7">
      <w:pPr>
        <w:pStyle w:val="Notes"/>
      </w:pPr>
      <w:r>
        <w:t>Note:</w:t>
      </w:r>
    </w:p>
    <w:p w:rsidR="00116054" w:rsidRPr="00614140" w:rsidRDefault="00116054" w:rsidP="00E92DB7">
      <w:pPr>
        <w:pStyle w:val="Notes"/>
      </w:pPr>
      <w:r w:rsidRPr="00E92DB7">
        <w:t>(a)</w:t>
      </w:r>
      <w:r>
        <w:tab/>
      </w:r>
      <w:r w:rsidRPr="00E92DB7">
        <w:t>Eliminations include transactions between the sectors, in</w:t>
      </w:r>
      <w:r>
        <w:t>cluding dividends paid from PFC</w:t>
      </w:r>
      <w:r w:rsidRPr="00E92DB7">
        <w:t>s to the general government sector.</w:t>
      </w:r>
      <w:r>
        <w:fldChar w:fldCharType="begin"/>
      </w:r>
      <w:r>
        <w:instrText xml:space="preserve"> XE "</w:instrText>
      </w:r>
      <w:r w:rsidRPr="00C066DD">
        <w:instrText xml:space="preserve">Operating </w:instrText>
      </w:r>
      <w:proofErr w:type="spellStart"/>
      <w:r w:rsidRPr="00C066DD">
        <w:instrText>result:State</w:instrText>
      </w:r>
      <w:proofErr w:type="spellEnd"/>
      <w:r w:rsidRPr="00C066DD">
        <w:instrText xml:space="preserve"> of Victoria</w:instrText>
      </w:r>
      <w:r>
        <w:instrText xml:space="preserve">" \r "BP2Ch5VicOpResult" </w:instrText>
      </w:r>
      <w:r>
        <w:fldChar w:fldCharType="end"/>
      </w:r>
    </w:p>
    <w:bookmarkEnd w:id="105"/>
    <w:p w:rsidR="00116054" w:rsidRDefault="00116054">
      <w:pPr>
        <w:spacing w:after="0"/>
        <w:rPr>
          <w:rFonts w:ascii="Calibri" w:hAnsi="Calibri"/>
          <w:b/>
          <w:caps/>
          <w:sz w:val="26"/>
          <w:szCs w:val="22"/>
        </w:rPr>
      </w:pPr>
      <w:r>
        <w:br w:type="page"/>
      </w:r>
    </w:p>
    <w:p w:rsidR="00116054" w:rsidRPr="007B2462" w:rsidRDefault="00116054" w:rsidP="00614140">
      <w:pPr>
        <w:pStyle w:val="Heading1"/>
      </w:pPr>
      <w:bookmarkStart w:id="106" w:name="_Toc418255155"/>
      <w:r w:rsidRPr="007B2462">
        <w:lastRenderedPageBreak/>
        <w:t xml:space="preserve">State of Victoria – </w:t>
      </w:r>
      <w:r w:rsidRPr="00F0495D">
        <w:t>financial</w:t>
      </w:r>
      <w:r w:rsidRPr="007B2462">
        <w:rPr>
          <w:caps w:val="0"/>
        </w:rPr>
        <w:t xml:space="preserve"> </w:t>
      </w:r>
      <w:r w:rsidRPr="007B2462">
        <w:t>position</w:t>
      </w:r>
      <w:bookmarkEnd w:id="106"/>
    </w:p>
    <w:p w:rsidR="00116054" w:rsidRPr="00614140" w:rsidRDefault="00116054" w:rsidP="00304354">
      <w:r>
        <w:t>Table 5.6</w:t>
      </w:r>
      <w:r w:rsidRPr="00614140">
        <w:t xml:space="preserve"> shows that the State</w:t>
      </w:r>
      <w:r>
        <w:t>’</w:t>
      </w:r>
      <w:r w:rsidRPr="00614140">
        <w:t>s financial position is projected to im</w:t>
      </w:r>
      <w:r>
        <w:t>prove over the b</w:t>
      </w:r>
      <w:r w:rsidRPr="00614140">
        <w:t xml:space="preserve">udget and forward estimates period. </w:t>
      </w:r>
      <w:r>
        <w:t>B</w:t>
      </w:r>
      <w:r w:rsidRPr="00614140">
        <w:t>orrowings are projected to fall significantly in 2015</w:t>
      </w:r>
      <w:r>
        <w:noBreakHyphen/>
      </w:r>
      <w:r w:rsidRPr="00614140">
        <w:t>16, while financial assets are projected</w:t>
      </w:r>
      <w:r>
        <w:t xml:space="preserve"> to increase in line with long</w:t>
      </w:r>
      <w:r>
        <w:noBreakHyphen/>
      </w:r>
      <w:r w:rsidRPr="00614140">
        <w:t>term trends in investment returns and non</w:t>
      </w:r>
      <w:r>
        <w:noBreakHyphen/>
        <w:t>financial asset</w:t>
      </w:r>
      <w:r w:rsidRPr="00614140">
        <w:t xml:space="preserve"> grow</w:t>
      </w:r>
      <w:r>
        <w:t>th.</w:t>
      </w:r>
      <w:r w:rsidRPr="00614140">
        <w:t xml:space="preserve"> As a result, the State</w:t>
      </w:r>
      <w:r>
        <w:t>’</w:t>
      </w:r>
      <w:r w:rsidRPr="00614140">
        <w:t>s net assets are forecast to increase from $</w:t>
      </w:r>
      <w:r>
        <w:t>142.7 billion</w:t>
      </w:r>
      <w:r w:rsidRPr="00614140">
        <w:t xml:space="preserve"> in 20</w:t>
      </w:r>
      <w:r>
        <w:t>15</w:t>
      </w:r>
      <w:r>
        <w:noBreakHyphen/>
      </w:r>
      <w:r w:rsidRPr="00614140">
        <w:t>1</w:t>
      </w:r>
      <w:r>
        <w:t>6</w:t>
      </w:r>
      <w:r w:rsidRPr="00614140">
        <w:t xml:space="preserve"> to $</w:t>
      </w:r>
      <w:r>
        <w:t>159.1 billion</w:t>
      </w:r>
      <w:r w:rsidRPr="00614140">
        <w:t xml:space="preserve"> by 201</w:t>
      </w:r>
      <w:r>
        <w:t>8</w:t>
      </w:r>
      <w:r>
        <w:noBreakHyphen/>
      </w:r>
      <w:r w:rsidRPr="00614140">
        <w:t>1</w:t>
      </w:r>
      <w:r>
        <w:t>9</w:t>
      </w:r>
      <w:r w:rsidRPr="00614140">
        <w:t>.</w:t>
      </w:r>
    </w:p>
    <w:p w:rsidR="00116054" w:rsidRPr="007B2462" w:rsidRDefault="00116054" w:rsidP="00614140">
      <w:pPr>
        <w:pStyle w:val="Tableheading"/>
      </w:pPr>
      <w:r w:rsidRPr="007B2462">
        <w:t xml:space="preserve">Table 5.6: </w:t>
      </w:r>
      <w:r w:rsidRPr="007B2462">
        <w:tab/>
        <w:t>Financial position of the State of Victoria</w:t>
      </w:r>
    </w:p>
    <w:p w:rsidR="00116054" w:rsidRPr="00F01379" w:rsidRDefault="00116054" w:rsidP="00F01379">
      <w:pPr>
        <w:pStyle w:val="million"/>
      </w:pPr>
      <w:r>
        <w:t>($ billion)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116054" w:rsidRPr="00F01379" w:rsidTr="00F01379">
        <w:tc>
          <w:tcPr>
            <w:tcW w:w="2419" w:type="dxa"/>
            <w:tcBorders>
              <w:top w:val="single" w:sz="4" w:space="0" w:color="auto"/>
              <w:left w:val="single" w:sz="4" w:space="0" w:color="auto"/>
              <w:bottom w:val="nil"/>
              <w:right w:val="nil"/>
            </w:tcBorders>
            <w:shd w:val="clear" w:color="auto" w:fill="000000"/>
          </w:tcPr>
          <w:p w:rsidR="00116054" w:rsidRPr="00F01379" w:rsidRDefault="00116054" w:rsidP="00F01379">
            <w:pPr>
              <w:pStyle w:val="Tabletext"/>
              <w:rPr>
                <w:rFonts w:eastAsiaTheme="minorEastAsia"/>
                <w:lang w:eastAsia="en-AU"/>
              </w:rPr>
            </w:pP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2013</w:t>
            </w:r>
            <w:r>
              <w:rPr>
                <w:rFonts w:eastAsiaTheme="minorEastAsia"/>
                <w:lang w:eastAsia="en-AU"/>
              </w:rPr>
              <w:noBreakHyphen/>
            </w:r>
            <w:r w:rsidRPr="00F01379">
              <w:rPr>
                <w:rFonts w:eastAsiaTheme="minorEastAsia"/>
                <w:lang w:eastAsia="en-AU"/>
              </w:rPr>
              <w:t>14</w:t>
            </w: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2014</w:t>
            </w:r>
            <w:r>
              <w:rPr>
                <w:rFonts w:eastAsiaTheme="minorEastAsia"/>
                <w:lang w:eastAsia="en-AU"/>
              </w:rPr>
              <w:noBreakHyphen/>
            </w:r>
            <w:r w:rsidRPr="00F01379">
              <w:rPr>
                <w:rFonts w:eastAsiaTheme="minorEastAsia"/>
                <w:lang w:eastAsia="en-AU"/>
              </w:rPr>
              <w:t>15</w:t>
            </w: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2015</w:t>
            </w:r>
            <w:r>
              <w:rPr>
                <w:rFonts w:eastAsiaTheme="minorEastAsia"/>
                <w:lang w:eastAsia="en-AU"/>
              </w:rPr>
              <w:noBreakHyphen/>
            </w:r>
            <w:r w:rsidRPr="00F01379">
              <w:rPr>
                <w:rFonts w:eastAsiaTheme="minorEastAsia"/>
                <w:lang w:eastAsia="en-AU"/>
              </w:rPr>
              <w:t>16</w:t>
            </w: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2016</w:t>
            </w:r>
            <w:r>
              <w:rPr>
                <w:rFonts w:eastAsiaTheme="minorEastAsia"/>
                <w:lang w:eastAsia="en-AU"/>
              </w:rPr>
              <w:noBreakHyphen/>
            </w:r>
            <w:r w:rsidRPr="00F01379">
              <w:rPr>
                <w:rFonts w:eastAsiaTheme="minorEastAsia"/>
                <w:lang w:eastAsia="en-AU"/>
              </w:rPr>
              <w:t>17</w:t>
            </w:r>
          </w:p>
        </w:tc>
        <w:tc>
          <w:tcPr>
            <w:tcW w:w="892" w:type="dxa"/>
            <w:tcBorders>
              <w:top w:val="single" w:sz="4" w:space="0" w:color="auto"/>
              <w:left w:val="nil"/>
              <w:bottom w:val="nil"/>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2017</w:t>
            </w:r>
            <w:r>
              <w:rPr>
                <w:rFonts w:eastAsiaTheme="minorEastAsia"/>
                <w:lang w:eastAsia="en-AU"/>
              </w:rPr>
              <w:noBreakHyphen/>
            </w:r>
            <w:r w:rsidRPr="00F01379">
              <w:rPr>
                <w:rFonts w:eastAsiaTheme="minorEastAsia"/>
                <w:lang w:eastAsia="en-AU"/>
              </w:rPr>
              <w:t>18</w:t>
            </w:r>
          </w:p>
        </w:tc>
        <w:tc>
          <w:tcPr>
            <w:tcW w:w="892" w:type="dxa"/>
            <w:tcBorders>
              <w:top w:val="single" w:sz="4" w:space="0" w:color="auto"/>
              <w:left w:val="nil"/>
              <w:bottom w:val="nil"/>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2018</w:t>
            </w:r>
            <w:r>
              <w:rPr>
                <w:rFonts w:eastAsiaTheme="minorEastAsia"/>
                <w:lang w:eastAsia="en-AU"/>
              </w:rPr>
              <w:noBreakHyphen/>
            </w:r>
            <w:r w:rsidRPr="00F01379">
              <w:rPr>
                <w:rFonts w:eastAsiaTheme="minorEastAsia"/>
                <w:lang w:eastAsia="en-AU"/>
              </w:rPr>
              <w:t>19</w:t>
            </w:r>
          </w:p>
        </w:tc>
      </w:tr>
      <w:tr w:rsidR="00116054" w:rsidRPr="00F01379" w:rsidTr="00F01379">
        <w:tc>
          <w:tcPr>
            <w:tcW w:w="2419" w:type="dxa"/>
            <w:tcBorders>
              <w:top w:val="nil"/>
              <w:left w:val="single" w:sz="4" w:space="0" w:color="auto"/>
              <w:bottom w:val="single" w:sz="4" w:space="0" w:color="auto"/>
              <w:right w:val="nil"/>
            </w:tcBorders>
            <w:shd w:val="clear" w:color="auto" w:fill="000000"/>
          </w:tcPr>
          <w:p w:rsidR="00116054" w:rsidRPr="00F01379" w:rsidRDefault="00116054" w:rsidP="00F01379">
            <w:pPr>
              <w:pStyle w:val="Tabletext"/>
              <w:rPr>
                <w:rFonts w:eastAsiaTheme="minorEastAsia"/>
                <w:lang w:eastAsia="en-AU"/>
              </w:rPr>
            </w:pP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revised</w:t>
            </w: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budget</w:t>
            </w: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c>
          <w:tcPr>
            <w:tcW w:w="892" w:type="dxa"/>
            <w:tcBorders>
              <w:top w:val="nil"/>
              <w:left w:val="nil"/>
              <w:bottom w:val="single" w:sz="4" w:space="0" w:color="auto"/>
              <w:right w:val="single" w:sz="4" w:space="0" w:color="auto"/>
            </w:tcBorders>
            <w:shd w:val="clear" w:color="auto" w:fill="000000"/>
          </w:tcPr>
          <w:p w:rsidR="00116054" w:rsidRPr="00F01379" w:rsidRDefault="00116054" w:rsidP="00F01379">
            <w:pPr>
              <w:pStyle w:val="Tabletextheading"/>
              <w:rPr>
                <w:rFonts w:eastAsiaTheme="minorEastAsia"/>
                <w:lang w:eastAsia="en-AU"/>
              </w:rPr>
            </w:pPr>
            <w:r w:rsidRPr="00F01379">
              <w:rPr>
                <w:rFonts w:eastAsiaTheme="minorEastAsia"/>
                <w:lang w:eastAsia="en-AU"/>
              </w:rPr>
              <w:t>estimate</w:t>
            </w:r>
          </w:p>
        </w:tc>
      </w:tr>
      <w:tr w:rsidR="00116054" w:rsidRPr="00F01379" w:rsidTr="00F01379">
        <w:tc>
          <w:tcPr>
            <w:tcW w:w="2419" w:type="dxa"/>
            <w:tcBorders>
              <w:top w:val="single" w:sz="4" w:space="0" w:color="auto"/>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Assets</w:t>
            </w: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single" w:sz="4" w:space="0" w:color="auto"/>
              <w:left w:val="nil"/>
              <w:bottom w:val="nil"/>
              <w:right w:val="nil"/>
            </w:tcBorders>
          </w:tcPr>
          <w:p w:rsidR="00116054" w:rsidRPr="00F01379" w:rsidRDefault="00116054" w:rsidP="00F01379">
            <w:pPr>
              <w:pStyle w:val="TableofFigures"/>
              <w:rPr>
                <w:rFonts w:eastAsiaTheme="minorEastAsia"/>
                <w:color w:val="000000"/>
                <w:lang w:eastAsia="en-AU"/>
              </w:rPr>
            </w:pP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vertAlign w:val="superscript"/>
                <w:lang w:eastAsia="en-AU"/>
              </w:rPr>
            </w:pPr>
            <w:r w:rsidRPr="00F01379">
              <w:rPr>
                <w:rFonts w:eastAsiaTheme="minorEastAsia"/>
                <w:lang w:eastAsia="en-AU"/>
              </w:rPr>
              <w:t xml:space="preserve">Total financial assets </w:t>
            </w:r>
            <w:r w:rsidRPr="00F01379">
              <w:rPr>
                <w:rFonts w:eastAsiaTheme="minorEastAsia"/>
                <w:vertAlign w:val="superscript"/>
                <w:lang w:eastAsia="en-AU"/>
              </w:rPr>
              <w:t>(a)</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48</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48</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53</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56</w:t>
            </w: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vertAlign w:val="superscript"/>
                <w:lang w:eastAsia="en-AU"/>
              </w:rPr>
            </w:pPr>
            <w:r w:rsidRPr="00F01379">
              <w:rPr>
                <w:rFonts w:eastAsiaTheme="minorEastAsia"/>
                <w:lang w:eastAsia="en-AU"/>
              </w:rPr>
              <w:t>Total non</w:t>
            </w:r>
            <w:r>
              <w:rPr>
                <w:rFonts w:eastAsiaTheme="minorEastAsia"/>
                <w:lang w:eastAsia="en-AU"/>
              </w:rPr>
              <w:noBreakHyphen/>
            </w:r>
            <w:r w:rsidRPr="00F01379">
              <w:rPr>
                <w:rFonts w:eastAsiaTheme="minorEastAsia"/>
                <w:lang w:eastAsia="en-AU"/>
              </w:rPr>
              <w:t xml:space="preserve">financial assets </w:t>
            </w:r>
            <w:r w:rsidRPr="00F01379">
              <w:rPr>
                <w:rFonts w:eastAsiaTheme="minorEastAsia"/>
                <w:vertAlign w:val="superscript"/>
                <w:lang w:eastAsia="en-AU"/>
              </w:rPr>
              <w:t>(b)</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201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212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215</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219</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231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233</w:t>
            </w: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Total assets</w:t>
            </w:r>
          </w:p>
        </w:tc>
        <w:tc>
          <w:tcPr>
            <w:tcW w:w="892" w:type="dxa"/>
            <w:tcBorders>
              <w:top w:val="nil"/>
              <w:left w:val="nil"/>
              <w:bottom w:val="nil"/>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248</w:t>
            </w:r>
          </w:p>
        </w:tc>
        <w:tc>
          <w:tcPr>
            <w:tcW w:w="892" w:type="dxa"/>
            <w:tcBorders>
              <w:top w:val="nil"/>
              <w:left w:val="nil"/>
              <w:bottom w:val="nil"/>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261</w:t>
            </w:r>
          </w:p>
        </w:tc>
        <w:tc>
          <w:tcPr>
            <w:tcW w:w="892" w:type="dxa"/>
            <w:tcBorders>
              <w:top w:val="nil"/>
              <w:left w:val="nil"/>
              <w:bottom w:val="nil"/>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266</w:t>
            </w:r>
          </w:p>
        </w:tc>
        <w:tc>
          <w:tcPr>
            <w:tcW w:w="892" w:type="dxa"/>
            <w:tcBorders>
              <w:top w:val="nil"/>
              <w:left w:val="nil"/>
              <w:bottom w:val="nil"/>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271</w:t>
            </w:r>
          </w:p>
        </w:tc>
        <w:tc>
          <w:tcPr>
            <w:tcW w:w="892" w:type="dxa"/>
            <w:tcBorders>
              <w:top w:val="nil"/>
              <w:left w:val="nil"/>
              <w:bottom w:val="nil"/>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284</w:t>
            </w:r>
          </w:p>
        </w:tc>
        <w:tc>
          <w:tcPr>
            <w:tcW w:w="892" w:type="dxa"/>
            <w:tcBorders>
              <w:top w:val="nil"/>
              <w:left w:val="nil"/>
              <w:bottom w:val="nil"/>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289</w:t>
            </w: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Liabilities</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Superannuation</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26</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30</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29</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28</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27</w:t>
            </w: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Borrowings</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49</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53</w:t>
            </w: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Deposits held and advances received</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2</w:t>
            </w:r>
          </w:p>
        </w:tc>
      </w:tr>
      <w:tr w:rsidR="00116054" w:rsidRPr="00F01379" w:rsidTr="00F01379">
        <w:tc>
          <w:tcPr>
            <w:tcW w:w="2419" w:type="dxa"/>
            <w:tcBorders>
              <w:top w:val="nil"/>
              <w:left w:val="nil"/>
              <w:bottom w:val="single" w:sz="6" w:space="0" w:color="auto"/>
              <w:right w:val="nil"/>
            </w:tcBorders>
          </w:tcPr>
          <w:p w:rsidR="00116054" w:rsidRPr="00F01379" w:rsidRDefault="00116054" w:rsidP="00F01379">
            <w:pPr>
              <w:pStyle w:val="Tabletext"/>
              <w:rPr>
                <w:rFonts w:eastAsiaTheme="minorEastAsia"/>
                <w:lang w:eastAsia="en-AU"/>
              </w:rPr>
            </w:pPr>
            <w:r w:rsidRPr="00F01379">
              <w:rPr>
                <w:rFonts w:eastAsiaTheme="minorEastAsia"/>
                <w:lang w:eastAsia="en-AU"/>
              </w:rPr>
              <w:t>Other liabilities</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38</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41</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42</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44</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45</w:t>
            </w:r>
          </w:p>
        </w:tc>
        <w:tc>
          <w:tcPr>
            <w:tcW w:w="892" w:type="dxa"/>
            <w:tcBorders>
              <w:top w:val="nil"/>
              <w:left w:val="nil"/>
              <w:bottom w:val="nil"/>
              <w:right w:val="nil"/>
            </w:tcBorders>
          </w:tcPr>
          <w:p w:rsidR="00116054" w:rsidRPr="00F01379" w:rsidRDefault="00116054" w:rsidP="00F01379">
            <w:pPr>
              <w:pStyle w:val="TableofFigures"/>
              <w:rPr>
                <w:rFonts w:eastAsiaTheme="minorEastAsia"/>
                <w:color w:val="000000"/>
                <w:lang w:eastAsia="en-AU"/>
              </w:rPr>
            </w:pPr>
            <w:r w:rsidRPr="00F01379">
              <w:rPr>
                <w:rFonts w:eastAsiaTheme="minorEastAsia"/>
                <w:color w:val="000000"/>
                <w:lang w:eastAsia="en-AU"/>
              </w:rPr>
              <w:t xml:space="preserve"> 47</w:t>
            </w:r>
          </w:p>
        </w:tc>
      </w:tr>
      <w:tr w:rsidR="00116054" w:rsidRPr="00F01379" w:rsidTr="00F01379">
        <w:tc>
          <w:tcPr>
            <w:tcW w:w="2419" w:type="dxa"/>
            <w:tcBorders>
              <w:top w:val="nil"/>
              <w:left w:val="nil"/>
              <w:bottom w:val="nil"/>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Total liabilities</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117</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126</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123</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126</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127</w:t>
            </w:r>
          </w:p>
        </w:tc>
        <w:tc>
          <w:tcPr>
            <w:tcW w:w="892" w:type="dxa"/>
            <w:tcBorders>
              <w:top w:val="single" w:sz="6" w:space="0" w:color="auto"/>
              <w:left w:val="nil"/>
              <w:bottom w:val="single" w:sz="6"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129</w:t>
            </w:r>
          </w:p>
        </w:tc>
      </w:tr>
      <w:tr w:rsidR="00116054" w:rsidRPr="00F01379" w:rsidTr="00F01379">
        <w:tc>
          <w:tcPr>
            <w:tcW w:w="2419" w:type="dxa"/>
            <w:tcBorders>
              <w:top w:val="single" w:sz="6" w:space="0" w:color="auto"/>
              <w:left w:val="nil"/>
              <w:bottom w:val="single" w:sz="12" w:space="0" w:color="auto"/>
              <w:right w:val="nil"/>
            </w:tcBorders>
          </w:tcPr>
          <w:p w:rsidR="00116054" w:rsidRPr="00F01379" w:rsidRDefault="00116054" w:rsidP="00F01379">
            <w:pPr>
              <w:pStyle w:val="Tabletext"/>
              <w:rPr>
                <w:rFonts w:eastAsiaTheme="minorEastAsia"/>
                <w:b/>
                <w:bCs/>
                <w:lang w:eastAsia="en-AU"/>
              </w:rPr>
            </w:pPr>
            <w:r w:rsidRPr="00F01379">
              <w:rPr>
                <w:rFonts w:eastAsiaTheme="minorEastAsia"/>
                <w:b/>
                <w:bCs/>
                <w:lang w:eastAsia="en-AU"/>
              </w:rPr>
              <w:t>Net assets</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131</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135</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143</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145</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156</w:t>
            </w:r>
          </w:p>
        </w:tc>
        <w:tc>
          <w:tcPr>
            <w:tcW w:w="892" w:type="dxa"/>
            <w:tcBorders>
              <w:top w:val="nil"/>
              <w:left w:val="nil"/>
              <w:bottom w:val="single" w:sz="12" w:space="0" w:color="auto"/>
              <w:right w:val="nil"/>
            </w:tcBorders>
          </w:tcPr>
          <w:p w:rsidR="00116054" w:rsidRPr="00F01379" w:rsidRDefault="00116054" w:rsidP="00F01379">
            <w:pPr>
              <w:pStyle w:val="TableofFigures"/>
              <w:rPr>
                <w:rFonts w:eastAsiaTheme="minorEastAsia"/>
                <w:b/>
                <w:color w:val="000000"/>
                <w:lang w:eastAsia="en-AU"/>
              </w:rPr>
            </w:pPr>
            <w:r w:rsidRPr="00F01379">
              <w:rPr>
                <w:rFonts w:eastAsiaTheme="minorEastAsia"/>
                <w:b/>
                <w:color w:val="000000"/>
                <w:lang w:eastAsia="en-AU"/>
              </w:rPr>
              <w:t xml:space="preserve"> 159</w:t>
            </w:r>
          </w:p>
        </w:tc>
      </w:tr>
    </w:tbl>
    <w:p w:rsidR="00116054" w:rsidRPr="00D24DBC" w:rsidRDefault="00116054" w:rsidP="005F0CEC">
      <w:pPr>
        <w:rPr>
          <w:rFonts w:asciiTheme="minorHAnsi" w:hAnsiTheme="minorHAnsi" w:cstheme="minorHAnsi"/>
          <w:i/>
          <w:sz w:val="15"/>
          <w:szCs w:val="15"/>
        </w:rPr>
      </w:pPr>
      <w:r w:rsidRPr="00D24DBC">
        <w:rPr>
          <w:rFonts w:asciiTheme="minorHAnsi" w:hAnsiTheme="minorHAnsi" w:cstheme="minorHAnsi"/>
          <w:i/>
          <w:sz w:val="15"/>
          <w:szCs w:val="15"/>
        </w:rPr>
        <w:t>Source: Department of Treasury and Finance</w:t>
      </w:r>
    </w:p>
    <w:p w:rsidR="00116054" w:rsidRPr="00E92DB7" w:rsidRDefault="00116054" w:rsidP="00E92DB7">
      <w:pPr>
        <w:pStyle w:val="Notes"/>
      </w:pPr>
      <w:r w:rsidRPr="00E92DB7">
        <w:t>Notes:</w:t>
      </w:r>
    </w:p>
    <w:p w:rsidR="00116054" w:rsidRPr="00E92DB7" w:rsidRDefault="00116054" w:rsidP="00E92DB7">
      <w:pPr>
        <w:pStyle w:val="Notes"/>
      </w:pPr>
      <w:r w:rsidRPr="00E92DB7">
        <w:t xml:space="preserve">(a) </w:t>
      </w:r>
      <w:r>
        <w:tab/>
      </w:r>
      <w:r w:rsidRPr="00E92DB7">
        <w:t>Financial assets include cash and deposits, advances paid, investments, loans and placements, receivables, and investments accounted for using the equity method.</w:t>
      </w:r>
    </w:p>
    <w:p w:rsidR="00116054" w:rsidRDefault="00116054" w:rsidP="00E92DB7">
      <w:pPr>
        <w:pStyle w:val="Notes"/>
      </w:pPr>
      <w:r w:rsidRPr="00E92DB7">
        <w:t xml:space="preserve">(b) </w:t>
      </w:r>
      <w:r>
        <w:tab/>
      </w:r>
      <w:r w:rsidRPr="00E92DB7">
        <w:t>Non</w:t>
      </w:r>
      <w:r>
        <w:noBreakHyphen/>
      </w:r>
      <w:r w:rsidRPr="00E92DB7">
        <w:t>financial assets include inventories, non</w:t>
      </w:r>
      <w:r>
        <w:noBreakHyphen/>
      </w:r>
      <w:r w:rsidRPr="00E92DB7">
        <w:t>financial assets held for sale, land, buildings, infrastructure, plant and equipment, and other non</w:t>
      </w:r>
      <w:r>
        <w:noBreakHyphen/>
      </w:r>
      <w:r w:rsidRPr="00E92DB7">
        <w:t>financial assets.</w:t>
      </w:r>
    </w:p>
    <w:p w:rsidR="00116054" w:rsidRPr="00E92DB7" w:rsidRDefault="00116054" w:rsidP="004028EF"/>
    <w:p w:rsidR="00116054" w:rsidRDefault="00116054" w:rsidP="000542A7"/>
    <w:p w:rsidR="00116054" w:rsidRDefault="00116054" w:rsidP="00EC4C51">
      <w:pPr>
        <w:sectPr w:rsidR="00116054" w:rsidSect="006E2CEC">
          <w:footerReference w:type="even" r:id="rId45"/>
          <w:footerReference w:type="default" r:id="rId46"/>
          <w:type w:val="oddPage"/>
          <w:pgSz w:w="9979" w:h="14181" w:code="138"/>
          <w:pgMar w:top="1138" w:right="1138" w:bottom="1138" w:left="1138" w:header="720" w:footer="432" w:gutter="0"/>
          <w:cols w:space="708"/>
          <w:docGrid w:linePitch="360"/>
        </w:sectPr>
      </w:pPr>
    </w:p>
    <w:p w:rsidR="00116054" w:rsidRPr="002F7366" w:rsidRDefault="00116054" w:rsidP="002F7366">
      <w:pPr>
        <w:pStyle w:val="ChapterHeading"/>
      </w:pPr>
      <w:bookmarkStart w:id="107" w:name="_Toc418255156"/>
      <w:r w:rsidRPr="002F7366">
        <w:lastRenderedPageBreak/>
        <w:t xml:space="preserve">Appendix A – Sensitivity </w:t>
      </w:r>
      <w:r w:rsidRPr="00F0495D">
        <w:t>analysis</w:t>
      </w:r>
      <w:bookmarkEnd w:id="107"/>
      <w:r w:rsidRPr="00F0495D">
        <w:t xml:space="preserve"> </w:t>
      </w:r>
    </w:p>
    <w:p w:rsidR="00116054" w:rsidRDefault="00116054" w:rsidP="00F860CF">
      <w:r>
        <w:t xml:space="preserve">The </w:t>
      </w:r>
      <w:r>
        <w:rPr>
          <w:i/>
        </w:rPr>
        <w:t>2015</w:t>
      </w:r>
      <w:r>
        <w:rPr>
          <w:i/>
        </w:rPr>
        <w:noBreakHyphen/>
        <w:t>16 Budget</w:t>
      </w:r>
      <w:r>
        <w:t xml:space="preserve"> is predicated on macroeconomic forecasts and assumptions which are subject to variation. This section explores the impact of variations in these parameters on key fiscal aggregates of the general government sector.</w:t>
      </w:r>
    </w:p>
    <w:p w:rsidR="00116054" w:rsidRDefault="00116054" w:rsidP="0090358A">
      <w:r w:rsidRPr="00EA4217">
        <w:t xml:space="preserve">Two types of sensitivity analysis are presented. First, </w:t>
      </w:r>
      <w:r>
        <w:t>the fiscal impact of independent variations in economic variables is considered. This type of analysis could be useful, for example, in considering the impact of a forecast error in an individual economic parameter on the fiscal aggregates. Second, the simultaneous impact of variations in a number of economic variables is considered with reference to recent historical examples. The analysis attempts to capture some, though not all, of the interrelationships between economic variables. This provides a better understanding of the fiscal impact where the general economic environment is materially different from forecast.</w:t>
      </w:r>
    </w:p>
    <w:p w:rsidR="00116054" w:rsidRDefault="00116054" w:rsidP="00F860CF">
      <w:bookmarkStart w:id="108" w:name="BP2GSP3"/>
      <w:r w:rsidRPr="007B2462">
        <w:t>While sensitivity analysis provides a useful indication of the fiscal impact of variations in economic conditions</w:t>
      </w:r>
      <w:r>
        <w:fldChar w:fldCharType="begin"/>
      </w:r>
      <w:r>
        <w:instrText xml:space="preserve"> XE "</w:instrText>
      </w:r>
      <w:r w:rsidRPr="00750E38">
        <w:instrText>Economic conditions</w:instrText>
      </w:r>
      <w:r>
        <w:instrText xml:space="preserve">" </w:instrText>
      </w:r>
      <w:r>
        <w:fldChar w:fldCharType="end"/>
      </w:r>
      <w:r>
        <w:t>, care should be exercised in interpreting these results. The relationships between economic and fiscal aggregates are complex, and typically depend on the specific characteristics of the economic shock. For example, an asset price shock in the property market is likely to have a different fiscal impact to a sector</w:t>
      </w:r>
      <w:r>
        <w:noBreakHyphen/>
        <w:t>specific shock in say manufacturing, even if the overall impact on gross state product</w:t>
      </w:r>
      <w:r>
        <w:fldChar w:fldCharType="begin"/>
      </w:r>
      <w:r>
        <w:instrText xml:space="preserve"> XE "</w:instrText>
      </w:r>
      <w:r w:rsidRPr="007F4CA0">
        <w:instrText>Gross state product</w:instrText>
      </w:r>
      <w:r>
        <w:instrText xml:space="preserve">" </w:instrText>
      </w:r>
      <w:r>
        <w:fldChar w:fldCharType="end"/>
      </w:r>
      <w:r>
        <w:t xml:space="preserve"> (GSP) and employment is similar.</w:t>
      </w:r>
    </w:p>
    <w:p w:rsidR="00116054" w:rsidRDefault="00116054" w:rsidP="00F860CF">
      <w:pPr>
        <w:keepNext/>
        <w:spacing w:before="360"/>
        <w:outlineLvl w:val="0"/>
        <w:rPr>
          <w:rFonts w:ascii="Calibri" w:hAnsi="Calibri"/>
          <w:b/>
          <w:caps/>
          <w:sz w:val="26"/>
          <w:szCs w:val="22"/>
        </w:rPr>
      </w:pPr>
      <w:r>
        <w:rPr>
          <w:rFonts w:ascii="Calibri" w:hAnsi="Calibri"/>
          <w:b/>
          <w:caps/>
          <w:sz w:val="26"/>
          <w:szCs w:val="22"/>
        </w:rPr>
        <w:t>Sensitivity to independent variations in major economic parameters</w:t>
      </w:r>
    </w:p>
    <w:p w:rsidR="00116054" w:rsidRDefault="00116054" w:rsidP="00A67742">
      <w:r>
        <w:t>Table A.1</w:t>
      </w:r>
      <w:r w:rsidRPr="006D0251">
        <w:t xml:space="preserve"> </w:t>
      </w:r>
      <w:r>
        <w:t>presents the sensitivity of financial aggregates, if the levels of key economic parameters are 1 per cent above the forecast for each year of the budget and forward estimates period, holding all else constant. The impacts shown are broadly symmetrical. That is, the estimated fiscal impact would apply equally in the opposite direction if a 1 per cent decrease in each variable was considered.</w:t>
      </w:r>
    </w:p>
    <w:p w:rsidR="00116054" w:rsidRDefault="00116054">
      <w:pPr>
        <w:spacing w:after="0"/>
        <w:rPr>
          <w:rFonts w:ascii="Calibri" w:hAnsi="Calibri"/>
          <w:b/>
        </w:rPr>
      </w:pPr>
      <w:r>
        <w:br w:type="page"/>
      </w:r>
    </w:p>
    <w:p w:rsidR="00116054" w:rsidRDefault="00116054" w:rsidP="00CD66A9">
      <w:pPr>
        <w:pStyle w:val="Tableheading"/>
      </w:pPr>
      <w:bookmarkStart w:id="109" w:name="BP2NetDebt1"/>
      <w:r w:rsidRPr="006D0251">
        <w:lastRenderedPageBreak/>
        <w:t>Table A</w:t>
      </w:r>
      <w:r>
        <w:t>.</w:t>
      </w:r>
      <w:r w:rsidRPr="006D0251">
        <w:t>1</w:t>
      </w:r>
      <w:r>
        <w:t>:</w:t>
      </w:r>
      <w:r>
        <w:tab/>
      </w:r>
      <w:r w:rsidRPr="00FA77F3">
        <w:t xml:space="preserve">Sensitivity of key </w:t>
      </w:r>
      <w:r w:rsidRPr="002B36D5">
        <w:t>fiscal</w:t>
      </w:r>
      <w:r w:rsidRPr="00FA77F3">
        <w:t xml:space="preserve"> aggregates to selected economic indicators being 1</w:t>
      </w:r>
      <w:r>
        <w:t> per cent</w:t>
      </w:r>
      <w:r w:rsidRPr="00FA77F3">
        <w:t xml:space="preserve"> higher </w:t>
      </w:r>
      <w:r w:rsidRPr="00CD66A9">
        <w:t>than</w:t>
      </w:r>
      <w:r w:rsidRPr="00FA77F3">
        <w:t xml:space="preserve"> expected from 2014</w:t>
      </w:r>
      <w:r>
        <w:noBreakHyphen/>
      </w:r>
      <w:r w:rsidRPr="00FA77F3">
        <w:t>15</w:t>
      </w:r>
      <w:r w:rsidRPr="002B36D5">
        <w:rPr>
          <w:vertAlign w:val="superscript"/>
        </w:rPr>
        <w:t>(</w:t>
      </w:r>
      <w:r w:rsidRPr="000943E5">
        <w:rPr>
          <w:vertAlign w:val="superscript"/>
        </w:rPr>
        <w:t>a)(b)(c)(d)</w:t>
      </w:r>
      <w:r>
        <w:rPr>
          <w:vertAlign w:val="superscript"/>
        </w:rPr>
        <w:t>(e)</w:t>
      </w:r>
    </w:p>
    <w:p w:rsidR="00116054" w:rsidRPr="00F01379" w:rsidRDefault="00116054" w:rsidP="00307ED8">
      <w:pPr>
        <w:pStyle w:val="million"/>
        <w:rPr>
          <w:rFonts w:ascii="Times New Roman" w:hAnsi="Times New Roman"/>
          <w:i w:val="0"/>
          <w:sz w:val="20"/>
          <w:szCs w:val="20"/>
          <w:lang w:eastAsia="en-AU"/>
        </w:rPr>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116054" w:rsidRPr="00F01379" w:rsidTr="00307ED8">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116054" w:rsidRPr="00F01379" w:rsidRDefault="00116054" w:rsidP="00307ED8">
            <w:pPr>
              <w:pStyle w:val="Tabletext"/>
              <w:rPr>
                <w:rFonts w:eastAsiaTheme="minorEastAsia"/>
                <w:i/>
                <w:lang w:eastAsia="en-AU"/>
              </w:rPr>
            </w:pPr>
          </w:p>
        </w:tc>
        <w:tc>
          <w:tcPr>
            <w:tcW w:w="994" w:type="dxa"/>
            <w:tcBorders>
              <w:top w:val="single" w:sz="6" w:space="0" w:color="auto"/>
              <w:left w:val="nil"/>
              <w:bottom w:val="single" w:sz="6" w:space="0" w:color="auto"/>
              <w:right w:val="nil"/>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2015</w:t>
            </w:r>
            <w:r>
              <w:rPr>
                <w:rFonts w:eastAsiaTheme="minorEastAsia"/>
                <w:color w:val="FFFFFF"/>
                <w:lang w:eastAsia="en-AU"/>
              </w:rPr>
              <w:noBreakHyphen/>
            </w:r>
            <w:r w:rsidRPr="00F01379">
              <w:rPr>
                <w:rFonts w:eastAsiaTheme="minorEastAsia"/>
                <w:color w:val="FFFFFF"/>
                <w:lang w:eastAsia="en-AU"/>
              </w:rPr>
              <w:t>16 estimate</w:t>
            </w:r>
          </w:p>
        </w:tc>
        <w:tc>
          <w:tcPr>
            <w:tcW w:w="994" w:type="dxa"/>
            <w:tcBorders>
              <w:top w:val="single" w:sz="6" w:space="0" w:color="auto"/>
              <w:left w:val="nil"/>
              <w:bottom w:val="single" w:sz="6" w:space="0" w:color="auto"/>
              <w:right w:val="nil"/>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2016</w:t>
            </w:r>
            <w:r>
              <w:rPr>
                <w:rFonts w:eastAsiaTheme="minorEastAsia"/>
                <w:color w:val="FFFFFF"/>
                <w:lang w:eastAsia="en-AU"/>
              </w:rPr>
              <w:noBreakHyphen/>
            </w:r>
            <w:r w:rsidRPr="00F01379">
              <w:rPr>
                <w:rFonts w:eastAsiaTheme="minorEastAsia"/>
                <w:color w:val="FFFFFF"/>
                <w:lang w:eastAsia="en-AU"/>
              </w:rPr>
              <w:t>17 estimate</w:t>
            </w:r>
          </w:p>
        </w:tc>
        <w:tc>
          <w:tcPr>
            <w:tcW w:w="994" w:type="dxa"/>
            <w:tcBorders>
              <w:top w:val="single" w:sz="6" w:space="0" w:color="auto"/>
              <w:left w:val="nil"/>
              <w:bottom w:val="single" w:sz="6" w:space="0" w:color="auto"/>
              <w:right w:val="nil"/>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2017</w:t>
            </w:r>
            <w:r>
              <w:rPr>
                <w:rFonts w:eastAsiaTheme="minorEastAsia"/>
                <w:color w:val="FFFFFF"/>
                <w:lang w:eastAsia="en-AU"/>
              </w:rPr>
              <w:noBreakHyphen/>
            </w:r>
            <w:r w:rsidRPr="00F01379">
              <w:rPr>
                <w:rFonts w:eastAsiaTheme="minorEastAsia"/>
                <w:color w:val="FFFFFF"/>
                <w:lang w:eastAsia="en-AU"/>
              </w:rPr>
              <w:t>18 estimate</w:t>
            </w:r>
          </w:p>
        </w:tc>
        <w:tc>
          <w:tcPr>
            <w:tcW w:w="994" w:type="dxa"/>
            <w:tcBorders>
              <w:top w:val="single" w:sz="6" w:space="0" w:color="auto"/>
              <w:left w:val="nil"/>
              <w:bottom w:val="single" w:sz="6" w:space="0" w:color="auto"/>
              <w:right w:val="single" w:sz="6" w:space="0" w:color="auto"/>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2018</w:t>
            </w:r>
            <w:r>
              <w:rPr>
                <w:rFonts w:eastAsiaTheme="minorEastAsia"/>
                <w:color w:val="FFFFFF"/>
                <w:lang w:eastAsia="en-AU"/>
              </w:rPr>
              <w:noBreakHyphen/>
            </w:r>
            <w:r w:rsidRPr="00F01379">
              <w:rPr>
                <w:rFonts w:eastAsiaTheme="minorEastAsia"/>
                <w:color w:val="FFFFFF"/>
                <w:lang w:eastAsia="en-AU"/>
              </w:rPr>
              <w:t>19 estimate</w:t>
            </w:r>
          </w:p>
        </w:tc>
      </w:tr>
      <w:tr w:rsidR="00116054" w:rsidRPr="00F01379" w:rsidTr="00307ED8">
        <w:tc>
          <w:tcPr>
            <w:tcW w:w="3784" w:type="dxa"/>
            <w:tcBorders>
              <w:top w:val="single" w:sz="6" w:space="0" w:color="auto"/>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GSP</w:t>
            </w:r>
          </w:p>
        </w:tc>
        <w:tc>
          <w:tcPr>
            <w:tcW w:w="994" w:type="dxa"/>
            <w:tcBorders>
              <w:top w:val="single" w:sz="6" w:space="0" w:color="auto"/>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single" w:sz="6" w:space="0" w:color="auto"/>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single" w:sz="6" w:space="0" w:color="auto"/>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single" w:sz="6" w:space="0" w:color="auto"/>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160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169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180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196</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(18)</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153</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170</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189</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214</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(153)</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(323)</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(513)</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(727)</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 xml:space="preserve">Interest rates </w:t>
            </w:r>
            <w:r w:rsidRPr="00F01379">
              <w:rPr>
                <w:rFonts w:eastAsiaTheme="minorEastAsia" w:cs="Calibri"/>
                <w:b/>
                <w:bCs/>
                <w:vertAlign w:val="superscript"/>
                <w:lang w:eastAsia="en-AU"/>
              </w:rPr>
              <w:t>(f)</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227</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189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299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162</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82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106</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225</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107</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200</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56</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(225)</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(428)</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(730)</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(881)</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 xml:space="preserve">Consumer prices </w:t>
            </w:r>
            <w:r w:rsidRPr="00F01379">
              <w:rPr>
                <w:rFonts w:eastAsiaTheme="minorEastAsia" w:cs="Calibri"/>
                <w:b/>
                <w:bCs/>
                <w:vertAlign w:val="superscript"/>
                <w:lang w:eastAsia="en-AU"/>
              </w:rPr>
              <w:t>(g)</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219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297</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310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337</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71</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64</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50</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148</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226</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247</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286</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148</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226</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247</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287</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(148)</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(381)</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(635)</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(929)</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Employment</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62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75</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79</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(13)</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64</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78</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84</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92</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(64)</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(142)</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(226)</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(318)</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 xml:space="preserve">Average weekly earnings </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(34)</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(11)</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(44)</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21</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(11)</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(21)</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44</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23</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34</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55</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 xml:space="preserve">Enterprise bargaining agreements </w:t>
            </w:r>
            <w:r w:rsidRPr="00F01379">
              <w:rPr>
                <w:rFonts w:eastAsiaTheme="minorEastAsia" w:cs="Calibri"/>
                <w:b/>
                <w:bCs/>
                <w:vertAlign w:val="superscript"/>
                <w:lang w:eastAsia="en-AU"/>
              </w:rPr>
              <w:t>(h)</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31</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213</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258</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278</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299</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(183)</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(228)</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(247)</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(268)</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183</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397</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628</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881</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 xml:space="preserve">Domestic share prices </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7</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(11)</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 xml:space="preserve">Overseas share prices </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20</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12</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11</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23</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(10)</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(19)</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(40)</w:t>
            </w:r>
          </w:p>
        </w:tc>
      </w:tr>
    </w:tbl>
    <w:p w:rsidR="00116054" w:rsidRDefault="00116054" w:rsidP="00C94C4A">
      <w:pPr>
        <w:pStyle w:val="Tableheadingcontinued"/>
      </w:pPr>
      <w:r>
        <w:lastRenderedPageBreak/>
        <w:t>Table A.1:</w:t>
      </w:r>
      <w:r>
        <w:tab/>
        <w:t>Sensitivity of key fiscal aggregates to selected economic indicators being 1 per cent higher than expected from 2014</w:t>
      </w:r>
      <w:r>
        <w:noBreakHyphen/>
        <w:t xml:space="preserve">15 </w:t>
      </w:r>
      <w:r w:rsidRPr="00C94C4A">
        <w:rPr>
          <w:i/>
        </w:rPr>
        <w:t>(continued)</w:t>
      </w:r>
    </w:p>
    <w:p w:rsidR="00116054" w:rsidRDefault="00116054" w:rsidP="00C94C4A">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116054" w:rsidRPr="00F01379" w:rsidTr="008B1745">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116054" w:rsidRPr="00F01379" w:rsidRDefault="00116054" w:rsidP="008B1745">
            <w:pPr>
              <w:pStyle w:val="Tabletext"/>
              <w:rPr>
                <w:rFonts w:eastAsiaTheme="minorEastAsia"/>
                <w:i/>
                <w:lang w:eastAsia="en-AU"/>
              </w:rPr>
            </w:pPr>
          </w:p>
        </w:tc>
        <w:tc>
          <w:tcPr>
            <w:tcW w:w="994" w:type="dxa"/>
            <w:tcBorders>
              <w:top w:val="single" w:sz="6" w:space="0" w:color="auto"/>
              <w:left w:val="nil"/>
              <w:bottom w:val="single" w:sz="6" w:space="0" w:color="auto"/>
              <w:right w:val="nil"/>
            </w:tcBorders>
            <w:shd w:val="clear" w:color="000000" w:fill="000000"/>
          </w:tcPr>
          <w:p w:rsidR="00116054" w:rsidRPr="00F01379" w:rsidRDefault="00116054" w:rsidP="008B1745">
            <w:pPr>
              <w:pStyle w:val="Tabletextheading"/>
              <w:rPr>
                <w:rFonts w:eastAsiaTheme="minorEastAsia"/>
                <w:color w:val="FFFFFF"/>
                <w:lang w:eastAsia="en-AU"/>
              </w:rPr>
            </w:pPr>
            <w:r w:rsidRPr="00F01379">
              <w:rPr>
                <w:rFonts w:eastAsiaTheme="minorEastAsia"/>
                <w:color w:val="FFFFFF"/>
                <w:lang w:eastAsia="en-AU"/>
              </w:rPr>
              <w:t>2015</w:t>
            </w:r>
            <w:r>
              <w:rPr>
                <w:rFonts w:eastAsiaTheme="minorEastAsia"/>
                <w:color w:val="FFFFFF"/>
                <w:lang w:eastAsia="en-AU"/>
              </w:rPr>
              <w:noBreakHyphen/>
            </w:r>
            <w:r w:rsidRPr="00F01379">
              <w:rPr>
                <w:rFonts w:eastAsiaTheme="minorEastAsia"/>
                <w:color w:val="FFFFFF"/>
                <w:lang w:eastAsia="en-AU"/>
              </w:rPr>
              <w:t>16 estimate</w:t>
            </w:r>
          </w:p>
        </w:tc>
        <w:tc>
          <w:tcPr>
            <w:tcW w:w="994" w:type="dxa"/>
            <w:tcBorders>
              <w:top w:val="single" w:sz="6" w:space="0" w:color="auto"/>
              <w:left w:val="nil"/>
              <w:bottom w:val="single" w:sz="6" w:space="0" w:color="auto"/>
              <w:right w:val="nil"/>
            </w:tcBorders>
            <w:shd w:val="clear" w:color="000000" w:fill="000000"/>
          </w:tcPr>
          <w:p w:rsidR="00116054" w:rsidRPr="00F01379" w:rsidRDefault="00116054" w:rsidP="008B1745">
            <w:pPr>
              <w:pStyle w:val="Tabletextheading"/>
              <w:rPr>
                <w:rFonts w:eastAsiaTheme="minorEastAsia"/>
                <w:color w:val="FFFFFF"/>
                <w:lang w:eastAsia="en-AU"/>
              </w:rPr>
            </w:pPr>
            <w:r w:rsidRPr="00F01379">
              <w:rPr>
                <w:rFonts w:eastAsiaTheme="minorEastAsia"/>
                <w:color w:val="FFFFFF"/>
                <w:lang w:eastAsia="en-AU"/>
              </w:rPr>
              <w:t>2016</w:t>
            </w:r>
            <w:r>
              <w:rPr>
                <w:rFonts w:eastAsiaTheme="minorEastAsia"/>
                <w:color w:val="FFFFFF"/>
                <w:lang w:eastAsia="en-AU"/>
              </w:rPr>
              <w:noBreakHyphen/>
            </w:r>
            <w:r w:rsidRPr="00F01379">
              <w:rPr>
                <w:rFonts w:eastAsiaTheme="minorEastAsia"/>
                <w:color w:val="FFFFFF"/>
                <w:lang w:eastAsia="en-AU"/>
              </w:rPr>
              <w:t>17 estimate</w:t>
            </w:r>
          </w:p>
        </w:tc>
        <w:tc>
          <w:tcPr>
            <w:tcW w:w="994" w:type="dxa"/>
            <w:tcBorders>
              <w:top w:val="single" w:sz="6" w:space="0" w:color="auto"/>
              <w:left w:val="nil"/>
              <w:bottom w:val="single" w:sz="6" w:space="0" w:color="auto"/>
              <w:right w:val="nil"/>
            </w:tcBorders>
            <w:shd w:val="clear" w:color="000000" w:fill="000000"/>
          </w:tcPr>
          <w:p w:rsidR="00116054" w:rsidRPr="00F01379" w:rsidRDefault="00116054" w:rsidP="008B1745">
            <w:pPr>
              <w:pStyle w:val="Tabletextheading"/>
              <w:rPr>
                <w:rFonts w:eastAsiaTheme="minorEastAsia"/>
                <w:color w:val="FFFFFF"/>
                <w:lang w:eastAsia="en-AU"/>
              </w:rPr>
            </w:pPr>
            <w:r w:rsidRPr="00F01379">
              <w:rPr>
                <w:rFonts w:eastAsiaTheme="minorEastAsia"/>
                <w:color w:val="FFFFFF"/>
                <w:lang w:eastAsia="en-AU"/>
              </w:rPr>
              <w:t>2017</w:t>
            </w:r>
            <w:r>
              <w:rPr>
                <w:rFonts w:eastAsiaTheme="minorEastAsia"/>
                <w:color w:val="FFFFFF"/>
                <w:lang w:eastAsia="en-AU"/>
              </w:rPr>
              <w:noBreakHyphen/>
            </w:r>
            <w:r w:rsidRPr="00F01379">
              <w:rPr>
                <w:rFonts w:eastAsiaTheme="minorEastAsia"/>
                <w:color w:val="FFFFFF"/>
                <w:lang w:eastAsia="en-AU"/>
              </w:rPr>
              <w:t>18 estimate</w:t>
            </w:r>
          </w:p>
        </w:tc>
        <w:tc>
          <w:tcPr>
            <w:tcW w:w="994" w:type="dxa"/>
            <w:tcBorders>
              <w:top w:val="single" w:sz="6" w:space="0" w:color="auto"/>
              <w:left w:val="nil"/>
              <w:bottom w:val="single" w:sz="6" w:space="0" w:color="auto"/>
              <w:right w:val="single" w:sz="6" w:space="0" w:color="auto"/>
            </w:tcBorders>
            <w:shd w:val="clear" w:color="000000" w:fill="000000"/>
          </w:tcPr>
          <w:p w:rsidR="00116054" w:rsidRPr="00F01379" w:rsidRDefault="00116054" w:rsidP="008B1745">
            <w:pPr>
              <w:pStyle w:val="Tabletextheading"/>
              <w:rPr>
                <w:rFonts w:eastAsiaTheme="minorEastAsia"/>
                <w:color w:val="FFFFFF"/>
                <w:lang w:eastAsia="en-AU"/>
              </w:rPr>
            </w:pPr>
            <w:r w:rsidRPr="00F01379">
              <w:rPr>
                <w:rFonts w:eastAsiaTheme="minorEastAsia"/>
                <w:color w:val="FFFFFF"/>
                <w:lang w:eastAsia="en-AU"/>
              </w:rPr>
              <w:t>2018</w:t>
            </w:r>
            <w:r>
              <w:rPr>
                <w:rFonts w:eastAsiaTheme="minorEastAsia"/>
                <w:color w:val="FFFFFF"/>
                <w:lang w:eastAsia="en-AU"/>
              </w:rPr>
              <w:noBreakHyphen/>
            </w:r>
            <w:r w:rsidRPr="00F01379">
              <w:rPr>
                <w:rFonts w:eastAsiaTheme="minorEastAsia"/>
                <w:color w:val="FFFFFF"/>
                <w:lang w:eastAsia="en-AU"/>
              </w:rPr>
              <w:t>19 estimate</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Property prices</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60</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93</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93</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98</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(6)</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(11)</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(16)</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62</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99</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104</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113</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Other economic flows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4</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3</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64</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103</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108</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116</w:t>
            </w:r>
          </w:p>
        </w:tc>
      </w:tr>
      <w:tr w:rsidR="00116054" w:rsidRPr="00F01379" w:rsidTr="00307ED8">
        <w:tc>
          <w:tcPr>
            <w:tcW w:w="3784" w:type="dxa"/>
            <w:tcBorders>
              <w:top w:val="single" w:sz="6" w:space="0" w:color="auto"/>
              <w:left w:val="nil"/>
              <w:bottom w:val="single" w:sz="12"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(64)</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(167)</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(274)</w:t>
            </w:r>
          </w:p>
        </w:tc>
        <w:tc>
          <w:tcPr>
            <w:tcW w:w="994" w:type="dxa"/>
            <w:tcBorders>
              <w:top w:val="single" w:sz="6" w:space="0" w:color="auto"/>
              <w:left w:val="nil"/>
              <w:bottom w:val="single" w:sz="12"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(390)</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Property volumes</w:t>
            </w: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c>
          <w:tcPr>
            <w:tcW w:w="994" w:type="dxa"/>
            <w:tcBorders>
              <w:top w:val="nil"/>
              <w:left w:val="nil"/>
              <w:bottom w:val="nil"/>
              <w:right w:val="nil"/>
            </w:tcBorders>
          </w:tcPr>
          <w:p w:rsidR="00116054" w:rsidRPr="00F01379" w:rsidRDefault="00116054" w:rsidP="00307ED8">
            <w:pPr>
              <w:pStyle w:val="TableofFigures"/>
              <w:rPr>
                <w:rFonts w:eastAsiaTheme="minorEastAsia" w:cs="Calibri"/>
                <w:b/>
                <w:lang w:eastAsia="en-AU"/>
              </w:rPr>
            </w:pP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Income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52</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53</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53</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54</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rPr>
                <w:rFonts w:eastAsiaTheme="minorEastAsia" w:cs="Calibri"/>
                <w:lang w:eastAsia="en-AU"/>
              </w:rPr>
            </w:pPr>
            <w:r w:rsidRPr="00F01379">
              <w:rPr>
                <w:rFonts w:eastAsiaTheme="minorEastAsia" w:cs="Calibri"/>
                <w:lang w:eastAsia="en-AU"/>
              </w:rPr>
              <w:t>Expenses from transactions</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(4)</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(7)</w:t>
            </w:r>
          </w:p>
        </w:tc>
        <w:tc>
          <w:tcPr>
            <w:tcW w:w="994" w:type="dxa"/>
            <w:tcBorders>
              <w:top w:val="nil"/>
              <w:left w:val="nil"/>
              <w:bottom w:val="nil"/>
              <w:right w:val="nil"/>
            </w:tcBorders>
            <w:shd w:val="solid" w:color="FFFFFF" w:fill="auto"/>
          </w:tcPr>
          <w:p w:rsidR="00116054" w:rsidRPr="00F01379" w:rsidRDefault="00116054" w:rsidP="00307ED8">
            <w:pPr>
              <w:pStyle w:val="TableofFigures"/>
              <w:rPr>
                <w:rFonts w:eastAsiaTheme="minorEastAsia" w:cs="Calibri"/>
                <w:lang w:eastAsia="en-AU"/>
              </w:rPr>
            </w:pPr>
            <w:r w:rsidRPr="00F01379">
              <w:rPr>
                <w:rFonts w:eastAsiaTheme="minorEastAsia" w:cs="Calibri"/>
                <w:lang w:eastAsia="en-AU"/>
              </w:rPr>
              <w:t>(10)</w:t>
            </w:r>
          </w:p>
        </w:tc>
      </w:tr>
      <w:tr w:rsidR="00116054" w:rsidRPr="00F01379" w:rsidTr="00307ED8">
        <w:tc>
          <w:tcPr>
            <w:tcW w:w="3784" w:type="dxa"/>
            <w:tcBorders>
              <w:top w:val="single" w:sz="6" w:space="0" w:color="auto"/>
              <w:left w:val="nil"/>
              <w:bottom w:val="single" w:sz="6" w:space="0" w:color="auto"/>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53</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57</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60</w:t>
            </w:r>
          </w:p>
        </w:tc>
        <w:tc>
          <w:tcPr>
            <w:tcW w:w="994" w:type="dxa"/>
            <w:tcBorders>
              <w:top w:val="single" w:sz="6" w:space="0" w:color="auto"/>
              <w:left w:val="nil"/>
              <w:bottom w:val="single" w:sz="6" w:space="0" w:color="auto"/>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64</w:t>
            </w:r>
          </w:p>
        </w:tc>
      </w:tr>
      <w:tr w:rsidR="00116054" w:rsidRPr="00F01379" w:rsidTr="00307ED8">
        <w:tc>
          <w:tcPr>
            <w:tcW w:w="3784" w:type="dxa"/>
            <w:tcBorders>
              <w:top w:val="single" w:sz="6" w:space="0" w:color="auto"/>
              <w:left w:val="nil"/>
              <w:bottom w:val="single" w:sz="12" w:space="0" w:color="000000"/>
              <w:right w:val="nil"/>
            </w:tcBorders>
          </w:tcPr>
          <w:p w:rsidR="00116054" w:rsidRPr="00F01379" w:rsidRDefault="00116054" w:rsidP="00307ED8">
            <w:pPr>
              <w:pStyle w:val="Tabletext"/>
              <w:rPr>
                <w:rFonts w:eastAsiaTheme="minorEastAsia" w:cs="Calibri"/>
                <w:b/>
                <w:bCs/>
                <w:lang w:eastAsia="en-AU"/>
              </w:rPr>
            </w:pPr>
            <w:r w:rsidRPr="00F01379">
              <w:rPr>
                <w:rFonts w:eastAsiaTheme="minorEastAsia" w:cs="Calibri"/>
                <w:b/>
                <w:bCs/>
                <w:lang w:eastAsia="en-AU"/>
              </w:rPr>
              <w:t>Net debt</w:t>
            </w:r>
          </w:p>
        </w:tc>
        <w:tc>
          <w:tcPr>
            <w:tcW w:w="994" w:type="dxa"/>
            <w:tcBorders>
              <w:top w:val="single" w:sz="6" w:space="0" w:color="auto"/>
              <w:left w:val="nil"/>
              <w:bottom w:val="single" w:sz="12" w:space="0" w:color="000000"/>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(53)</w:t>
            </w:r>
          </w:p>
        </w:tc>
        <w:tc>
          <w:tcPr>
            <w:tcW w:w="994" w:type="dxa"/>
            <w:tcBorders>
              <w:top w:val="single" w:sz="6" w:space="0" w:color="auto"/>
              <w:left w:val="nil"/>
              <w:bottom w:val="single" w:sz="12" w:space="0" w:color="000000"/>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(110)</w:t>
            </w:r>
          </w:p>
        </w:tc>
        <w:tc>
          <w:tcPr>
            <w:tcW w:w="994" w:type="dxa"/>
            <w:tcBorders>
              <w:top w:val="single" w:sz="6" w:space="0" w:color="auto"/>
              <w:left w:val="nil"/>
              <w:bottom w:val="single" w:sz="12" w:space="0" w:color="000000"/>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(170)</w:t>
            </w:r>
          </w:p>
        </w:tc>
        <w:tc>
          <w:tcPr>
            <w:tcW w:w="994" w:type="dxa"/>
            <w:tcBorders>
              <w:top w:val="single" w:sz="6" w:space="0" w:color="auto"/>
              <w:left w:val="nil"/>
              <w:bottom w:val="single" w:sz="12" w:space="0" w:color="000000"/>
              <w:right w:val="nil"/>
            </w:tcBorders>
            <w:shd w:val="solid" w:color="FFFFFF" w:fill="auto"/>
          </w:tcPr>
          <w:p w:rsidR="00116054" w:rsidRPr="00F01379" w:rsidRDefault="00116054" w:rsidP="00307ED8">
            <w:pPr>
              <w:pStyle w:val="TableofFigures"/>
              <w:rPr>
                <w:rFonts w:eastAsiaTheme="minorEastAsia" w:cs="Calibri"/>
                <w:b/>
                <w:bCs/>
                <w:lang w:eastAsia="en-AU"/>
              </w:rPr>
            </w:pPr>
            <w:r w:rsidRPr="00F01379">
              <w:rPr>
                <w:rFonts w:eastAsiaTheme="minorEastAsia" w:cs="Calibri"/>
                <w:b/>
                <w:bCs/>
                <w:lang w:eastAsia="en-AU"/>
              </w:rPr>
              <w:t>(234)</w:t>
            </w:r>
          </w:p>
        </w:tc>
      </w:tr>
    </w:tbl>
    <w:p w:rsidR="00116054" w:rsidRPr="00B9553A" w:rsidRDefault="00116054" w:rsidP="00CC1153">
      <w:pPr>
        <w:pStyle w:val="Source"/>
      </w:pPr>
      <w:r w:rsidRPr="00B9553A">
        <w:t>Source: Department of Treasury and Finance</w:t>
      </w:r>
    </w:p>
    <w:p w:rsidR="00116054" w:rsidRPr="00B9553A" w:rsidRDefault="00116054" w:rsidP="00C24626">
      <w:pPr>
        <w:pStyle w:val="Notes"/>
      </w:pPr>
      <w:r w:rsidRPr="00B9553A">
        <w:t>Notes:</w:t>
      </w:r>
    </w:p>
    <w:p w:rsidR="00116054" w:rsidRPr="002E2B88" w:rsidRDefault="00116054" w:rsidP="00C24626">
      <w:pPr>
        <w:pStyle w:val="Notes"/>
      </w:pPr>
      <w:r>
        <w:t>(a)</w:t>
      </w:r>
      <w:r>
        <w:tab/>
        <w:t xml:space="preserve">For </w:t>
      </w:r>
      <w:r>
        <w:rPr>
          <w:i w:val="0"/>
        </w:rPr>
        <w:t>2015</w:t>
      </w:r>
      <w:r>
        <w:rPr>
          <w:i w:val="0"/>
        </w:rPr>
        <w:noBreakHyphen/>
        <w:t>16 Budget</w:t>
      </w:r>
      <w:r>
        <w:t>, the Department of Treasury and Finance has reviewed the methodology for generating the sensitivity analysis. This has resulted in identification of superannuation expense movements which flow through to net debt in more detail, consequently affecting the calculation of the net debt sensitivities to interest rates, consumer prices, enterprise bargaining agreements, domestic and overseas share prices, and property prices.</w:t>
      </w:r>
    </w:p>
    <w:p w:rsidR="00116054" w:rsidRPr="00B9553A" w:rsidRDefault="00116054" w:rsidP="00C24626">
      <w:pPr>
        <w:pStyle w:val="Notes"/>
      </w:pPr>
      <w:r w:rsidRPr="00B9553A">
        <w:t>(</w:t>
      </w:r>
      <w:r>
        <w:t>b</w:t>
      </w:r>
      <w:r w:rsidRPr="00B9553A">
        <w:t>)</w:t>
      </w:r>
      <w:r w:rsidRPr="00B9553A">
        <w:tab/>
        <w:t xml:space="preserve">Variations are applied to the economic variables in </w:t>
      </w:r>
      <w:r>
        <w:t>the budget year</w:t>
      </w:r>
      <w:r w:rsidRPr="00B9553A">
        <w:t>. For the out years it is assumed that variables</w:t>
      </w:r>
      <w:r>
        <w:t>’</w:t>
      </w:r>
      <w:r w:rsidRPr="00B9553A">
        <w:t xml:space="preserve"> growth rates match those under a no</w:t>
      </w:r>
      <w:r>
        <w:noBreakHyphen/>
      </w:r>
      <w:r w:rsidRPr="00B9553A">
        <w:t>variation scenario. This implies that economic variables are 1</w:t>
      </w:r>
      <w:r>
        <w:t> per cent</w:t>
      </w:r>
      <w:r w:rsidRPr="00B9553A">
        <w:t xml:space="preserve"> higher across the budget and forward years compared with a no</w:t>
      </w:r>
      <w:r>
        <w:noBreakHyphen/>
      </w:r>
      <w:r w:rsidRPr="00B9553A">
        <w:t>variation scenario.</w:t>
      </w:r>
    </w:p>
    <w:p w:rsidR="00116054" w:rsidRPr="00B9553A" w:rsidRDefault="00116054" w:rsidP="00C24626">
      <w:pPr>
        <w:pStyle w:val="Notes"/>
      </w:pPr>
      <w:r w:rsidRPr="00B9553A">
        <w:t>(</w:t>
      </w:r>
      <w:r>
        <w:t>c</w:t>
      </w:r>
      <w:r w:rsidRPr="00B9553A">
        <w:t>)</w:t>
      </w:r>
      <w:r w:rsidRPr="00B9553A">
        <w:tab/>
        <w:t xml:space="preserve">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w:t>
      </w:r>
      <w:r>
        <w:t>a gain</w:t>
      </w:r>
      <w:r w:rsidRPr="00B9553A">
        <w:t xml:space="preserve">. A positive number for the net result from transactions and net result denotes a higher surplus or lower deficit. A positive number for net debt denotes a </w:t>
      </w:r>
      <w:r>
        <w:t>higher</w:t>
      </w:r>
      <w:r w:rsidRPr="00B9553A">
        <w:t xml:space="preserve"> level of net debt in the relevant year compared with a no</w:t>
      </w:r>
      <w:r>
        <w:noBreakHyphen/>
      </w:r>
      <w:r w:rsidRPr="00B9553A">
        <w:t>variation scenario. Numbers may not balance due to rounding.</w:t>
      </w:r>
    </w:p>
    <w:p w:rsidR="00116054" w:rsidRPr="00B9553A" w:rsidRDefault="00116054" w:rsidP="00C24626">
      <w:pPr>
        <w:pStyle w:val="Notes"/>
      </w:pPr>
      <w:r w:rsidRPr="00B9553A">
        <w:t>(</w:t>
      </w:r>
      <w:r>
        <w:t>d</w:t>
      </w:r>
      <w:r w:rsidRPr="00B9553A">
        <w:t>)</w:t>
      </w:r>
      <w:r w:rsidRPr="00B9553A">
        <w:tab/>
        <w:t>The impact of a 1</w:t>
      </w:r>
      <w:r>
        <w:t> per cent</w:t>
      </w:r>
      <w:r w:rsidRPr="00B9553A">
        <w:t xml:space="preserve"> lower than expected outcome for an economic variable would, in most instances, simply be the opposite of the impact shown in the table.</w:t>
      </w:r>
    </w:p>
    <w:p w:rsidR="00116054" w:rsidRDefault="00116054" w:rsidP="00C24626">
      <w:pPr>
        <w:pStyle w:val="Notes"/>
      </w:pPr>
      <w:r w:rsidRPr="00B9553A">
        <w:t>(</w:t>
      </w:r>
      <w:r>
        <w:t>e</w:t>
      </w:r>
      <w:r w:rsidRPr="00B9553A">
        <w:t>)</w:t>
      </w:r>
      <w:r w:rsidRPr="00B9553A">
        <w:tab/>
        <w:t>Only reasonably quantifiable impacts have been included in the analysis.</w:t>
      </w:r>
    </w:p>
    <w:p w:rsidR="00116054" w:rsidRDefault="00116054" w:rsidP="00C24626">
      <w:pPr>
        <w:pStyle w:val="Notes"/>
      </w:pPr>
      <w:r w:rsidRPr="00B9553A">
        <w:t>(</w:t>
      </w:r>
      <w:r>
        <w:t>f</w:t>
      </w:r>
      <w:r w:rsidRPr="00B9553A">
        <w:t>)</w:t>
      </w:r>
      <w:r w:rsidRPr="00B9553A">
        <w:tab/>
        <w:t>Assumes interest rates are 1 percentage point higher across the entire term structure, i.e. short and long</w:t>
      </w:r>
      <w:r>
        <w:noBreakHyphen/>
      </w:r>
      <w:r w:rsidRPr="00B9553A">
        <w:t>term rates, over the budget and forward estimates period.</w:t>
      </w:r>
    </w:p>
    <w:p w:rsidR="00116054" w:rsidRPr="00B9553A" w:rsidRDefault="00116054" w:rsidP="00C24626">
      <w:pPr>
        <w:pStyle w:val="Notes"/>
      </w:pPr>
      <w:r w:rsidRPr="00B9553A">
        <w:t>(</w:t>
      </w:r>
      <w:r>
        <w:t>g</w:t>
      </w:r>
      <w:r w:rsidRPr="00B9553A">
        <w:t>)</w:t>
      </w:r>
      <w:r w:rsidRPr="00B9553A">
        <w:tab/>
        <w:t xml:space="preserve">Incorporates the impact of the departmental funding model arrangements. It is assumed that an increase in consumer prices within the budget year does not affect employee entitlements. </w:t>
      </w:r>
    </w:p>
    <w:p w:rsidR="00116054" w:rsidRPr="00B9553A" w:rsidRDefault="00116054" w:rsidP="00C24626">
      <w:pPr>
        <w:pStyle w:val="Notes"/>
      </w:pPr>
      <w:r w:rsidRPr="00B9553A">
        <w:t>(</w:t>
      </w:r>
      <w:r>
        <w:t>h</w:t>
      </w:r>
      <w:r w:rsidRPr="00B9553A">
        <w:t>)</w:t>
      </w:r>
      <w:r w:rsidRPr="00B9553A">
        <w:tab/>
        <w:t>Represents a 1</w:t>
      </w:r>
      <w:r>
        <w:t> per cent</w:t>
      </w:r>
      <w:r w:rsidRPr="00B9553A">
        <w:t xml:space="preserve"> increase in all government enterprise agreements.</w:t>
      </w:r>
    </w:p>
    <w:p w:rsidR="00116054" w:rsidRDefault="00116054" w:rsidP="00C24626">
      <w:pPr>
        <w:rPr>
          <w:i/>
          <w:sz w:val="15"/>
        </w:rPr>
      </w:pPr>
    </w:p>
    <w:p w:rsidR="00116054" w:rsidRDefault="00116054">
      <w:pPr>
        <w:spacing w:after="0"/>
        <w:rPr>
          <w:rFonts w:ascii="Calibri" w:hAnsi="Calibri"/>
          <w:b/>
          <w:sz w:val="26"/>
          <w:szCs w:val="22"/>
        </w:rPr>
      </w:pPr>
      <w:r>
        <w:br w:type="page"/>
      </w:r>
    </w:p>
    <w:p w:rsidR="00116054" w:rsidRDefault="00116054" w:rsidP="00CD66A9">
      <w:pPr>
        <w:pStyle w:val="Heading2"/>
      </w:pPr>
      <w:bookmarkStart w:id="110" w:name="BP2SensGSP"/>
      <w:r>
        <w:lastRenderedPageBreak/>
        <w:t>Sensitivity to gross state product</w:t>
      </w:r>
    </w:p>
    <w:p w:rsidR="00116054" w:rsidRDefault="00116054" w:rsidP="00B319B0">
      <w:r>
        <w:fldChar w:fldCharType="begin"/>
      </w:r>
      <w:r>
        <w:instrText xml:space="preserve"> XE "</w:instrText>
      </w:r>
      <w:r w:rsidRPr="007F4CA0">
        <w:instrText>Gross state product</w:instrText>
      </w:r>
      <w:r>
        <w:instrText xml:space="preserve">" </w:instrText>
      </w:r>
      <w:r>
        <w:fldChar w:fldCharType="end"/>
      </w:r>
      <w:r>
        <w:t>Higher than expected GSP is associated with higher household consumption</w:t>
      </w:r>
      <w:r>
        <w:fldChar w:fldCharType="begin"/>
      </w:r>
      <w:r>
        <w:instrText xml:space="preserve"> XE "</w:instrText>
      </w:r>
      <w:r w:rsidRPr="004F54EC">
        <w:instrText>Household consumption</w:instrText>
      </w:r>
      <w:r>
        <w:instrText xml:space="preserve">" </w:instrText>
      </w:r>
      <w:r>
        <w:fldChar w:fldCharType="end"/>
      </w:r>
      <w:r>
        <w:t>, leading to higher revenue from state taxes and goods and services tax</w:t>
      </w:r>
      <w:r>
        <w:fldChar w:fldCharType="begin"/>
      </w:r>
      <w:r>
        <w:instrText xml:space="preserve"> XE "</w:instrText>
      </w:r>
      <w:proofErr w:type="spellStart"/>
      <w:r>
        <w:instrText>Taxation:Goods</w:instrText>
      </w:r>
      <w:proofErr w:type="spellEnd"/>
      <w:r>
        <w:instrText xml:space="preserve"> and services tax" </w:instrText>
      </w:r>
      <w:r>
        <w:fldChar w:fldCharType="end"/>
      </w:r>
      <w:r>
        <w:t xml:space="preserve"> (GST). This increases the net result from transactions and reduces net debt. As net debt is a stock variable, the impacts in each year accumulate over the forward estimates.</w:t>
      </w:r>
    </w:p>
    <w:p w:rsidR="00116054" w:rsidRPr="0074244E" w:rsidRDefault="00116054" w:rsidP="00281592">
      <w:r w:rsidRPr="00D07A2E">
        <w:t xml:space="preserve">Based on </w:t>
      </w:r>
      <w:r>
        <w:t>Table A.1</w:t>
      </w:r>
      <w:r w:rsidRPr="00D07A2E">
        <w:t xml:space="preserve">, if GSP was </w:t>
      </w:r>
      <w:r>
        <w:t>1 per cent</w:t>
      </w:r>
      <w:r w:rsidRPr="00D07A2E">
        <w:t xml:space="preserve"> higher than forecast in 2015</w:t>
      </w:r>
      <w:r>
        <w:noBreakHyphen/>
      </w:r>
      <w:r w:rsidRPr="00D07A2E">
        <w:t xml:space="preserve">16, the net result from transactions </w:t>
      </w:r>
      <w:r>
        <w:t xml:space="preserve">would increase </w:t>
      </w:r>
      <w:r w:rsidRPr="00D07A2E">
        <w:t>by $</w:t>
      </w:r>
      <w:r>
        <w:t xml:space="preserve">153 million. An increase in the net result would </w:t>
      </w:r>
      <w:r w:rsidRPr="00D07A2E">
        <w:t xml:space="preserve">lower net debt by </w:t>
      </w:r>
      <w:r>
        <w:t>the same amount</w:t>
      </w:r>
      <w:r w:rsidRPr="00D07A2E">
        <w:t>.</w:t>
      </w:r>
      <w:r w:rsidRPr="00000304">
        <w:t xml:space="preserve"> </w:t>
      </w:r>
      <w:r w:rsidRPr="00D07A2E">
        <w:t xml:space="preserve">Over the budget and forward estimates period, the </w:t>
      </w:r>
      <w:r>
        <w:t xml:space="preserve">increased surpluses </w:t>
      </w:r>
      <w:r w:rsidRPr="00D07A2E">
        <w:t xml:space="preserve">would reduce the </w:t>
      </w:r>
      <w:r>
        <w:t>stock of net debt by $727 million.</w:t>
      </w:r>
    </w:p>
    <w:p w:rsidR="00116054" w:rsidRDefault="00116054" w:rsidP="00001CC4">
      <w:pPr>
        <w:pStyle w:val="Tableheading"/>
      </w:pPr>
      <w:r>
        <w:t>Chart A.1:</w:t>
      </w:r>
      <w:r>
        <w:tab/>
        <w:t xml:space="preserve">Sensitivity of key fiscal aggregates to GSP being 1 per cent </w:t>
      </w:r>
      <w:r w:rsidRPr="006D0251">
        <w:t xml:space="preserve">higher </w:t>
      </w:r>
      <w:r>
        <w:t>than expected from 2015</w:t>
      </w:r>
      <w:r>
        <w:noBreakHyphen/>
        <w:t>16</w:t>
      </w:r>
      <w:r w:rsidRPr="00C26C96">
        <w:rPr>
          <w:vertAlign w:val="superscript"/>
        </w:rPr>
        <w:t>(a)</w:t>
      </w:r>
    </w:p>
    <w:p w:rsidR="00116054" w:rsidRDefault="00CC5D46" w:rsidP="00532765">
      <w:pPr>
        <w:pStyle w:val="Chartpara"/>
      </w:pPr>
      <w:r>
        <w:pict>
          <v:shape id="_x0000_i1047" type="#_x0000_t75" style="width:382.05pt;height:274.55pt">
            <v:imagedata r:id="rId47" o:title=""/>
          </v:shape>
        </w:pict>
      </w:r>
    </w:p>
    <w:p w:rsidR="00116054" w:rsidRDefault="00116054" w:rsidP="00532765">
      <w:pPr>
        <w:pStyle w:val="Source"/>
        <w:rPr>
          <w:rStyle w:val="SourceChar"/>
          <w:i/>
        </w:rPr>
      </w:pPr>
      <w:r w:rsidRPr="00532765">
        <w:rPr>
          <w:rStyle w:val="SourceChar"/>
          <w:i/>
        </w:rPr>
        <w:t>Source: Department of Treasury and Finance</w:t>
      </w:r>
    </w:p>
    <w:p w:rsidR="00116054" w:rsidRDefault="00116054" w:rsidP="00C26C96">
      <w:pPr>
        <w:pStyle w:val="Notes"/>
      </w:pPr>
      <w:r>
        <w:t>Note:</w:t>
      </w:r>
    </w:p>
    <w:p w:rsidR="00116054" w:rsidRDefault="00116054" w:rsidP="00C26C96">
      <w:pPr>
        <w:pStyle w:val="Notes"/>
      </w:pPr>
      <w:r>
        <w:t>(a)</w:t>
      </w:r>
      <w:r>
        <w:tab/>
        <w:t>See footnotes for Table A.1 for detailed description of estimates.</w:t>
      </w:r>
      <w:r>
        <w:fldChar w:fldCharType="begin"/>
      </w:r>
      <w:r>
        <w:instrText xml:space="preserve"> XE "</w:instrText>
      </w:r>
      <w:proofErr w:type="spellStart"/>
      <w:r w:rsidRPr="00CD6248">
        <w:instrText>Debt:Net</w:instrText>
      </w:r>
      <w:proofErr w:type="spellEnd"/>
      <w:r w:rsidRPr="00CD6248">
        <w:instrText xml:space="preserve"> debt</w:instrText>
      </w:r>
      <w:r>
        <w:instrText xml:space="preserve">" \r "BP2NetDebt1" </w:instrText>
      </w:r>
      <w:r>
        <w:fldChar w:fldCharType="end"/>
      </w:r>
      <w:r>
        <w:fldChar w:fldCharType="begin"/>
      </w:r>
      <w:r>
        <w:instrText xml:space="preserve"> XE "</w:instrText>
      </w:r>
      <w:r w:rsidRPr="00AE26F4">
        <w:rPr>
          <w:lang w:val="en-US"/>
        </w:rPr>
        <w:instrText xml:space="preserve">Sensitivity </w:instrText>
      </w:r>
      <w:proofErr w:type="spellStart"/>
      <w:r w:rsidRPr="00AE26F4">
        <w:rPr>
          <w:lang w:val="en-US"/>
        </w:rPr>
        <w:instrText>analysis:Gross</w:instrText>
      </w:r>
      <w:proofErr w:type="spellEnd"/>
      <w:r w:rsidRPr="00AE26F4">
        <w:rPr>
          <w:lang w:val="en-US"/>
        </w:rPr>
        <w:instrText xml:space="preserve"> state product</w:instrText>
      </w:r>
      <w:r>
        <w:instrText xml:space="preserve">" \r "BP2GSP3" </w:instrText>
      </w:r>
      <w:r>
        <w:fldChar w:fldCharType="end"/>
      </w:r>
    </w:p>
    <w:bookmarkEnd w:id="108"/>
    <w:bookmarkEnd w:id="109"/>
    <w:bookmarkEnd w:id="110"/>
    <w:p w:rsidR="00116054" w:rsidRPr="00C26C96" w:rsidRDefault="00116054" w:rsidP="00C26C96">
      <w:pPr>
        <w:pStyle w:val="Notes"/>
      </w:pPr>
    </w:p>
    <w:p w:rsidR="00116054" w:rsidRDefault="00116054">
      <w:pPr>
        <w:spacing w:after="0"/>
        <w:rPr>
          <w:rFonts w:ascii="Calibri" w:hAnsi="Calibri"/>
          <w:b/>
          <w:kern w:val="28"/>
          <w:sz w:val="26"/>
          <w:szCs w:val="22"/>
        </w:rPr>
      </w:pPr>
      <w:r>
        <w:rPr>
          <w:rFonts w:ascii="Calibri" w:hAnsi="Calibri"/>
          <w:b/>
          <w:kern w:val="28"/>
          <w:sz w:val="26"/>
          <w:szCs w:val="22"/>
        </w:rPr>
        <w:br w:type="page"/>
      </w:r>
    </w:p>
    <w:p w:rsidR="00116054" w:rsidRDefault="00116054" w:rsidP="00CD66A9">
      <w:pPr>
        <w:pStyle w:val="Heading2"/>
      </w:pPr>
      <w:bookmarkStart w:id="111" w:name="BP2SensIntRates"/>
      <w:r>
        <w:lastRenderedPageBreak/>
        <w:t>Sensitivity to interest rates</w:t>
      </w:r>
    </w:p>
    <w:bookmarkStart w:id="112" w:name="BP2AppAInsAgencies"/>
    <w:p w:rsidR="00116054" w:rsidRDefault="00116054" w:rsidP="002358A1">
      <w:r>
        <w:fldChar w:fldCharType="begin"/>
      </w:r>
      <w:r>
        <w:instrText xml:space="preserve"> XE "Sensitivity </w:instrText>
      </w:r>
      <w:proofErr w:type="spellStart"/>
      <w:r>
        <w:instrText>analysis:Interest</w:instrText>
      </w:r>
      <w:proofErr w:type="spellEnd"/>
      <w:r>
        <w:instrText xml:space="preserve"> rates" </w:instrText>
      </w:r>
      <w:r>
        <w:fldChar w:fldCharType="end"/>
      </w:r>
      <w:r w:rsidRPr="002358A1">
        <w:t xml:space="preserve">An increase in interest rates results in a </w:t>
      </w:r>
      <w:r>
        <w:t xml:space="preserve">gain on </w:t>
      </w:r>
      <w:r w:rsidRPr="002358A1">
        <w:t xml:space="preserve">the valuation of insurance liabilities of the </w:t>
      </w:r>
      <w:r>
        <w:t>state</w:t>
      </w:r>
      <w:r>
        <w:noBreakHyphen/>
        <w:t>owned insurance agencies</w:t>
      </w:r>
      <w:r>
        <w:fldChar w:fldCharType="begin"/>
      </w:r>
      <w:r>
        <w:instrText xml:space="preserve"> XE "</w:instrText>
      </w:r>
      <w:r w:rsidRPr="009220D3">
        <w:instrText>Public financial corporations</w:instrText>
      </w:r>
      <w:r>
        <w:instrText xml:space="preserve">" </w:instrText>
      </w:r>
      <w:r>
        <w:fldChar w:fldCharType="end"/>
      </w:r>
      <w:r w:rsidRPr="002358A1">
        <w:t>, partially offset by a loss on the valuation of investment assets.</w:t>
      </w:r>
      <w:r>
        <w:t xml:space="preserve"> </w:t>
      </w:r>
    </w:p>
    <w:p w:rsidR="00116054" w:rsidRDefault="00116054" w:rsidP="002358A1">
      <w:r>
        <w:t xml:space="preserve">As </w:t>
      </w:r>
      <w:r w:rsidRPr="00B74761">
        <w:t>dividends of the State</w:t>
      </w:r>
      <w:r>
        <w:t>’</w:t>
      </w:r>
      <w:r w:rsidRPr="00B74761">
        <w:t>s insurance agencies are based on performance from insurance operations, which excludes the initial impact of discount rate movements</w:t>
      </w:r>
      <w:r>
        <w:t xml:space="preserve">, the increase in interest rates will have little direct impact on dividends in the budget year. As income tax equivalents (ITEs) of the insurance agencies </w:t>
      </w:r>
      <w:r w:rsidRPr="002358A1">
        <w:t>are assessed on profit before tax</w:t>
      </w:r>
      <w:r>
        <w:t xml:space="preserve"> which includes the impact of interest rates on liability and asset values, an increase in interest rates will increase ITEs. </w:t>
      </w:r>
    </w:p>
    <w:p w:rsidR="00116054" w:rsidRDefault="00116054" w:rsidP="009155BC">
      <w:bookmarkStart w:id="113" w:name="BP2AppASuperExpense"/>
      <w:r>
        <w:t>Higher borrowing costs lead to reduced net results of public non</w:t>
      </w:r>
      <w:r>
        <w:noBreakHyphen/>
        <w:t xml:space="preserve">financial corporations, lowering dividends and ITEs payable to the State. </w:t>
      </w:r>
    </w:p>
    <w:p w:rsidR="00116054" w:rsidRDefault="00116054" w:rsidP="009155BC">
      <w:r>
        <w:t>An increase in interest rates also increases the superannuation expense and borrowing cost of the general government sector over the out years.</w:t>
      </w:r>
    </w:p>
    <w:p w:rsidR="00116054" w:rsidRDefault="00116054" w:rsidP="009155BC">
      <w:r>
        <w:t>The combined effect of these influences produces the profile shown in Chart A.2.</w:t>
      </w:r>
    </w:p>
    <w:p w:rsidR="00116054" w:rsidRPr="00001CC4" w:rsidRDefault="00116054" w:rsidP="00CD66A9">
      <w:pPr>
        <w:pStyle w:val="Chartheading"/>
      </w:pPr>
      <w:r>
        <w:t>Chart A.2</w:t>
      </w:r>
      <w:r w:rsidRPr="00001CC4">
        <w:t>:</w:t>
      </w:r>
      <w:r w:rsidRPr="00001CC4">
        <w:tab/>
        <w:t xml:space="preserve">Sensitivity of key fiscal aggregates to </w:t>
      </w:r>
      <w:r>
        <w:t xml:space="preserve">interest rates </w:t>
      </w:r>
      <w:r w:rsidRPr="00001CC4">
        <w:t>being 1</w:t>
      </w:r>
      <w:r>
        <w:t> per cent</w:t>
      </w:r>
      <w:r w:rsidRPr="00001CC4">
        <w:t xml:space="preserve"> higher than expected from 2015</w:t>
      </w:r>
      <w:r>
        <w:noBreakHyphen/>
      </w:r>
      <w:r w:rsidRPr="00001CC4">
        <w:t>16</w:t>
      </w:r>
      <w:r w:rsidRPr="00C26C96">
        <w:rPr>
          <w:vertAlign w:val="superscript"/>
        </w:rPr>
        <w:t>(a)</w:t>
      </w:r>
    </w:p>
    <w:p w:rsidR="00116054" w:rsidRDefault="00CC5D46" w:rsidP="00F1692B">
      <w:pPr>
        <w:pStyle w:val="Chartpara"/>
      </w:pPr>
      <w:r>
        <w:pict>
          <v:shape id="_x0000_i1048" type="#_x0000_t75" style="width:384.2pt;height:274.55pt">
            <v:imagedata r:id="rId48" o:title=""/>
          </v:shape>
        </w:pict>
      </w:r>
    </w:p>
    <w:p w:rsidR="00116054" w:rsidRDefault="00116054" w:rsidP="00F1692B">
      <w:pPr>
        <w:rPr>
          <w:rStyle w:val="SourceChar"/>
        </w:rPr>
      </w:pPr>
      <w:r w:rsidRPr="00994E30">
        <w:rPr>
          <w:rStyle w:val="SourceChar"/>
        </w:rPr>
        <w:t xml:space="preserve">Source: Department of Treasury and </w:t>
      </w:r>
      <w:r w:rsidRPr="007A4BAF">
        <w:rPr>
          <w:rStyle w:val="SourceChar"/>
        </w:rPr>
        <w:t>Finance</w:t>
      </w:r>
    </w:p>
    <w:p w:rsidR="00116054" w:rsidRDefault="00116054" w:rsidP="00C26C96">
      <w:pPr>
        <w:pStyle w:val="Notes"/>
      </w:pPr>
      <w:r>
        <w:t>Note:</w:t>
      </w:r>
    </w:p>
    <w:p w:rsidR="00116054" w:rsidRDefault="00116054" w:rsidP="00C26C96">
      <w:pPr>
        <w:pStyle w:val="Notes"/>
      </w:pPr>
      <w:r>
        <w:t>(a)</w:t>
      </w:r>
      <w:r>
        <w:tab/>
        <w:t>See footnotes for Table A.1 for detailed description of estimates.</w:t>
      </w:r>
      <w:r>
        <w:fldChar w:fldCharType="begin"/>
      </w:r>
      <w:r>
        <w:instrText xml:space="preserve"> XE "</w:instrText>
      </w:r>
      <w:r w:rsidRPr="00990EB9">
        <w:instrText>Sensitivity</w:instrText>
      </w:r>
      <w:r>
        <w:instrText xml:space="preserve"> analysis</w:instrText>
      </w:r>
      <w:r w:rsidRPr="00990EB9">
        <w:instrText>:</w:instrText>
      </w:r>
      <w:r w:rsidRPr="00990EB9">
        <w:rPr>
          <w:lang w:val="en-US"/>
        </w:rPr>
        <w:instrText>Interest rates</w:instrText>
      </w:r>
      <w:r>
        <w:instrText xml:space="preserve">" \r "BP2SensIntRates" </w:instrText>
      </w:r>
      <w:r>
        <w:fldChar w:fldCharType="end"/>
      </w:r>
    </w:p>
    <w:bookmarkEnd w:id="111"/>
    <w:p w:rsidR="00116054" w:rsidRDefault="00116054">
      <w:pPr>
        <w:spacing w:after="0"/>
        <w:rPr>
          <w:rFonts w:ascii="Calibri" w:hAnsi="Calibri"/>
          <w:b/>
          <w:kern w:val="28"/>
          <w:sz w:val="26"/>
          <w:szCs w:val="22"/>
        </w:rPr>
      </w:pPr>
      <w:r>
        <w:rPr>
          <w:rFonts w:ascii="Calibri" w:hAnsi="Calibri"/>
          <w:b/>
          <w:kern w:val="28"/>
          <w:sz w:val="26"/>
          <w:szCs w:val="22"/>
        </w:rPr>
        <w:br w:type="page"/>
      </w:r>
    </w:p>
    <w:p w:rsidR="00116054" w:rsidRDefault="00116054" w:rsidP="009A4836">
      <w:pPr>
        <w:pStyle w:val="Heading2"/>
      </w:pPr>
      <w:bookmarkStart w:id="114" w:name="BP2SensConsPrice"/>
      <w:bookmarkStart w:id="115" w:name="BP2NetDebt2"/>
      <w:r>
        <w:lastRenderedPageBreak/>
        <w:t>Sensitivity to consumer prices</w:t>
      </w:r>
    </w:p>
    <w:bookmarkStart w:id="116" w:name="BP2TaxRevenue"/>
    <w:p w:rsidR="00116054" w:rsidRPr="008A5D8E" w:rsidRDefault="00116054" w:rsidP="00F1692B">
      <w:pPr>
        <w:rPr>
          <w:color w:val="000000" w:themeColor="text1"/>
        </w:rPr>
      </w:pPr>
      <w:r>
        <w:fldChar w:fldCharType="begin"/>
      </w:r>
      <w:r>
        <w:instrText xml:space="preserve"> XE "Sensitivity </w:instrText>
      </w:r>
      <w:proofErr w:type="spellStart"/>
      <w:r>
        <w:instrText>analysis:Consumer</w:instrText>
      </w:r>
      <w:proofErr w:type="spellEnd"/>
      <w:r>
        <w:instrText xml:space="preserve"> prices" </w:instrText>
      </w:r>
      <w:r>
        <w:fldChar w:fldCharType="end"/>
      </w:r>
      <w:r>
        <w:t>Higher consumer prices lead to higher taxation revenue, as the nominal values of tax bases rise. Commonwealth</w:t>
      </w:r>
      <w:r>
        <w:noBreakHyphen/>
        <w:t>sourced revenue also rises due to indexation. Dividends and ITEs from the State’s insurance agencies are reduced, mainly due to higher claims expenses.</w:t>
      </w:r>
    </w:p>
    <w:p w:rsidR="00116054" w:rsidRDefault="00116054" w:rsidP="00F1692B">
      <w:r>
        <w:t>Government expenses are affected through the higher cost of supplies and services and some increases in outlays on grants and transfers. Reflecting the operation of departmental funding arrangements, the impact of higher prices is limited as only a portion of department funding is automatically indexed to inflation</w:t>
      </w:r>
      <w:r>
        <w:fldChar w:fldCharType="begin"/>
      </w:r>
      <w:r>
        <w:instrText xml:space="preserve"> XE "</w:instrText>
      </w:r>
      <w:r w:rsidRPr="007B17C2">
        <w:instrText>Inflation</w:instrText>
      </w:r>
      <w:r>
        <w:instrText xml:space="preserve">" </w:instrText>
      </w:r>
      <w:r>
        <w:fldChar w:fldCharType="end"/>
      </w:r>
      <w:r>
        <w:t>. An increase in consumer prices also increases the superannuation expense in the out years.</w:t>
      </w:r>
    </w:p>
    <w:p w:rsidR="00116054" w:rsidRDefault="00116054" w:rsidP="00F1692B">
      <w:r>
        <w:t>Overall, there is a positive impact on the net result from transactions and a cumulative reduction in net debt over the budget and forward estimates.</w:t>
      </w:r>
      <w:r w:rsidRPr="009E1577">
        <w:t xml:space="preserve"> </w:t>
      </w:r>
      <w:r>
        <w:fldChar w:fldCharType="begin"/>
      </w:r>
      <w:r>
        <w:instrText xml:space="preserve"> XE "</w:instrText>
      </w:r>
      <w:proofErr w:type="spellStart"/>
      <w:r w:rsidRPr="007853F6">
        <w:instrText>Superannuation:Expense</w:instrText>
      </w:r>
      <w:proofErr w:type="spellEnd"/>
      <w:r>
        <w:instrText xml:space="preserve">" \r "BP2AppASuperExpense" </w:instrText>
      </w:r>
      <w:r>
        <w:fldChar w:fldCharType="end"/>
      </w:r>
      <w:r>
        <w:fldChar w:fldCharType="begin"/>
      </w:r>
      <w:r>
        <w:instrText xml:space="preserve"> XE "</w:instrText>
      </w:r>
      <w:proofErr w:type="spellStart"/>
      <w:r w:rsidRPr="00603966">
        <w:instrText>Insurance:Agencies</w:instrText>
      </w:r>
      <w:proofErr w:type="spellEnd"/>
      <w:r>
        <w:instrText xml:space="preserve">" \r "BP2AppAInsAgencies" </w:instrText>
      </w:r>
      <w:r>
        <w:fldChar w:fldCharType="end"/>
      </w:r>
    </w:p>
    <w:bookmarkEnd w:id="112"/>
    <w:bookmarkEnd w:id="113"/>
    <w:p w:rsidR="00116054" w:rsidRPr="00C26C96" w:rsidRDefault="00116054" w:rsidP="00CD66A9">
      <w:pPr>
        <w:pStyle w:val="Chartheading"/>
        <w:rPr>
          <w:vertAlign w:val="superscript"/>
        </w:rPr>
      </w:pPr>
      <w:r>
        <w:t>Chart A.3:</w:t>
      </w:r>
      <w:r>
        <w:tab/>
        <w:t xml:space="preserve">Sensitivity of key fiscal aggregates to consumer prices being 1 per cent </w:t>
      </w:r>
      <w:r w:rsidRPr="00412AAF">
        <w:t xml:space="preserve">higher </w:t>
      </w:r>
      <w:r>
        <w:t>than expected from 2015</w:t>
      </w:r>
      <w:r>
        <w:noBreakHyphen/>
        <w:t>16</w:t>
      </w:r>
      <w:r>
        <w:rPr>
          <w:vertAlign w:val="superscript"/>
        </w:rPr>
        <w:t>(a)</w:t>
      </w:r>
    </w:p>
    <w:p w:rsidR="00116054" w:rsidRDefault="00CC5D46" w:rsidP="00F1692B">
      <w:pPr>
        <w:pStyle w:val="Chartpara"/>
      </w:pPr>
      <w:r>
        <w:pict>
          <v:shape id="_x0000_i1049" type="#_x0000_t75" style="width:379.35pt;height:275.1pt">
            <v:imagedata r:id="rId49" o:title=""/>
          </v:shape>
        </w:pict>
      </w:r>
    </w:p>
    <w:p w:rsidR="00116054" w:rsidRDefault="00116054" w:rsidP="00C26C96">
      <w:pPr>
        <w:pStyle w:val="Source"/>
        <w:rPr>
          <w:rStyle w:val="SourceChar"/>
          <w:i/>
        </w:rPr>
      </w:pPr>
      <w:r w:rsidRPr="00532765">
        <w:rPr>
          <w:rStyle w:val="SourceChar"/>
          <w:i/>
        </w:rPr>
        <w:t>Source: Department of Treasury and Finance</w:t>
      </w:r>
    </w:p>
    <w:p w:rsidR="00116054" w:rsidRDefault="00116054" w:rsidP="00C26C96">
      <w:pPr>
        <w:pStyle w:val="Notes"/>
      </w:pPr>
      <w:r>
        <w:t>Note:</w:t>
      </w:r>
    </w:p>
    <w:p w:rsidR="00116054" w:rsidRDefault="00116054" w:rsidP="00C26C96">
      <w:pPr>
        <w:pStyle w:val="Notes"/>
      </w:pPr>
      <w:r>
        <w:t>(a)</w:t>
      </w:r>
      <w:r>
        <w:tab/>
        <w:t>See footnotes for Table A.1 for detailed description of estimates.</w:t>
      </w:r>
      <w:r>
        <w:fldChar w:fldCharType="begin"/>
      </w:r>
      <w:r>
        <w:instrText xml:space="preserve"> XE "</w:instrText>
      </w:r>
      <w:r w:rsidRPr="00BB4D18">
        <w:instrText>Sensitivity</w:instrText>
      </w:r>
      <w:r>
        <w:instrText xml:space="preserve"> </w:instrText>
      </w:r>
      <w:proofErr w:type="spellStart"/>
      <w:r>
        <w:instrText>analysis</w:instrText>
      </w:r>
      <w:r w:rsidRPr="00BB4D18">
        <w:instrText>:Consumer</w:instrText>
      </w:r>
      <w:proofErr w:type="spellEnd"/>
      <w:r w:rsidRPr="00BB4D18">
        <w:instrText xml:space="preserve"> prices</w:instrText>
      </w:r>
      <w:r>
        <w:instrText xml:space="preserve">" \r "BP2SensConsPrice" </w:instrText>
      </w:r>
      <w:r>
        <w:fldChar w:fldCharType="end"/>
      </w:r>
    </w:p>
    <w:bookmarkEnd w:id="114"/>
    <w:p w:rsidR="00116054" w:rsidRPr="00C26C96" w:rsidRDefault="00116054" w:rsidP="00C26C96">
      <w:pPr>
        <w:pStyle w:val="Notes"/>
      </w:pPr>
    </w:p>
    <w:p w:rsidR="00116054" w:rsidRDefault="00116054">
      <w:pPr>
        <w:spacing w:after="0"/>
        <w:rPr>
          <w:rFonts w:ascii="Calibri" w:hAnsi="Calibri"/>
          <w:b/>
          <w:kern w:val="28"/>
          <w:sz w:val="26"/>
          <w:szCs w:val="22"/>
        </w:rPr>
      </w:pPr>
      <w:r>
        <w:rPr>
          <w:rFonts w:ascii="Calibri" w:hAnsi="Calibri"/>
          <w:b/>
          <w:kern w:val="28"/>
          <w:sz w:val="26"/>
          <w:szCs w:val="22"/>
        </w:rPr>
        <w:br w:type="page"/>
      </w:r>
    </w:p>
    <w:p w:rsidR="00116054" w:rsidRDefault="00116054" w:rsidP="009A4836">
      <w:pPr>
        <w:pStyle w:val="Heading2"/>
      </w:pPr>
      <w:bookmarkStart w:id="117" w:name="BP2SensEmpl"/>
      <w:bookmarkStart w:id="118" w:name="BP2WorkSafe"/>
      <w:r>
        <w:lastRenderedPageBreak/>
        <w:t>Sensitivity to employment</w:t>
      </w:r>
    </w:p>
    <w:bookmarkStart w:id="119" w:name="BP2AppAPayrollTax1"/>
    <w:p w:rsidR="00116054" w:rsidRDefault="00116054" w:rsidP="0095349E">
      <w:r>
        <w:fldChar w:fldCharType="begin"/>
      </w:r>
      <w:r>
        <w:instrText xml:space="preserve"> XE "Sensitivity </w:instrText>
      </w:r>
      <w:proofErr w:type="spellStart"/>
      <w:r>
        <w:instrText>analysis:Employment</w:instrText>
      </w:r>
      <w:proofErr w:type="spellEnd"/>
      <w:r>
        <w:instrText xml:space="preserve">" </w:instrText>
      </w:r>
      <w:r>
        <w:fldChar w:fldCharType="end"/>
      </w:r>
      <w:r>
        <w:t xml:space="preserve">Higher than expected employment results in additional payroll tax revenue. An increase in the remuneration base also results in additional revenue from higher premiums for </w:t>
      </w:r>
      <w:proofErr w:type="spellStart"/>
      <w:r>
        <w:t>WorkSafe</w:t>
      </w:r>
      <w:proofErr w:type="spellEnd"/>
      <w:r>
        <w:t xml:space="preserve"> Victoria. This leads to higher ITEs for the State. These impacts increase the net result from transactions and cumulatively reduce net debt.</w:t>
      </w:r>
    </w:p>
    <w:p w:rsidR="00116054" w:rsidRPr="00C26C96" w:rsidRDefault="00116054" w:rsidP="00D07A2E">
      <w:pPr>
        <w:pStyle w:val="Chartheading"/>
        <w:rPr>
          <w:vertAlign w:val="superscript"/>
        </w:rPr>
      </w:pPr>
      <w:r w:rsidRPr="00001CC4">
        <w:t xml:space="preserve">Chart </w:t>
      </w:r>
      <w:r>
        <w:t>A.4</w:t>
      </w:r>
      <w:r w:rsidRPr="00001CC4">
        <w:t>:</w:t>
      </w:r>
      <w:r w:rsidRPr="00001CC4">
        <w:tab/>
        <w:t xml:space="preserve">Sensitivity of key fiscal aggregates to </w:t>
      </w:r>
      <w:r>
        <w:t xml:space="preserve">employment </w:t>
      </w:r>
      <w:r w:rsidRPr="00001CC4">
        <w:t>being 1</w:t>
      </w:r>
      <w:r>
        <w:t> per cent</w:t>
      </w:r>
      <w:r w:rsidRPr="00001CC4">
        <w:t xml:space="preserve"> higher than expected from 2015</w:t>
      </w:r>
      <w:r>
        <w:noBreakHyphen/>
      </w:r>
      <w:r w:rsidRPr="00001CC4">
        <w:t>16</w:t>
      </w:r>
      <w:r>
        <w:rPr>
          <w:vertAlign w:val="superscript"/>
        </w:rPr>
        <w:t>(a)</w:t>
      </w:r>
    </w:p>
    <w:p w:rsidR="00116054" w:rsidRDefault="00CC5D46" w:rsidP="00532765">
      <w:pPr>
        <w:pStyle w:val="Chartpara"/>
      </w:pPr>
      <w:r>
        <w:pict>
          <v:shape id="_x0000_i1050" type="#_x0000_t75" style="width:384.2pt;height:275.65pt">
            <v:imagedata r:id="rId50" o:title=""/>
          </v:shape>
        </w:pict>
      </w:r>
    </w:p>
    <w:p w:rsidR="00116054" w:rsidRDefault="00116054" w:rsidP="00C26C96">
      <w:pPr>
        <w:pStyle w:val="Source"/>
        <w:rPr>
          <w:rStyle w:val="SourceChar"/>
          <w:i/>
        </w:rPr>
      </w:pPr>
      <w:r w:rsidRPr="00532765">
        <w:rPr>
          <w:rStyle w:val="SourceChar"/>
          <w:i/>
        </w:rPr>
        <w:t>Source: Department of Treasury and Finance</w:t>
      </w:r>
    </w:p>
    <w:p w:rsidR="00116054" w:rsidRDefault="00116054" w:rsidP="00C26C96">
      <w:pPr>
        <w:pStyle w:val="Notes"/>
      </w:pPr>
      <w:r>
        <w:t>Note:</w:t>
      </w:r>
    </w:p>
    <w:p w:rsidR="00116054" w:rsidRDefault="00116054" w:rsidP="00C26C96">
      <w:pPr>
        <w:pStyle w:val="Notes"/>
      </w:pPr>
      <w:r>
        <w:t>(a)</w:t>
      </w:r>
      <w:r>
        <w:tab/>
        <w:t>See footnotes for Table A.1 for detailed description of estimates.</w:t>
      </w:r>
      <w:r>
        <w:fldChar w:fldCharType="begin"/>
      </w:r>
      <w:r>
        <w:instrText xml:space="preserve"> XE "</w:instrText>
      </w:r>
      <w:r w:rsidRPr="000407AE">
        <w:instrText>Sensitivity</w:instrText>
      </w:r>
      <w:r w:rsidRPr="0058089B">
        <w:instrText xml:space="preserve"> </w:instrText>
      </w:r>
      <w:proofErr w:type="spellStart"/>
      <w:r>
        <w:instrText>analysis</w:instrText>
      </w:r>
      <w:r w:rsidRPr="000407AE">
        <w:instrText>:Employment</w:instrText>
      </w:r>
      <w:proofErr w:type="spellEnd"/>
      <w:r>
        <w:instrText xml:space="preserve">" \r "BP2SensEmpl" </w:instrText>
      </w:r>
      <w:r>
        <w:fldChar w:fldCharType="end"/>
      </w:r>
    </w:p>
    <w:bookmarkEnd w:id="117"/>
    <w:p w:rsidR="00116054" w:rsidRPr="00C26C96" w:rsidRDefault="00116054" w:rsidP="00C26C96">
      <w:pPr>
        <w:pStyle w:val="Notes"/>
      </w:pPr>
    </w:p>
    <w:p w:rsidR="00116054" w:rsidRDefault="00116054">
      <w:pPr>
        <w:spacing w:after="0"/>
        <w:rPr>
          <w:rFonts w:ascii="Calibri" w:hAnsi="Calibri"/>
          <w:b/>
          <w:kern w:val="28"/>
          <w:sz w:val="26"/>
          <w:szCs w:val="22"/>
        </w:rPr>
      </w:pPr>
      <w:r>
        <w:rPr>
          <w:rFonts w:ascii="Calibri" w:hAnsi="Calibri"/>
          <w:b/>
          <w:kern w:val="28"/>
          <w:sz w:val="26"/>
          <w:szCs w:val="22"/>
        </w:rPr>
        <w:br w:type="page"/>
      </w:r>
    </w:p>
    <w:p w:rsidR="00116054" w:rsidRDefault="00116054" w:rsidP="009A4836">
      <w:pPr>
        <w:pStyle w:val="Heading2"/>
      </w:pPr>
      <w:bookmarkStart w:id="120" w:name="BP2SensAveWklyEarn"/>
      <w:r>
        <w:lastRenderedPageBreak/>
        <w:t>Sensitivity to average weekly earnings</w:t>
      </w:r>
    </w:p>
    <w:p w:rsidR="00116054" w:rsidRDefault="00116054" w:rsidP="00210DA5">
      <w:r>
        <w:fldChar w:fldCharType="begin"/>
      </w:r>
      <w:r>
        <w:instrText xml:space="preserve"> XE "Sensitivity </w:instrText>
      </w:r>
      <w:proofErr w:type="spellStart"/>
      <w:r>
        <w:instrText>analysis:Average</w:instrText>
      </w:r>
      <w:proofErr w:type="spellEnd"/>
      <w:r>
        <w:instrText xml:space="preserve"> weekly earnings" </w:instrText>
      </w:r>
      <w:r>
        <w:fldChar w:fldCharType="end"/>
      </w:r>
      <w:r>
        <w:t>A rise in the level of wages</w:t>
      </w:r>
      <w:r>
        <w:fldChar w:fldCharType="begin"/>
      </w:r>
      <w:r>
        <w:instrText xml:space="preserve"> XE "</w:instrText>
      </w:r>
      <w:r w:rsidRPr="008111AB">
        <w:instrText>Wages</w:instrText>
      </w:r>
      <w:r>
        <w:instrText xml:space="preserve">" </w:instrText>
      </w:r>
      <w:r>
        <w:fldChar w:fldCharType="end"/>
      </w:r>
      <w:r>
        <w:t xml:space="preserve"> in the economy (but not in the public sector) results in higher payroll tax revenue in each year. ITEs fall as claims expenses for </w:t>
      </w:r>
      <w:proofErr w:type="spellStart"/>
      <w:r>
        <w:t>WorkSafe</w:t>
      </w:r>
      <w:proofErr w:type="spellEnd"/>
      <w:r>
        <w:t xml:space="preserve"> Victoria increase, partially offset by increased premium revenue. Overall, these effects lead to a lower </w:t>
      </w:r>
      <w:r>
        <w:rPr>
          <w:color w:val="000000" w:themeColor="text1"/>
        </w:rPr>
        <w:t>net result from transactions over most of the budget and forward estimates period.</w:t>
      </w:r>
      <w:r>
        <w:rPr>
          <w:color w:val="000000" w:themeColor="text1"/>
        </w:rPr>
        <w:fldChar w:fldCharType="begin"/>
      </w:r>
      <w:r>
        <w:instrText xml:space="preserve"> XE "</w:instrText>
      </w:r>
      <w:proofErr w:type="spellStart"/>
      <w:r w:rsidRPr="0049675E">
        <w:instrText>Taxation:Payroll</w:instrText>
      </w:r>
      <w:proofErr w:type="spellEnd"/>
      <w:r w:rsidRPr="0049675E">
        <w:instrText xml:space="preserve"> tax</w:instrText>
      </w:r>
      <w:r>
        <w:instrText xml:space="preserve">" \r "BP2AppAPayrollTax1" </w:instrText>
      </w:r>
      <w:r>
        <w:rPr>
          <w:color w:val="000000" w:themeColor="text1"/>
        </w:rPr>
        <w:fldChar w:fldCharType="end"/>
      </w:r>
      <w:r>
        <w:rPr>
          <w:color w:val="000000" w:themeColor="text1"/>
        </w:rPr>
        <w:fldChar w:fldCharType="begin"/>
      </w:r>
      <w:r>
        <w:instrText xml:space="preserve"> XE "</w:instrText>
      </w:r>
      <w:proofErr w:type="spellStart"/>
      <w:r w:rsidRPr="003F3843">
        <w:rPr>
          <w:lang w:val="en-US"/>
        </w:rPr>
        <w:instrText>WorkSafe</w:instrText>
      </w:r>
      <w:proofErr w:type="spellEnd"/>
      <w:r w:rsidRPr="003F3843">
        <w:rPr>
          <w:lang w:val="en-US"/>
        </w:rPr>
        <w:instrText xml:space="preserve"> Victoria</w:instrText>
      </w:r>
      <w:r>
        <w:instrText xml:space="preserve">" \r "BP2WorkSafe" </w:instrText>
      </w:r>
      <w:r>
        <w:rPr>
          <w:color w:val="000000" w:themeColor="text1"/>
        </w:rPr>
        <w:fldChar w:fldCharType="end"/>
      </w:r>
    </w:p>
    <w:bookmarkEnd w:id="118"/>
    <w:bookmarkEnd w:id="119"/>
    <w:p w:rsidR="00116054" w:rsidRDefault="00116054" w:rsidP="00911E5F">
      <w:pPr>
        <w:pStyle w:val="Chartheading"/>
      </w:pPr>
      <w:r w:rsidRPr="00001CC4">
        <w:t xml:space="preserve">Chart </w:t>
      </w:r>
      <w:r>
        <w:t>A.5</w:t>
      </w:r>
      <w:r w:rsidRPr="00001CC4">
        <w:t>:</w:t>
      </w:r>
      <w:r w:rsidRPr="00001CC4">
        <w:tab/>
        <w:t xml:space="preserve">Sensitivity of key fiscal aggregates to </w:t>
      </w:r>
      <w:r>
        <w:t xml:space="preserve">average weekly earnings </w:t>
      </w:r>
      <w:r w:rsidRPr="00001CC4">
        <w:t>being 1</w:t>
      </w:r>
      <w:r>
        <w:t> per cent</w:t>
      </w:r>
      <w:r w:rsidRPr="00001CC4">
        <w:t xml:space="preserve"> higher than expected from 2015</w:t>
      </w:r>
      <w:r>
        <w:noBreakHyphen/>
      </w:r>
      <w:r w:rsidRPr="00001CC4">
        <w:t>16</w:t>
      </w:r>
      <w:r w:rsidRPr="00C26C96">
        <w:rPr>
          <w:vertAlign w:val="superscript"/>
        </w:rPr>
        <w:t>(a)</w:t>
      </w:r>
    </w:p>
    <w:p w:rsidR="00116054" w:rsidRDefault="00CC5D46" w:rsidP="007A4BAF">
      <w:pPr>
        <w:pStyle w:val="Chartpara"/>
        <w:rPr>
          <w:noProof/>
          <w:lang w:eastAsia="en-AU"/>
        </w:rPr>
      </w:pPr>
      <w:r>
        <w:rPr>
          <w:noProof/>
          <w:lang w:eastAsia="en-AU"/>
        </w:rPr>
        <w:pict>
          <v:shape id="_x0000_i1051" type="#_x0000_t75" style="width:382.55pt;height:274.55pt">
            <v:imagedata r:id="rId51" o:title=""/>
          </v:shape>
        </w:pict>
      </w:r>
    </w:p>
    <w:p w:rsidR="00116054" w:rsidRDefault="00116054" w:rsidP="00C26C96">
      <w:pPr>
        <w:pStyle w:val="Source"/>
        <w:rPr>
          <w:rStyle w:val="SourceChar"/>
          <w:i/>
        </w:rPr>
      </w:pPr>
      <w:r w:rsidRPr="00532765">
        <w:rPr>
          <w:rStyle w:val="SourceChar"/>
          <w:i/>
        </w:rPr>
        <w:t>Source: Department of Treasury and Finance</w:t>
      </w:r>
    </w:p>
    <w:p w:rsidR="00116054" w:rsidRDefault="00116054" w:rsidP="00C26C96">
      <w:pPr>
        <w:pStyle w:val="Notes"/>
      </w:pPr>
      <w:r>
        <w:t>Note:</w:t>
      </w:r>
    </w:p>
    <w:p w:rsidR="00116054" w:rsidRDefault="00116054" w:rsidP="00C26C96">
      <w:pPr>
        <w:pStyle w:val="Notes"/>
      </w:pPr>
      <w:r>
        <w:t>(a)</w:t>
      </w:r>
      <w:r>
        <w:tab/>
        <w:t>See footnotes for Table A.1 for detailed description of estimates.</w:t>
      </w:r>
      <w:r>
        <w:fldChar w:fldCharType="begin"/>
      </w:r>
      <w:r>
        <w:instrText xml:space="preserve"> XE "</w:instrText>
      </w:r>
      <w:r w:rsidRPr="00637194">
        <w:instrText>Sensitivity</w:instrText>
      </w:r>
      <w:r w:rsidRPr="0058089B">
        <w:instrText xml:space="preserve"> </w:instrText>
      </w:r>
      <w:proofErr w:type="spellStart"/>
      <w:r>
        <w:instrText>analysis</w:instrText>
      </w:r>
      <w:r w:rsidRPr="00637194">
        <w:instrText>:Average</w:instrText>
      </w:r>
      <w:proofErr w:type="spellEnd"/>
      <w:r w:rsidRPr="00637194">
        <w:instrText xml:space="preserve"> weekly earnings</w:instrText>
      </w:r>
      <w:r>
        <w:instrText xml:space="preserve">" \r "BP2SensAveWklyEarn" </w:instrText>
      </w:r>
      <w:r>
        <w:fldChar w:fldCharType="end"/>
      </w:r>
    </w:p>
    <w:p w:rsidR="00116054" w:rsidRDefault="00116054" w:rsidP="009A4836">
      <w:pPr>
        <w:pStyle w:val="Heading2"/>
      </w:pPr>
      <w:bookmarkStart w:id="121" w:name="BP2AppASuperLiability"/>
      <w:bookmarkEnd w:id="120"/>
      <w:r w:rsidRPr="007B2462">
        <w:t>Sensitivity to enterprise agreements</w:t>
      </w:r>
    </w:p>
    <w:p w:rsidR="00116054" w:rsidRDefault="00116054" w:rsidP="00C630EE">
      <w:r>
        <w:fldChar w:fldCharType="begin"/>
      </w:r>
      <w:r>
        <w:instrText xml:space="preserve"> XE "Sensitivity </w:instrText>
      </w:r>
      <w:proofErr w:type="spellStart"/>
      <w:r>
        <w:instrText>analysis:Enterprise</w:instrText>
      </w:r>
      <w:proofErr w:type="spellEnd"/>
      <w:r>
        <w:instrText xml:space="preserve"> agreements" </w:instrText>
      </w:r>
      <w:r>
        <w:fldChar w:fldCharType="end"/>
      </w:r>
      <w:r>
        <w:t>All government enterprise agreements are assumed to be unchanged over the projection period. An across</w:t>
      </w:r>
      <w:r>
        <w:noBreakHyphen/>
        <w:t>the</w:t>
      </w:r>
      <w:r>
        <w:noBreakHyphen/>
        <w:t>board increase in wages</w:t>
      </w:r>
      <w:r>
        <w:fldChar w:fldCharType="begin"/>
      </w:r>
      <w:r>
        <w:instrText xml:space="preserve"> XE "</w:instrText>
      </w:r>
      <w:r w:rsidRPr="008111AB">
        <w:instrText>Wages</w:instrText>
      </w:r>
      <w:r>
        <w:instrText xml:space="preserve">" </w:instrText>
      </w:r>
      <w:r>
        <w:fldChar w:fldCharType="end"/>
      </w:r>
      <w:r>
        <w:t xml:space="preserve"> arising from an enterprise agreement, which exceeds the wages</w:t>
      </w:r>
      <w:r>
        <w:fldChar w:fldCharType="begin"/>
      </w:r>
      <w:r>
        <w:instrText xml:space="preserve"> XE "</w:instrText>
      </w:r>
      <w:r w:rsidRPr="008111AB">
        <w:instrText>Wages</w:instrText>
      </w:r>
      <w:r>
        <w:instrText xml:space="preserve">" </w:instrText>
      </w:r>
      <w:r>
        <w:fldChar w:fldCharType="end"/>
      </w:r>
      <w:r>
        <w:t xml:space="preserve"> policy guideline rate, increases the general government sector’s employee entitlement expenses. </w:t>
      </w:r>
    </w:p>
    <w:p w:rsidR="00116054" w:rsidRPr="00C630EE" w:rsidRDefault="00116054" w:rsidP="00C630EE">
      <w:bookmarkStart w:id="122" w:name="BP2AppASuperExpense2"/>
      <w:r>
        <w:t>Increased employee entitlements also increase the value of the superannuation liability and flow through to a greater superannuation expense</w:t>
      </w:r>
      <w:r>
        <w:fldChar w:fldCharType="begin"/>
      </w:r>
      <w:r>
        <w:instrText xml:space="preserve"> XE "</w:instrText>
      </w:r>
      <w:proofErr w:type="spellStart"/>
      <w:r w:rsidRPr="00A718DF">
        <w:instrText>Superannuation:Expense</w:instrText>
      </w:r>
      <w:proofErr w:type="spellEnd"/>
      <w:r>
        <w:instrText xml:space="preserve">" </w:instrText>
      </w:r>
      <w:r>
        <w:fldChar w:fldCharType="end"/>
      </w:r>
      <w:r>
        <w:t xml:space="preserve"> in the out years. These impacts result in a decline in the net result from transactions and cumulatively higher net debt over the budget and forward estimates.</w:t>
      </w:r>
    </w:p>
    <w:p w:rsidR="00116054" w:rsidRPr="007B2462" w:rsidRDefault="00116054" w:rsidP="009A4836">
      <w:pPr>
        <w:pStyle w:val="Heading2"/>
      </w:pPr>
      <w:r w:rsidRPr="007B2462">
        <w:lastRenderedPageBreak/>
        <w:t>Sensitivity to domestic and overseas share prices</w:t>
      </w:r>
    </w:p>
    <w:p w:rsidR="00116054" w:rsidRDefault="00116054" w:rsidP="00341CC1">
      <w:r>
        <w:fldChar w:fldCharType="begin"/>
      </w:r>
      <w:r>
        <w:instrText xml:space="preserve"> XE "Sensitivity </w:instrText>
      </w:r>
      <w:proofErr w:type="spellStart"/>
      <w:r>
        <w:instrText>analysis:Domestic</w:instrText>
      </w:r>
      <w:proofErr w:type="spellEnd"/>
      <w:r>
        <w:instrText xml:space="preserve"> and overseas share prices" </w:instrText>
      </w:r>
      <w:r>
        <w:fldChar w:fldCharType="end"/>
      </w:r>
      <w:r>
        <w:t xml:space="preserve">A rise in share prices increases the net results of the State’s insurance </w:t>
      </w:r>
      <w:proofErr w:type="spellStart"/>
      <w:r>
        <w:t>agencie</w:t>
      </w:r>
      <w:proofErr w:type="spellEnd"/>
      <w:r>
        <w:fldChar w:fldCharType="begin"/>
      </w:r>
      <w:r>
        <w:instrText xml:space="preserve"> XE "</w:instrText>
      </w:r>
      <w:proofErr w:type="spellStart"/>
      <w:r w:rsidRPr="009D2CD4">
        <w:instrText>Insurance</w:instrText>
      </w:r>
      <w:r>
        <w:instrText>:Agencies</w:instrText>
      </w:r>
      <w:proofErr w:type="spellEnd"/>
      <w:r>
        <w:instrText xml:space="preserve">" </w:instrText>
      </w:r>
      <w:r>
        <w:fldChar w:fldCharType="end"/>
      </w:r>
      <w:r>
        <w:t>s. This leads to an increase in the ITEs payable to the State; however the availability of carry</w:t>
      </w:r>
      <w:r>
        <w:noBreakHyphen/>
        <w:t>forward tax losses means there is only a small impact on ITEs in the budget year. There is no significant impact on underlying dividends payable to the State as these are based on the agencies’ performance from insurance</w:t>
      </w:r>
      <w:r>
        <w:fldChar w:fldCharType="begin"/>
      </w:r>
      <w:r>
        <w:instrText xml:space="preserve"> XE "</w:instrText>
      </w:r>
      <w:r w:rsidRPr="009D2CD4">
        <w:instrText>Insurance</w:instrText>
      </w:r>
      <w:r>
        <w:instrText xml:space="preserve">" </w:instrText>
      </w:r>
      <w:r>
        <w:fldChar w:fldCharType="end"/>
      </w:r>
      <w:r>
        <w:t xml:space="preserve"> operations, which excludes the impact of investment returns being higher than the agencies’ budgeted long</w:t>
      </w:r>
      <w:r>
        <w:noBreakHyphen/>
        <w:t>term rates of return.</w:t>
      </w:r>
    </w:p>
    <w:p w:rsidR="00116054" w:rsidRPr="007B2462" w:rsidRDefault="00116054" w:rsidP="00341CC1">
      <w:r>
        <w:t>An increase in domestic and international share prices also reduces the value of the superannuation liability due to the associated increase in superannuation fund assets. This then reduces the superannuation interest expense beyond the budget year, thereby improving the net result from transactions in these years.</w:t>
      </w:r>
    </w:p>
    <w:p w:rsidR="00116054" w:rsidRPr="007B2462" w:rsidRDefault="00116054" w:rsidP="009A4836">
      <w:pPr>
        <w:pStyle w:val="Heading2"/>
      </w:pPr>
      <w:bookmarkStart w:id="123" w:name="BP2AppALandTrans"/>
      <w:r w:rsidRPr="007B2462">
        <w:t>Sensitivity to property prices and volumes</w:t>
      </w:r>
    </w:p>
    <w:p w:rsidR="00116054" w:rsidRPr="00341CC1" w:rsidRDefault="00116054" w:rsidP="00341CC1">
      <w:pPr>
        <w:rPr>
          <w:rFonts w:eastAsiaTheme="minorEastAsia"/>
          <w:lang w:eastAsia="en-AU"/>
        </w:rPr>
      </w:pPr>
      <w:r>
        <w:fldChar w:fldCharType="begin"/>
      </w:r>
      <w:r>
        <w:instrText xml:space="preserve"> XE "Sensitivity </w:instrText>
      </w:r>
      <w:proofErr w:type="spellStart"/>
      <w:r>
        <w:instrText>analysis:Property</w:instrText>
      </w:r>
      <w:proofErr w:type="spellEnd"/>
      <w:r>
        <w:instrText xml:space="preserve"> prices and volumes" </w:instrText>
      </w:r>
      <w:r>
        <w:fldChar w:fldCharType="end"/>
      </w:r>
      <w:r w:rsidRPr="00341CC1">
        <w:rPr>
          <w:rFonts w:eastAsiaTheme="minorEastAsia"/>
          <w:lang w:eastAsia="en-AU"/>
        </w:rP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w:t>
      </w:r>
      <w:r>
        <w:rPr>
          <w:rFonts w:eastAsiaTheme="minorEastAsia"/>
          <w:lang w:eastAsia="en-AU"/>
        </w:rPr>
        <w:t>’</w:t>
      </w:r>
      <w:r w:rsidRPr="00341CC1">
        <w:rPr>
          <w:rFonts w:eastAsiaTheme="minorEastAsia"/>
          <w:lang w:eastAsia="en-AU"/>
        </w:rPr>
        <w:t xml:space="preserve"> investment portfolios. In later years, higher property prices continue to raise land transfer duty and land tax</w:t>
      </w:r>
      <w:r>
        <w:fldChar w:fldCharType="begin"/>
      </w:r>
      <w:r>
        <w:instrText xml:space="preserve"> XE "</w:instrText>
      </w:r>
      <w:proofErr w:type="spellStart"/>
      <w:r>
        <w:instrText>Taxation:Land</w:instrText>
      </w:r>
      <w:proofErr w:type="spellEnd"/>
      <w:r>
        <w:instrText xml:space="preserve"> tax" </w:instrText>
      </w:r>
      <w:r>
        <w:fldChar w:fldCharType="end"/>
      </w:r>
      <w:r w:rsidRPr="00341CC1">
        <w:rPr>
          <w:rFonts w:eastAsiaTheme="minorEastAsia"/>
          <w:lang w:eastAsia="en-AU"/>
        </w:rPr>
        <w:t xml:space="preserve"> revenues, while the previous reduction in the superannuation liability reduces ongoing superannuation expenses. Each of these factors increase the net result from transactions and lower net debt.</w:t>
      </w:r>
    </w:p>
    <w:p w:rsidR="00116054" w:rsidRDefault="00116054" w:rsidP="00341CC1">
      <w:pPr>
        <w:rPr>
          <w:rFonts w:eastAsiaTheme="minorEastAsia"/>
          <w:lang w:eastAsia="en-AU"/>
        </w:rPr>
      </w:pPr>
      <w:r w:rsidRPr="00341CC1">
        <w:rPr>
          <w:rFonts w:eastAsiaTheme="minorEastAsia"/>
          <w:lang w:eastAsia="en-AU"/>
        </w:rPr>
        <w:t>Higher property transaction volumes increase land transfer duty receipts, leading to a rise in the net result from transactions and a reduction in net debt.</w:t>
      </w:r>
      <w:r>
        <w:rPr>
          <w:rFonts w:eastAsiaTheme="minorEastAsia"/>
          <w:lang w:eastAsia="en-AU"/>
        </w:rPr>
        <w:fldChar w:fldCharType="begin"/>
      </w:r>
      <w:r>
        <w:instrText xml:space="preserve"> XE "</w:instrText>
      </w:r>
      <w:proofErr w:type="spellStart"/>
      <w:r w:rsidRPr="00993FE4">
        <w:instrText>Debt:Net</w:instrText>
      </w:r>
      <w:proofErr w:type="spellEnd"/>
      <w:r w:rsidRPr="00993FE4">
        <w:instrText xml:space="preserve"> debt</w:instrText>
      </w:r>
      <w:r>
        <w:instrText xml:space="preserve">" \r "BP2NetDebt2" </w:instrText>
      </w:r>
      <w:r>
        <w:rPr>
          <w:rFonts w:eastAsiaTheme="minorEastAsia"/>
          <w:lang w:eastAsia="en-AU"/>
        </w:rPr>
        <w:fldChar w:fldCharType="end"/>
      </w:r>
      <w:r>
        <w:fldChar w:fldCharType="begin"/>
      </w:r>
      <w:r>
        <w:instrText xml:space="preserve"> XE "</w:instrText>
      </w:r>
      <w:proofErr w:type="spellStart"/>
      <w:r w:rsidRPr="007853F6">
        <w:instrText>Superannuation:Expense</w:instrText>
      </w:r>
      <w:proofErr w:type="spellEnd"/>
      <w:r>
        <w:instrText xml:space="preserve">" \r "BP2AppASuperExpense2" </w:instrText>
      </w:r>
      <w:r>
        <w:fldChar w:fldCharType="end"/>
      </w:r>
      <w:r>
        <w:fldChar w:fldCharType="begin"/>
      </w:r>
      <w:r>
        <w:instrText xml:space="preserve"> XE "</w:instrText>
      </w:r>
      <w:proofErr w:type="spellStart"/>
      <w:r w:rsidRPr="008F294C">
        <w:instrText>Superannuation:Liability</w:instrText>
      </w:r>
      <w:proofErr w:type="spellEnd"/>
      <w:r>
        <w:instrText xml:space="preserve">" \r "BP2AppASuperLiability" </w:instrText>
      </w:r>
      <w:r>
        <w:fldChar w:fldCharType="end"/>
      </w:r>
    </w:p>
    <w:p w:rsidR="00116054" w:rsidRPr="009E0B6B" w:rsidRDefault="00116054" w:rsidP="005D22F0">
      <w:pPr>
        <w:pStyle w:val="Heading1"/>
      </w:pPr>
      <w:bookmarkStart w:id="124" w:name="_Toc401056880"/>
      <w:bookmarkStart w:id="125" w:name="_Toc401147511"/>
      <w:bookmarkStart w:id="126" w:name="_Toc403386710"/>
      <w:bookmarkStart w:id="127" w:name="_Toc406162115"/>
      <w:bookmarkStart w:id="128" w:name="_Toc406751123"/>
      <w:bookmarkStart w:id="129" w:name="_Toc418255157"/>
      <w:bookmarkEnd w:id="115"/>
      <w:bookmarkEnd w:id="121"/>
      <w:bookmarkEnd w:id="122"/>
      <w:r w:rsidRPr="009E0B6B">
        <w:t>Sensitivity to variations in the economic outlook</w:t>
      </w:r>
      <w:bookmarkEnd w:id="124"/>
      <w:bookmarkEnd w:id="125"/>
      <w:bookmarkEnd w:id="126"/>
      <w:bookmarkEnd w:id="127"/>
      <w:bookmarkEnd w:id="128"/>
      <w:bookmarkEnd w:id="129"/>
    </w:p>
    <w:p w:rsidR="00116054" w:rsidRDefault="00116054" w:rsidP="005D22F0">
      <w:r>
        <w:t>The previous section considered the fiscal implications of independent variations in selected economic parameters. Typically, however, variations in economic parameters do not occur in isolation. For example, general economic conditions</w:t>
      </w:r>
      <w:r>
        <w:fldChar w:fldCharType="begin"/>
      </w:r>
      <w:r>
        <w:instrText xml:space="preserve"> XE "</w:instrText>
      </w:r>
      <w:r w:rsidRPr="00750E38">
        <w:instrText>Economic conditions</w:instrText>
      </w:r>
      <w:r>
        <w:instrText xml:space="preserve">" </w:instrText>
      </w:r>
      <w:r>
        <w:fldChar w:fldCharType="end"/>
      </w:r>
      <w:r>
        <w:t xml:space="preserve"> may differ from expectations, particularly in the event of an unanticipated economic or financial shock, causing most or all economic parameters to vary from forecasts.</w:t>
      </w:r>
    </w:p>
    <w:p w:rsidR="00116054" w:rsidRDefault="00116054" w:rsidP="005D22F0">
      <w:r>
        <w:t>This section considers two examples where general economic conditions varied significantly from expectations, resulting in the broad sweep of economic parameters being different from forecast. In the first example, in 2006</w:t>
      </w:r>
      <w:r>
        <w:noBreakHyphen/>
        <w:t>07 growth was significantly stronger than anticipated while in the second example, in 2008</w:t>
      </w:r>
      <w:r>
        <w:noBreakHyphen/>
        <w:t>09 the onset of the global financial crisis resulted in most economic and financial variables being lower than initially forecast.</w:t>
      </w:r>
    </w:p>
    <w:p w:rsidR="00116054" w:rsidRDefault="00116054" w:rsidP="005D22F0">
      <w:r>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noBreakHyphen/>
        <w:t>related shocks are likely to have the largest impact on the fiscal situation.</w:t>
      </w:r>
    </w:p>
    <w:p w:rsidR="00116054" w:rsidRDefault="00116054" w:rsidP="005D22F0">
      <w:r>
        <w:lastRenderedPageBreak/>
        <w:t xml:space="preserve">The State’s fiscal position in any year is the product of economic trends and policy changes in that and previous years. Similarly, an economic shock in a given year will affect fiscal outcomes in that and later years. </w:t>
      </w:r>
    </w:p>
    <w:p w:rsidR="00116054" w:rsidRDefault="00116054" w:rsidP="005D22F0">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116054" w:rsidRDefault="00116054" w:rsidP="009A4836">
      <w:pPr>
        <w:pStyle w:val="Heading2"/>
      </w:pPr>
      <w:bookmarkStart w:id="130" w:name="BP2EcoGrowth1"/>
      <w:r>
        <w:t>2006</w:t>
      </w:r>
      <w:r>
        <w:noBreakHyphen/>
        <w:t>07 – economic growth exceeding expectations</w:t>
      </w:r>
    </w:p>
    <w:p w:rsidR="00116054" w:rsidRDefault="00116054" w:rsidP="005D22F0">
      <w:r>
        <w:fldChar w:fldCharType="begin"/>
      </w:r>
      <w:r>
        <w:instrText xml:space="preserve"> XE "</w:instrText>
      </w:r>
      <w:r w:rsidRPr="00750BAF">
        <w:rPr>
          <w:lang w:val="en-US"/>
        </w:rPr>
        <w:instrText>Economic growth</w:instrText>
      </w:r>
      <w:r>
        <w:instrText xml:space="preserve">" </w:instrText>
      </w:r>
      <w:r>
        <w:fldChar w:fldCharType="end"/>
      </w:r>
      <w:r>
        <w:t>Table A.2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116054" w:rsidRDefault="00116054" w:rsidP="005D22F0">
      <w:pPr>
        <w:pStyle w:val="Tableheading"/>
      </w:pPr>
      <w:r>
        <w:t>Table A.2:</w:t>
      </w:r>
      <w:r>
        <w:tab/>
        <w:t xml:space="preserve">Actual deviations of growth rates of key economic variables from </w:t>
      </w:r>
      <w:r>
        <w:rPr>
          <w:i/>
        </w:rPr>
        <w:t>2006</w:t>
      </w:r>
      <w:r>
        <w:rPr>
          <w:i/>
        </w:rPr>
        <w:noBreakHyphen/>
        <w:t>07 Budget</w:t>
      </w:r>
      <w:r>
        <w:t xml:space="preserve"> forecasts</w:t>
      </w:r>
    </w:p>
    <w:p w:rsidR="00116054" w:rsidRPr="00F01379" w:rsidRDefault="00116054" w:rsidP="00307ED8">
      <w:pPr>
        <w:pStyle w:val="million"/>
      </w:pPr>
      <w:r>
        <w:t>(per cent)</w:t>
      </w:r>
    </w:p>
    <w:tbl>
      <w:tblPr>
        <w:tblW w:w="7760" w:type="dxa"/>
        <w:tblInd w:w="28" w:type="dxa"/>
        <w:tblLayout w:type="fixed"/>
        <w:tblCellMar>
          <w:left w:w="45" w:type="dxa"/>
          <w:right w:w="45" w:type="dxa"/>
        </w:tblCellMar>
        <w:tblLook w:val="0000" w:firstRow="0" w:lastRow="0" w:firstColumn="0" w:lastColumn="0" w:noHBand="0" w:noVBand="0"/>
      </w:tblPr>
      <w:tblGrid>
        <w:gridCol w:w="4640"/>
        <w:gridCol w:w="1040"/>
        <w:gridCol w:w="1040"/>
        <w:gridCol w:w="1040"/>
      </w:tblGrid>
      <w:tr w:rsidR="00116054" w:rsidRPr="00F01379" w:rsidTr="00307ED8">
        <w:tc>
          <w:tcPr>
            <w:tcW w:w="4640" w:type="dxa"/>
            <w:tcBorders>
              <w:top w:val="single" w:sz="6" w:space="0" w:color="000000"/>
              <w:left w:val="single" w:sz="6" w:space="0" w:color="000000"/>
            </w:tcBorders>
            <w:shd w:val="clear" w:color="000000" w:fill="000000"/>
          </w:tcPr>
          <w:p w:rsidR="00116054" w:rsidRPr="00F01379" w:rsidRDefault="00116054" w:rsidP="00307ED8">
            <w:pPr>
              <w:pStyle w:val="Tabletext"/>
              <w:keepNext/>
              <w:rPr>
                <w:rFonts w:eastAsiaTheme="minorEastAsia"/>
                <w:lang w:eastAsia="en-AU"/>
              </w:rPr>
            </w:pPr>
            <w:r w:rsidRPr="00F01379">
              <w:rPr>
                <w:rFonts w:eastAsiaTheme="minorEastAsia"/>
                <w:lang w:eastAsia="en-AU"/>
              </w:rPr>
              <w:t xml:space="preserve"> </w:t>
            </w:r>
          </w:p>
        </w:tc>
        <w:tc>
          <w:tcPr>
            <w:tcW w:w="1040" w:type="dxa"/>
            <w:tcBorders>
              <w:top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2006</w:t>
            </w:r>
            <w:r>
              <w:rPr>
                <w:rFonts w:eastAsiaTheme="minorEastAsia"/>
                <w:color w:val="FFFFFF"/>
                <w:lang w:eastAsia="en-AU"/>
              </w:rPr>
              <w:noBreakHyphen/>
            </w:r>
            <w:r w:rsidRPr="00F01379">
              <w:rPr>
                <w:rFonts w:eastAsiaTheme="minorEastAsia"/>
                <w:color w:val="FFFFFF"/>
                <w:lang w:eastAsia="en-AU"/>
              </w:rPr>
              <w:t>07</w:t>
            </w:r>
          </w:p>
        </w:tc>
        <w:tc>
          <w:tcPr>
            <w:tcW w:w="1040" w:type="dxa"/>
            <w:tcBorders>
              <w:top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2006</w:t>
            </w:r>
            <w:r>
              <w:rPr>
                <w:rFonts w:eastAsiaTheme="minorEastAsia"/>
                <w:color w:val="FFFFFF"/>
                <w:lang w:eastAsia="en-AU"/>
              </w:rPr>
              <w:noBreakHyphen/>
            </w:r>
            <w:r w:rsidRPr="00F01379">
              <w:rPr>
                <w:rFonts w:eastAsiaTheme="minorEastAsia"/>
                <w:color w:val="FFFFFF"/>
                <w:lang w:eastAsia="en-AU"/>
              </w:rPr>
              <w:t>07</w:t>
            </w:r>
          </w:p>
        </w:tc>
        <w:tc>
          <w:tcPr>
            <w:tcW w:w="1040" w:type="dxa"/>
            <w:tcBorders>
              <w:top w:val="single" w:sz="6" w:space="0" w:color="000000"/>
              <w:right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Forecast</w:t>
            </w:r>
          </w:p>
        </w:tc>
      </w:tr>
      <w:tr w:rsidR="00116054" w:rsidRPr="00F01379" w:rsidTr="00307ED8">
        <w:tc>
          <w:tcPr>
            <w:tcW w:w="4640" w:type="dxa"/>
            <w:tcBorders>
              <w:top w:val="nil"/>
              <w:left w:val="single" w:sz="6" w:space="0" w:color="000000"/>
              <w:bottom w:val="single" w:sz="6" w:space="0" w:color="000000"/>
            </w:tcBorders>
            <w:shd w:val="clear" w:color="000000" w:fill="000000"/>
          </w:tcPr>
          <w:p w:rsidR="00116054" w:rsidRPr="00F01379" w:rsidRDefault="00116054" w:rsidP="00307ED8">
            <w:pPr>
              <w:pStyle w:val="Tabletext"/>
              <w:keepNext/>
              <w:rPr>
                <w:rFonts w:eastAsiaTheme="minorEastAsia"/>
                <w:lang w:eastAsia="en-AU"/>
              </w:rPr>
            </w:pPr>
            <w:r w:rsidRPr="00F01379">
              <w:rPr>
                <w:rFonts w:eastAsiaTheme="minorEastAsia"/>
                <w:lang w:eastAsia="en-AU"/>
              </w:rPr>
              <w:t xml:space="preserve"> </w:t>
            </w:r>
          </w:p>
        </w:tc>
        <w:tc>
          <w:tcPr>
            <w:tcW w:w="1040" w:type="dxa"/>
            <w:tcBorders>
              <w:top w:val="nil"/>
              <w:bottom w:val="single" w:sz="6" w:space="0" w:color="000000"/>
            </w:tcBorders>
            <w:shd w:val="clear" w:color="000000" w:fill="000000"/>
          </w:tcPr>
          <w:p w:rsidR="00116054" w:rsidRPr="00F01379" w:rsidRDefault="00116054" w:rsidP="00307ED8">
            <w:pPr>
              <w:pStyle w:val="Tabletextheading"/>
              <w:keepNext/>
              <w:rPr>
                <w:rFonts w:eastAsiaTheme="minorEastAsia"/>
                <w:color w:val="FFFFFF"/>
                <w:vertAlign w:val="superscript"/>
                <w:lang w:eastAsia="en-AU"/>
              </w:rPr>
            </w:pPr>
            <w:r w:rsidRPr="00F01379">
              <w:rPr>
                <w:rFonts w:eastAsiaTheme="minorEastAsia"/>
                <w:color w:val="FFFFFF"/>
                <w:lang w:eastAsia="en-AU"/>
              </w:rPr>
              <w:t xml:space="preserve">budget </w:t>
            </w:r>
            <w:r w:rsidRPr="00F01379">
              <w:rPr>
                <w:rFonts w:eastAsiaTheme="minorEastAsia"/>
                <w:color w:val="FFFFFF"/>
                <w:vertAlign w:val="superscript"/>
                <w:lang w:eastAsia="en-AU"/>
              </w:rPr>
              <w:t>(a)</w:t>
            </w:r>
          </w:p>
        </w:tc>
        <w:tc>
          <w:tcPr>
            <w:tcW w:w="1040" w:type="dxa"/>
            <w:tcBorders>
              <w:top w:val="nil"/>
              <w:bottom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actual</w:t>
            </w:r>
          </w:p>
        </w:tc>
        <w:tc>
          <w:tcPr>
            <w:tcW w:w="1040" w:type="dxa"/>
            <w:tcBorders>
              <w:top w:val="nil"/>
              <w:bottom w:val="single" w:sz="6" w:space="0" w:color="000000"/>
              <w:right w:val="single" w:sz="6" w:space="0" w:color="000000"/>
            </w:tcBorders>
            <w:shd w:val="clear" w:color="000000" w:fill="000000"/>
          </w:tcPr>
          <w:p w:rsidR="00116054" w:rsidRPr="00F01379" w:rsidRDefault="00116054" w:rsidP="00307ED8">
            <w:pPr>
              <w:pStyle w:val="Tabletextheading"/>
              <w:keepNext/>
              <w:rPr>
                <w:rFonts w:eastAsiaTheme="minorEastAsia"/>
                <w:color w:val="FFFFFF"/>
                <w:vertAlign w:val="superscript"/>
                <w:lang w:eastAsia="en-AU"/>
              </w:rPr>
            </w:pPr>
            <w:r w:rsidRPr="00F01379">
              <w:rPr>
                <w:rFonts w:eastAsiaTheme="minorEastAsia"/>
                <w:color w:val="FFFFFF"/>
                <w:lang w:eastAsia="en-AU"/>
              </w:rPr>
              <w:t xml:space="preserve">error </w:t>
            </w:r>
            <w:r w:rsidRPr="00F01379">
              <w:rPr>
                <w:rFonts w:eastAsiaTheme="minorEastAsia"/>
                <w:color w:val="FFFFFF"/>
                <w:vertAlign w:val="superscript"/>
                <w:lang w:eastAsia="en-AU"/>
              </w:rPr>
              <w:t>(b)</w:t>
            </w:r>
          </w:p>
        </w:tc>
      </w:tr>
      <w:tr w:rsidR="00116054" w:rsidRPr="00F01379" w:rsidTr="00307ED8">
        <w:tc>
          <w:tcPr>
            <w:tcW w:w="4640" w:type="dxa"/>
            <w:tcBorders>
              <w:top w:val="single" w:sz="6" w:space="0" w:color="000000"/>
              <w:left w:val="nil"/>
              <w:bottom w:val="nil"/>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Real GSP</w:t>
            </w:r>
          </w:p>
        </w:tc>
        <w:tc>
          <w:tcPr>
            <w:tcW w:w="1040"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3.3</w:t>
            </w:r>
          </w:p>
        </w:tc>
        <w:tc>
          <w:tcPr>
            <w:tcW w:w="1040"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3.7</w:t>
            </w:r>
          </w:p>
        </w:tc>
        <w:tc>
          <w:tcPr>
            <w:tcW w:w="1040"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0.5</w:t>
            </w:r>
          </w:p>
        </w:tc>
      </w:tr>
      <w:tr w:rsidR="00116054" w:rsidRPr="00F01379" w:rsidTr="00307ED8">
        <w:tc>
          <w:tcPr>
            <w:tcW w:w="4640" w:type="dxa"/>
            <w:tcBorders>
              <w:top w:val="nil"/>
              <w:left w:val="nil"/>
              <w:bottom w:val="nil"/>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Employment</w:t>
            </w:r>
          </w:p>
        </w:tc>
        <w:tc>
          <w:tcPr>
            <w:tcW w:w="1040"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1.3</w:t>
            </w:r>
          </w:p>
        </w:tc>
        <w:tc>
          <w:tcPr>
            <w:tcW w:w="1040"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3.2</w:t>
            </w:r>
          </w:p>
        </w:tc>
        <w:tc>
          <w:tcPr>
            <w:tcW w:w="1040"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1.9</w:t>
            </w:r>
          </w:p>
        </w:tc>
      </w:tr>
      <w:tr w:rsidR="00116054" w:rsidRPr="00F01379" w:rsidTr="00307ED8">
        <w:tc>
          <w:tcPr>
            <w:tcW w:w="4640" w:type="dxa"/>
            <w:tcBorders>
              <w:top w:val="nil"/>
              <w:left w:val="nil"/>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Consumer price index</w:t>
            </w:r>
          </w:p>
        </w:tc>
        <w:tc>
          <w:tcPr>
            <w:tcW w:w="1040" w:type="dxa"/>
            <w:tcBorders>
              <w:top w:val="nil"/>
              <w:left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2.5</w:t>
            </w:r>
          </w:p>
        </w:tc>
        <w:tc>
          <w:tcPr>
            <w:tcW w:w="1040" w:type="dxa"/>
            <w:tcBorders>
              <w:top w:val="nil"/>
              <w:left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2.6</w:t>
            </w:r>
          </w:p>
        </w:tc>
        <w:tc>
          <w:tcPr>
            <w:tcW w:w="1040" w:type="dxa"/>
            <w:tcBorders>
              <w:top w:val="nil"/>
              <w:left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0.1</w:t>
            </w:r>
          </w:p>
        </w:tc>
      </w:tr>
      <w:tr w:rsidR="00116054" w:rsidRPr="00F01379" w:rsidTr="00307ED8">
        <w:tc>
          <w:tcPr>
            <w:tcW w:w="4640" w:type="dxa"/>
            <w:tcBorders>
              <w:top w:val="nil"/>
              <w:left w:val="nil"/>
              <w:bottom w:val="single" w:sz="12" w:space="0" w:color="000000"/>
              <w:right w:val="nil"/>
            </w:tcBorders>
            <w:shd w:val="clear" w:color="auto" w:fill="auto"/>
          </w:tcPr>
          <w:p w:rsidR="00116054" w:rsidRPr="00F01379" w:rsidRDefault="00116054" w:rsidP="00307ED8">
            <w:pPr>
              <w:pStyle w:val="Tabletext"/>
              <w:keepNext/>
              <w:rPr>
                <w:rFonts w:eastAsiaTheme="minorEastAsia"/>
                <w:vertAlign w:val="superscript"/>
                <w:lang w:eastAsia="en-AU"/>
              </w:rPr>
            </w:pPr>
            <w:r w:rsidRPr="00F01379">
              <w:rPr>
                <w:rFonts w:eastAsiaTheme="minorEastAsia"/>
                <w:lang w:eastAsia="en-AU"/>
              </w:rPr>
              <w:t xml:space="preserve">Wage price index </w:t>
            </w:r>
            <w:r w:rsidRPr="00F01379">
              <w:rPr>
                <w:rFonts w:eastAsiaTheme="minorEastAsia"/>
                <w:vertAlign w:val="superscript"/>
                <w:lang w:eastAsia="en-AU"/>
              </w:rPr>
              <w:t>(c)</w:t>
            </w:r>
          </w:p>
        </w:tc>
        <w:tc>
          <w:tcPr>
            <w:tcW w:w="1040" w:type="dxa"/>
            <w:tcBorders>
              <w:top w:val="nil"/>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3.5</w:t>
            </w:r>
          </w:p>
        </w:tc>
        <w:tc>
          <w:tcPr>
            <w:tcW w:w="1040" w:type="dxa"/>
            <w:tcBorders>
              <w:top w:val="nil"/>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3.6</w:t>
            </w:r>
          </w:p>
        </w:tc>
        <w:tc>
          <w:tcPr>
            <w:tcW w:w="1040" w:type="dxa"/>
            <w:tcBorders>
              <w:top w:val="nil"/>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0.1</w:t>
            </w:r>
          </w:p>
        </w:tc>
      </w:tr>
    </w:tbl>
    <w:p w:rsidR="00116054" w:rsidRDefault="00116054" w:rsidP="005D22F0">
      <w:pPr>
        <w:pStyle w:val="Source"/>
        <w:keepNext/>
      </w:pPr>
      <w:r>
        <w:t>Sources: Australian Bureau of Statistics; Department of Treasury and Finance</w:t>
      </w:r>
    </w:p>
    <w:p w:rsidR="00116054" w:rsidRDefault="00116054" w:rsidP="005D22F0">
      <w:pPr>
        <w:pStyle w:val="Notes"/>
      </w:pPr>
      <w:r>
        <w:t>Notes:</w:t>
      </w:r>
    </w:p>
    <w:p w:rsidR="00116054" w:rsidRDefault="00116054" w:rsidP="005D22F0">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116054" w:rsidRDefault="00116054" w:rsidP="005D22F0">
      <w:pPr>
        <w:pStyle w:val="Notes"/>
      </w:pPr>
      <w:r>
        <w:t>(b)</w:t>
      </w:r>
      <w:r>
        <w:tab/>
        <w:t>Percentage point variation.</w:t>
      </w:r>
    </w:p>
    <w:p w:rsidR="00116054" w:rsidRDefault="00116054" w:rsidP="005D22F0">
      <w:pPr>
        <w:pStyle w:val="Notes"/>
      </w:pPr>
      <w:r>
        <w:t>(c)</w:t>
      </w:r>
      <w:r>
        <w:tab/>
        <w:t>Total hourly rate excluding bonuses.</w:t>
      </w:r>
    </w:p>
    <w:p w:rsidR="00116054" w:rsidRDefault="00116054" w:rsidP="005D22F0"/>
    <w:p w:rsidR="00116054" w:rsidRDefault="00116054" w:rsidP="005D22F0">
      <w:r>
        <w:t>The main areas of revenue forecast error in 2006</w:t>
      </w:r>
      <w:r>
        <w:noBreakHyphen/>
        <w:t>07 relate to the underestimation of land transfer duty and of other revenue, while payroll tax was close to forecast (Table A.3). Strong land transfer duty revenues largely reflect the property cycle. As land transfer duty is a transaction</w:t>
      </w:r>
      <w:r>
        <w:noBreakHyphen/>
        <w:t>based tax, with the bulk of revenue collected from the residential property sector, collections are subject to the volatile nature of consumer sentiment</w:t>
      </w:r>
      <w:r>
        <w:fldChar w:fldCharType="begin"/>
      </w:r>
      <w:r>
        <w:instrText xml:space="preserve"> XE "</w:instrText>
      </w:r>
      <w:r w:rsidRPr="000B0439">
        <w:instrText>Consumer sentiment</w:instrText>
      </w:r>
      <w:r>
        <w:instrText xml:space="preserve">" </w:instrText>
      </w:r>
      <w:r>
        <w:fldChar w:fldCharType="end"/>
      </w:r>
      <w:r>
        <w:t>. In 2006</w:t>
      </w:r>
      <w:r>
        <w:noBreakHyphen/>
        <w:t>07, both house prices and volumes were in growth phases, and in the second half of the financial year consumer sentiment</w:t>
      </w:r>
      <w:r>
        <w:fldChar w:fldCharType="begin"/>
      </w:r>
      <w:r>
        <w:instrText xml:space="preserve"> XE "</w:instrText>
      </w:r>
      <w:r w:rsidRPr="00CC400F">
        <w:instrText>Consumer sentiment</w:instrText>
      </w:r>
      <w:r>
        <w:instrText xml:space="preserve">" </w:instrText>
      </w:r>
      <w:r>
        <w:fldChar w:fldCharType="end"/>
      </w:r>
      <w:r>
        <w:t xml:space="preserve"> was well above historical averages.</w:t>
      </w:r>
    </w:p>
    <w:p w:rsidR="00116054" w:rsidRDefault="00116054" w:rsidP="000D5048">
      <w:r>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116054" w:rsidRDefault="00116054">
      <w:pPr>
        <w:spacing w:after="0"/>
      </w:pPr>
      <w:r>
        <w:br w:type="page"/>
      </w:r>
    </w:p>
    <w:p w:rsidR="00116054" w:rsidRDefault="00116054" w:rsidP="005D22F0">
      <w:r w:rsidRPr="00B124B5">
        <w:lastRenderedPageBreak/>
        <w:t>As payroll tax</w:t>
      </w:r>
      <w:r>
        <w:fldChar w:fldCharType="begin"/>
      </w:r>
      <w:r>
        <w:instrText xml:space="preserve"> XE "</w:instrText>
      </w:r>
      <w:proofErr w:type="spellStart"/>
      <w:r w:rsidRPr="0059700F">
        <w:rPr>
          <w:lang w:val="en-US"/>
        </w:rPr>
        <w:instrText>Taxation:Payroll</w:instrText>
      </w:r>
      <w:proofErr w:type="spellEnd"/>
      <w:r w:rsidRPr="0059700F">
        <w:rPr>
          <w:lang w:val="en-US"/>
        </w:rPr>
        <w:instrText xml:space="preserve"> tax</w:instrText>
      </w:r>
      <w:r>
        <w:instrText xml:space="preserve">" </w:instrText>
      </w:r>
      <w:r>
        <w:fldChar w:fldCharType="end"/>
      </w:r>
      <w:r w:rsidRPr="00B124B5">
        <w:t xml:space="preserve"> is levied on the stock of employees, forecast error</w:t>
      </w:r>
      <w:r>
        <w:t>s</w:t>
      </w:r>
      <w:r w:rsidRPr="00B124B5">
        <w:t xml:space="preserve"> in growth </w:t>
      </w:r>
      <w:r>
        <w:t xml:space="preserve">are </w:t>
      </w:r>
      <w:r w:rsidRPr="00B124B5">
        <w:t>unlikely to have a large effect on revenue from this line. This proved to be the case in 2006</w:t>
      </w:r>
      <w:r>
        <w:noBreakHyphen/>
      </w:r>
      <w:r w:rsidRPr="00B124B5">
        <w:t>07. Despite growth in employment being two percentage points higher than anticipated, the 2006</w:t>
      </w:r>
      <w:r>
        <w:noBreakHyphen/>
      </w:r>
      <w:r w:rsidRPr="00B124B5">
        <w:t>07 outcome for payroll tax was largely consistent with budgeted estimates. This suggests a disconnect at that time between Victoria</w:t>
      </w:r>
      <w:r>
        <w:t>’</w:t>
      </w:r>
      <w:r w:rsidRPr="00B124B5">
        <w:t>s labour market</w:t>
      </w:r>
      <w:r>
        <w:fldChar w:fldCharType="begin"/>
      </w:r>
      <w:r>
        <w:instrText xml:space="preserve"> XE "</w:instrText>
      </w:r>
      <w:r w:rsidRPr="00AA46A9">
        <w:instrText>Labour market</w:instrText>
      </w:r>
      <w:r>
        <w:instrText xml:space="preserve">" </w:instrText>
      </w:r>
      <w:r>
        <w:fldChar w:fldCharType="end"/>
      </w:r>
      <w:r w:rsidRPr="00B124B5">
        <w:t xml:space="preserve"> performance and payroll tax collections, and may have occurred because payroll tax is levied on a small share of Victorian businesses, which may not necessarily have been the drivers of growth.</w:t>
      </w:r>
    </w:p>
    <w:p w:rsidR="00116054" w:rsidRDefault="00116054" w:rsidP="005D22F0">
      <w:pPr>
        <w:pStyle w:val="Tableheading"/>
      </w:pPr>
      <w:r>
        <w:t>Table A.3:</w:t>
      </w:r>
      <w:r>
        <w:tab/>
        <w:t xml:space="preserve">Actual deviations of key revenue lines from </w:t>
      </w:r>
      <w:r>
        <w:rPr>
          <w:i/>
        </w:rPr>
        <w:t>2006</w:t>
      </w:r>
      <w:r>
        <w:rPr>
          <w:i/>
        </w:rPr>
        <w:noBreakHyphen/>
        <w:t>07 Budget</w:t>
      </w:r>
      <w:r>
        <w:t xml:space="preserve"> forecasts</w:t>
      </w:r>
    </w:p>
    <w:p w:rsidR="00116054" w:rsidRPr="00F01379" w:rsidRDefault="00116054" w:rsidP="00307ED8">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116054" w:rsidRPr="00F01379" w:rsidTr="00307ED8">
        <w:tc>
          <w:tcPr>
            <w:tcW w:w="3784" w:type="dxa"/>
            <w:tcBorders>
              <w:top w:val="single" w:sz="6" w:space="0" w:color="000000"/>
              <w:left w:val="single" w:sz="6" w:space="0" w:color="000000"/>
            </w:tcBorders>
            <w:shd w:val="clear" w:color="000000" w:fill="000000"/>
          </w:tcPr>
          <w:p w:rsidR="00116054" w:rsidRPr="00F01379" w:rsidRDefault="00116054" w:rsidP="00307ED8">
            <w:pPr>
              <w:pStyle w:val="Tabletext"/>
              <w:keepNext/>
              <w:rPr>
                <w:rFonts w:eastAsiaTheme="minorEastAsia"/>
                <w:lang w:eastAsia="en-AU"/>
              </w:rPr>
            </w:pPr>
            <w:r w:rsidRPr="00F01379">
              <w:rPr>
                <w:rFonts w:eastAsiaTheme="minorEastAsia"/>
                <w:lang w:eastAsia="en-AU"/>
              </w:rPr>
              <w:t xml:space="preserve"> </w:t>
            </w:r>
          </w:p>
        </w:tc>
        <w:tc>
          <w:tcPr>
            <w:tcW w:w="994" w:type="dxa"/>
            <w:tcBorders>
              <w:top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2006</w:t>
            </w:r>
            <w:r>
              <w:rPr>
                <w:rFonts w:eastAsiaTheme="minorEastAsia"/>
                <w:color w:val="FFFFFF"/>
                <w:lang w:eastAsia="en-AU"/>
              </w:rPr>
              <w:noBreakHyphen/>
            </w:r>
            <w:r w:rsidRPr="00F01379">
              <w:rPr>
                <w:rFonts w:eastAsiaTheme="minorEastAsia"/>
                <w:color w:val="FFFFFF"/>
                <w:lang w:eastAsia="en-AU"/>
              </w:rPr>
              <w:t>07</w:t>
            </w:r>
          </w:p>
        </w:tc>
        <w:tc>
          <w:tcPr>
            <w:tcW w:w="994" w:type="dxa"/>
            <w:tcBorders>
              <w:top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2006</w:t>
            </w:r>
            <w:r>
              <w:rPr>
                <w:rFonts w:eastAsiaTheme="minorEastAsia"/>
                <w:color w:val="FFFFFF"/>
                <w:lang w:eastAsia="en-AU"/>
              </w:rPr>
              <w:noBreakHyphen/>
            </w:r>
            <w:r w:rsidRPr="00F01379">
              <w:rPr>
                <w:rFonts w:eastAsiaTheme="minorEastAsia"/>
                <w:color w:val="FFFFFF"/>
                <w:lang w:eastAsia="en-AU"/>
              </w:rPr>
              <w:t>07</w:t>
            </w:r>
          </w:p>
        </w:tc>
        <w:tc>
          <w:tcPr>
            <w:tcW w:w="994" w:type="dxa"/>
            <w:tcBorders>
              <w:top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Forecast</w:t>
            </w:r>
          </w:p>
        </w:tc>
        <w:tc>
          <w:tcPr>
            <w:tcW w:w="994" w:type="dxa"/>
            <w:tcBorders>
              <w:top w:val="single" w:sz="6" w:space="0" w:color="000000"/>
              <w:right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 xml:space="preserve">Forecast </w:t>
            </w:r>
          </w:p>
        </w:tc>
      </w:tr>
      <w:tr w:rsidR="00116054" w:rsidRPr="00F01379" w:rsidTr="00307ED8">
        <w:tc>
          <w:tcPr>
            <w:tcW w:w="3784" w:type="dxa"/>
            <w:tcBorders>
              <w:top w:val="nil"/>
              <w:left w:val="single" w:sz="6" w:space="0" w:color="000000"/>
              <w:bottom w:val="single" w:sz="6" w:space="0" w:color="000000"/>
            </w:tcBorders>
            <w:shd w:val="clear" w:color="000000" w:fill="000000"/>
          </w:tcPr>
          <w:p w:rsidR="00116054" w:rsidRPr="00F01379" w:rsidRDefault="00116054" w:rsidP="00307ED8">
            <w:pPr>
              <w:pStyle w:val="Tabletext"/>
              <w:keepNext/>
              <w:rPr>
                <w:rFonts w:eastAsiaTheme="minorEastAsia"/>
                <w:lang w:eastAsia="en-AU"/>
              </w:rPr>
            </w:pPr>
          </w:p>
        </w:tc>
        <w:tc>
          <w:tcPr>
            <w:tcW w:w="994" w:type="dxa"/>
            <w:tcBorders>
              <w:top w:val="nil"/>
              <w:bottom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budget</w:t>
            </w:r>
          </w:p>
        </w:tc>
        <w:tc>
          <w:tcPr>
            <w:tcW w:w="994" w:type="dxa"/>
            <w:tcBorders>
              <w:top w:val="nil"/>
              <w:bottom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actual</w:t>
            </w:r>
          </w:p>
        </w:tc>
        <w:tc>
          <w:tcPr>
            <w:tcW w:w="994" w:type="dxa"/>
            <w:tcBorders>
              <w:top w:val="nil"/>
              <w:bottom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error</w:t>
            </w:r>
          </w:p>
        </w:tc>
        <w:tc>
          <w:tcPr>
            <w:tcW w:w="994" w:type="dxa"/>
            <w:tcBorders>
              <w:top w:val="nil"/>
              <w:bottom w:val="single" w:sz="6" w:space="0" w:color="000000"/>
              <w:right w:val="single" w:sz="6" w:space="0" w:color="000000"/>
            </w:tcBorders>
            <w:shd w:val="clear" w:color="000000" w:fill="000000"/>
          </w:tcPr>
          <w:p w:rsidR="00116054" w:rsidRPr="00F01379" w:rsidRDefault="00116054" w:rsidP="00307ED8">
            <w:pPr>
              <w:pStyle w:val="Tabletextheading"/>
              <w:keepNext/>
              <w:rPr>
                <w:rFonts w:eastAsiaTheme="minorEastAsia"/>
                <w:color w:val="FFFFFF"/>
                <w:lang w:eastAsia="en-AU"/>
              </w:rPr>
            </w:pPr>
            <w:r w:rsidRPr="00F01379">
              <w:rPr>
                <w:rFonts w:eastAsiaTheme="minorEastAsia"/>
                <w:color w:val="FFFFFF"/>
                <w:lang w:eastAsia="en-AU"/>
              </w:rPr>
              <w:t>error (%)</w:t>
            </w:r>
          </w:p>
        </w:tc>
      </w:tr>
      <w:tr w:rsidR="00116054" w:rsidRPr="00F01379" w:rsidTr="00307ED8">
        <w:tc>
          <w:tcPr>
            <w:tcW w:w="3784" w:type="dxa"/>
            <w:tcBorders>
              <w:top w:val="single" w:sz="6" w:space="0" w:color="000000"/>
              <w:left w:val="nil"/>
              <w:bottom w:val="nil"/>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Payroll taxes</w:t>
            </w:r>
          </w:p>
        </w:tc>
        <w:tc>
          <w:tcPr>
            <w:tcW w:w="994"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3 418</w:t>
            </w:r>
          </w:p>
        </w:tc>
        <w:tc>
          <w:tcPr>
            <w:tcW w:w="994"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3 479</w:t>
            </w:r>
          </w:p>
        </w:tc>
        <w:tc>
          <w:tcPr>
            <w:tcW w:w="994"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 61</w:t>
            </w:r>
          </w:p>
        </w:tc>
        <w:tc>
          <w:tcPr>
            <w:tcW w:w="994" w:type="dxa"/>
            <w:tcBorders>
              <w:top w:val="single" w:sz="6" w:space="0" w:color="000000"/>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2 </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Land transfer duty</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2 424</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2 961</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 537</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22 </w:t>
            </w:r>
          </w:p>
        </w:tc>
      </w:tr>
      <w:tr w:rsidR="00116054" w:rsidRPr="00F01379" w:rsidTr="00307ED8">
        <w:tc>
          <w:tcPr>
            <w:tcW w:w="3784" w:type="dxa"/>
            <w:tcBorders>
              <w:top w:val="nil"/>
              <w:left w:val="nil"/>
              <w:bottom w:val="single" w:sz="6" w:space="0" w:color="auto"/>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Other own</w:t>
            </w:r>
            <w:r>
              <w:rPr>
                <w:rFonts w:eastAsiaTheme="minorEastAsia"/>
                <w:lang w:eastAsia="en-AU"/>
              </w:rPr>
              <w:noBreakHyphen/>
            </w:r>
            <w:r w:rsidRPr="00F01379">
              <w:rPr>
                <w:rFonts w:eastAsiaTheme="minorEastAsia"/>
                <w:lang w:eastAsia="en-AU"/>
              </w:rPr>
              <w:t>sourced revenue</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5 129</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5 262</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 133</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3 </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keepNext/>
              <w:rPr>
                <w:rFonts w:eastAsiaTheme="minorEastAsia"/>
                <w:b/>
                <w:bCs/>
                <w:lang w:eastAsia="en-AU"/>
              </w:rPr>
            </w:pPr>
            <w:r w:rsidRPr="00F01379">
              <w:rPr>
                <w:rFonts w:eastAsiaTheme="minorEastAsia"/>
                <w:b/>
                <w:bCs/>
                <w:lang w:eastAsia="en-AU"/>
              </w:rPr>
              <w:t>Taxation revenue</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10 971</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11 702</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 xml:space="preserve"> 731</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lang w:eastAsia="en-AU"/>
              </w:rPr>
            </w:pPr>
            <w:r w:rsidRPr="00F01379">
              <w:rPr>
                <w:rFonts w:eastAsiaTheme="minorEastAsia"/>
                <w:b/>
                <w:lang w:eastAsia="en-AU"/>
              </w:rPr>
              <w:t xml:space="preserve">7 </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Other revenue</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13 002</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14 600</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1 598</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12 </w:t>
            </w:r>
          </w:p>
        </w:tc>
      </w:tr>
      <w:tr w:rsidR="00116054" w:rsidRPr="00F01379" w:rsidTr="00307ED8">
        <w:tc>
          <w:tcPr>
            <w:tcW w:w="3784" w:type="dxa"/>
            <w:tcBorders>
              <w:top w:val="nil"/>
              <w:left w:val="nil"/>
              <w:bottom w:val="single" w:sz="6" w:space="0" w:color="auto"/>
              <w:right w:val="nil"/>
            </w:tcBorders>
          </w:tcPr>
          <w:p w:rsidR="00116054" w:rsidRPr="00F01379" w:rsidRDefault="00116054" w:rsidP="00307ED8">
            <w:pPr>
              <w:pStyle w:val="Tabletext"/>
              <w:keepNext/>
              <w:rPr>
                <w:rFonts w:eastAsiaTheme="minorEastAsia"/>
                <w:lang w:eastAsia="en-AU"/>
              </w:rPr>
            </w:pPr>
            <w:r w:rsidRPr="00F01379">
              <w:rPr>
                <w:rFonts w:eastAsiaTheme="minorEastAsia"/>
                <w:lang w:eastAsia="en-AU"/>
              </w:rPr>
              <w:t>GST</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8 469</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8 584</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 114</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lang w:eastAsia="en-AU"/>
              </w:rPr>
            </w:pPr>
            <w:r w:rsidRPr="00F01379">
              <w:rPr>
                <w:rFonts w:eastAsiaTheme="minorEastAsia"/>
                <w:lang w:eastAsia="en-AU"/>
              </w:rPr>
              <w:t xml:space="preserve">1 </w:t>
            </w:r>
          </w:p>
        </w:tc>
      </w:tr>
      <w:tr w:rsidR="00116054" w:rsidRPr="00F01379" w:rsidTr="00307ED8">
        <w:tc>
          <w:tcPr>
            <w:tcW w:w="3784" w:type="dxa"/>
            <w:tcBorders>
              <w:top w:val="nil"/>
              <w:left w:val="nil"/>
              <w:bottom w:val="nil"/>
              <w:right w:val="nil"/>
            </w:tcBorders>
          </w:tcPr>
          <w:p w:rsidR="00116054" w:rsidRPr="00F01379" w:rsidRDefault="00116054" w:rsidP="00307ED8">
            <w:pPr>
              <w:pStyle w:val="Tabletext"/>
              <w:keepNext/>
              <w:rPr>
                <w:rFonts w:eastAsiaTheme="minorEastAsia"/>
                <w:b/>
                <w:bCs/>
                <w:lang w:eastAsia="en-AU"/>
              </w:rPr>
            </w:pPr>
            <w:r w:rsidRPr="00F01379">
              <w:rPr>
                <w:rFonts w:eastAsiaTheme="minorEastAsia"/>
                <w:b/>
                <w:bCs/>
                <w:lang w:eastAsia="en-AU"/>
              </w:rPr>
              <w:t>Total revenue</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32 442</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34 886</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2 444</w:t>
            </w:r>
          </w:p>
        </w:tc>
        <w:tc>
          <w:tcPr>
            <w:tcW w:w="994" w:type="dxa"/>
            <w:tcBorders>
              <w:top w:val="nil"/>
              <w:left w:val="nil"/>
              <w:bottom w:val="nil"/>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 xml:space="preserve">8 </w:t>
            </w:r>
          </w:p>
        </w:tc>
      </w:tr>
      <w:tr w:rsidR="00116054" w:rsidRPr="00F01379" w:rsidTr="00307ED8">
        <w:tc>
          <w:tcPr>
            <w:tcW w:w="3784" w:type="dxa"/>
            <w:tcBorders>
              <w:top w:val="nil"/>
              <w:left w:val="nil"/>
              <w:bottom w:val="single" w:sz="6" w:space="0" w:color="auto"/>
              <w:right w:val="nil"/>
            </w:tcBorders>
          </w:tcPr>
          <w:p w:rsidR="00116054" w:rsidRPr="00F01379" w:rsidRDefault="00116054" w:rsidP="00307ED8">
            <w:pPr>
              <w:pStyle w:val="Tabletext"/>
              <w:keepNext/>
              <w:rPr>
                <w:rFonts w:eastAsiaTheme="minorEastAsia"/>
                <w:b/>
                <w:bCs/>
                <w:lang w:eastAsia="en-AU"/>
              </w:rPr>
            </w:pPr>
            <w:r w:rsidRPr="00F01379">
              <w:rPr>
                <w:rFonts w:eastAsiaTheme="minorEastAsia"/>
                <w:b/>
                <w:bCs/>
                <w:lang w:eastAsia="en-AU"/>
              </w:rPr>
              <w:t>Total expenses</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32 125</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33 551</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1 426</w:t>
            </w:r>
          </w:p>
        </w:tc>
        <w:tc>
          <w:tcPr>
            <w:tcW w:w="994" w:type="dxa"/>
            <w:tcBorders>
              <w:top w:val="nil"/>
              <w:left w:val="nil"/>
              <w:bottom w:val="single" w:sz="6" w:space="0" w:color="auto"/>
              <w:right w:val="nil"/>
            </w:tcBorders>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 xml:space="preserve">4 </w:t>
            </w:r>
          </w:p>
        </w:tc>
      </w:tr>
      <w:tr w:rsidR="00116054" w:rsidRPr="00F01379" w:rsidTr="00307ED8">
        <w:tc>
          <w:tcPr>
            <w:tcW w:w="3784" w:type="dxa"/>
            <w:tcBorders>
              <w:top w:val="single" w:sz="6" w:space="0" w:color="auto"/>
              <w:left w:val="nil"/>
              <w:bottom w:val="single" w:sz="12" w:space="0" w:color="000000"/>
              <w:right w:val="nil"/>
            </w:tcBorders>
            <w:shd w:val="clear" w:color="auto" w:fill="auto"/>
          </w:tcPr>
          <w:p w:rsidR="00116054" w:rsidRPr="00F01379" w:rsidRDefault="00116054" w:rsidP="00307ED8">
            <w:pPr>
              <w:pStyle w:val="Tabletext"/>
              <w:keepNext/>
              <w:rPr>
                <w:rFonts w:eastAsiaTheme="minorEastAsia"/>
                <w:b/>
                <w:bCs/>
                <w:lang w:eastAsia="en-AU"/>
              </w:rPr>
            </w:pPr>
            <w:r w:rsidRPr="00F01379">
              <w:rPr>
                <w:rFonts w:eastAsiaTheme="minorEastAsia"/>
                <w:b/>
                <w:bCs/>
                <w:lang w:eastAsia="en-AU"/>
              </w:rPr>
              <w:t>Net result from transactions</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 xml:space="preserve"> 317</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1 335</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1 018</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307ED8">
            <w:pPr>
              <w:pStyle w:val="TableofFigures"/>
              <w:keepNext/>
              <w:rPr>
                <w:rFonts w:eastAsiaTheme="minorEastAsia"/>
                <w:b/>
                <w:bCs/>
                <w:lang w:eastAsia="en-AU"/>
              </w:rPr>
            </w:pPr>
            <w:r w:rsidRPr="00F01379">
              <w:rPr>
                <w:rFonts w:eastAsiaTheme="minorEastAsia"/>
                <w:b/>
                <w:bCs/>
                <w:lang w:eastAsia="en-AU"/>
              </w:rPr>
              <w:t xml:space="preserve">321 </w:t>
            </w:r>
          </w:p>
        </w:tc>
      </w:tr>
    </w:tbl>
    <w:p w:rsidR="00116054" w:rsidRDefault="00116054" w:rsidP="003A52CF">
      <w:pPr>
        <w:pStyle w:val="Source"/>
      </w:pPr>
      <w:r>
        <w:t>Source: Department of Treasury and Finance</w:t>
      </w:r>
      <w:r>
        <w:fldChar w:fldCharType="begin"/>
      </w:r>
      <w:r>
        <w:instrText xml:space="preserve"> XE "</w:instrText>
      </w:r>
      <w:r w:rsidRPr="00D94382">
        <w:instrText>Economic growth</w:instrText>
      </w:r>
      <w:r>
        <w:instrText xml:space="preserve">" \r "BP2EcoGrowth1" </w:instrText>
      </w:r>
      <w:r>
        <w:fldChar w:fldCharType="end"/>
      </w:r>
    </w:p>
    <w:bookmarkEnd w:id="130"/>
    <w:p w:rsidR="00116054" w:rsidRDefault="00116054" w:rsidP="009A4836">
      <w:pPr>
        <w:pStyle w:val="Heading2"/>
      </w:pPr>
      <w:r>
        <w:t>2008</w:t>
      </w:r>
      <w:r>
        <w:noBreakHyphen/>
        <w:t>09 – global financial crisis</w:t>
      </w:r>
    </w:p>
    <w:p w:rsidR="00116054" w:rsidRDefault="00116054" w:rsidP="005D22F0">
      <w:r>
        <w:t>A situation where economic growth was overestimated is shown in Table A.4. The largest forecast errors occurred in real GSP and consumption. Relatively small errors occurred in employment as employers chose to reduce hours and accept productivity falls rather than lay off staff. Consumer prices and wages</w:t>
      </w:r>
      <w:r>
        <w:fldChar w:fldCharType="begin"/>
      </w:r>
      <w:r>
        <w:instrText xml:space="preserve"> XE "</w:instrText>
      </w:r>
      <w:r w:rsidRPr="008111AB">
        <w:instrText>Wages</w:instrText>
      </w:r>
      <w:r>
        <w:instrText xml:space="preserve">" </w:instrText>
      </w:r>
      <w:r>
        <w:fldChar w:fldCharType="end"/>
      </w:r>
      <w:r>
        <w:t xml:space="preserve"> were less affected by the global financial crisis and consequently the level of forecast error was much lower for these variables.</w:t>
      </w:r>
    </w:p>
    <w:p w:rsidR="00116054" w:rsidRDefault="00116054" w:rsidP="005D22F0">
      <w:pPr>
        <w:pStyle w:val="Tableheading"/>
      </w:pPr>
      <w:r>
        <w:t>Table A.4:</w:t>
      </w:r>
      <w:r>
        <w:tab/>
        <w:t xml:space="preserve">Actual deviations of growth rates of key economic variables from </w:t>
      </w:r>
      <w:r>
        <w:rPr>
          <w:i/>
        </w:rPr>
        <w:t>2008</w:t>
      </w:r>
      <w:r>
        <w:rPr>
          <w:i/>
        </w:rPr>
        <w:noBreakHyphen/>
        <w:t>09</w:t>
      </w:r>
      <w:r>
        <w:t xml:space="preserve"> </w:t>
      </w:r>
      <w:r>
        <w:rPr>
          <w:i/>
        </w:rPr>
        <w:t>Budget</w:t>
      </w:r>
      <w:r>
        <w:t xml:space="preserve"> forecasts</w:t>
      </w:r>
    </w:p>
    <w:p w:rsidR="00116054" w:rsidRPr="00F01379" w:rsidRDefault="00116054" w:rsidP="00307ED8">
      <w:pPr>
        <w:pStyle w:val="million"/>
        <w:rPr>
          <w:rFonts w:ascii="Times New Roman" w:hAnsi="Times New Roman"/>
          <w:i w:val="0"/>
          <w:sz w:val="20"/>
          <w:szCs w:val="20"/>
          <w:lang w:eastAsia="en-AU"/>
        </w:rPr>
      </w:pPr>
      <w:r>
        <w:t>(per cent)</w:t>
      </w:r>
    </w:p>
    <w:tbl>
      <w:tblPr>
        <w:tblW w:w="7760" w:type="dxa"/>
        <w:tblInd w:w="28" w:type="dxa"/>
        <w:tblLayout w:type="fixed"/>
        <w:tblCellMar>
          <w:left w:w="45" w:type="dxa"/>
          <w:right w:w="45" w:type="dxa"/>
        </w:tblCellMar>
        <w:tblLook w:val="0000" w:firstRow="0" w:lastRow="0" w:firstColumn="0" w:lastColumn="0" w:noHBand="0" w:noVBand="0"/>
      </w:tblPr>
      <w:tblGrid>
        <w:gridCol w:w="4640"/>
        <w:gridCol w:w="1040"/>
        <w:gridCol w:w="1040"/>
        <w:gridCol w:w="1040"/>
      </w:tblGrid>
      <w:tr w:rsidR="00116054" w:rsidRPr="00F01379" w:rsidTr="00307ED8">
        <w:tc>
          <w:tcPr>
            <w:tcW w:w="4640" w:type="dxa"/>
            <w:tcBorders>
              <w:top w:val="single" w:sz="6" w:space="0" w:color="000000"/>
              <w:left w:val="single" w:sz="6" w:space="0" w:color="000000"/>
            </w:tcBorders>
            <w:shd w:val="clear" w:color="000000" w:fill="000000"/>
          </w:tcPr>
          <w:p w:rsidR="00116054" w:rsidRPr="00F01379" w:rsidRDefault="00116054" w:rsidP="00307ED8">
            <w:pPr>
              <w:pStyle w:val="Tabletext"/>
              <w:rPr>
                <w:rFonts w:eastAsiaTheme="minorEastAsia"/>
                <w:lang w:eastAsia="en-AU"/>
              </w:rPr>
            </w:pPr>
            <w:r w:rsidRPr="00F01379">
              <w:rPr>
                <w:rFonts w:eastAsiaTheme="minorEastAsia"/>
                <w:lang w:eastAsia="en-AU"/>
              </w:rPr>
              <w:t xml:space="preserve"> </w:t>
            </w:r>
          </w:p>
        </w:tc>
        <w:tc>
          <w:tcPr>
            <w:tcW w:w="1040" w:type="dxa"/>
            <w:tcBorders>
              <w:top w:val="single" w:sz="6" w:space="0" w:color="000000"/>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2008</w:t>
            </w:r>
            <w:r>
              <w:rPr>
                <w:rFonts w:eastAsiaTheme="minorEastAsia"/>
                <w:color w:val="FFFFFF"/>
                <w:lang w:eastAsia="en-AU"/>
              </w:rPr>
              <w:noBreakHyphen/>
            </w:r>
            <w:r w:rsidRPr="00F01379">
              <w:rPr>
                <w:rFonts w:eastAsiaTheme="minorEastAsia"/>
                <w:color w:val="FFFFFF"/>
                <w:lang w:eastAsia="en-AU"/>
              </w:rPr>
              <w:t>09</w:t>
            </w:r>
          </w:p>
        </w:tc>
        <w:tc>
          <w:tcPr>
            <w:tcW w:w="1040" w:type="dxa"/>
            <w:tcBorders>
              <w:top w:val="single" w:sz="6" w:space="0" w:color="000000"/>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2008</w:t>
            </w:r>
            <w:r>
              <w:rPr>
                <w:rFonts w:eastAsiaTheme="minorEastAsia"/>
                <w:color w:val="FFFFFF"/>
                <w:lang w:eastAsia="en-AU"/>
              </w:rPr>
              <w:noBreakHyphen/>
            </w:r>
            <w:r w:rsidRPr="00F01379">
              <w:rPr>
                <w:rFonts w:eastAsiaTheme="minorEastAsia"/>
                <w:color w:val="FFFFFF"/>
                <w:lang w:eastAsia="en-AU"/>
              </w:rPr>
              <w:t>09</w:t>
            </w:r>
          </w:p>
        </w:tc>
        <w:tc>
          <w:tcPr>
            <w:tcW w:w="1040" w:type="dxa"/>
            <w:tcBorders>
              <w:top w:val="single" w:sz="6" w:space="0" w:color="000000"/>
              <w:right w:val="single" w:sz="6" w:space="0" w:color="000000"/>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Forecast</w:t>
            </w:r>
          </w:p>
        </w:tc>
      </w:tr>
      <w:tr w:rsidR="00116054" w:rsidRPr="00F01379" w:rsidTr="00307ED8">
        <w:tc>
          <w:tcPr>
            <w:tcW w:w="4640" w:type="dxa"/>
            <w:tcBorders>
              <w:top w:val="nil"/>
              <w:left w:val="single" w:sz="6" w:space="0" w:color="000000"/>
              <w:bottom w:val="single" w:sz="6" w:space="0" w:color="000000"/>
            </w:tcBorders>
            <w:shd w:val="clear" w:color="000000" w:fill="000000"/>
          </w:tcPr>
          <w:p w:rsidR="00116054" w:rsidRPr="00F01379" w:rsidRDefault="00116054" w:rsidP="00307ED8">
            <w:pPr>
              <w:pStyle w:val="Tabletext"/>
              <w:rPr>
                <w:rFonts w:eastAsiaTheme="minorEastAsia"/>
                <w:lang w:eastAsia="en-AU"/>
              </w:rPr>
            </w:pPr>
            <w:r w:rsidRPr="00F01379">
              <w:rPr>
                <w:rFonts w:eastAsiaTheme="minorEastAsia"/>
                <w:lang w:eastAsia="en-AU"/>
              </w:rPr>
              <w:t xml:space="preserve"> </w:t>
            </w:r>
          </w:p>
        </w:tc>
        <w:tc>
          <w:tcPr>
            <w:tcW w:w="1040" w:type="dxa"/>
            <w:tcBorders>
              <w:top w:val="nil"/>
              <w:bottom w:val="single" w:sz="6" w:space="0" w:color="000000"/>
            </w:tcBorders>
            <w:shd w:val="clear" w:color="000000" w:fill="000000"/>
          </w:tcPr>
          <w:p w:rsidR="00116054" w:rsidRPr="00F01379" w:rsidRDefault="00116054" w:rsidP="00307ED8">
            <w:pPr>
              <w:pStyle w:val="Tabletextheading"/>
              <w:rPr>
                <w:rFonts w:eastAsiaTheme="minorEastAsia"/>
                <w:color w:val="FFFFFF"/>
                <w:vertAlign w:val="superscript"/>
                <w:lang w:eastAsia="en-AU"/>
              </w:rPr>
            </w:pPr>
            <w:r w:rsidRPr="00F01379">
              <w:rPr>
                <w:rFonts w:eastAsiaTheme="minorEastAsia"/>
                <w:color w:val="FFFFFF"/>
                <w:lang w:eastAsia="en-AU"/>
              </w:rPr>
              <w:t xml:space="preserve">budget </w:t>
            </w:r>
            <w:r w:rsidRPr="00F01379">
              <w:rPr>
                <w:rFonts w:eastAsiaTheme="minorEastAsia"/>
                <w:color w:val="FFFFFF"/>
                <w:vertAlign w:val="superscript"/>
                <w:lang w:eastAsia="en-AU"/>
              </w:rPr>
              <w:t>(a)</w:t>
            </w:r>
          </w:p>
        </w:tc>
        <w:tc>
          <w:tcPr>
            <w:tcW w:w="1040" w:type="dxa"/>
            <w:tcBorders>
              <w:top w:val="nil"/>
              <w:bottom w:val="single" w:sz="6" w:space="0" w:color="000000"/>
            </w:tcBorders>
            <w:shd w:val="clear" w:color="000000" w:fill="000000"/>
          </w:tcPr>
          <w:p w:rsidR="00116054" w:rsidRPr="00F01379" w:rsidRDefault="00116054" w:rsidP="00307ED8">
            <w:pPr>
              <w:pStyle w:val="Tabletextheading"/>
              <w:rPr>
                <w:rFonts w:eastAsiaTheme="minorEastAsia"/>
                <w:color w:val="FFFFFF"/>
                <w:lang w:eastAsia="en-AU"/>
              </w:rPr>
            </w:pPr>
            <w:r w:rsidRPr="00F01379">
              <w:rPr>
                <w:rFonts w:eastAsiaTheme="minorEastAsia"/>
                <w:color w:val="FFFFFF"/>
                <w:lang w:eastAsia="en-AU"/>
              </w:rPr>
              <w:t>actual</w:t>
            </w:r>
          </w:p>
        </w:tc>
        <w:tc>
          <w:tcPr>
            <w:tcW w:w="1040" w:type="dxa"/>
            <w:tcBorders>
              <w:top w:val="nil"/>
              <w:bottom w:val="single" w:sz="6" w:space="0" w:color="000000"/>
              <w:right w:val="single" w:sz="6" w:space="0" w:color="000000"/>
            </w:tcBorders>
            <w:shd w:val="clear" w:color="000000" w:fill="000000"/>
          </w:tcPr>
          <w:p w:rsidR="00116054" w:rsidRPr="00F01379" w:rsidRDefault="00116054" w:rsidP="00307ED8">
            <w:pPr>
              <w:pStyle w:val="Tabletextheading"/>
              <w:rPr>
                <w:rFonts w:eastAsiaTheme="minorEastAsia"/>
                <w:color w:val="FFFFFF"/>
                <w:vertAlign w:val="superscript"/>
                <w:lang w:eastAsia="en-AU"/>
              </w:rPr>
            </w:pPr>
            <w:r w:rsidRPr="00F01379">
              <w:rPr>
                <w:rFonts w:eastAsiaTheme="minorEastAsia"/>
                <w:color w:val="FFFFFF"/>
                <w:lang w:eastAsia="en-AU"/>
              </w:rPr>
              <w:t xml:space="preserve">error </w:t>
            </w:r>
            <w:r w:rsidRPr="00F01379">
              <w:rPr>
                <w:rFonts w:eastAsiaTheme="minorEastAsia"/>
                <w:color w:val="FFFFFF"/>
                <w:vertAlign w:val="superscript"/>
                <w:lang w:eastAsia="en-AU"/>
              </w:rPr>
              <w:t>(b)</w:t>
            </w:r>
          </w:p>
        </w:tc>
      </w:tr>
      <w:tr w:rsidR="00116054" w:rsidRPr="00F01379" w:rsidTr="00307ED8">
        <w:tc>
          <w:tcPr>
            <w:tcW w:w="4640" w:type="dxa"/>
            <w:tcBorders>
              <w:top w:val="single" w:sz="6" w:space="0" w:color="000000"/>
              <w:left w:val="nil"/>
              <w:bottom w:val="nil"/>
              <w:right w:val="nil"/>
            </w:tcBorders>
          </w:tcPr>
          <w:p w:rsidR="00116054" w:rsidRPr="00F01379" w:rsidRDefault="00116054" w:rsidP="00307ED8">
            <w:pPr>
              <w:pStyle w:val="Tabletext"/>
              <w:rPr>
                <w:rFonts w:eastAsiaTheme="minorEastAsia"/>
                <w:lang w:eastAsia="en-AU"/>
              </w:rPr>
            </w:pPr>
            <w:r w:rsidRPr="00F01379">
              <w:rPr>
                <w:rFonts w:eastAsiaTheme="minorEastAsia"/>
                <w:lang w:eastAsia="en-AU"/>
              </w:rPr>
              <w:t>Real GSP</w:t>
            </w:r>
          </w:p>
        </w:tc>
        <w:tc>
          <w:tcPr>
            <w:tcW w:w="1040" w:type="dxa"/>
            <w:tcBorders>
              <w:top w:val="single" w:sz="6" w:space="0" w:color="000000"/>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3.0</w:t>
            </w:r>
          </w:p>
        </w:tc>
        <w:tc>
          <w:tcPr>
            <w:tcW w:w="1040" w:type="dxa"/>
            <w:tcBorders>
              <w:top w:val="single" w:sz="6" w:space="0" w:color="000000"/>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1.3</w:t>
            </w:r>
          </w:p>
        </w:tc>
        <w:tc>
          <w:tcPr>
            <w:tcW w:w="1040" w:type="dxa"/>
            <w:tcBorders>
              <w:top w:val="single" w:sz="6" w:space="0" w:color="000000"/>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(1.7)</w:t>
            </w:r>
          </w:p>
        </w:tc>
      </w:tr>
      <w:tr w:rsidR="00116054" w:rsidRPr="00F01379" w:rsidTr="00307ED8">
        <w:tc>
          <w:tcPr>
            <w:tcW w:w="4640" w:type="dxa"/>
            <w:tcBorders>
              <w:top w:val="nil"/>
              <w:left w:val="nil"/>
              <w:bottom w:val="nil"/>
              <w:right w:val="nil"/>
            </w:tcBorders>
          </w:tcPr>
          <w:p w:rsidR="00116054" w:rsidRPr="00F01379" w:rsidRDefault="00116054" w:rsidP="00307ED8">
            <w:pPr>
              <w:pStyle w:val="Tabletext"/>
              <w:rPr>
                <w:rFonts w:eastAsiaTheme="minorEastAsia"/>
                <w:lang w:eastAsia="en-AU"/>
              </w:rPr>
            </w:pPr>
            <w:r w:rsidRPr="00F01379">
              <w:rPr>
                <w:rFonts w:eastAsiaTheme="minorEastAsia"/>
                <w:lang w:eastAsia="en-AU"/>
              </w:rPr>
              <w:t>Consumption (unpublished)</w:t>
            </w:r>
          </w:p>
        </w:tc>
        <w:tc>
          <w:tcPr>
            <w:tcW w:w="1040" w:type="dxa"/>
            <w:tcBorders>
              <w:top w:val="nil"/>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2.8</w:t>
            </w:r>
          </w:p>
        </w:tc>
        <w:tc>
          <w:tcPr>
            <w:tcW w:w="1040" w:type="dxa"/>
            <w:tcBorders>
              <w:top w:val="nil"/>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0.2</w:t>
            </w:r>
          </w:p>
        </w:tc>
        <w:tc>
          <w:tcPr>
            <w:tcW w:w="1040" w:type="dxa"/>
            <w:tcBorders>
              <w:top w:val="nil"/>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(2.6)</w:t>
            </w:r>
          </w:p>
        </w:tc>
      </w:tr>
      <w:tr w:rsidR="00116054" w:rsidRPr="00F01379" w:rsidTr="00307ED8">
        <w:tc>
          <w:tcPr>
            <w:tcW w:w="4640" w:type="dxa"/>
            <w:tcBorders>
              <w:top w:val="nil"/>
              <w:left w:val="nil"/>
              <w:bottom w:val="nil"/>
              <w:right w:val="nil"/>
            </w:tcBorders>
          </w:tcPr>
          <w:p w:rsidR="00116054" w:rsidRPr="00F01379" w:rsidRDefault="00116054" w:rsidP="00307ED8">
            <w:pPr>
              <w:pStyle w:val="Tabletext"/>
              <w:rPr>
                <w:rFonts w:eastAsiaTheme="minorEastAsia"/>
                <w:lang w:eastAsia="en-AU"/>
              </w:rPr>
            </w:pPr>
            <w:r w:rsidRPr="00F01379">
              <w:rPr>
                <w:rFonts w:eastAsiaTheme="minorEastAsia"/>
                <w:lang w:eastAsia="en-AU"/>
              </w:rPr>
              <w:t>Employment</w:t>
            </w:r>
          </w:p>
        </w:tc>
        <w:tc>
          <w:tcPr>
            <w:tcW w:w="1040" w:type="dxa"/>
            <w:tcBorders>
              <w:top w:val="nil"/>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1.5</w:t>
            </w:r>
          </w:p>
        </w:tc>
        <w:tc>
          <w:tcPr>
            <w:tcW w:w="1040" w:type="dxa"/>
            <w:tcBorders>
              <w:top w:val="nil"/>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0.9</w:t>
            </w:r>
          </w:p>
        </w:tc>
        <w:tc>
          <w:tcPr>
            <w:tcW w:w="1040" w:type="dxa"/>
            <w:tcBorders>
              <w:top w:val="nil"/>
              <w:left w:val="nil"/>
              <w:bottom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(0.6)</w:t>
            </w:r>
          </w:p>
        </w:tc>
      </w:tr>
      <w:tr w:rsidR="00116054" w:rsidRPr="00F01379" w:rsidTr="00307ED8">
        <w:tc>
          <w:tcPr>
            <w:tcW w:w="4640" w:type="dxa"/>
            <w:tcBorders>
              <w:top w:val="nil"/>
              <w:left w:val="nil"/>
              <w:right w:val="nil"/>
            </w:tcBorders>
          </w:tcPr>
          <w:p w:rsidR="00116054" w:rsidRPr="00F01379" w:rsidRDefault="00116054" w:rsidP="00307ED8">
            <w:pPr>
              <w:pStyle w:val="Tabletext"/>
              <w:rPr>
                <w:rFonts w:eastAsiaTheme="minorEastAsia"/>
                <w:lang w:eastAsia="en-AU"/>
              </w:rPr>
            </w:pPr>
            <w:r w:rsidRPr="00F01379">
              <w:rPr>
                <w:rFonts w:eastAsiaTheme="minorEastAsia"/>
                <w:lang w:eastAsia="en-AU"/>
              </w:rPr>
              <w:t>Consumer price index</w:t>
            </w:r>
          </w:p>
        </w:tc>
        <w:tc>
          <w:tcPr>
            <w:tcW w:w="1040" w:type="dxa"/>
            <w:tcBorders>
              <w:top w:val="nil"/>
              <w:left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3.0</w:t>
            </w:r>
          </w:p>
        </w:tc>
        <w:tc>
          <w:tcPr>
            <w:tcW w:w="1040" w:type="dxa"/>
            <w:tcBorders>
              <w:top w:val="nil"/>
              <w:left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2.8</w:t>
            </w:r>
          </w:p>
        </w:tc>
        <w:tc>
          <w:tcPr>
            <w:tcW w:w="1040" w:type="dxa"/>
            <w:tcBorders>
              <w:top w:val="nil"/>
              <w:left w:val="nil"/>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(0.2)</w:t>
            </w:r>
          </w:p>
        </w:tc>
      </w:tr>
      <w:tr w:rsidR="00116054" w:rsidRPr="00F01379" w:rsidTr="00307ED8">
        <w:tc>
          <w:tcPr>
            <w:tcW w:w="4640" w:type="dxa"/>
            <w:tcBorders>
              <w:top w:val="nil"/>
              <w:left w:val="nil"/>
              <w:bottom w:val="single" w:sz="12" w:space="0" w:color="000000"/>
              <w:right w:val="nil"/>
            </w:tcBorders>
          </w:tcPr>
          <w:p w:rsidR="00116054" w:rsidRPr="00F01379" w:rsidRDefault="00116054" w:rsidP="00307ED8">
            <w:pPr>
              <w:pStyle w:val="Tabletext"/>
              <w:rPr>
                <w:rFonts w:eastAsiaTheme="minorEastAsia"/>
                <w:vertAlign w:val="superscript"/>
                <w:lang w:eastAsia="en-AU"/>
              </w:rPr>
            </w:pPr>
            <w:r w:rsidRPr="00F01379">
              <w:rPr>
                <w:rFonts w:eastAsiaTheme="minorEastAsia"/>
                <w:lang w:eastAsia="en-AU"/>
              </w:rPr>
              <w:t xml:space="preserve">Wage price index </w:t>
            </w:r>
            <w:r w:rsidRPr="00F01379">
              <w:rPr>
                <w:rFonts w:eastAsiaTheme="minorEastAsia"/>
                <w:vertAlign w:val="superscript"/>
                <w:lang w:eastAsia="en-AU"/>
              </w:rPr>
              <w:t>(c)</w:t>
            </w:r>
          </w:p>
        </w:tc>
        <w:tc>
          <w:tcPr>
            <w:tcW w:w="1040" w:type="dxa"/>
            <w:tcBorders>
              <w:top w:val="nil"/>
              <w:left w:val="nil"/>
              <w:bottom w:val="single" w:sz="12" w:space="0" w:color="000000"/>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3.8</w:t>
            </w:r>
          </w:p>
        </w:tc>
        <w:tc>
          <w:tcPr>
            <w:tcW w:w="1040" w:type="dxa"/>
            <w:tcBorders>
              <w:top w:val="nil"/>
              <w:left w:val="nil"/>
              <w:bottom w:val="single" w:sz="12" w:space="0" w:color="000000"/>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4.0</w:t>
            </w:r>
          </w:p>
        </w:tc>
        <w:tc>
          <w:tcPr>
            <w:tcW w:w="1040" w:type="dxa"/>
            <w:tcBorders>
              <w:top w:val="nil"/>
              <w:left w:val="nil"/>
              <w:bottom w:val="single" w:sz="12" w:space="0" w:color="000000"/>
              <w:right w:val="nil"/>
            </w:tcBorders>
            <w:shd w:val="solid" w:color="FFFFFF" w:fill="000000"/>
          </w:tcPr>
          <w:p w:rsidR="00116054" w:rsidRPr="00F01379" w:rsidRDefault="00116054" w:rsidP="00307ED8">
            <w:pPr>
              <w:pStyle w:val="TableofFigures"/>
              <w:rPr>
                <w:rFonts w:eastAsiaTheme="minorEastAsia"/>
                <w:lang w:eastAsia="en-AU"/>
              </w:rPr>
            </w:pPr>
            <w:r w:rsidRPr="00F01379">
              <w:rPr>
                <w:rFonts w:eastAsiaTheme="minorEastAsia"/>
                <w:lang w:eastAsia="en-AU"/>
              </w:rPr>
              <w:t>0.3</w:t>
            </w:r>
          </w:p>
        </w:tc>
      </w:tr>
    </w:tbl>
    <w:p w:rsidR="00116054" w:rsidRDefault="00116054" w:rsidP="005D22F0">
      <w:pPr>
        <w:pStyle w:val="Source"/>
      </w:pPr>
      <w:r>
        <w:t>Sources: Australian Bureau of Statistics; Department of Treasury and Finance</w:t>
      </w:r>
    </w:p>
    <w:p w:rsidR="00116054" w:rsidRDefault="00116054" w:rsidP="005D22F0">
      <w:pPr>
        <w:pStyle w:val="Notes"/>
      </w:pPr>
      <w:r>
        <w:t>Notes:</w:t>
      </w:r>
    </w:p>
    <w:p w:rsidR="00116054" w:rsidRDefault="00116054" w:rsidP="005D22F0">
      <w:pPr>
        <w:pStyle w:val="Notes"/>
      </w:pPr>
      <w:r>
        <w:t>(a)</w:t>
      </w:r>
      <w:r>
        <w:tab/>
        <w:t xml:space="preserve">Forecast in May 2008 for </w:t>
      </w:r>
      <w:r w:rsidRPr="00BD7638">
        <w:rPr>
          <w:i w:val="0"/>
        </w:rPr>
        <w:t>2008</w:t>
      </w:r>
      <w:r>
        <w:rPr>
          <w:i w:val="0"/>
        </w:rPr>
        <w:noBreakHyphen/>
      </w:r>
      <w:r w:rsidRPr="00BD7638">
        <w:rPr>
          <w:i w:val="0"/>
        </w:rPr>
        <w:t>09 Budget</w:t>
      </w:r>
      <w:r>
        <w:t>.</w:t>
      </w:r>
    </w:p>
    <w:p w:rsidR="00116054" w:rsidRDefault="00116054" w:rsidP="005D22F0">
      <w:pPr>
        <w:pStyle w:val="Notes"/>
      </w:pPr>
      <w:r>
        <w:t>(b)</w:t>
      </w:r>
      <w:r>
        <w:tab/>
        <w:t>Percentage point variation.</w:t>
      </w:r>
    </w:p>
    <w:p w:rsidR="00116054" w:rsidRDefault="00116054" w:rsidP="005D22F0">
      <w:pPr>
        <w:pStyle w:val="Notes"/>
      </w:pPr>
      <w:r>
        <w:t>(c)</w:t>
      </w:r>
      <w:r>
        <w:tab/>
        <w:t>Total hourly rate excluding bonuses.</w:t>
      </w:r>
    </w:p>
    <w:p w:rsidR="00116054" w:rsidRDefault="00116054">
      <w:pPr>
        <w:spacing w:after="0"/>
      </w:pPr>
      <w:r>
        <w:br w:type="page"/>
      </w:r>
    </w:p>
    <w:p w:rsidR="00116054" w:rsidRDefault="00116054" w:rsidP="005D22F0">
      <w:r>
        <w:lastRenderedPageBreak/>
        <w:t xml:space="preserve">The impact of the global financial crisis on revenue is evident in Table A.5, which shows forecast revenue and expenditure compared with the actual outcome. Both revenue and expenditure were underestimated; however expenditure was underestimated to a greater extent leading to a forecast error of $576 million in the net result from transactions. </w:t>
      </w:r>
    </w:p>
    <w:p w:rsidR="00116054" w:rsidRDefault="00116054" w:rsidP="005D22F0">
      <w:r>
        <w:t xml:space="preserve">This increase in expenditure largely reflects the Commonwealth Government’s fiscal stimulus packages, such as </w:t>
      </w:r>
      <w:r w:rsidRPr="00833465">
        <w:rPr>
          <w:i/>
        </w:rPr>
        <w:t>Building the Education Revolution</w:t>
      </w:r>
      <w:r>
        <w:t>, which were mostly distributed by the states.</w:t>
      </w:r>
    </w:p>
    <w:p w:rsidR="00116054" w:rsidRDefault="00116054" w:rsidP="005D22F0">
      <w:r>
        <w:t>Much of the overestimation of revenue can be attributed to the weak performance of the property market, with the land transfer duty forecast being over $900 million higher than the actual outcome. By contrast, the error in the forecast of payroll tax revenue was small and partly reflects the response of employers to hoard labour.</w:t>
      </w:r>
    </w:p>
    <w:p w:rsidR="00116054" w:rsidRDefault="00116054" w:rsidP="005D22F0">
      <w:pPr>
        <w:ind w:right="-37"/>
      </w:pPr>
      <w:r>
        <w:t>The pervading weak consumer sentiment</w:t>
      </w:r>
      <w:r>
        <w:fldChar w:fldCharType="begin"/>
      </w:r>
      <w:r>
        <w:instrText xml:space="preserve"> XE "</w:instrText>
      </w:r>
      <w:r w:rsidRPr="00EC337F">
        <w:instrText>Consumer sentiment</w:instrText>
      </w:r>
      <w:r>
        <w:instrText xml:space="preserve">" </w:instrText>
      </w:r>
      <w:r>
        <w:fldChar w:fldCharType="end"/>
      </w:r>
      <w:r>
        <w:t xml:space="preserve"> during the global financial crisis led to much weaker consumption growth, and consequently to a sizeable forecast error for GST</w:t>
      </w:r>
      <w:r>
        <w:fldChar w:fldCharType="begin"/>
      </w:r>
      <w:r>
        <w:instrText xml:space="preserve"> XE "</w:instrText>
      </w:r>
      <w:r w:rsidRPr="007D4F53">
        <w:rPr>
          <w:lang w:val="en-US"/>
        </w:rPr>
        <w:instrText>Goods and services tax</w:instrText>
      </w:r>
      <w:r>
        <w:instrText xml:space="preserve">" </w:instrText>
      </w:r>
      <w:r>
        <w:fldChar w:fldCharType="end"/>
      </w:r>
      <w:r>
        <w:t xml:space="preserve"> revenue. The global financial crisis seems to have created a structural shift in the economy, with the impacts felt over a number of years. Households adjusted their behaviour and entered a phase of reducing debt. This hastened the return of the household savings ratio to long</w:t>
      </w:r>
      <w:r>
        <w:noBreakHyphen/>
        <w:t xml:space="preserve">term averages, following a sustained period of near zero savings. </w:t>
      </w:r>
    </w:p>
    <w:p w:rsidR="00116054" w:rsidRPr="00B124B5" w:rsidRDefault="00116054" w:rsidP="005D22F0">
      <w:r w:rsidRPr="00B124B5">
        <w:t>The overestimation of land transfer duty and GST was dwarfed by the underestimation of other revenues. A large share of this was the increased Commonwealth Government disbursements to the states as part of the stimulus package. However, these revenues were partially offset by increased expenditure as the Commonwealth Government</w:t>
      </w:r>
      <w:r>
        <w:t>’</w:t>
      </w:r>
      <w:r w:rsidRPr="00B124B5">
        <w:t>s stimulus payments were spent. Of the $3.2</w:t>
      </w:r>
      <w:r>
        <w:t> billion</w:t>
      </w:r>
      <w:r w:rsidRPr="00B124B5">
        <w:t xml:space="preserve"> forecast error for other revenues, approximately $2.4</w:t>
      </w:r>
      <w:r>
        <w:t> billion</w:t>
      </w:r>
      <w:r w:rsidRPr="00B124B5">
        <w:t xml:space="preserve"> is attributable to grants revenue</w:t>
      </w:r>
      <w:r>
        <w:fldChar w:fldCharType="begin"/>
      </w:r>
      <w:r>
        <w:instrText xml:space="preserve"> XE "</w:instrText>
      </w:r>
      <w:proofErr w:type="spellStart"/>
      <w:r w:rsidRPr="00D87AC1">
        <w:instrText>Grants:Revenue</w:instrText>
      </w:r>
      <w:proofErr w:type="spellEnd"/>
      <w:r>
        <w:instrText xml:space="preserve">" </w:instrText>
      </w:r>
      <w:r>
        <w:fldChar w:fldCharType="end"/>
      </w:r>
      <w:r w:rsidRPr="00B124B5">
        <w:t xml:space="preserve"> other than GST.</w:t>
      </w:r>
    </w:p>
    <w:p w:rsidR="00116054" w:rsidRDefault="00116054" w:rsidP="005D22F0">
      <w:r w:rsidRPr="00B124B5">
        <w:t>This analysis reports the contemporaneous</w:t>
      </w:r>
      <w:r>
        <w:t xml:space="preserve"> effect of macroeconomic shocks, whereas in many situations there will be enduring influences. While the national GST pool recovered from the lows of 2009</w:t>
      </w:r>
      <w:r>
        <w:noBreakHyphen/>
        <w:t>10 following the global financial crisis, since then its growth has remained below trend. This is consistent with the changes in household consumption</w:t>
      </w:r>
      <w:r>
        <w:fldChar w:fldCharType="begin"/>
      </w:r>
      <w:r>
        <w:instrText xml:space="preserve"> XE "</w:instrText>
      </w:r>
      <w:r w:rsidRPr="004F54EC">
        <w:instrText>Household consumption</w:instrText>
      </w:r>
      <w:r>
        <w:instrText xml:space="preserve">" </w:instrText>
      </w:r>
      <w:r>
        <w:fldChar w:fldCharType="end"/>
      </w:r>
      <w:r>
        <w:t>. Similarly, following a temporary recovery in land transfer volumes in 2009</w:t>
      </w:r>
      <w:r>
        <w:noBreakHyphen/>
        <w:t>10, property market turnover was subdued in subsequent years as potential buyers were cautious about entering the market.</w:t>
      </w:r>
    </w:p>
    <w:p w:rsidR="00116054" w:rsidRDefault="00116054" w:rsidP="005D22F0">
      <w:pPr>
        <w:pStyle w:val="Tableheading"/>
      </w:pPr>
      <w:r>
        <w:t>Table A.5:</w:t>
      </w:r>
      <w:r>
        <w:tab/>
        <w:t xml:space="preserve">Actual deviations of key revenue lines from </w:t>
      </w:r>
      <w:r>
        <w:rPr>
          <w:i/>
        </w:rPr>
        <w:t>2008</w:t>
      </w:r>
      <w:r>
        <w:rPr>
          <w:i/>
        </w:rPr>
        <w:noBreakHyphen/>
        <w:t>09</w:t>
      </w:r>
      <w:r>
        <w:t xml:space="preserve"> </w:t>
      </w:r>
      <w:r>
        <w:rPr>
          <w:i/>
        </w:rPr>
        <w:t>Budget</w:t>
      </w:r>
      <w:r>
        <w:t xml:space="preserve"> forecasts</w:t>
      </w:r>
    </w:p>
    <w:p w:rsidR="00116054" w:rsidRPr="00F01379" w:rsidRDefault="00116054" w:rsidP="00375212">
      <w:pPr>
        <w:pStyle w:val="million"/>
        <w:keepNext/>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116054" w:rsidRPr="00F01379" w:rsidTr="00475ED3">
        <w:tc>
          <w:tcPr>
            <w:tcW w:w="3784" w:type="dxa"/>
            <w:tcBorders>
              <w:top w:val="single" w:sz="6" w:space="0" w:color="000000"/>
              <w:left w:val="single" w:sz="6" w:space="0" w:color="000000"/>
            </w:tcBorders>
            <w:shd w:val="clear" w:color="000000" w:fill="000000"/>
          </w:tcPr>
          <w:p w:rsidR="00116054" w:rsidRPr="00F01379" w:rsidRDefault="00116054" w:rsidP="00475ED3">
            <w:pPr>
              <w:pStyle w:val="Tabletext"/>
              <w:keepNext/>
              <w:rPr>
                <w:rFonts w:eastAsiaTheme="minorEastAsia"/>
                <w:lang w:eastAsia="en-AU"/>
              </w:rPr>
            </w:pPr>
          </w:p>
        </w:tc>
        <w:tc>
          <w:tcPr>
            <w:tcW w:w="994" w:type="dxa"/>
            <w:tcBorders>
              <w:top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2008</w:t>
            </w:r>
            <w:r>
              <w:rPr>
                <w:rFonts w:eastAsiaTheme="minorEastAsia"/>
                <w:color w:val="FFFFFF"/>
                <w:lang w:eastAsia="en-AU"/>
              </w:rPr>
              <w:noBreakHyphen/>
            </w:r>
            <w:r w:rsidRPr="00F01379">
              <w:rPr>
                <w:rFonts w:eastAsiaTheme="minorEastAsia"/>
                <w:color w:val="FFFFFF"/>
                <w:lang w:eastAsia="en-AU"/>
              </w:rPr>
              <w:t>09</w:t>
            </w:r>
          </w:p>
        </w:tc>
        <w:tc>
          <w:tcPr>
            <w:tcW w:w="994" w:type="dxa"/>
            <w:tcBorders>
              <w:top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2008</w:t>
            </w:r>
            <w:r>
              <w:rPr>
                <w:rFonts w:eastAsiaTheme="minorEastAsia"/>
                <w:color w:val="FFFFFF"/>
                <w:lang w:eastAsia="en-AU"/>
              </w:rPr>
              <w:noBreakHyphen/>
            </w:r>
            <w:r w:rsidRPr="00F01379">
              <w:rPr>
                <w:rFonts w:eastAsiaTheme="minorEastAsia"/>
                <w:color w:val="FFFFFF"/>
                <w:lang w:eastAsia="en-AU"/>
              </w:rPr>
              <w:t>09</w:t>
            </w:r>
          </w:p>
        </w:tc>
        <w:tc>
          <w:tcPr>
            <w:tcW w:w="994" w:type="dxa"/>
            <w:tcBorders>
              <w:top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Forecast</w:t>
            </w:r>
          </w:p>
        </w:tc>
        <w:tc>
          <w:tcPr>
            <w:tcW w:w="994" w:type="dxa"/>
            <w:tcBorders>
              <w:top w:val="single" w:sz="6" w:space="0" w:color="000000"/>
              <w:right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Forecast</w:t>
            </w:r>
          </w:p>
        </w:tc>
      </w:tr>
      <w:tr w:rsidR="00116054" w:rsidRPr="00F01379" w:rsidTr="00475ED3">
        <w:tc>
          <w:tcPr>
            <w:tcW w:w="3784" w:type="dxa"/>
            <w:tcBorders>
              <w:top w:val="nil"/>
              <w:left w:val="single" w:sz="6" w:space="0" w:color="000000"/>
              <w:bottom w:val="single" w:sz="6" w:space="0" w:color="000000"/>
            </w:tcBorders>
            <w:shd w:val="clear" w:color="000000" w:fill="000000"/>
          </w:tcPr>
          <w:p w:rsidR="00116054" w:rsidRPr="00F01379" w:rsidRDefault="00116054" w:rsidP="00475ED3">
            <w:pPr>
              <w:pStyle w:val="Tabletext"/>
              <w:keepNext/>
              <w:rPr>
                <w:rFonts w:eastAsiaTheme="minorEastAsia"/>
                <w:lang w:eastAsia="en-AU"/>
              </w:rPr>
            </w:pPr>
          </w:p>
        </w:tc>
        <w:tc>
          <w:tcPr>
            <w:tcW w:w="994" w:type="dxa"/>
            <w:tcBorders>
              <w:top w:val="nil"/>
              <w:bottom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budget</w:t>
            </w:r>
          </w:p>
        </w:tc>
        <w:tc>
          <w:tcPr>
            <w:tcW w:w="994" w:type="dxa"/>
            <w:tcBorders>
              <w:top w:val="nil"/>
              <w:bottom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actual</w:t>
            </w:r>
          </w:p>
        </w:tc>
        <w:tc>
          <w:tcPr>
            <w:tcW w:w="994" w:type="dxa"/>
            <w:tcBorders>
              <w:top w:val="nil"/>
              <w:bottom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error</w:t>
            </w:r>
          </w:p>
        </w:tc>
        <w:tc>
          <w:tcPr>
            <w:tcW w:w="994" w:type="dxa"/>
            <w:tcBorders>
              <w:top w:val="nil"/>
              <w:bottom w:val="single" w:sz="6" w:space="0" w:color="000000"/>
              <w:right w:val="single" w:sz="6" w:space="0" w:color="000000"/>
            </w:tcBorders>
            <w:shd w:val="clear" w:color="000000" w:fill="000000"/>
          </w:tcPr>
          <w:p w:rsidR="00116054" w:rsidRPr="00F01379" w:rsidRDefault="00116054" w:rsidP="00475ED3">
            <w:pPr>
              <w:pStyle w:val="Tabletextheading"/>
              <w:keepNext/>
              <w:rPr>
                <w:rFonts w:eastAsiaTheme="minorEastAsia"/>
                <w:color w:val="FFFFFF"/>
                <w:lang w:eastAsia="en-AU"/>
              </w:rPr>
            </w:pPr>
            <w:r w:rsidRPr="00F01379">
              <w:rPr>
                <w:rFonts w:eastAsiaTheme="minorEastAsia"/>
                <w:color w:val="FFFFFF"/>
                <w:lang w:eastAsia="en-AU"/>
              </w:rPr>
              <w:t>error (%)</w:t>
            </w:r>
          </w:p>
        </w:tc>
      </w:tr>
      <w:tr w:rsidR="00116054" w:rsidRPr="00F01379" w:rsidTr="00475ED3">
        <w:tc>
          <w:tcPr>
            <w:tcW w:w="3784" w:type="dxa"/>
            <w:tcBorders>
              <w:top w:val="single" w:sz="6" w:space="0" w:color="000000"/>
              <w:left w:val="nil"/>
              <w:bottom w:val="nil"/>
              <w:right w:val="nil"/>
            </w:tcBorders>
          </w:tcPr>
          <w:p w:rsidR="00116054" w:rsidRPr="00F01379" w:rsidRDefault="00116054" w:rsidP="00475ED3">
            <w:pPr>
              <w:pStyle w:val="Tabletext"/>
              <w:keepNext/>
              <w:rPr>
                <w:rFonts w:eastAsiaTheme="minorEastAsia"/>
                <w:lang w:eastAsia="en-AU"/>
              </w:rPr>
            </w:pPr>
            <w:r w:rsidRPr="00F01379">
              <w:rPr>
                <w:rFonts w:eastAsiaTheme="minorEastAsia"/>
                <w:lang w:eastAsia="en-AU"/>
              </w:rPr>
              <w:t>Payroll taxes</w:t>
            </w:r>
          </w:p>
        </w:tc>
        <w:tc>
          <w:tcPr>
            <w:tcW w:w="994" w:type="dxa"/>
            <w:tcBorders>
              <w:top w:val="single" w:sz="6" w:space="0" w:color="000000"/>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3 963</w:t>
            </w:r>
          </w:p>
        </w:tc>
        <w:tc>
          <w:tcPr>
            <w:tcW w:w="994" w:type="dxa"/>
            <w:tcBorders>
              <w:top w:val="single" w:sz="6" w:space="0" w:color="000000"/>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3 980</w:t>
            </w:r>
          </w:p>
        </w:tc>
        <w:tc>
          <w:tcPr>
            <w:tcW w:w="994" w:type="dxa"/>
            <w:tcBorders>
              <w:top w:val="single" w:sz="6" w:space="0" w:color="000000"/>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 xml:space="preserve"> 17</w:t>
            </w:r>
          </w:p>
        </w:tc>
        <w:tc>
          <w:tcPr>
            <w:tcW w:w="994" w:type="dxa"/>
            <w:tcBorders>
              <w:top w:val="single" w:sz="6" w:space="0" w:color="000000"/>
              <w:left w:val="nil"/>
              <w:bottom w:val="nil"/>
              <w:right w:val="nil"/>
            </w:tcBorders>
          </w:tcPr>
          <w:p w:rsidR="00116054" w:rsidRPr="00F01379" w:rsidRDefault="00116054" w:rsidP="00475ED3">
            <w:pPr>
              <w:pStyle w:val="TableofFigures"/>
              <w:keepNext/>
              <w:rPr>
                <w:rFonts w:eastAsiaTheme="minorEastAsia"/>
                <w:lang w:eastAsia="en-AU"/>
              </w:rPr>
            </w:pPr>
            <w:r>
              <w:rPr>
                <w:rFonts w:eastAsiaTheme="minorEastAsia"/>
                <w:lang w:eastAsia="en-AU"/>
              </w:rPr>
              <w:t>..</w:t>
            </w:r>
          </w:p>
        </w:tc>
      </w:tr>
      <w:tr w:rsidR="00116054" w:rsidRPr="00F01379" w:rsidTr="00475ED3">
        <w:tc>
          <w:tcPr>
            <w:tcW w:w="3784" w:type="dxa"/>
            <w:tcBorders>
              <w:top w:val="nil"/>
              <w:left w:val="nil"/>
              <w:bottom w:val="nil"/>
              <w:right w:val="nil"/>
            </w:tcBorders>
          </w:tcPr>
          <w:p w:rsidR="00116054" w:rsidRPr="00F01379" w:rsidRDefault="00116054" w:rsidP="00475ED3">
            <w:pPr>
              <w:pStyle w:val="Tabletext"/>
              <w:keepNext/>
              <w:rPr>
                <w:rFonts w:eastAsiaTheme="minorEastAsia"/>
                <w:lang w:eastAsia="en-AU"/>
              </w:rPr>
            </w:pPr>
            <w:r w:rsidRPr="00F01379">
              <w:rPr>
                <w:rFonts w:eastAsiaTheme="minorEastAsia"/>
                <w:lang w:eastAsia="en-AU"/>
              </w:rPr>
              <w:t>Land transfer duty</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3 737</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2 801</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cs="Calibri"/>
                <w:color w:val="000000"/>
                <w:lang w:eastAsia="en-AU"/>
              </w:rPr>
            </w:pPr>
            <w:r>
              <w:rPr>
                <w:rFonts w:eastAsiaTheme="minorEastAsia"/>
                <w:lang w:eastAsia="en-AU"/>
              </w:rPr>
              <w:t>(936)</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cs="Calibri"/>
                <w:color w:val="000000"/>
                <w:lang w:eastAsia="en-AU"/>
              </w:rPr>
            </w:pPr>
            <w:r>
              <w:rPr>
                <w:rFonts w:eastAsiaTheme="minorEastAsia"/>
                <w:lang w:eastAsia="en-AU"/>
              </w:rPr>
              <w:t>(25)</w:t>
            </w:r>
          </w:p>
        </w:tc>
      </w:tr>
      <w:tr w:rsidR="00116054" w:rsidRPr="00F01379" w:rsidTr="00475ED3">
        <w:tc>
          <w:tcPr>
            <w:tcW w:w="3784" w:type="dxa"/>
            <w:tcBorders>
              <w:top w:val="nil"/>
              <w:left w:val="nil"/>
              <w:bottom w:val="single" w:sz="6" w:space="0" w:color="auto"/>
              <w:right w:val="nil"/>
            </w:tcBorders>
          </w:tcPr>
          <w:p w:rsidR="00116054" w:rsidRPr="00F01379" w:rsidRDefault="00116054" w:rsidP="00475ED3">
            <w:pPr>
              <w:pStyle w:val="Tabletext"/>
              <w:keepNext/>
              <w:rPr>
                <w:rFonts w:eastAsiaTheme="minorEastAsia"/>
                <w:lang w:eastAsia="en-AU"/>
              </w:rPr>
            </w:pPr>
            <w:r w:rsidRPr="00F01379">
              <w:rPr>
                <w:rFonts w:eastAsiaTheme="minorEastAsia"/>
                <w:lang w:eastAsia="en-AU"/>
              </w:rPr>
              <w:t>Other own</w:t>
            </w:r>
            <w:r>
              <w:rPr>
                <w:rFonts w:eastAsiaTheme="minorEastAsia"/>
                <w:lang w:eastAsia="en-AU"/>
              </w:rPr>
              <w:noBreakHyphen/>
            </w:r>
            <w:r w:rsidRPr="00F01379">
              <w:rPr>
                <w:rFonts w:eastAsiaTheme="minorEastAsia"/>
                <w:lang w:eastAsia="en-AU"/>
              </w:rPr>
              <w:t>sourced revenue</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5 683</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5 846</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 xml:space="preserve"> 163</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 xml:space="preserve"> 3</w:t>
            </w:r>
          </w:p>
        </w:tc>
      </w:tr>
      <w:tr w:rsidR="00116054" w:rsidRPr="00F01379" w:rsidTr="00475ED3">
        <w:tc>
          <w:tcPr>
            <w:tcW w:w="3784" w:type="dxa"/>
            <w:tcBorders>
              <w:top w:val="nil"/>
              <w:left w:val="nil"/>
              <w:bottom w:val="nil"/>
              <w:right w:val="nil"/>
            </w:tcBorders>
          </w:tcPr>
          <w:p w:rsidR="00116054" w:rsidRPr="00F01379" w:rsidRDefault="00116054" w:rsidP="00475ED3">
            <w:pPr>
              <w:pStyle w:val="Tabletext"/>
              <w:keepNext/>
              <w:rPr>
                <w:rFonts w:eastAsiaTheme="minorEastAsia"/>
                <w:b/>
                <w:bCs/>
                <w:lang w:eastAsia="en-AU"/>
              </w:rPr>
            </w:pPr>
            <w:r w:rsidRPr="00F01379">
              <w:rPr>
                <w:rFonts w:eastAsiaTheme="minorEastAsia"/>
                <w:b/>
                <w:bCs/>
                <w:lang w:eastAsia="en-AU"/>
              </w:rPr>
              <w:t>Taxation revenue</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13 383</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12 627</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cs="Calibri"/>
                <w:b/>
                <w:bCs/>
                <w:color w:val="000000"/>
                <w:lang w:eastAsia="en-AU"/>
              </w:rPr>
            </w:pPr>
            <w:r>
              <w:rPr>
                <w:rFonts w:eastAsiaTheme="minorEastAsia"/>
                <w:b/>
                <w:bCs/>
                <w:lang w:eastAsia="en-AU"/>
              </w:rPr>
              <w:t>(756)</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cs="Calibri"/>
                <w:b/>
                <w:bCs/>
                <w:color w:val="000000"/>
                <w:lang w:eastAsia="en-AU"/>
              </w:rPr>
            </w:pPr>
            <w:r>
              <w:rPr>
                <w:rFonts w:eastAsiaTheme="minorEastAsia"/>
                <w:b/>
                <w:bCs/>
                <w:lang w:eastAsia="en-AU"/>
              </w:rPr>
              <w:t>(6)</w:t>
            </w:r>
          </w:p>
        </w:tc>
      </w:tr>
      <w:tr w:rsidR="00116054" w:rsidRPr="00F01379" w:rsidTr="00475ED3">
        <w:tc>
          <w:tcPr>
            <w:tcW w:w="3784" w:type="dxa"/>
            <w:tcBorders>
              <w:top w:val="nil"/>
              <w:left w:val="nil"/>
              <w:bottom w:val="nil"/>
              <w:right w:val="nil"/>
            </w:tcBorders>
          </w:tcPr>
          <w:p w:rsidR="00116054" w:rsidRPr="00F01379" w:rsidRDefault="00116054" w:rsidP="00475ED3">
            <w:pPr>
              <w:pStyle w:val="Tabletext"/>
              <w:keepNext/>
              <w:rPr>
                <w:rFonts w:eastAsiaTheme="minorEastAsia"/>
                <w:lang w:eastAsia="en-AU"/>
              </w:rPr>
            </w:pPr>
            <w:r w:rsidRPr="00F01379">
              <w:rPr>
                <w:rFonts w:eastAsiaTheme="minorEastAsia"/>
                <w:lang w:eastAsia="en-AU"/>
              </w:rPr>
              <w:t>Other revenue</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14 146</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17 339</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3 193</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 xml:space="preserve"> 23</w:t>
            </w:r>
          </w:p>
        </w:tc>
      </w:tr>
      <w:tr w:rsidR="00116054" w:rsidRPr="00F01379" w:rsidTr="00475ED3">
        <w:tc>
          <w:tcPr>
            <w:tcW w:w="3784" w:type="dxa"/>
            <w:tcBorders>
              <w:top w:val="nil"/>
              <w:left w:val="nil"/>
              <w:bottom w:val="single" w:sz="6" w:space="0" w:color="auto"/>
              <w:right w:val="nil"/>
            </w:tcBorders>
          </w:tcPr>
          <w:p w:rsidR="00116054" w:rsidRPr="00F01379" w:rsidRDefault="00116054" w:rsidP="00475ED3">
            <w:pPr>
              <w:pStyle w:val="Tabletext"/>
              <w:keepNext/>
              <w:rPr>
                <w:rFonts w:eastAsiaTheme="minorEastAsia"/>
                <w:lang w:eastAsia="en-AU"/>
              </w:rPr>
            </w:pPr>
            <w:r w:rsidRPr="00F01379">
              <w:rPr>
                <w:rFonts w:eastAsiaTheme="minorEastAsia"/>
                <w:lang w:eastAsia="en-AU"/>
              </w:rPr>
              <w:t>GST</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10 281</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lang w:eastAsia="en-AU"/>
              </w:rPr>
            </w:pPr>
            <w:r w:rsidRPr="00F01379">
              <w:rPr>
                <w:rFonts w:eastAsiaTheme="minorEastAsia"/>
                <w:lang w:eastAsia="en-AU"/>
              </w:rPr>
              <w:t>9 319</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cs="Calibri"/>
                <w:color w:val="000000"/>
                <w:lang w:eastAsia="en-AU"/>
              </w:rPr>
            </w:pPr>
            <w:r>
              <w:rPr>
                <w:rFonts w:eastAsiaTheme="minorEastAsia"/>
                <w:lang w:eastAsia="en-AU"/>
              </w:rPr>
              <w:t>(962)</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cs="Calibri"/>
                <w:color w:val="000000"/>
                <w:lang w:eastAsia="en-AU"/>
              </w:rPr>
            </w:pPr>
            <w:r>
              <w:rPr>
                <w:rFonts w:eastAsiaTheme="minorEastAsia"/>
                <w:lang w:eastAsia="en-AU"/>
              </w:rPr>
              <w:t>(9)</w:t>
            </w:r>
          </w:p>
        </w:tc>
      </w:tr>
      <w:tr w:rsidR="00116054" w:rsidRPr="00F01379" w:rsidTr="00475ED3">
        <w:tc>
          <w:tcPr>
            <w:tcW w:w="3784" w:type="dxa"/>
            <w:tcBorders>
              <w:top w:val="nil"/>
              <w:left w:val="nil"/>
              <w:bottom w:val="nil"/>
              <w:right w:val="nil"/>
            </w:tcBorders>
          </w:tcPr>
          <w:p w:rsidR="00116054" w:rsidRPr="00F01379" w:rsidRDefault="00116054" w:rsidP="00475ED3">
            <w:pPr>
              <w:pStyle w:val="Tabletext"/>
              <w:keepNext/>
              <w:rPr>
                <w:rFonts w:eastAsiaTheme="minorEastAsia"/>
                <w:b/>
                <w:bCs/>
                <w:lang w:eastAsia="en-AU"/>
              </w:rPr>
            </w:pPr>
            <w:r w:rsidRPr="00F01379">
              <w:rPr>
                <w:rFonts w:eastAsiaTheme="minorEastAsia"/>
                <w:b/>
                <w:bCs/>
                <w:lang w:eastAsia="en-AU"/>
              </w:rPr>
              <w:t>Total revenue</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37 810</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39 285</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1 475</w:t>
            </w:r>
          </w:p>
        </w:tc>
        <w:tc>
          <w:tcPr>
            <w:tcW w:w="994" w:type="dxa"/>
            <w:tcBorders>
              <w:top w:val="nil"/>
              <w:left w:val="nil"/>
              <w:bottom w:val="nil"/>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 xml:space="preserve"> 4</w:t>
            </w:r>
          </w:p>
        </w:tc>
      </w:tr>
      <w:tr w:rsidR="00116054" w:rsidRPr="00F01379" w:rsidTr="00475ED3">
        <w:tc>
          <w:tcPr>
            <w:tcW w:w="3784" w:type="dxa"/>
            <w:tcBorders>
              <w:top w:val="nil"/>
              <w:left w:val="nil"/>
              <w:bottom w:val="single" w:sz="6" w:space="0" w:color="auto"/>
              <w:right w:val="nil"/>
            </w:tcBorders>
          </w:tcPr>
          <w:p w:rsidR="00116054" w:rsidRPr="00F01379" w:rsidRDefault="00116054" w:rsidP="00475ED3">
            <w:pPr>
              <w:pStyle w:val="Tabletext"/>
              <w:keepNext/>
              <w:rPr>
                <w:rFonts w:eastAsiaTheme="minorEastAsia"/>
                <w:b/>
                <w:bCs/>
                <w:lang w:eastAsia="en-AU"/>
              </w:rPr>
            </w:pPr>
            <w:r w:rsidRPr="00F01379">
              <w:rPr>
                <w:rFonts w:eastAsiaTheme="minorEastAsia"/>
                <w:b/>
                <w:bCs/>
                <w:lang w:eastAsia="en-AU"/>
              </w:rPr>
              <w:t>Total expenses</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36 982</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39 034</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2 051</w:t>
            </w:r>
          </w:p>
        </w:tc>
        <w:tc>
          <w:tcPr>
            <w:tcW w:w="994" w:type="dxa"/>
            <w:tcBorders>
              <w:top w:val="nil"/>
              <w:left w:val="nil"/>
              <w:bottom w:val="single" w:sz="6" w:space="0" w:color="auto"/>
              <w:right w:val="nil"/>
            </w:tcBorders>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 xml:space="preserve"> 6</w:t>
            </w:r>
          </w:p>
        </w:tc>
      </w:tr>
      <w:tr w:rsidR="00116054" w:rsidRPr="00F01379" w:rsidTr="00475ED3">
        <w:tc>
          <w:tcPr>
            <w:tcW w:w="3784" w:type="dxa"/>
            <w:tcBorders>
              <w:top w:val="single" w:sz="6" w:space="0" w:color="auto"/>
              <w:left w:val="nil"/>
              <w:bottom w:val="single" w:sz="12" w:space="0" w:color="000000"/>
              <w:right w:val="nil"/>
            </w:tcBorders>
            <w:shd w:val="clear" w:color="auto" w:fill="auto"/>
          </w:tcPr>
          <w:p w:rsidR="00116054" w:rsidRPr="00F01379" w:rsidRDefault="00116054" w:rsidP="00475ED3">
            <w:pPr>
              <w:pStyle w:val="Tabletext"/>
              <w:keepNext/>
              <w:rPr>
                <w:rFonts w:eastAsiaTheme="minorEastAsia"/>
                <w:b/>
                <w:bCs/>
                <w:lang w:eastAsia="en-AU"/>
              </w:rPr>
            </w:pPr>
            <w:r w:rsidRPr="00F01379">
              <w:rPr>
                <w:rFonts w:eastAsiaTheme="minorEastAsia"/>
                <w:b/>
                <w:bCs/>
                <w:lang w:eastAsia="en-AU"/>
              </w:rPr>
              <w:t>Net result from transactions</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 xml:space="preserve"> 828</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475ED3">
            <w:pPr>
              <w:pStyle w:val="TableofFigures"/>
              <w:keepNext/>
              <w:rPr>
                <w:rFonts w:eastAsiaTheme="minorEastAsia"/>
                <w:b/>
                <w:bCs/>
                <w:lang w:eastAsia="en-AU"/>
              </w:rPr>
            </w:pPr>
            <w:r w:rsidRPr="00F01379">
              <w:rPr>
                <w:rFonts w:eastAsiaTheme="minorEastAsia"/>
                <w:b/>
                <w:bCs/>
                <w:lang w:eastAsia="en-AU"/>
              </w:rPr>
              <w:t xml:space="preserve"> 251</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475ED3">
            <w:pPr>
              <w:pStyle w:val="TableofFigures"/>
              <w:keepNext/>
              <w:rPr>
                <w:rFonts w:eastAsiaTheme="minorEastAsia" w:cs="Calibri"/>
                <w:b/>
                <w:bCs/>
                <w:color w:val="000000"/>
                <w:lang w:eastAsia="en-AU"/>
              </w:rPr>
            </w:pPr>
            <w:r>
              <w:rPr>
                <w:rFonts w:eastAsiaTheme="minorEastAsia"/>
                <w:b/>
                <w:bCs/>
                <w:lang w:eastAsia="en-AU"/>
              </w:rPr>
              <w:t>(576)</w:t>
            </w:r>
          </w:p>
        </w:tc>
        <w:tc>
          <w:tcPr>
            <w:tcW w:w="994" w:type="dxa"/>
            <w:tcBorders>
              <w:top w:val="single" w:sz="6" w:space="0" w:color="auto"/>
              <w:left w:val="nil"/>
              <w:bottom w:val="single" w:sz="12" w:space="0" w:color="000000"/>
              <w:right w:val="nil"/>
            </w:tcBorders>
            <w:shd w:val="clear" w:color="auto" w:fill="auto"/>
          </w:tcPr>
          <w:p w:rsidR="00116054" w:rsidRPr="00F01379" w:rsidRDefault="00116054" w:rsidP="00475ED3">
            <w:pPr>
              <w:pStyle w:val="TableofFigures"/>
              <w:keepNext/>
              <w:rPr>
                <w:rFonts w:eastAsiaTheme="minorEastAsia" w:cs="Calibri"/>
                <w:b/>
                <w:bCs/>
                <w:color w:val="000000"/>
                <w:lang w:eastAsia="en-AU"/>
              </w:rPr>
            </w:pPr>
            <w:r>
              <w:rPr>
                <w:rFonts w:eastAsiaTheme="minorEastAsia"/>
                <w:b/>
                <w:bCs/>
                <w:lang w:eastAsia="en-AU"/>
              </w:rPr>
              <w:t>(70)</w:t>
            </w:r>
          </w:p>
        </w:tc>
      </w:tr>
    </w:tbl>
    <w:p w:rsidR="00116054" w:rsidRDefault="00116054" w:rsidP="006C409B">
      <w:pPr>
        <w:pStyle w:val="Source"/>
      </w:pPr>
      <w:r>
        <w:t>Source: Department of Treasury and Finance</w:t>
      </w:r>
      <w:r>
        <w:fldChar w:fldCharType="begin"/>
      </w:r>
      <w:r>
        <w:instrText xml:space="preserve"> XE "</w:instrText>
      </w:r>
      <w:r w:rsidRPr="005E49E9">
        <w:instrText>Land transfer duty</w:instrText>
      </w:r>
      <w:r>
        <w:instrText xml:space="preserve">" \r "BP2AppALandTrans" </w:instrText>
      </w:r>
      <w:r>
        <w:fldChar w:fldCharType="end"/>
      </w:r>
      <w:r>
        <w:fldChar w:fldCharType="begin"/>
      </w:r>
      <w:r>
        <w:instrText xml:space="preserve"> XE "</w:instrText>
      </w:r>
      <w:proofErr w:type="spellStart"/>
      <w:r>
        <w:instrText>Taxation:Land</w:instrText>
      </w:r>
      <w:proofErr w:type="spellEnd"/>
      <w:r>
        <w:instrText xml:space="preserve"> transfer duty" \r "BP2AppALandTrans" </w:instrText>
      </w:r>
      <w:r>
        <w:fldChar w:fldCharType="end"/>
      </w:r>
      <w:r>
        <w:fldChar w:fldCharType="begin"/>
      </w:r>
      <w:r>
        <w:instrText xml:space="preserve"> XE "</w:instrText>
      </w:r>
      <w:proofErr w:type="spellStart"/>
      <w:r w:rsidRPr="00AA6974">
        <w:instrText>Taxation:Revenue</w:instrText>
      </w:r>
      <w:proofErr w:type="spellEnd"/>
      <w:r>
        <w:instrText xml:space="preserve">" \r "BP2TaxRevenue" </w:instrText>
      </w:r>
      <w:r>
        <w:fldChar w:fldCharType="end"/>
      </w:r>
      <w:bookmarkEnd w:id="116"/>
      <w:bookmarkEnd w:id="123"/>
    </w:p>
    <w:p w:rsidR="00116054" w:rsidRDefault="00116054" w:rsidP="00EC4C51">
      <w:pPr>
        <w:sectPr w:rsidR="00116054" w:rsidSect="006E2CEC">
          <w:footerReference w:type="even" r:id="rId52"/>
          <w:footerReference w:type="default" r:id="rId53"/>
          <w:type w:val="oddPage"/>
          <w:pgSz w:w="9979" w:h="14181" w:code="138"/>
          <w:pgMar w:top="1138" w:right="1138" w:bottom="1138" w:left="1138" w:header="720" w:footer="432" w:gutter="0"/>
          <w:cols w:space="708"/>
          <w:docGrid w:linePitch="360"/>
        </w:sectPr>
      </w:pPr>
    </w:p>
    <w:p w:rsidR="00116054" w:rsidRDefault="00116054" w:rsidP="00510514">
      <w:pPr>
        <w:pStyle w:val="ChapterHeading"/>
      </w:pPr>
      <w:bookmarkStart w:id="131" w:name="_Toc418255158"/>
      <w:r w:rsidRPr="007B2462">
        <w:lastRenderedPageBreak/>
        <w:t>Style conventions</w:t>
      </w:r>
      <w:bookmarkEnd w:id="131"/>
    </w:p>
    <w:p w:rsidR="00116054" w:rsidRPr="007B2462" w:rsidRDefault="00116054" w:rsidP="00C4570E">
      <w:r w:rsidRPr="007B2462">
        <w:t>Figures in the tables and in the text have been rounded. Discrepancies in tables between totals and sums of components reflect rounding. Percentage changes in all tables are based on the underlying unrounded amounts.</w:t>
      </w:r>
    </w:p>
    <w:p w:rsidR="00116054" w:rsidRPr="007B2462" w:rsidRDefault="00116054" w:rsidP="00C4570E">
      <w:r w:rsidRPr="007B2462">
        <w:t>The notation used in the tables and charts is as follows:</w:t>
      </w:r>
    </w:p>
    <w:p w:rsidR="00116054" w:rsidRPr="007B2462" w:rsidRDefault="00116054" w:rsidP="00C4570E">
      <w:pPr>
        <w:tabs>
          <w:tab w:val="left" w:pos="2520"/>
        </w:tabs>
        <w:ind w:left="720"/>
      </w:pPr>
      <w:r w:rsidRPr="007B2462">
        <w:t>..</w:t>
      </w:r>
      <w:r w:rsidRPr="007B2462">
        <w:tab/>
        <w:t>zero, or rounded to zero</w:t>
      </w:r>
    </w:p>
    <w:p w:rsidR="00116054" w:rsidRPr="007B2462" w:rsidRDefault="00116054" w:rsidP="00C4570E">
      <w:pPr>
        <w:tabs>
          <w:tab w:val="left" w:pos="2520"/>
        </w:tabs>
        <w:ind w:left="720"/>
      </w:pPr>
      <w:r w:rsidRPr="007B2462">
        <w:t>(</w:t>
      </w:r>
      <w:proofErr w:type="spellStart"/>
      <w:r w:rsidRPr="007B2462">
        <w:t>xxx.x</w:t>
      </w:r>
      <w:proofErr w:type="spellEnd"/>
      <w:r w:rsidRPr="007B2462">
        <w:t>)</w:t>
      </w:r>
      <w:r w:rsidRPr="007B2462">
        <w:tab/>
        <w:t>negative numbers</w:t>
      </w:r>
    </w:p>
    <w:p w:rsidR="00116054" w:rsidRPr="007B2462" w:rsidRDefault="00116054" w:rsidP="00C4570E">
      <w:pPr>
        <w:tabs>
          <w:tab w:val="left" w:pos="2520"/>
        </w:tabs>
        <w:ind w:left="720"/>
      </w:pPr>
      <w:r w:rsidRPr="007B2462">
        <w:t>1 basis point</w:t>
      </w:r>
      <w:r w:rsidRPr="007B2462">
        <w:tab/>
        <w:t>0.01</w:t>
      </w:r>
      <w:r>
        <w:t> per cent</w:t>
      </w:r>
    </w:p>
    <w:p w:rsidR="00116054" w:rsidRPr="007B2462" w:rsidRDefault="00116054" w:rsidP="00C4570E">
      <w:pPr>
        <w:tabs>
          <w:tab w:val="left" w:pos="2520"/>
        </w:tabs>
        <w:ind w:left="720"/>
      </w:pPr>
      <w:r w:rsidRPr="007B2462">
        <w:t>1</w:t>
      </w:r>
      <w:r>
        <w:t> billion</w:t>
      </w:r>
      <w:r w:rsidRPr="007B2462">
        <w:tab/>
        <w:t>1 000</w:t>
      </w:r>
      <w:r>
        <w:t> million</w:t>
      </w:r>
    </w:p>
    <w:p w:rsidR="00116054" w:rsidRPr="007B2462" w:rsidRDefault="00116054" w:rsidP="00C4570E">
      <w:pPr>
        <w:tabs>
          <w:tab w:val="left" w:pos="2520"/>
        </w:tabs>
        <w:ind w:left="720"/>
      </w:pPr>
      <w:r w:rsidRPr="007B2462">
        <w:t>Cat. No.</w:t>
      </w:r>
      <w:r w:rsidRPr="007B2462">
        <w:tab/>
        <w:t>catalogue number</w:t>
      </w:r>
    </w:p>
    <w:p w:rsidR="00116054" w:rsidRPr="007B2462" w:rsidRDefault="00116054" w:rsidP="00C4570E">
      <w:pPr>
        <w:tabs>
          <w:tab w:val="left" w:pos="2520"/>
        </w:tabs>
        <w:ind w:left="720"/>
      </w:pPr>
      <w:proofErr w:type="spellStart"/>
      <w:r w:rsidRPr="007B2462">
        <w:t>na</w:t>
      </w:r>
      <w:proofErr w:type="spellEnd"/>
      <w:r w:rsidRPr="007B2462">
        <w:tab/>
        <w:t>not available or not applicable</w:t>
      </w:r>
    </w:p>
    <w:p w:rsidR="00116054" w:rsidRPr="007B2462" w:rsidRDefault="00116054" w:rsidP="00C4570E">
      <w:pPr>
        <w:tabs>
          <w:tab w:val="left" w:pos="2520"/>
        </w:tabs>
        <w:ind w:left="720"/>
      </w:pPr>
      <w:r w:rsidRPr="007B2462">
        <w:t>nm</w:t>
      </w:r>
      <w:r w:rsidRPr="007B2462">
        <w:tab/>
        <w:t>new measure</w:t>
      </w:r>
    </w:p>
    <w:p w:rsidR="00116054" w:rsidRPr="007B2462" w:rsidRDefault="00116054" w:rsidP="00C4570E">
      <w:pPr>
        <w:tabs>
          <w:tab w:val="left" w:pos="2520"/>
        </w:tabs>
        <w:ind w:left="720"/>
      </w:pPr>
      <w:r w:rsidRPr="007B2462">
        <w:t>ongoing</w:t>
      </w:r>
      <w:r w:rsidRPr="007B2462">
        <w:tab/>
        <w:t>continuing output, program, project etc.</w:t>
      </w:r>
    </w:p>
    <w:p w:rsidR="00116054" w:rsidRPr="007B2462" w:rsidRDefault="00116054" w:rsidP="00C4570E">
      <w:pPr>
        <w:tabs>
          <w:tab w:val="left" w:pos="2520"/>
        </w:tabs>
        <w:ind w:left="720"/>
      </w:pPr>
      <w:proofErr w:type="spellStart"/>
      <w:r w:rsidRPr="007B2462">
        <w:t>tbd</w:t>
      </w:r>
      <w:proofErr w:type="spellEnd"/>
      <w:r w:rsidRPr="007B2462">
        <w:tab/>
        <w:t>to be determined</w:t>
      </w:r>
    </w:p>
    <w:p w:rsidR="00116054" w:rsidRPr="007B2462" w:rsidRDefault="00116054" w:rsidP="00C4570E">
      <w:pPr>
        <w:tabs>
          <w:tab w:val="left" w:pos="2520"/>
        </w:tabs>
        <w:ind w:left="720"/>
      </w:pPr>
      <w:r w:rsidRPr="007B2462">
        <w:t>LHS</w:t>
      </w:r>
      <w:r w:rsidRPr="007B2462">
        <w:tab/>
        <w:t>left</w:t>
      </w:r>
      <w:r>
        <w:noBreakHyphen/>
      </w:r>
      <w:r w:rsidRPr="007B2462">
        <w:t>hand</w:t>
      </w:r>
      <w:r>
        <w:noBreakHyphen/>
      </w:r>
      <w:r w:rsidRPr="007B2462">
        <w:t>side</w:t>
      </w:r>
    </w:p>
    <w:p w:rsidR="00116054" w:rsidRPr="007B2462" w:rsidRDefault="00116054" w:rsidP="00C4570E">
      <w:pPr>
        <w:tabs>
          <w:tab w:val="left" w:pos="2520"/>
        </w:tabs>
        <w:ind w:left="720"/>
      </w:pPr>
      <w:r w:rsidRPr="007B2462">
        <w:t>RHS</w:t>
      </w:r>
      <w:r w:rsidRPr="007B2462">
        <w:tab/>
        <w:t>right</w:t>
      </w:r>
      <w:r>
        <w:noBreakHyphen/>
      </w:r>
      <w:r w:rsidRPr="007B2462">
        <w:t>hand</w:t>
      </w:r>
      <w:r>
        <w:noBreakHyphen/>
      </w:r>
      <w:r w:rsidRPr="007B2462">
        <w:t>side</w:t>
      </w:r>
    </w:p>
    <w:p w:rsidR="00116054" w:rsidRDefault="00116054" w:rsidP="00510514"/>
    <w:p w:rsidR="00116054" w:rsidRDefault="00116054">
      <w:pPr>
        <w:spacing w:after="0"/>
      </w:pPr>
      <w:r>
        <w:br w:type="page"/>
      </w:r>
    </w:p>
    <w:p w:rsidR="00116054" w:rsidRDefault="00116054" w:rsidP="00510514"/>
    <w:p w:rsidR="00116054" w:rsidRDefault="00116054" w:rsidP="000542A7"/>
    <w:p w:rsidR="00116054" w:rsidRDefault="00116054" w:rsidP="00EC4C51">
      <w:pPr>
        <w:sectPr w:rsidR="00116054" w:rsidSect="006E2CEC">
          <w:headerReference w:type="even" r:id="rId54"/>
          <w:headerReference w:type="default" r:id="rId55"/>
          <w:footerReference w:type="even" r:id="rId56"/>
          <w:footerReference w:type="default" r:id="rId57"/>
          <w:headerReference w:type="first" r:id="rId58"/>
          <w:footerReference w:type="first" r:id="rId59"/>
          <w:type w:val="oddPage"/>
          <w:pgSz w:w="9979" w:h="14181" w:code="138"/>
          <w:pgMar w:top="1138" w:right="1138" w:bottom="1138" w:left="1138" w:header="720" w:footer="432" w:gutter="0"/>
          <w:cols w:space="708"/>
          <w:docGrid w:linePitch="360"/>
        </w:sectPr>
      </w:pPr>
    </w:p>
    <w:p w:rsidR="00116054" w:rsidRDefault="00116054" w:rsidP="00510514">
      <w:pPr>
        <w:pStyle w:val="ChapterHeading"/>
      </w:pPr>
      <w:bookmarkStart w:id="132" w:name="_Toc418255159"/>
      <w:r>
        <w:lastRenderedPageBreak/>
        <w:t>Index</w:t>
      </w:r>
      <w:bookmarkEnd w:id="132"/>
    </w:p>
    <w:p w:rsidR="00116054" w:rsidRDefault="00116054" w:rsidP="000B3EE5">
      <w:pPr>
        <w:sectPr w:rsidR="00116054" w:rsidSect="00F302FC">
          <w:headerReference w:type="even" r:id="rId60"/>
          <w:headerReference w:type="default" r:id="rId61"/>
          <w:footerReference w:type="even" r:id="rId62"/>
          <w:footerReference w:type="default" r:id="rId63"/>
          <w:headerReference w:type="first" r:id="rId64"/>
          <w:footerReference w:type="first" r:id="rId65"/>
          <w:type w:val="oddPage"/>
          <w:pgSz w:w="9979" w:h="14181" w:code="138"/>
          <w:pgMar w:top="1138" w:right="1138" w:bottom="1138" w:left="1138" w:header="720" w:footer="432" w:gutter="0"/>
          <w:cols w:space="708"/>
          <w:docGrid w:linePitch="360"/>
        </w:sectPr>
      </w:pPr>
    </w:p>
    <w:p w:rsidR="00116054" w:rsidRDefault="00116054" w:rsidP="000B3EE5">
      <w:pPr>
        <w:rPr>
          <w:noProof/>
        </w:rPr>
        <w:sectPr w:rsidR="00116054" w:rsidSect="00076FE5">
          <w:headerReference w:type="even" r:id="rId66"/>
          <w:headerReference w:type="default" r:id="rId67"/>
          <w:footerReference w:type="even" r:id="rId68"/>
          <w:footerReference w:type="default" r:id="rId69"/>
          <w:headerReference w:type="first" r:id="rId70"/>
          <w:footerReference w:type="first" r:id="rId71"/>
          <w:type w:val="continuous"/>
          <w:pgSz w:w="9979" w:h="14181" w:code="138"/>
          <w:pgMar w:top="1138" w:right="1138" w:bottom="1138" w:left="1138" w:header="720" w:footer="432" w:gutter="0"/>
          <w:cols w:space="708"/>
          <w:docGrid w:linePitch="360"/>
        </w:sectPr>
      </w:pPr>
      <w:r>
        <w:lastRenderedPageBreak/>
        <w:fldChar w:fldCharType="begin"/>
      </w:r>
      <w:r>
        <w:instrText xml:space="preserve"> INDEX \h "A" \c "2" \z "3081" </w:instrText>
      </w:r>
      <w:r>
        <w:fldChar w:fldCharType="separate"/>
      </w:r>
    </w:p>
    <w:p w:rsidR="00116054" w:rsidRDefault="00116054">
      <w:pPr>
        <w:pStyle w:val="IndexHeading"/>
        <w:keepNext/>
        <w:tabs>
          <w:tab w:val="right" w:leader="dot" w:pos="3481"/>
        </w:tabs>
        <w:rPr>
          <w:rFonts w:eastAsiaTheme="minorEastAsia" w:cstheme="minorBidi"/>
          <w:b w:val="0"/>
          <w:bCs w:val="0"/>
          <w:noProof/>
        </w:rPr>
      </w:pPr>
      <w:r>
        <w:rPr>
          <w:noProof/>
        </w:rPr>
        <w:lastRenderedPageBreak/>
        <w:t>A</w:t>
      </w:r>
    </w:p>
    <w:p w:rsidR="00116054" w:rsidRDefault="00116054">
      <w:pPr>
        <w:pStyle w:val="Index1"/>
        <w:tabs>
          <w:tab w:val="right" w:leader="dot" w:pos="3481"/>
        </w:tabs>
        <w:rPr>
          <w:noProof/>
        </w:rPr>
      </w:pPr>
      <w:r>
        <w:rPr>
          <w:noProof/>
        </w:rPr>
        <w:t xml:space="preserve">AAA credit rating. </w:t>
      </w:r>
      <w:r w:rsidRPr="00441A10">
        <w:rPr>
          <w:i/>
          <w:noProof/>
        </w:rPr>
        <w:t xml:space="preserve">See </w:t>
      </w:r>
      <w:r>
        <w:rPr>
          <w:noProof/>
        </w:rPr>
        <w:t>Triple-A credit rating</w:t>
      </w:r>
    </w:p>
    <w:p w:rsidR="00116054" w:rsidRDefault="00116054">
      <w:pPr>
        <w:pStyle w:val="Index1"/>
        <w:tabs>
          <w:tab w:val="right" w:leader="dot" w:pos="3481"/>
        </w:tabs>
        <w:rPr>
          <w:noProof/>
        </w:rPr>
      </w:pPr>
      <w:r>
        <w:rPr>
          <w:noProof/>
        </w:rPr>
        <w:t xml:space="preserve">AASB 119 </w:t>
      </w:r>
      <w:r w:rsidRPr="00441A10">
        <w:rPr>
          <w:i/>
          <w:noProof/>
        </w:rPr>
        <w:t>Employee Benefits</w:t>
      </w:r>
      <w:r>
        <w:rPr>
          <w:noProof/>
        </w:rPr>
        <w:t>, 61</w:t>
      </w:r>
    </w:p>
    <w:p w:rsidR="00116054" w:rsidRDefault="00116054">
      <w:pPr>
        <w:pStyle w:val="Index1"/>
        <w:tabs>
          <w:tab w:val="right" w:leader="dot" w:pos="3481"/>
        </w:tabs>
        <w:rPr>
          <w:noProof/>
        </w:rPr>
      </w:pPr>
      <w:r>
        <w:rPr>
          <w:noProof/>
        </w:rPr>
        <w:t>Asset investment, 55, 57–58, 60</w:t>
      </w:r>
    </w:p>
    <w:p w:rsidR="00116054" w:rsidRDefault="00116054">
      <w:pPr>
        <w:pStyle w:val="Index1"/>
        <w:tabs>
          <w:tab w:val="right" w:leader="dot" w:pos="3481"/>
        </w:tabs>
        <w:rPr>
          <w:noProof/>
        </w:rPr>
      </w:pPr>
      <w:r>
        <w:rPr>
          <w:noProof/>
        </w:rPr>
        <w:t>Asset recycling, 11–12, 57</w:t>
      </w:r>
    </w:p>
    <w:p w:rsidR="00116054" w:rsidRDefault="00116054">
      <w:pPr>
        <w:pStyle w:val="IndexHeading"/>
        <w:keepNext/>
        <w:tabs>
          <w:tab w:val="right" w:leader="dot" w:pos="3481"/>
        </w:tabs>
        <w:rPr>
          <w:rFonts w:eastAsiaTheme="minorEastAsia" w:cstheme="minorBidi"/>
          <w:b w:val="0"/>
          <w:bCs w:val="0"/>
          <w:noProof/>
        </w:rPr>
      </w:pPr>
      <w:r>
        <w:rPr>
          <w:noProof/>
        </w:rPr>
        <w:t>B</w:t>
      </w:r>
    </w:p>
    <w:p w:rsidR="00116054" w:rsidRDefault="00116054">
      <w:pPr>
        <w:pStyle w:val="Index1"/>
        <w:tabs>
          <w:tab w:val="right" w:leader="dot" w:pos="3481"/>
        </w:tabs>
        <w:rPr>
          <w:noProof/>
        </w:rPr>
      </w:pPr>
      <w:r>
        <w:rPr>
          <w:noProof/>
        </w:rPr>
        <w:t>Back to School, 6</w:t>
      </w:r>
    </w:p>
    <w:p w:rsidR="00116054" w:rsidRDefault="00116054">
      <w:pPr>
        <w:pStyle w:val="Index1"/>
        <w:tabs>
          <w:tab w:val="right" w:leader="dot" w:pos="3481"/>
        </w:tabs>
        <w:rPr>
          <w:noProof/>
        </w:rPr>
      </w:pPr>
      <w:r>
        <w:rPr>
          <w:noProof/>
        </w:rPr>
        <w:t>Back to Work</w:t>
      </w:r>
    </w:p>
    <w:p w:rsidR="00116054" w:rsidRDefault="00116054">
      <w:pPr>
        <w:pStyle w:val="Index2"/>
        <w:tabs>
          <w:tab w:val="right" w:leader="dot" w:pos="3481"/>
        </w:tabs>
        <w:rPr>
          <w:noProof/>
        </w:rPr>
      </w:pPr>
      <w:r>
        <w:rPr>
          <w:noProof/>
        </w:rPr>
        <w:t>Fund, 7</w:t>
      </w:r>
    </w:p>
    <w:p w:rsidR="00116054" w:rsidRDefault="00116054">
      <w:pPr>
        <w:pStyle w:val="Index2"/>
        <w:tabs>
          <w:tab w:val="right" w:leader="dot" w:pos="3481"/>
        </w:tabs>
        <w:rPr>
          <w:noProof/>
        </w:rPr>
      </w:pPr>
      <w:r>
        <w:rPr>
          <w:noProof/>
        </w:rPr>
        <w:t>Plan, 1, 4</w:t>
      </w:r>
    </w:p>
    <w:p w:rsidR="00116054" w:rsidRDefault="00116054">
      <w:pPr>
        <w:pStyle w:val="Index2"/>
        <w:tabs>
          <w:tab w:val="right" w:leader="dot" w:pos="3481"/>
        </w:tabs>
        <w:rPr>
          <w:noProof/>
        </w:rPr>
      </w:pPr>
      <w:r>
        <w:rPr>
          <w:noProof/>
        </w:rPr>
        <w:t>Scheme, 7</w:t>
      </w:r>
    </w:p>
    <w:p w:rsidR="00116054" w:rsidRDefault="00116054">
      <w:pPr>
        <w:pStyle w:val="Index1"/>
        <w:tabs>
          <w:tab w:val="right" w:leader="dot" w:pos="3481"/>
        </w:tabs>
        <w:rPr>
          <w:noProof/>
        </w:rPr>
      </w:pPr>
      <w:r>
        <w:rPr>
          <w:noProof/>
        </w:rPr>
        <w:t>Business investment, 17, 20, 26</w:t>
      </w:r>
    </w:p>
    <w:p w:rsidR="00116054" w:rsidRDefault="00116054">
      <w:pPr>
        <w:pStyle w:val="IndexHeading"/>
        <w:keepNext/>
        <w:tabs>
          <w:tab w:val="right" w:leader="dot" w:pos="3481"/>
        </w:tabs>
        <w:rPr>
          <w:rFonts w:eastAsiaTheme="minorEastAsia" w:cstheme="minorBidi"/>
          <w:b w:val="0"/>
          <w:bCs w:val="0"/>
          <w:noProof/>
        </w:rPr>
      </w:pPr>
      <w:r>
        <w:rPr>
          <w:noProof/>
        </w:rPr>
        <w:t>C</w:t>
      </w:r>
    </w:p>
    <w:p w:rsidR="00116054" w:rsidRDefault="00116054">
      <w:pPr>
        <w:pStyle w:val="Index1"/>
        <w:tabs>
          <w:tab w:val="right" w:leader="dot" w:pos="3481"/>
        </w:tabs>
        <w:rPr>
          <w:noProof/>
        </w:rPr>
      </w:pPr>
      <w:r w:rsidRPr="00441A10">
        <w:rPr>
          <w:noProof/>
          <w:lang w:val="en-US"/>
        </w:rPr>
        <w:t>Casey Hospital</w:t>
      </w:r>
      <w:r>
        <w:rPr>
          <w:noProof/>
        </w:rPr>
        <w:t>, 7</w:t>
      </w:r>
    </w:p>
    <w:p w:rsidR="00116054" w:rsidRDefault="00116054">
      <w:pPr>
        <w:pStyle w:val="Index1"/>
        <w:tabs>
          <w:tab w:val="right" w:leader="dot" w:pos="3481"/>
        </w:tabs>
        <w:rPr>
          <w:noProof/>
        </w:rPr>
      </w:pPr>
      <w:r>
        <w:rPr>
          <w:noProof/>
        </w:rPr>
        <w:t xml:space="preserve">Consumer price index. </w:t>
      </w:r>
      <w:r w:rsidRPr="00441A10">
        <w:rPr>
          <w:i/>
          <w:noProof/>
        </w:rPr>
        <w:t xml:space="preserve">See </w:t>
      </w:r>
      <w:r>
        <w:rPr>
          <w:noProof/>
        </w:rPr>
        <w:t>Inflation</w:t>
      </w:r>
    </w:p>
    <w:p w:rsidR="00116054" w:rsidRDefault="00116054">
      <w:pPr>
        <w:pStyle w:val="Index1"/>
        <w:tabs>
          <w:tab w:val="right" w:leader="dot" w:pos="3481"/>
        </w:tabs>
        <w:rPr>
          <w:noProof/>
        </w:rPr>
      </w:pPr>
      <w:r>
        <w:rPr>
          <w:noProof/>
        </w:rPr>
        <w:t>Consumer sentiment, 18, 86, 88</w:t>
      </w:r>
    </w:p>
    <w:p w:rsidR="00116054" w:rsidRDefault="00116054">
      <w:pPr>
        <w:pStyle w:val="Index1"/>
        <w:tabs>
          <w:tab w:val="right" w:leader="dot" w:pos="3481"/>
        </w:tabs>
        <w:rPr>
          <w:noProof/>
        </w:rPr>
      </w:pPr>
      <w:r>
        <w:rPr>
          <w:noProof/>
        </w:rPr>
        <w:t>Consumer spending, 17–18, 20, 23, 63</w:t>
      </w:r>
    </w:p>
    <w:p w:rsidR="00116054" w:rsidRDefault="00116054">
      <w:pPr>
        <w:pStyle w:val="IndexHeading"/>
        <w:keepNext/>
        <w:tabs>
          <w:tab w:val="right" w:leader="dot" w:pos="3481"/>
        </w:tabs>
        <w:rPr>
          <w:rFonts w:eastAsiaTheme="minorEastAsia" w:cstheme="minorBidi"/>
          <w:b w:val="0"/>
          <w:bCs w:val="0"/>
          <w:noProof/>
        </w:rPr>
      </w:pPr>
      <w:r>
        <w:rPr>
          <w:noProof/>
        </w:rPr>
        <w:t>D</w:t>
      </w:r>
    </w:p>
    <w:p w:rsidR="00116054" w:rsidRDefault="00116054">
      <w:pPr>
        <w:pStyle w:val="Index1"/>
        <w:tabs>
          <w:tab w:val="right" w:leader="dot" w:pos="3481"/>
        </w:tabs>
        <w:rPr>
          <w:noProof/>
        </w:rPr>
      </w:pPr>
      <w:r>
        <w:rPr>
          <w:noProof/>
        </w:rPr>
        <w:t>Debt</w:t>
      </w:r>
    </w:p>
    <w:p w:rsidR="00116054" w:rsidRDefault="00116054">
      <w:pPr>
        <w:pStyle w:val="Index2"/>
        <w:tabs>
          <w:tab w:val="right" w:leader="dot" w:pos="3481"/>
        </w:tabs>
        <w:rPr>
          <w:noProof/>
        </w:rPr>
      </w:pPr>
      <w:r>
        <w:rPr>
          <w:noProof/>
        </w:rPr>
        <w:t>General government net debt, 14</w:t>
      </w:r>
    </w:p>
    <w:p w:rsidR="00116054" w:rsidRDefault="00116054">
      <w:pPr>
        <w:pStyle w:val="Index2"/>
        <w:tabs>
          <w:tab w:val="right" w:leader="dot" w:pos="3481"/>
        </w:tabs>
        <w:rPr>
          <w:noProof/>
        </w:rPr>
      </w:pPr>
      <w:r>
        <w:rPr>
          <w:noProof/>
        </w:rPr>
        <w:t>Net debt, 12, 13, 78–80, 82–85</w:t>
      </w:r>
    </w:p>
    <w:p w:rsidR="00116054" w:rsidRDefault="00116054">
      <w:pPr>
        <w:pStyle w:val="Index2"/>
        <w:tabs>
          <w:tab w:val="right" w:leader="dot" w:pos="3481"/>
        </w:tabs>
        <w:rPr>
          <w:noProof/>
        </w:rPr>
      </w:pPr>
      <w:r>
        <w:rPr>
          <w:noProof/>
        </w:rPr>
        <w:t>Non-financial public sector, 71–72</w:t>
      </w:r>
    </w:p>
    <w:p w:rsidR="00116054" w:rsidRDefault="00116054">
      <w:pPr>
        <w:pStyle w:val="Index1"/>
        <w:tabs>
          <w:tab w:val="right" w:leader="dot" w:pos="3481"/>
        </w:tabs>
        <w:rPr>
          <w:noProof/>
        </w:rPr>
      </w:pPr>
      <w:r>
        <w:rPr>
          <w:noProof/>
        </w:rPr>
        <w:t>Dwelling investment, 20</w:t>
      </w:r>
    </w:p>
    <w:p w:rsidR="00116054" w:rsidRDefault="00116054">
      <w:pPr>
        <w:pStyle w:val="IndexHeading"/>
        <w:keepNext/>
        <w:tabs>
          <w:tab w:val="right" w:leader="dot" w:pos="3481"/>
        </w:tabs>
        <w:rPr>
          <w:rFonts w:eastAsiaTheme="minorEastAsia" w:cstheme="minorBidi"/>
          <w:b w:val="0"/>
          <w:bCs w:val="0"/>
          <w:noProof/>
        </w:rPr>
      </w:pPr>
      <w:r>
        <w:rPr>
          <w:noProof/>
        </w:rPr>
        <w:t>E</w:t>
      </w:r>
    </w:p>
    <w:p w:rsidR="00116054" w:rsidRDefault="00116054">
      <w:pPr>
        <w:pStyle w:val="Index1"/>
        <w:tabs>
          <w:tab w:val="right" w:leader="dot" w:pos="3481"/>
        </w:tabs>
        <w:rPr>
          <w:noProof/>
        </w:rPr>
      </w:pPr>
      <w:r>
        <w:rPr>
          <w:noProof/>
        </w:rPr>
        <w:t>Economic conditions, 50, 63, 77, 85</w:t>
      </w:r>
    </w:p>
    <w:p w:rsidR="00116054" w:rsidRDefault="00116054">
      <w:pPr>
        <w:pStyle w:val="Index2"/>
        <w:tabs>
          <w:tab w:val="right" w:leader="dot" w:pos="3481"/>
        </w:tabs>
        <w:rPr>
          <w:noProof/>
        </w:rPr>
      </w:pPr>
      <w:r>
        <w:rPr>
          <w:noProof/>
        </w:rPr>
        <w:t>Australia, 22–24</w:t>
      </w:r>
    </w:p>
    <w:p w:rsidR="00116054" w:rsidRDefault="00116054">
      <w:pPr>
        <w:pStyle w:val="Index2"/>
        <w:tabs>
          <w:tab w:val="right" w:leader="dot" w:pos="3481"/>
        </w:tabs>
        <w:rPr>
          <w:noProof/>
        </w:rPr>
      </w:pPr>
      <w:r w:rsidRPr="00441A10">
        <w:rPr>
          <w:noProof/>
          <w:lang w:val="en-US"/>
        </w:rPr>
        <w:t>International</w:t>
      </w:r>
      <w:r>
        <w:rPr>
          <w:noProof/>
        </w:rPr>
        <w:t>, 24–25</w:t>
      </w:r>
    </w:p>
    <w:p w:rsidR="00116054" w:rsidRDefault="00116054">
      <w:pPr>
        <w:pStyle w:val="Index2"/>
        <w:tabs>
          <w:tab w:val="right" w:leader="dot" w:pos="3481"/>
        </w:tabs>
        <w:rPr>
          <w:noProof/>
        </w:rPr>
      </w:pPr>
      <w:r>
        <w:rPr>
          <w:noProof/>
        </w:rPr>
        <w:t>Victoria, 18–22</w:t>
      </w:r>
    </w:p>
    <w:p w:rsidR="00116054" w:rsidRDefault="00116054">
      <w:pPr>
        <w:pStyle w:val="Index1"/>
        <w:tabs>
          <w:tab w:val="right" w:leader="dot" w:pos="3481"/>
        </w:tabs>
        <w:rPr>
          <w:noProof/>
        </w:rPr>
      </w:pPr>
      <w:r>
        <w:rPr>
          <w:noProof/>
        </w:rPr>
        <w:t xml:space="preserve">Economic growth, 18, 19, 51, 86–87, </w:t>
      </w:r>
      <w:r w:rsidRPr="00441A10">
        <w:rPr>
          <w:i/>
          <w:noProof/>
        </w:rPr>
        <w:t>See also </w:t>
      </w:r>
      <w:r>
        <w:rPr>
          <w:noProof/>
        </w:rPr>
        <w:t>Risks</w:t>
      </w:r>
    </w:p>
    <w:p w:rsidR="00116054" w:rsidRDefault="00116054">
      <w:pPr>
        <w:pStyle w:val="Index2"/>
        <w:tabs>
          <w:tab w:val="right" w:leader="dot" w:pos="3481"/>
        </w:tabs>
        <w:rPr>
          <w:noProof/>
        </w:rPr>
      </w:pPr>
      <w:r>
        <w:rPr>
          <w:noProof/>
        </w:rPr>
        <w:t>Australia, 22</w:t>
      </w:r>
    </w:p>
    <w:p w:rsidR="00116054" w:rsidRDefault="00116054">
      <w:pPr>
        <w:pStyle w:val="Index2"/>
        <w:tabs>
          <w:tab w:val="right" w:leader="dot" w:pos="3481"/>
        </w:tabs>
        <w:rPr>
          <w:noProof/>
        </w:rPr>
      </w:pPr>
      <w:r>
        <w:rPr>
          <w:noProof/>
        </w:rPr>
        <w:t>Victoria, 26, 40, 41</w:t>
      </w:r>
    </w:p>
    <w:p w:rsidR="00116054" w:rsidRDefault="00116054">
      <w:pPr>
        <w:pStyle w:val="Index1"/>
        <w:tabs>
          <w:tab w:val="right" w:leader="dot" w:pos="3481"/>
        </w:tabs>
        <w:rPr>
          <w:noProof/>
        </w:rPr>
      </w:pPr>
      <w:r w:rsidRPr="00441A10">
        <w:rPr>
          <w:noProof/>
          <w:lang w:val="en-US"/>
        </w:rPr>
        <w:lastRenderedPageBreak/>
        <w:t>Education State</w:t>
      </w:r>
      <w:r>
        <w:rPr>
          <w:noProof/>
        </w:rPr>
        <w:t>, 5–7, 46</w:t>
      </w:r>
    </w:p>
    <w:p w:rsidR="00116054" w:rsidRDefault="00116054">
      <w:pPr>
        <w:pStyle w:val="Index2"/>
        <w:tabs>
          <w:tab w:val="right" w:leader="dot" w:pos="3481"/>
        </w:tabs>
        <w:rPr>
          <w:noProof/>
        </w:rPr>
      </w:pPr>
      <w:r w:rsidRPr="00441A10">
        <w:rPr>
          <w:noProof/>
          <w:lang w:val="en-US"/>
        </w:rPr>
        <w:t>Early childhood</w:t>
      </w:r>
      <w:r>
        <w:rPr>
          <w:noProof/>
        </w:rPr>
        <w:t>, 6</w:t>
      </w:r>
    </w:p>
    <w:p w:rsidR="00116054" w:rsidRDefault="00116054">
      <w:pPr>
        <w:pStyle w:val="Index2"/>
        <w:tabs>
          <w:tab w:val="right" w:leader="dot" w:pos="3481"/>
        </w:tabs>
        <w:rPr>
          <w:noProof/>
        </w:rPr>
      </w:pPr>
      <w:r w:rsidRPr="00441A10">
        <w:rPr>
          <w:noProof/>
          <w:lang w:val="en-US"/>
        </w:rPr>
        <w:t>Schools</w:t>
      </w:r>
      <w:r>
        <w:rPr>
          <w:noProof/>
        </w:rPr>
        <w:t>, 6</w:t>
      </w:r>
    </w:p>
    <w:p w:rsidR="00116054" w:rsidRDefault="00116054">
      <w:pPr>
        <w:pStyle w:val="Index2"/>
        <w:tabs>
          <w:tab w:val="right" w:leader="dot" w:pos="3481"/>
        </w:tabs>
        <w:rPr>
          <w:noProof/>
        </w:rPr>
      </w:pPr>
      <w:r w:rsidRPr="00441A10">
        <w:rPr>
          <w:noProof/>
          <w:lang w:val="en-US"/>
        </w:rPr>
        <w:t>Vocational education and training</w:t>
      </w:r>
      <w:r>
        <w:rPr>
          <w:noProof/>
        </w:rPr>
        <w:t>, 7</w:t>
      </w:r>
    </w:p>
    <w:p w:rsidR="00116054" w:rsidRDefault="00116054">
      <w:pPr>
        <w:pStyle w:val="Index1"/>
        <w:tabs>
          <w:tab w:val="right" w:leader="dot" w:pos="3481"/>
        </w:tabs>
        <w:rPr>
          <w:noProof/>
        </w:rPr>
      </w:pPr>
      <w:r>
        <w:rPr>
          <w:noProof/>
        </w:rPr>
        <w:t>Emergency service management, 8</w:t>
      </w:r>
    </w:p>
    <w:p w:rsidR="00116054" w:rsidRDefault="00116054">
      <w:pPr>
        <w:pStyle w:val="Index1"/>
        <w:tabs>
          <w:tab w:val="right" w:leader="dot" w:pos="3481"/>
        </w:tabs>
        <w:rPr>
          <w:noProof/>
        </w:rPr>
      </w:pPr>
      <w:r>
        <w:rPr>
          <w:noProof/>
        </w:rPr>
        <w:t>Employment</w:t>
      </w:r>
    </w:p>
    <w:p w:rsidR="00116054" w:rsidRDefault="00116054">
      <w:pPr>
        <w:pStyle w:val="Index2"/>
        <w:tabs>
          <w:tab w:val="right" w:leader="dot" w:pos="3481"/>
        </w:tabs>
        <w:rPr>
          <w:noProof/>
        </w:rPr>
      </w:pPr>
      <w:r>
        <w:rPr>
          <w:noProof/>
        </w:rPr>
        <w:t>Growth, 1</w:t>
      </w:r>
    </w:p>
    <w:p w:rsidR="00116054" w:rsidRDefault="00116054">
      <w:pPr>
        <w:pStyle w:val="Index2"/>
        <w:tabs>
          <w:tab w:val="right" w:leader="dot" w:pos="3481"/>
        </w:tabs>
        <w:rPr>
          <w:noProof/>
        </w:rPr>
      </w:pPr>
      <w:r w:rsidRPr="00441A10">
        <w:rPr>
          <w:noProof/>
          <w:lang w:val="en-US"/>
        </w:rPr>
        <w:t>Industry</w:t>
      </w:r>
      <w:r>
        <w:rPr>
          <w:noProof/>
        </w:rPr>
        <w:t>, 2, 24, 36–39</w:t>
      </w:r>
    </w:p>
    <w:p w:rsidR="00116054" w:rsidRDefault="00116054">
      <w:pPr>
        <w:pStyle w:val="Index2"/>
        <w:tabs>
          <w:tab w:val="right" w:leader="dot" w:pos="3481"/>
        </w:tabs>
        <w:rPr>
          <w:noProof/>
        </w:rPr>
      </w:pPr>
      <w:r>
        <w:rPr>
          <w:noProof/>
        </w:rPr>
        <w:t>Youth, 33, 34</w:t>
      </w:r>
    </w:p>
    <w:p w:rsidR="00116054" w:rsidRDefault="00116054">
      <w:pPr>
        <w:pStyle w:val="IndexHeading"/>
        <w:keepNext/>
        <w:tabs>
          <w:tab w:val="right" w:leader="dot" w:pos="3481"/>
        </w:tabs>
        <w:rPr>
          <w:rFonts w:eastAsiaTheme="minorEastAsia" w:cstheme="minorBidi"/>
          <w:b w:val="0"/>
          <w:bCs w:val="0"/>
          <w:noProof/>
        </w:rPr>
      </w:pPr>
      <w:r>
        <w:rPr>
          <w:noProof/>
        </w:rPr>
        <w:t>F</w:t>
      </w:r>
    </w:p>
    <w:p w:rsidR="00116054" w:rsidRDefault="00116054">
      <w:pPr>
        <w:pStyle w:val="Index1"/>
        <w:tabs>
          <w:tab w:val="right" w:leader="dot" w:pos="3481"/>
        </w:tabs>
        <w:rPr>
          <w:noProof/>
        </w:rPr>
      </w:pPr>
      <w:r>
        <w:rPr>
          <w:noProof/>
        </w:rPr>
        <w:t>Financial management, 1, 12–14</w:t>
      </w:r>
    </w:p>
    <w:p w:rsidR="00116054" w:rsidRDefault="00116054">
      <w:pPr>
        <w:pStyle w:val="Index1"/>
        <w:tabs>
          <w:tab w:val="right" w:leader="dot" w:pos="3481"/>
        </w:tabs>
        <w:rPr>
          <w:noProof/>
        </w:rPr>
      </w:pPr>
      <w:r>
        <w:rPr>
          <w:noProof/>
        </w:rPr>
        <w:t>Future Industries Fund, 1, 4</w:t>
      </w:r>
    </w:p>
    <w:p w:rsidR="00116054" w:rsidRDefault="00116054">
      <w:pPr>
        <w:pStyle w:val="IndexHeading"/>
        <w:keepNext/>
        <w:tabs>
          <w:tab w:val="right" w:leader="dot" w:pos="3481"/>
        </w:tabs>
        <w:rPr>
          <w:rFonts w:eastAsiaTheme="minorEastAsia" w:cstheme="minorBidi"/>
          <w:b w:val="0"/>
          <w:bCs w:val="0"/>
          <w:noProof/>
        </w:rPr>
      </w:pPr>
      <w:r>
        <w:rPr>
          <w:noProof/>
        </w:rPr>
        <w:t>G</w:t>
      </w:r>
    </w:p>
    <w:p w:rsidR="00116054" w:rsidRDefault="00116054">
      <w:pPr>
        <w:pStyle w:val="Index1"/>
        <w:tabs>
          <w:tab w:val="right" w:leader="dot" w:pos="3481"/>
        </w:tabs>
        <w:rPr>
          <w:noProof/>
        </w:rPr>
      </w:pPr>
      <w:r>
        <w:rPr>
          <w:noProof/>
        </w:rPr>
        <w:t xml:space="preserve">General government net debt. </w:t>
      </w:r>
      <w:r w:rsidRPr="00441A10">
        <w:rPr>
          <w:i/>
          <w:noProof/>
        </w:rPr>
        <w:t xml:space="preserve">See </w:t>
      </w:r>
      <w:r>
        <w:rPr>
          <w:noProof/>
        </w:rPr>
        <w:t>Debt</w:t>
      </w:r>
    </w:p>
    <w:p w:rsidR="00116054" w:rsidRDefault="00116054">
      <w:pPr>
        <w:pStyle w:val="Index1"/>
        <w:tabs>
          <w:tab w:val="right" w:leader="dot" w:pos="3481"/>
        </w:tabs>
        <w:rPr>
          <w:noProof/>
        </w:rPr>
      </w:pPr>
      <w:r>
        <w:rPr>
          <w:noProof/>
        </w:rPr>
        <w:t>Gonski Review, 6</w:t>
      </w:r>
    </w:p>
    <w:p w:rsidR="00116054" w:rsidRDefault="00116054">
      <w:pPr>
        <w:pStyle w:val="Index1"/>
        <w:tabs>
          <w:tab w:val="right" w:leader="dot" w:pos="3481"/>
        </w:tabs>
        <w:rPr>
          <w:noProof/>
        </w:rPr>
      </w:pPr>
      <w:r w:rsidRPr="00441A10">
        <w:rPr>
          <w:noProof/>
          <w:lang w:val="en-US"/>
        </w:rPr>
        <w:t>Goods and services tax</w:t>
      </w:r>
      <w:r>
        <w:rPr>
          <w:noProof/>
        </w:rPr>
        <w:t>, 52, 57, 88</w:t>
      </w:r>
    </w:p>
    <w:p w:rsidR="00116054" w:rsidRDefault="00116054">
      <w:pPr>
        <w:pStyle w:val="Index2"/>
        <w:tabs>
          <w:tab w:val="right" w:leader="dot" w:pos="3481"/>
        </w:tabs>
        <w:rPr>
          <w:noProof/>
        </w:rPr>
      </w:pPr>
      <w:r w:rsidRPr="00441A10">
        <w:rPr>
          <w:noProof/>
          <w:lang w:val="en-US"/>
        </w:rPr>
        <w:t>Revenue</w:t>
      </w:r>
      <w:r>
        <w:rPr>
          <w:noProof/>
        </w:rPr>
        <w:t>, 57</w:t>
      </w:r>
    </w:p>
    <w:p w:rsidR="00116054" w:rsidRDefault="00116054">
      <w:pPr>
        <w:pStyle w:val="Index1"/>
        <w:tabs>
          <w:tab w:val="right" w:leader="dot" w:pos="3481"/>
        </w:tabs>
        <w:rPr>
          <w:noProof/>
        </w:rPr>
      </w:pPr>
      <w:r>
        <w:rPr>
          <w:noProof/>
        </w:rPr>
        <w:t>Grants</w:t>
      </w:r>
    </w:p>
    <w:p w:rsidR="00116054" w:rsidRDefault="00116054">
      <w:pPr>
        <w:pStyle w:val="Index2"/>
        <w:tabs>
          <w:tab w:val="right" w:leader="dot" w:pos="3481"/>
        </w:tabs>
        <w:rPr>
          <w:noProof/>
        </w:rPr>
      </w:pPr>
      <w:r>
        <w:rPr>
          <w:noProof/>
        </w:rPr>
        <w:t>Commonwealth, 52, 57, 63</w:t>
      </w:r>
    </w:p>
    <w:p w:rsidR="00116054" w:rsidRDefault="00116054">
      <w:pPr>
        <w:pStyle w:val="Index2"/>
        <w:tabs>
          <w:tab w:val="right" w:leader="dot" w:pos="3481"/>
        </w:tabs>
        <w:rPr>
          <w:noProof/>
        </w:rPr>
      </w:pPr>
      <w:r>
        <w:rPr>
          <w:noProof/>
        </w:rPr>
        <w:t>Revenue, 52, 57, 88</w:t>
      </w:r>
    </w:p>
    <w:p w:rsidR="00116054" w:rsidRDefault="00116054">
      <w:pPr>
        <w:pStyle w:val="Index1"/>
        <w:tabs>
          <w:tab w:val="right" w:leader="dot" w:pos="3481"/>
        </w:tabs>
        <w:rPr>
          <w:noProof/>
        </w:rPr>
      </w:pPr>
      <w:r>
        <w:rPr>
          <w:noProof/>
        </w:rPr>
        <w:t>Gross domestic product</w:t>
      </w:r>
    </w:p>
    <w:p w:rsidR="00116054" w:rsidRDefault="00116054">
      <w:pPr>
        <w:pStyle w:val="Index2"/>
        <w:tabs>
          <w:tab w:val="right" w:leader="dot" w:pos="3481"/>
        </w:tabs>
        <w:rPr>
          <w:noProof/>
        </w:rPr>
      </w:pPr>
      <w:r>
        <w:rPr>
          <w:noProof/>
        </w:rPr>
        <w:t>Growth, 22</w:t>
      </w:r>
    </w:p>
    <w:p w:rsidR="00116054" w:rsidRDefault="00116054">
      <w:pPr>
        <w:pStyle w:val="Index1"/>
        <w:tabs>
          <w:tab w:val="right" w:leader="dot" w:pos="3481"/>
        </w:tabs>
        <w:rPr>
          <w:noProof/>
        </w:rPr>
      </w:pPr>
      <w:r>
        <w:rPr>
          <w:noProof/>
        </w:rPr>
        <w:t xml:space="preserve">Gross state product, 2, 19–20, 43, 71, 77, 80, </w:t>
      </w:r>
      <w:r>
        <w:rPr>
          <w:i/>
          <w:noProof/>
        </w:rPr>
        <w:t>See </w:t>
      </w:r>
      <w:r w:rsidRPr="00441A10">
        <w:rPr>
          <w:i/>
          <w:noProof/>
        </w:rPr>
        <w:t xml:space="preserve">also </w:t>
      </w:r>
      <w:r>
        <w:rPr>
          <w:noProof/>
        </w:rPr>
        <w:t>Economic growth</w:t>
      </w:r>
    </w:p>
    <w:p w:rsidR="00116054" w:rsidRDefault="00116054">
      <w:pPr>
        <w:pStyle w:val="IndexHeading"/>
        <w:keepNext/>
        <w:tabs>
          <w:tab w:val="right" w:leader="dot" w:pos="3481"/>
        </w:tabs>
        <w:rPr>
          <w:rFonts w:eastAsiaTheme="minorEastAsia" w:cstheme="minorBidi"/>
          <w:b w:val="0"/>
          <w:bCs w:val="0"/>
          <w:noProof/>
        </w:rPr>
      </w:pPr>
      <w:r>
        <w:rPr>
          <w:noProof/>
        </w:rPr>
        <w:t>H</w:t>
      </w:r>
    </w:p>
    <w:p w:rsidR="00116054" w:rsidRDefault="00116054">
      <w:pPr>
        <w:pStyle w:val="Index1"/>
        <w:tabs>
          <w:tab w:val="right" w:leader="dot" w:pos="3481"/>
        </w:tabs>
        <w:rPr>
          <w:noProof/>
        </w:rPr>
      </w:pPr>
      <w:r>
        <w:rPr>
          <w:noProof/>
        </w:rPr>
        <w:t>Health</w:t>
      </w:r>
    </w:p>
    <w:p w:rsidR="00116054" w:rsidRDefault="00116054">
      <w:pPr>
        <w:pStyle w:val="Index2"/>
        <w:tabs>
          <w:tab w:val="right" w:leader="dot" w:pos="3481"/>
        </w:tabs>
        <w:rPr>
          <w:noProof/>
        </w:rPr>
      </w:pPr>
      <w:r w:rsidRPr="00441A10">
        <w:rPr>
          <w:noProof/>
          <w:lang w:val="en-US"/>
        </w:rPr>
        <w:t>Care</w:t>
      </w:r>
      <w:r>
        <w:rPr>
          <w:noProof/>
        </w:rPr>
        <w:t>, 2, 7, 32, 36</w:t>
      </w:r>
    </w:p>
    <w:p w:rsidR="00116054" w:rsidRDefault="00116054">
      <w:pPr>
        <w:pStyle w:val="Index2"/>
        <w:tabs>
          <w:tab w:val="right" w:leader="dot" w:pos="3481"/>
        </w:tabs>
        <w:rPr>
          <w:noProof/>
        </w:rPr>
      </w:pPr>
      <w:r w:rsidRPr="00441A10">
        <w:rPr>
          <w:noProof/>
          <w:lang w:val="en-US"/>
        </w:rPr>
        <w:t>Casey Hospital</w:t>
      </w:r>
      <w:r>
        <w:rPr>
          <w:noProof/>
        </w:rPr>
        <w:t>, 7</w:t>
      </w:r>
    </w:p>
    <w:p w:rsidR="00116054" w:rsidRDefault="00116054">
      <w:pPr>
        <w:pStyle w:val="Index2"/>
        <w:tabs>
          <w:tab w:val="right" w:leader="dot" w:pos="3481"/>
        </w:tabs>
        <w:rPr>
          <w:noProof/>
        </w:rPr>
      </w:pPr>
      <w:r>
        <w:rPr>
          <w:noProof/>
        </w:rPr>
        <w:t>Hospitals, 7</w:t>
      </w:r>
    </w:p>
    <w:p w:rsidR="00116054" w:rsidRDefault="00116054">
      <w:pPr>
        <w:pStyle w:val="Index2"/>
        <w:tabs>
          <w:tab w:val="right" w:leader="dot" w:pos="3481"/>
        </w:tabs>
        <w:rPr>
          <w:noProof/>
        </w:rPr>
      </w:pPr>
      <w:r w:rsidRPr="00441A10">
        <w:rPr>
          <w:noProof/>
          <w:lang w:val="en-US"/>
        </w:rPr>
        <w:t>Services</w:t>
      </w:r>
      <w:r>
        <w:rPr>
          <w:noProof/>
        </w:rPr>
        <w:t>, 7</w:t>
      </w:r>
    </w:p>
    <w:p w:rsidR="00116054" w:rsidRDefault="00116054">
      <w:pPr>
        <w:pStyle w:val="Index2"/>
        <w:tabs>
          <w:tab w:val="right" w:leader="dot" w:pos="3481"/>
        </w:tabs>
        <w:rPr>
          <w:noProof/>
        </w:rPr>
      </w:pPr>
      <w:r>
        <w:rPr>
          <w:noProof/>
        </w:rPr>
        <w:t>Western Women’s and Children’s Hospital, 7</w:t>
      </w:r>
    </w:p>
    <w:p w:rsidR="00116054" w:rsidRDefault="00116054">
      <w:pPr>
        <w:pStyle w:val="Index1"/>
        <w:tabs>
          <w:tab w:val="right" w:leader="dot" w:pos="3481"/>
        </w:tabs>
        <w:rPr>
          <w:noProof/>
        </w:rPr>
      </w:pPr>
      <w:r>
        <w:rPr>
          <w:noProof/>
        </w:rPr>
        <w:t>Hours worked, 18–21, 27, 30–34, 37, 51, 56</w:t>
      </w:r>
    </w:p>
    <w:p w:rsidR="00116054" w:rsidRDefault="00116054">
      <w:pPr>
        <w:pStyle w:val="Index1"/>
        <w:tabs>
          <w:tab w:val="right" w:leader="dot" w:pos="3481"/>
        </w:tabs>
        <w:rPr>
          <w:noProof/>
        </w:rPr>
      </w:pPr>
      <w:r>
        <w:rPr>
          <w:noProof/>
        </w:rPr>
        <w:t>Household consumption, 26, 51, 80, 88</w:t>
      </w:r>
    </w:p>
    <w:p w:rsidR="00116054" w:rsidRDefault="00116054">
      <w:pPr>
        <w:pStyle w:val="IndexHeading"/>
        <w:keepNext/>
        <w:tabs>
          <w:tab w:val="right" w:leader="dot" w:pos="3481"/>
        </w:tabs>
        <w:rPr>
          <w:rFonts w:eastAsiaTheme="minorEastAsia" w:cstheme="minorBidi"/>
          <w:b w:val="0"/>
          <w:bCs w:val="0"/>
          <w:noProof/>
        </w:rPr>
      </w:pPr>
      <w:r>
        <w:rPr>
          <w:noProof/>
        </w:rPr>
        <w:lastRenderedPageBreak/>
        <w:t>I</w:t>
      </w:r>
    </w:p>
    <w:p w:rsidR="00116054" w:rsidRDefault="00116054">
      <w:pPr>
        <w:pStyle w:val="Index1"/>
        <w:tabs>
          <w:tab w:val="right" w:leader="dot" w:pos="3481"/>
        </w:tabs>
        <w:rPr>
          <w:noProof/>
        </w:rPr>
      </w:pPr>
      <w:r>
        <w:rPr>
          <w:noProof/>
        </w:rPr>
        <w:t>Ice Action Taskforce, 8</w:t>
      </w:r>
    </w:p>
    <w:p w:rsidR="00116054" w:rsidRDefault="00116054">
      <w:pPr>
        <w:pStyle w:val="Index1"/>
        <w:tabs>
          <w:tab w:val="right" w:leader="dot" w:pos="3481"/>
        </w:tabs>
        <w:rPr>
          <w:noProof/>
        </w:rPr>
      </w:pPr>
      <w:r>
        <w:rPr>
          <w:noProof/>
        </w:rPr>
        <w:t>Inflation, 21, 24, 26, 63, 82</w:t>
      </w:r>
    </w:p>
    <w:p w:rsidR="00116054" w:rsidRDefault="00116054">
      <w:pPr>
        <w:pStyle w:val="Index1"/>
        <w:tabs>
          <w:tab w:val="right" w:leader="dot" w:pos="3481"/>
        </w:tabs>
        <w:rPr>
          <w:noProof/>
        </w:rPr>
      </w:pPr>
      <w:r>
        <w:rPr>
          <w:noProof/>
        </w:rPr>
        <w:t xml:space="preserve">Infrastructure investment, 10, 12–13, 25, 41, </w:t>
      </w:r>
      <w:r>
        <w:rPr>
          <w:noProof/>
        </w:rPr>
        <w:br/>
        <w:t>44, 47, 52, 56–57, 59</w:t>
      </w:r>
    </w:p>
    <w:p w:rsidR="00116054" w:rsidRDefault="00116054">
      <w:pPr>
        <w:pStyle w:val="Index2"/>
        <w:tabs>
          <w:tab w:val="right" w:leader="dot" w:pos="3481"/>
        </w:tabs>
        <w:rPr>
          <w:noProof/>
        </w:rPr>
      </w:pPr>
      <w:r>
        <w:rPr>
          <w:noProof/>
        </w:rPr>
        <w:t>Government infrastructure investment, 47–48</w:t>
      </w:r>
    </w:p>
    <w:p w:rsidR="00116054" w:rsidRDefault="00116054">
      <w:pPr>
        <w:pStyle w:val="Index1"/>
        <w:tabs>
          <w:tab w:val="right" w:leader="dot" w:pos="3481"/>
        </w:tabs>
        <w:rPr>
          <w:noProof/>
        </w:rPr>
      </w:pPr>
      <w:r>
        <w:rPr>
          <w:noProof/>
        </w:rPr>
        <w:t>Infrastructure Victoria, 10, 41</w:t>
      </w:r>
    </w:p>
    <w:p w:rsidR="00116054" w:rsidRDefault="00116054">
      <w:pPr>
        <w:pStyle w:val="Index1"/>
        <w:tabs>
          <w:tab w:val="right" w:leader="dot" w:pos="3481"/>
        </w:tabs>
        <w:rPr>
          <w:noProof/>
        </w:rPr>
      </w:pPr>
      <w:r>
        <w:rPr>
          <w:noProof/>
        </w:rPr>
        <w:t>Insurance, 65, 85</w:t>
      </w:r>
    </w:p>
    <w:p w:rsidR="00116054" w:rsidRDefault="00116054">
      <w:pPr>
        <w:pStyle w:val="Index2"/>
        <w:tabs>
          <w:tab w:val="right" w:leader="dot" w:pos="3481"/>
        </w:tabs>
        <w:rPr>
          <w:noProof/>
        </w:rPr>
      </w:pPr>
      <w:r>
        <w:rPr>
          <w:noProof/>
        </w:rPr>
        <w:t>Agencies, 74, 81–82, 85</w:t>
      </w:r>
    </w:p>
    <w:p w:rsidR="00116054" w:rsidRDefault="00116054">
      <w:pPr>
        <w:pStyle w:val="Index1"/>
        <w:tabs>
          <w:tab w:val="right" w:leader="dot" w:pos="3481"/>
        </w:tabs>
        <w:rPr>
          <w:noProof/>
        </w:rPr>
      </w:pPr>
      <w:r>
        <w:rPr>
          <w:noProof/>
        </w:rPr>
        <w:t>International Monetary Fund, 24–25</w:t>
      </w:r>
    </w:p>
    <w:p w:rsidR="00116054" w:rsidRDefault="00116054">
      <w:pPr>
        <w:pStyle w:val="IndexHeading"/>
        <w:keepNext/>
        <w:tabs>
          <w:tab w:val="right" w:leader="dot" w:pos="3481"/>
        </w:tabs>
        <w:rPr>
          <w:rFonts w:eastAsiaTheme="minorEastAsia" w:cstheme="minorBidi"/>
          <w:b w:val="0"/>
          <w:bCs w:val="0"/>
          <w:noProof/>
        </w:rPr>
      </w:pPr>
      <w:r>
        <w:rPr>
          <w:noProof/>
        </w:rPr>
        <w:t>J</w:t>
      </w:r>
    </w:p>
    <w:p w:rsidR="00116054" w:rsidRDefault="00116054">
      <w:pPr>
        <w:pStyle w:val="Index1"/>
        <w:tabs>
          <w:tab w:val="right" w:leader="dot" w:pos="3481"/>
        </w:tabs>
        <w:rPr>
          <w:noProof/>
        </w:rPr>
      </w:pPr>
      <w:r w:rsidRPr="00441A10">
        <w:rPr>
          <w:noProof/>
          <w:lang w:val="en-US"/>
        </w:rPr>
        <w:t>Jobs</w:t>
      </w:r>
      <w:r>
        <w:rPr>
          <w:noProof/>
        </w:rPr>
        <w:t>, 1–5, 9–10, 28, 31, 33–34, 39–41, 51</w:t>
      </w:r>
    </w:p>
    <w:p w:rsidR="00116054" w:rsidRDefault="00116054">
      <w:pPr>
        <w:pStyle w:val="Index2"/>
        <w:tabs>
          <w:tab w:val="right" w:leader="dot" w:pos="3481"/>
        </w:tabs>
        <w:rPr>
          <w:noProof/>
        </w:rPr>
      </w:pPr>
      <w:r>
        <w:rPr>
          <w:noProof/>
        </w:rPr>
        <w:t>Growth, 27, 36–39</w:t>
      </w:r>
    </w:p>
    <w:p w:rsidR="00116054" w:rsidRDefault="00116054">
      <w:pPr>
        <w:pStyle w:val="IndexHeading"/>
        <w:keepNext/>
        <w:tabs>
          <w:tab w:val="right" w:leader="dot" w:pos="3481"/>
        </w:tabs>
        <w:rPr>
          <w:rFonts w:eastAsiaTheme="minorEastAsia" w:cstheme="minorBidi"/>
          <w:b w:val="0"/>
          <w:bCs w:val="0"/>
          <w:noProof/>
        </w:rPr>
      </w:pPr>
      <w:r>
        <w:rPr>
          <w:noProof/>
        </w:rPr>
        <w:t>L</w:t>
      </w:r>
    </w:p>
    <w:p w:rsidR="00116054" w:rsidRDefault="00116054">
      <w:pPr>
        <w:pStyle w:val="Index1"/>
        <w:tabs>
          <w:tab w:val="right" w:leader="dot" w:pos="3481"/>
        </w:tabs>
        <w:rPr>
          <w:noProof/>
        </w:rPr>
      </w:pPr>
      <w:r>
        <w:rPr>
          <w:noProof/>
        </w:rPr>
        <w:t>Labour force participation, 25, 27</w:t>
      </w:r>
    </w:p>
    <w:p w:rsidR="00116054" w:rsidRDefault="00116054">
      <w:pPr>
        <w:pStyle w:val="Index1"/>
        <w:tabs>
          <w:tab w:val="right" w:leader="dot" w:pos="3481"/>
        </w:tabs>
        <w:rPr>
          <w:noProof/>
        </w:rPr>
      </w:pPr>
      <w:r w:rsidRPr="00441A10">
        <w:rPr>
          <w:noProof/>
          <w:lang w:val="en-US"/>
        </w:rPr>
        <w:t>Labour market</w:t>
      </w:r>
      <w:r>
        <w:rPr>
          <w:noProof/>
        </w:rPr>
        <w:t xml:space="preserve">, 3–5, 17, 20–21, 26, 27–34, </w:t>
      </w:r>
      <w:r>
        <w:rPr>
          <w:noProof/>
        </w:rPr>
        <w:br/>
        <w:t>38–41, 46, 50, 87</w:t>
      </w:r>
    </w:p>
    <w:p w:rsidR="00116054" w:rsidRDefault="00116054">
      <w:pPr>
        <w:pStyle w:val="Index2"/>
        <w:tabs>
          <w:tab w:val="right" w:leader="dot" w:pos="3481"/>
        </w:tabs>
        <w:rPr>
          <w:noProof/>
        </w:rPr>
      </w:pPr>
      <w:r w:rsidRPr="00441A10">
        <w:rPr>
          <w:noProof/>
          <w:lang w:val="en-US"/>
        </w:rPr>
        <w:t>Conditions</w:t>
      </w:r>
      <w:r>
        <w:rPr>
          <w:noProof/>
        </w:rPr>
        <w:t>, 20–21, 25</w:t>
      </w:r>
    </w:p>
    <w:p w:rsidR="00116054" w:rsidRDefault="00116054">
      <w:pPr>
        <w:pStyle w:val="Index2"/>
        <w:tabs>
          <w:tab w:val="right" w:leader="dot" w:pos="3481"/>
        </w:tabs>
        <w:rPr>
          <w:noProof/>
        </w:rPr>
      </w:pPr>
      <w:r>
        <w:rPr>
          <w:noProof/>
        </w:rPr>
        <w:t>Employment growth, 20, 27, 33, 36, 40, 51, 56</w:t>
      </w:r>
    </w:p>
    <w:p w:rsidR="00116054" w:rsidRDefault="00116054">
      <w:pPr>
        <w:pStyle w:val="Index2"/>
        <w:tabs>
          <w:tab w:val="right" w:leader="dot" w:pos="3481"/>
        </w:tabs>
        <w:rPr>
          <w:noProof/>
        </w:rPr>
      </w:pPr>
      <w:r>
        <w:rPr>
          <w:noProof/>
        </w:rPr>
        <w:t>Labour force participation, 33–35</w:t>
      </w:r>
    </w:p>
    <w:p w:rsidR="00116054" w:rsidRDefault="00116054">
      <w:pPr>
        <w:pStyle w:val="Index2"/>
        <w:tabs>
          <w:tab w:val="right" w:leader="dot" w:pos="3481"/>
        </w:tabs>
        <w:rPr>
          <w:noProof/>
        </w:rPr>
      </w:pPr>
      <w:r>
        <w:rPr>
          <w:noProof/>
        </w:rPr>
        <w:t>Youth, 35</w:t>
      </w:r>
    </w:p>
    <w:p w:rsidR="00116054" w:rsidRDefault="00116054">
      <w:pPr>
        <w:pStyle w:val="Index1"/>
        <w:tabs>
          <w:tab w:val="right" w:leader="dot" w:pos="3481"/>
        </w:tabs>
        <w:rPr>
          <w:noProof/>
        </w:rPr>
      </w:pPr>
      <w:r>
        <w:rPr>
          <w:noProof/>
        </w:rPr>
        <w:t>Land transfer duty, 50, 56, 63, 85–88</w:t>
      </w:r>
    </w:p>
    <w:p w:rsidR="00116054" w:rsidRDefault="00116054">
      <w:pPr>
        <w:pStyle w:val="IndexHeading"/>
        <w:keepNext/>
        <w:tabs>
          <w:tab w:val="right" w:leader="dot" w:pos="3481"/>
        </w:tabs>
        <w:rPr>
          <w:rFonts w:eastAsiaTheme="minorEastAsia" w:cstheme="minorBidi"/>
          <w:b w:val="0"/>
          <w:bCs w:val="0"/>
          <w:noProof/>
        </w:rPr>
      </w:pPr>
      <w:r>
        <w:rPr>
          <w:noProof/>
        </w:rPr>
        <w:t>M</w:t>
      </w:r>
    </w:p>
    <w:p w:rsidR="00116054" w:rsidRDefault="00116054">
      <w:pPr>
        <w:pStyle w:val="Index1"/>
        <w:tabs>
          <w:tab w:val="right" w:leader="dot" w:pos="3481"/>
        </w:tabs>
        <w:rPr>
          <w:noProof/>
        </w:rPr>
      </w:pPr>
      <w:r>
        <w:rPr>
          <w:noProof/>
        </w:rPr>
        <w:t xml:space="preserve">Melbourne Metro Rail Project, 1, 10, 41, </w:t>
      </w:r>
      <w:r>
        <w:rPr>
          <w:noProof/>
        </w:rPr>
        <w:br/>
        <w:t>46–47, 53, 60</w:t>
      </w:r>
    </w:p>
    <w:p w:rsidR="00116054" w:rsidRDefault="00116054">
      <w:pPr>
        <w:pStyle w:val="Index1"/>
        <w:tabs>
          <w:tab w:val="right" w:leader="dot" w:pos="3481"/>
        </w:tabs>
        <w:rPr>
          <w:noProof/>
        </w:rPr>
      </w:pPr>
      <w:r>
        <w:rPr>
          <w:noProof/>
        </w:rPr>
        <w:t>Migration, 18, 22</w:t>
      </w:r>
    </w:p>
    <w:p w:rsidR="00116054" w:rsidRDefault="00116054">
      <w:pPr>
        <w:pStyle w:val="IndexHeading"/>
        <w:keepNext/>
        <w:tabs>
          <w:tab w:val="right" w:leader="dot" w:pos="3481"/>
        </w:tabs>
        <w:rPr>
          <w:rFonts w:eastAsiaTheme="minorEastAsia" w:cstheme="minorBidi"/>
          <w:b w:val="0"/>
          <w:bCs w:val="0"/>
          <w:noProof/>
        </w:rPr>
      </w:pPr>
      <w:r>
        <w:rPr>
          <w:noProof/>
        </w:rPr>
        <w:t>N</w:t>
      </w:r>
    </w:p>
    <w:p w:rsidR="00116054" w:rsidRDefault="00116054">
      <w:pPr>
        <w:pStyle w:val="Index1"/>
        <w:tabs>
          <w:tab w:val="right" w:leader="dot" w:pos="3481"/>
        </w:tabs>
        <w:rPr>
          <w:noProof/>
        </w:rPr>
      </w:pPr>
      <w:r>
        <w:rPr>
          <w:noProof/>
        </w:rPr>
        <w:t>National Disability Insurance Scheme, 65</w:t>
      </w:r>
    </w:p>
    <w:p w:rsidR="00116054" w:rsidRDefault="00116054">
      <w:pPr>
        <w:pStyle w:val="Index1"/>
        <w:tabs>
          <w:tab w:val="right" w:leader="dot" w:pos="3481"/>
        </w:tabs>
        <w:rPr>
          <w:noProof/>
        </w:rPr>
      </w:pPr>
      <w:r>
        <w:rPr>
          <w:noProof/>
        </w:rPr>
        <w:t xml:space="preserve">Net debt. </w:t>
      </w:r>
      <w:r w:rsidRPr="00441A10">
        <w:rPr>
          <w:i/>
          <w:noProof/>
        </w:rPr>
        <w:t xml:space="preserve">See </w:t>
      </w:r>
      <w:r>
        <w:rPr>
          <w:noProof/>
        </w:rPr>
        <w:t>Debt</w:t>
      </w:r>
    </w:p>
    <w:p w:rsidR="00116054" w:rsidRDefault="00116054">
      <w:pPr>
        <w:pStyle w:val="Index1"/>
        <w:tabs>
          <w:tab w:val="right" w:leader="dot" w:pos="3481"/>
        </w:tabs>
        <w:rPr>
          <w:noProof/>
        </w:rPr>
      </w:pPr>
      <w:r>
        <w:rPr>
          <w:noProof/>
        </w:rPr>
        <w:t>Net financial liabilities, 43, 61–62, 71–73</w:t>
      </w:r>
    </w:p>
    <w:p w:rsidR="00116054" w:rsidRDefault="00116054">
      <w:pPr>
        <w:pStyle w:val="Index1"/>
        <w:tabs>
          <w:tab w:val="right" w:leader="dot" w:pos="3481"/>
        </w:tabs>
        <w:rPr>
          <w:noProof/>
        </w:rPr>
      </w:pPr>
      <w:r>
        <w:rPr>
          <w:noProof/>
        </w:rPr>
        <w:t>Non</w:t>
      </w:r>
      <w:r>
        <w:rPr>
          <w:noProof/>
        </w:rPr>
        <w:noBreakHyphen/>
        <w:t xml:space="preserve">financial public sector, 67, 68–71, </w:t>
      </w:r>
      <w:r w:rsidRPr="00441A10">
        <w:rPr>
          <w:i/>
          <w:noProof/>
        </w:rPr>
        <w:t>See also </w:t>
      </w:r>
      <w:r>
        <w:rPr>
          <w:noProof/>
        </w:rPr>
        <w:t>Debt</w:t>
      </w:r>
    </w:p>
    <w:p w:rsidR="00116054" w:rsidRDefault="00116054">
      <w:pPr>
        <w:pStyle w:val="IndexHeading"/>
        <w:keepNext/>
        <w:tabs>
          <w:tab w:val="right" w:leader="dot" w:pos="3481"/>
        </w:tabs>
        <w:rPr>
          <w:rFonts w:eastAsiaTheme="minorEastAsia" w:cstheme="minorBidi"/>
          <w:b w:val="0"/>
          <w:bCs w:val="0"/>
          <w:noProof/>
        </w:rPr>
      </w:pPr>
      <w:r>
        <w:rPr>
          <w:noProof/>
        </w:rPr>
        <w:t>O</w:t>
      </w:r>
    </w:p>
    <w:p w:rsidR="00116054" w:rsidRDefault="00116054">
      <w:pPr>
        <w:pStyle w:val="Index1"/>
        <w:tabs>
          <w:tab w:val="right" w:leader="dot" w:pos="3481"/>
        </w:tabs>
        <w:rPr>
          <w:noProof/>
        </w:rPr>
      </w:pPr>
      <w:r>
        <w:rPr>
          <w:noProof/>
        </w:rPr>
        <w:t>Operating result</w:t>
      </w:r>
    </w:p>
    <w:p w:rsidR="00116054" w:rsidRDefault="00116054">
      <w:pPr>
        <w:pStyle w:val="Index2"/>
        <w:tabs>
          <w:tab w:val="right" w:leader="dot" w:pos="3481"/>
        </w:tabs>
        <w:rPr>
          <w:noProof/>
        </w:rPr>
      </w:pPr>
      <w:r>
        <w:rPr>
          <w:noProof/>
        </w:rPr>
        <w:t>Non-financial public sector, 68–69</w:t>
      </w:r>
    </w:p>
    <w:p w:rsidR="00116054" w:rsidRDefault="00116054">
      <w:pPr>
        <w:pStyle w:val="Index2"/>
        <w:tabs>
          <w:tab w:val="right" w:leader="dot" w:pos="3481"/>
        </w:tabs>
        <w:rPr>
          <w:noProof/>
        </w:rPr>
      </w:pPr>
      <w:r>
        <w:rPr>
          <w:noProof/>
        </w:rPr>
        <w:t>State of Victoria, 74–75</w:t>
      </w:r>
    </w:p>
    <w:p w:rsidR="00116054" w:rsidRDefault="00116054">
      <w:pPr>
        <w:pStyle w:val="Index1"/>
        <w:tabs>
          <w:tab w:val="right" w:leader="dot" w:pos="3481"/>
        </w:tabs>
        <w:rPr>
          <w:noProof/>
        </w:rPr>
      </w:pPr>
      <w:r>
        <w:rPr>
          <w:noProof/>
        </w:rPr>
        <w:t>Operating surplus, 1, 12, 14, 43, 50, 57</w:t>
      </w:r>
    </w:p>
    <w:p w:rsidR="00116054" w:rsidRDefault="00116054">
      <w:pPr>
        <w:pStyle w:val="IndexHeading"/>
        <w:keepNext/>
        <w:tabs>
          <w:tab w:val="right" w:leader="dot" w:pos="3481"/>
        </w:tabs>
        <w:rPr>
          <w:rFonts w:eastAsiaTheme="minorEastAsia" w:cstheme="minorBidi"/>
          <w:b w:val="0"/>
          <w:bCs w:val="0"/>
          <w:noProof/>
        </w:rPr>
      </w:pPr>
      <w:r>
        <w:rPr>
          <w:noProof/>
        </w:rPr>
        <w:br w:type="column"/>
      </w:r>
      <w:r>
        <w:rPr>
          <w:noProof/>
        </w:rPr>
        <w:lastRenderedPageBreak/>
        <w:t>P</w:t>
      </w:r>
    </w:p>
    <w:p w:rsidR="00116054" w:rsidRDefault="00116054">
      <w:pPr>
        <w:pStyle w:val="Index1"/>
        <w:tabs>
          <w:tab w:val="right" w:leader="dot" w:pos="3481"/>
        </w:tabs>
        <w:rPr>
          <w:noProof/>
        </w:rPr>
      </w:pPr>
      <w:r w:rsidRPr="00441A10">
        <w:rPr>
          <w:noProof/>
          <w:lang w:val="en-US"/>
        </w:rPr>
        <w:t>Population</w:t>
      </w:r>
      <w:r>
        <w:rPr>
          <w:noProof/>
        </w:rPr>
        <w:t>, 19, 22, 28, 32, 36, 64</w:t>
      </w:r>
    </w:p>
    <w:p w:rsidR="00116054" w:rsidRDefault="00116054">
      <w:pPr>
        <w:pStyle w:val="Index2"/>
        <w:tabs>
          <w:tab w:val="right" w:leader="dot" w:pos="3481"/>
        </w:tabs>
        <w:rPr>
          <w:noProof/>
        </w:rPr>
      </w:pPr>
      <w:r w:rsidRPr="00441A10">
        <w:rPr>
          <w:noProof/>
          <w:lang w:val="en-US"/>
        </w:rPr>
        <w:t>Growth</w:t>
      </w:r>
      <w:r>
        <w:rPr>
          <w:noProof/>
        </w:rPr>
        <w:t>, 1–2, 12, 17–18, 22, 54, 60, 65</w:t>
      </w:r>
    </w:p>
    <w:p w:rsidR="00116054" w:rsidRDefault="00116054">
      <w:pPr>
        <w:pStyle w:val="Index1"/>
        <w:tabs>
          <w:tab w:val="right" w:leader="dot" w:pos="3481"/>
        </w:tabs>
        <w:rPr>
          <w:noProof/>
        </w:rPr>
      </w:pPr>
      <w:r>
        <w:rPr>
          <w:noProof/>
        </w:rPr>
        <w:t>Port Capacity Expansion project, 71</w:t>
      </w:r>
    </w:p>
    <w:p w:rsidR="00116054" w:rsidRDefault="00116054">
      <w:pPr>
        <w:pStyle w:val="Index1"/>
        <w:tabs>
          <w:tab w:val="right" w:leader="dot" w:pos="3481"/>
        </w:tabs>
        <w:rPr>
          <w:noProof/>
        </w:rPr>
      </w:pPr>
      <w:r>
        <w:rPr>
          <w:noProof/>
        </w:rPr>
        <w:t>Port of Melbourne, 11, 13, 44, 48, 58, 61</w:t>
      </w:r>
    </w:p>
    <w:p w:rsidR="00116054" w:rsidRDefault="00116054">
      <w:pPr>
        <w:pStyle w:val="Index1"/>
        <w:tabs>
          <w:tab w:val="right" w:leader="dot" w:pos="3481"/>
        </w:tabs>
        <w:rPr>
          <w:noProof/>
        </w:rPr>
      </w:pPr>
      <w:r>
        <w:rPr>
          <w:noProof/>
        </w:rPr>
        <w:t>Productivity, 1–2, 7, 10–12, 41, 47</w:t>
      </w:r>
    </w:p>
    <w:p w:rsidR="00116054" w:rsidRDefault="00116054">
      <w:pPr>
        <w:pStyle w:val="Index1"/>
        <w:tabs>
          <w:tab w:val="right" w:leader="dot" w:pos="3481"/>
        </w:tabs>
        <w:rPr>
          <w:noProof/>
        </w:rPr>
      </w:pPr>
      <w:r>
        <w:rPr>
          <w:noProof/>
        </w:rPr>
        <w:t>Public financial corporations, 67, 81</w:t>
      </w:r>
    </w:p>
    <w:p w:rsidR="00116054" w:rsidRDefault="00116054">
      <w:pPr>
        <w:pStyle w:val="Index1"/>
        <w:tabs>
          <w:tab w:val="right" w:leader="dot" w:pos="3481"/>
        </w:tabs>
        <w:rPr>
          <w:noProof/>
        </w:rPr>
      </w:pPr>
      <w:r>
        <w:rPr>
          <w:noProof/>
        </w:rPr>
        <w:t>Public non</w:t>
      </w:r>
      <w:r>
        <w:rPr>
          <w:noProof/>
        </w:rPr>
        <w:noBreakHyphen/>
        <w:t>financial corporations, 60, 67</w:t>
      </w:r>
    </w:p>
    <w:p w:rsidR="00116054" w:rsidRDefault="00116054">
      <w:pPr>
        <w:pStyle w:val="Index1"/>
        <w:tabs>
          <w:tab w:val="right" w:leader="dot" w:pos="3481"/>
        </w:tabs>
        <w:rPr>
          <w:noProof/>
        </w:rPr>
      </w:pPr>
      <w:r>
        <w:rPr>
          <w:noProof/>
        </w:rPr>
        <w:t>Public transport, 2, 10, 15, 41, 60</w:t>
      </w:r>
    </w:p>
    <w:p w:rsidR="00116054" w:rsidRDefault="00116054">
      <w:pPr>
        <w:pStyle w:val="IndexHeading"/>
        <w:keepNext/>
        <w:tabs>
          <w:tab w:val="right" w:leader="dot" w:pos="3481"/>
        </w:tabs>
        <w:rPr>
          <w:rFonts w:eastAsiaTheme="minorEastAsia" w:cstheme="minorBidi"/>
          <w:b w:val="0"/>
          <w:bCs w:val="0"/>
          <w:noProof/>
        </w:rPr>
      </w:pPr>
      <w:r>
        <w:rPr>
          <w:noProof/>
        </w:rPr>
        <w:t>R</w:t>
      </w:r>
    </w:p>
    <w:p w:rsidR="00116054" w:rsidRDefault="00116054">
      <w:pPr>
        <w:pStyle w:val="Index1"/>
        <w:tabs>
          <w:tab w:val="right" w:leader="dot" w:pos="3481"/>
        </w:tabs>
        <w:rPr>
          <w:noProof/>
        </w:rPr>
      </w:pPr>
      <w:r>
        <w:rPr>
          <w:noProof/>
        </w:rPr>
        <w:t>Risks</w:t>
      </w:r>
    </w:p>
    <w:p w:rsidR="00116054" w:rsidRDefault="00116054">
      <w:pPr>
        <w:pStyle w:val="Index2"/>
        <w:tabs>
          <w:tab w:val="right" w:leader="dot" w:pos="3481"/>
        </w:tabs>
        <w:rPr>
          <w:noProof/>
        </w:rPr>
      </w:pPr>
      <w:r>
        <w:rPr>
          <w:noProof/>
        </w:rPr>
        <w:t>Economic, 26</w:t>
      </w:r>
    </w:p>
    <w:p w:rsidR="00116054" w:rsidRDefault="00116054">
      <w:pPr>
        <w:pStyle w:val="Index2"/>
        <w:tabs>
          <w:tab w:val="right" w:leader="dot" w:pos="3481"/>
        </w:tabs>
        <w:rPr>
          <w:noProof/>
        </w:rPr>
      </w:pPr>
      <w:r>
        <w:rPr>
          <w:noProof/>
        </w:rPr>
        <w:t>Expenditure, 64</w:t>
      </w:r>
    </w:p>
    <w:p w:rsidR="00116054" w:rsidRDefault="00116054">
      <w:pPr>
        <w:pStyle w:val="Index2"/>
        <w:tabs>
          <w:tab w:val="right" w:leader="dot" w:pos="3481"/>
        </w:tabs>
        <w:rPr>
          <w:noProof/>
        </w:rPr>
      </w:pPr>
      <w:r>
        <w:rPr>
          <w:noProof/>
        </w:rPr>
        <w:t>Fiscal, 26</w:t>
      </w:r>
    </w:p>
    <w:p w:rsidR="00116054" w:rsidRDefault="00116054">
      <w:pPr>
        <w:pStyle w:val="Index1"/>
        <w:tabs>
          <w:tab w:val="right" w:leader="dot" w:pos="3481"/>
        </w:tabs>
        <w:rPr>
          <w:noProof/>
        </w:rPr>
      </w:pPr>
      <w:r>
        <w:rPr>
          <w:noProof/>
        </w:rPr>
        <w:t>Royal Commission into Family Violence, 8</w:t>
      </w:r>
    </w:p>
    <w:p w:rsidR="00116054" w:rsidRDefault="00116054">
      <w:pPr>
        <w:pStyle w:val="IndexHeading"/>
        <w:keepNext/>
        <w:tabs>
          <w:tab w:val="right" w:leader="dot" w:pos="3481"/>
        </w:tabs>
        <w:rPr>
          <w:rFonts w:eastAsiaTheme="minorEastAsia" w:cstheme="minorBidi"/>
          <w:b w:val="0"/>
          <w:bCs w:val="0"/>
          <w:noProof/>
        </w:rPr>
      </w:pPr>
      <w:r>
        <w:rPr>
          <w:noProof/>
        </w:rPr>
        <w:t>S</w:t>
      </w:r>
    </w:p>
    <w:p w:rsidR="00116054" w:rsidRDefault="00116054">
      <w:pPr>
        <w:pStyle w:val="Index1"/>
        <w:tabs>
          <w:tab w:val="right" w:leader="dot" w:pos="3481"/>
        </w:tabs>
        <w:rPr>
          <w:noProof/>
        </w:rPr>
      </w:pPr>
      <w:r>
        <w:rPr>
          <w:noProof/>
        </w:rPr>
        <w:t>Schools, 6–7, 53, 65</w:t>
      </w:r>
    </w:p>
    <w:p w:rsidR="00116054" w:rsidRDefault="00116054">
      <w:pPr>
        <w:pStyle w:val="Index1"/>
        <w:tabs>
          <w:tab w:val="right" w:leader="dot" w:pos="3481"/>
        </w:tabs>
        <w:rPr>
          <w:noProof/>
        </w:rPr>
      </w:pPr>
      <w:r w:rsidRPr="00441A10">
        <w:rPr>
          <w:noProof/>
          <w:lang w:val="en-US"/>
        </w:rPr>
        <w:t>Sensitivity analysis</w:t>
      </w:r>
    </w:p>
    <w:p w:rsidR="00116054" w:rsidRDefault="00116054">
      <w:pPr>
        <w:pStyle w:val="Index2"/>
        <w:tabs>
          <w:tab w:val="right" w:leader="dot" w:pos="3481"/>
        </w:tabs>
        <w:rPr>
          <w:noProof/>
        </w:rPr>
      </w:pPr>
      <w:r>
        <w:rPr>
          <w:noProof/>
        </w:rPr>
        <w:t>Average weekly earnings, 84</w:t>
      </w:r>
    </w:p>
    <w:p w:rsidR="00116054" w:rsidRDefault="00116054">
      <w:pPr>
        <w:pStyle w:val="Index2"/>
        <w:tabs>
          <w:tab w:val="right" w:leader="dot" w:pos="3481"/>
        </w:tabs>
        <w:rPr>
          <w:noProof/>
        </w:rPr>
      </w:pPr>
      <w:r>
        <w:rPr>
          <w:noProof/>
        </w:rPr>
        <w:t>Consumer prices, 82</w:t>
      </w:r>
    </w:p>
    <w:p w:rsidR="00116054" w:rsidRDefault="00116054">
      <w:pPr>
        <w:pStyle w:val="Index2"/>
        <w:tabs>
          <w:tab w:val="right" w:leader="dot" w:pos="3481"/>
        </w:tabs>
        <w:rPr>
          <w:noProof/>
        </w:rPr>
      </w:pPr>
      <w:r>
        <w:rPr>
          <w:noProof/>
        </w:rPr>
        <w:t>Domestic and overseas share prices, 85</w:t>
      </w:r>
    </w:p>
    <w:p w:rsidR="00116054" w:rsidRDefault="00116054">
      <w:pPr>
        <w:pStyle w:val="Index2"/>
        <w:tabs>
          <w:tab w:val="right" w:leader="dot" w:pos="3481"/>
        </w:tabs>
        <w:rPr>
          <w:noProof/>
        </w:rPr>
      </w:pPr>
      <w:r>
        <w:rPr>
          <w:noProof/>
        </w:rPr>
        <w:t>Employment, 83</w:t>
      </w:r>
    </w:p>
    <w:p w:rsidR="00116054" w:rsidRDefault="00116054">
      <w:pPr>
        <w:pStyle w:val="Index2"/>
        <w:tabs>
          <w:tab w:val="right" w:leader="dot" w:pos="3481"/>
        </w:tabs>
        <w:rPr>
          <w:noProof/>
        </w:rPr>
      </w:pPr>
      <w:r>
        <w:rPr>
          <w:noProof/>
        </w:rPr>
        <w:t>Enterprise agreements, 84</w:t>
      </w:r>
    </w:p>
    <w:p w:rsidR="00116054" w:rsidRDefault="00116054">
      <w:pPr>
        <w:pStyle w:val="Index2"/>
        <w:tabs>
          <w:tab w:val="right" w:leader="dot" w:pos="3481"/>
        </w:tabs>
        <w:rPr>
          <w:noProof/>
        </w:rPr>
      </w:pPr>
      <w:r w:rsidRPr="00441A10">
        <w:rPr>
          <w:noProof/>
          <w:lang w:val="en-US"/>
        </w:rPr>
        <w:t>Gross state product</w:t>
      </w:r>
      <w:r>
        <w:rPr>
          <w:noProof/>
        </w:rPr>
        <w:t>, 77–80</w:t>
      </w:r>
    </w:p>
    <w:p w:rsidR="00116054" w:rsidRDefault="00116054">
      <w:pPr>
        <w:pStyle w:val="Index2"/>
        <w:tabs>
          <w:tab w:val="right" w:leader="dot" w:pos="3481"/>
        </w:tabs>
        <w:rPr>
          <w:noProof/>
        </w:rPr>
      </w:pPr>
      <w:r>
        <w:rPr>
          <w:noProof/>
        </w:rPr>
        <w:t>Interest rates, 81</w:t>
      </w:r>
    </w:p>
    <w:p w:rsidR="00116054" w:rsidRDefault="00116054">
      <w:pPr>
        <w:pStyle w:val="Index2"/>
        <w:tabs>
          <w:tab w:val="right" w:leader="dot" w:pos="3481"/>
        </w:tabs>
        <w:rPr>
          <w:noProof/>
        </w:rPr>
      </w:pPr>
      <w:r>
        <w:rPr>
          <w:noProof/>
        </w:rPr>
        <w:t>Property prices and volumes, 85</w:t>
      </w:r>
    </w:p>
    <w:p w:rsidR="00116054" w:rsidRDefault="00116054">
      <w:pPr>
        <w:pStyle w:val="Index1"/>
        <w:tabs>
          <w:tab w:val="right" w:leader="dot" w:pos="3481"/>
        </w:tabs>
        <w:rPr>
          <w:noProof/>
        </w:rPr>
      </w:pPr>
      <w:r>
        <w:rPr>
          <w:noProof/>
        </w:rPr>
        <w:t>Service delivery, 46, 57</w:t>
      </w:r>
    </w:p>
    <w:p w:rsidR="00116054" w:rsidRDefault="00116054">
      <w:pPr>
        <w:pStyle w:val="Index1"/>
        <w:tabs>
          <w:tab w:val="right" w:leader="dot" w:pos="3481"/>
        </w:tabs>
        <w:rPr>
          <w:noProof/>
        </w:rPr>
      </w:pPr>
      <w:r>
        <w:rPr>
          <w:noProof/>
        </w:rPr>
        <w:t>Skills, 2, 4, 7, 27, 34, 36–39</w:t>
      </w:r>
    </w:p>
    <w:p w:rsidR="00116054" w:rsidRDefault="00116054">
      <w:pPr>
        <w:pStyle w:val="Index1"/>
        <w:tabs>
          <w:tab w:val="right" w:leader="dot" w:pos="3481"/>
        </w:tabs>
        <w:rPr>
          <w:noProof/>
        </w:rPr>
      </w:pPr>
      <w:r>
        <w:rPr>
          <w:noProof/>
        </w:rPr>
        <w:t>Small businesses, 4–5</w:t>
      </w:r>
    </w:p>
    <w:p w:rsidR="00116054" w:rsidRDefault="00116054">
      <w:pPr>
        <w:pStyle w:val="Index1"/>
        <w:tabs>
          <w:tab w:val="right" w:leader="dot" w:pos="3481"/>
        </w:tabs>
        <w:rPr>
          <w:noProof/>
        </w:rPr>
      </w:pPr>
      <w:r>
        <w:rPr>
          <w:noProof/>
        </w:rPr>
        <w:t>Start</w:t>
      </w:r>
      <w:r>
        <w:rPr>
          <w:noProof/>
        </w:rPr>
        <w:noBreakHyphen/>
        <w:t>up initiative, 4</w:t>
      </w:r>
    </w:p>
    <w:p w:rsidR="00116054" w:rsidRDefault="00116054">
      <w:pPr>
        <w:pStyle w:val="Index1"/>
        <w:tabs>
          <w:tab w:val="right" w:leader="dot" w:pos="3481"/>
        </w:tabs>
        <w:rPr>
          <w:noProof/>
        </w:rPr>
      </w:pPr>
      <w:r w:rsidRPr="00441A10">
        <w:rPr>
          <w:noProof/>
          <w:lang w:val="en-US"/>
        </w:rPr>
        <w:t>Structural change</w:t>
      </w:r>
      <w:r>
        <w:rPr>
          <w:noProof/>
        </w:rPr>
        <w:t>, 27–28, 39</w:t>
      </w:r>
    </w:p>
    <w:p w:rsidR="00116054" w:rsidRDefault="00116054">
      <w:pPr>
        <w:pStyle w:val="Index1"/>
        <w:tabs>
          <w:tab w:val="right" w:leader="dot" w:pos="3481"/>
        </w:tabs>
        <w:rPr>
          <w:noProof/>
        </w:rPr>
      </w:pPr>
      <w:r w:rsidRPr="00441A10">
        <w:rPr>
          <w:noProof/>
          <w:lang w:val="en-US"/>
        </w:rPr>
        <w:t>Superannuation</w:t>
      </w:r>
    </w:p>
    <w:p w:rsidR="00116054" w:rsidRDefault="00116054">
      <w:pPr>
        <w:pStyle w:val="Index2"/>
        <w:tabs>
          <w:tab w:val="right" w:leader="dot" w:pos="3481"/>
        </w:tabs>
        <w:rPr>
          <w:noProof/>
        </w:rPr>
      </w:pPr>
      <w:r>
        <w:rPr>
          <w:noProof/>
        </w:rPr>
        <w:t>Expense, 81–82, 84–85</w:t>
      </w:r>
    </w:p>
    <w:p w:rsidR="00116054" w:rsidRDefault="00116054">
      <w:pPr>
        <w:pStyle w:val="Index2"/>
        <w:tabs>
          <w:tab w:val="right" w:leader="dot" w:pos="3481"/>
        </w:tabs>
        <w:rPr>
          <w:noProof/>
        </w:rPr>
      </w:pPr>
      <w:r>
        <w:rPr>
          <w:noProof/>
        </w:rPr>
        <w:t>Liability, 61–62, 72, 84–85</w:t>
      </w:r>
    </w:p>
    <w:p w:rsidR="00116054" w:rsidRDefault="00116054">
      <w:pPr>
        <w:pStyle w:val="Index2"/>
        <w:tabs>
          <w:tab w:val="right" w:leader="dot" w:pos="3481"/>
        </w:tabs>
        <w:rPr>
          <w:noProof/>
        </w:rPr>
      </w:pPr>
      <w:r w:rsidRPr="00441A10">
        <w:rPr>
          <w:noProof/>
          <w:lang w:val="en-US"/>
        </w:rPr>
        <w:t>Unfunded superannuation liability</w:t>
      </w:r>
      <w:r>
        <w:rPr>
          <w:noProof/>
        </w:rPr>
        <w:t xml:space="preserve">, 14, 48, </w:t>
      </w:r>
      <w:r>
        <w:rPr>
          <w:noProof/>
        </w:rPr>
        <w:br/>
        <w:t>59, 70</w:t>
      </w:r>
    </w:p>
    <w:p w:rsidR="00116054" w:rsidRDefault="00116054">
      <w:pPr>
        <w:pStyle w:val="Index1"/>
        <w:tabs>
          <w:tab w:val="right" w:leader="dot" w:pos="3481"/>
        </w:tabs>
        <w:rPr>
          <w:noProof/>
        </w:rPr>
      </w:pPr>
      <w:r>
        <w:rPr>
          <w:noProof/>
        </w:rPr>
        <w:t xml:space="preserve">Surplus. </w:t>
      </w:r>
      <w:r w:rsidRPr="00441A10">
        <w:rPr>
          <w:i/>
          <w:noProof/>
        </w:rPr>
        <w:t xml:space="preserve">See </w:t>
      </w:r>
      <w:r>
        <w:rPr>
          <w:noProof/>
        </w:rPr>
        <w:t>Operating surplus</w:t>
      </w:r>
    </w:p>
    <w:p w:rsidR="00116054" w:rsidRDefault="00116054">
      <w:pPr>
        <w:pStyle w:val="IndexHeading"/>
        <w:keepNext/>
        <w:tabs>
          <w:tab w:val="right" w:leader="dot" w:pos="3481"/>
        </w:tabs>
        <w:rPr>
          <w:rFonts w:eastAsiaTheme="minorEastAsia" w:cstheme="minorBidi"/>
          <w:b w:val="0"/>
          <w:bCs w:val="0"/>
          <w:noProof/>
        </w:rPr>
      </w:pPr>
      <w:r>
        <w:rPr>
          <w:noProof/>
        </w:rPr>
        <w:br w:type="column"/>
      </w:r>
      <w:r>
        <w:rPr>
          <w:noProof/>
        </w:rPr>
        <w:lastRenderedPageBreak/>
        <w:t>T</w:t>
      </w:r>
    </w:p>
    <w:p w:rsidR="00116054" w:rsidRDefault="00116054">
      <w:pPr>
        <w:pStyle w:val="Index1"/>
        <w:tabs>
          <w:tab w:val="right" w:leader="dot" w:pos="3481"/>
        </w:tabs>
        <w:rPr>
          <w:noProof/>
        </w:rPr>
      </w:pPr>
      <w:r w:rsidRPr="00441A10">
        <w:rPr>
          <w:noProof/>
          <w:lang w:val="en-US"/>
        </w:rPr>
        <w:t>Taxation</w:t>
      </w:r>
    </w:p>
    <w:p w:rsidR="00116054" w:rsidRDefault="00116054">
      <w:pPr>
        <w:pStyle w:val="Index2"/>
        <w:tabs>
          <w:tab w:val="right" w:leader="dot" w:pos="3481"/>
        </w:tabs>
        <w:rPr>
          <w:noProof/>
        </w:rPr>
      </w:pPr>
      <w:r>
        <w:rPr>
          <w:noProof/>
        </w:rPr>
        <w:t>Gambling, 51</w:t>
      </w:r>
    </w:p>
    <w:p w:rsidR="00116054" w:rsidRDefault="00116054">
      <w:pPr>
        <w:pStyle w:val="Index2"/>
        <w:tabs>
          <w:tab w:val="right" w:leader="dot" w:pos="3481"/>
        </w:tabs>
        <w:rPr>
          <w:noProof/>
        </w:rPr>
      </w:pPr>
      <w:r w:rsidRPr="00441A10">
        <w:rPr>
          <w:noProof/>
          <w:lang w:val="en-US"/>
        </w:rPr>
        <w:t>Goods and services tax</w:t>
      </w:r>
      <w:r>
        <w:rPr>
          <w:noProof/>
        </w:rPr>
        <w:t>, 52, 57, 80</w:t>
      </w:r>
    </w:p>
    <w:p w:rsidR="00116054" w:rsidRDefault="00116054">
      <w:pPr>
        <w:pStyle w:val="Index2"/>
        <w:tabs>
          <w:tab w:val="right" w:leader="dot" w:pos="3481"/>
        </w:tabs>
        <w:rPr>
          <w:noProof/>
        </w:rPr>
      </w:pPr>
      <w:r>
        <w:rPr>
          <w:noProof/>
        </w:rPr>
        <w:t>Insurance, 51</w:t>
      </w:r>
    </w:p>
    <w:p w:rsidR="00116054" w:rsidRDefault="00116054">
      <w:pPr>
        <w:pStyle w:val="Index2"/>
        <w:tabs>
          <w:tab w:val="right" w:leader="dot" w:pos="3481"/>
        </w:tabs>
        <w:rPr>
          <w:noProof/>
        </w:rPr>
      </w:pPr>
      <w:r>
        <w:rPr>
          <w:noProof/>
        </w:rPr>
        <w:t>Land tax, 13, 51, 56, 85</w:t>
      </w:r>
    </w:p>
    <w:p w:rsidR="00116054" w:rsidRDefault="00116054">
      <w:pPr>
        <w:pStyle w:val="Index2"/>
        <w:tabs>
          <w:tab w:val="right" w:leader="dot" w:pos="3481"/>
        </w:tabs>
        <w:rPr>
          <w:noProof/>
        </w:rPr>
      </w:pPr>
      <w:r>
        <w:rPr>
          <w:noProof/>
        </w:rPr>
        <w:t>Land transfer duty, 50, 56, 63, 85–88</w:t>
      </w:r>
    </w:p>
    <w:p w:rsidR="00116054" w:rsidRDefault="00116054">
      <w:pPr>
        <w:pStyle w:val="Index2"/>
        <w:tabs>
          <w:tab w:val="right" w:leader="dot" w:pos="3481"/>
        </w:tabs>
        <w:rPr>
          <w:noProof/>
        </w:rPr>
      </w:pPr>
      <w:r>
        <w:rPr>
          <w:noProof/>
        </w:rPr>
        <w:t>Motor vehicle, 51, 63</w:t>
      </w:r>
    </w:p>
    <w:p w:rsidR="00116054" w:rsidRDefault="00116054">
      <w:pPr>
        <w:pStyle w:val="Index2"/>
        <w:tabs>
          <w:tab w:val="right" w:leader="dot" w:pos="3481"/>
        </w:tabs>
        <w:rPr>
          <w:noProof/>
        </w:rPr>
      </w:pPr>
      <w:r w:rsidRPr="00441A10">
        <w:rPr>
          <w:noProof/>
          <w:lang w:val="en-US"/>
        </w:rPr>
        <w:t>Payroll tax</w:t>
      </w:r>
      <w:r>
        <w:rPr>
          <w:noProof/>
        </w:rPr>
        <w:t>, 51, 56, 63, 83–84, 87</w:t>
      </w:r>
    </w:p>
    <w:p w:rsidR="00116054" w:rsidRDefault="00116054">
      <w:pPr>
        <w:pStyle w:val="Index2"/>
        <w:tabs>
          <w:tab w:val="right" w:leader="dot" w:pos="3481"/>
        </w:tabs>
        <w:rPr>
          <w:noProof/>
        </w:rPr>
      </w:pPr>
      <w:r>
        <w:rPr>
          <w:noProof/>
        </w:rPr>
        <w:t>Revenue, 50, 63, 68, 82–88</w:t>
      </w:r>
    </w:p>
    <w:p w:rsidR="00116054" w:rsidRDefault="00116054">
      <w:pPr>
        <w:pStyle w:val="Index1"/>
        <w:tabs>
          <w:tab w:val="right" w:leader="dot" w:pos="3481"/>
        </w:tabs>
        <w:rPr>
          <w:noProof/>
        </w:rPr>
      </w:pPr>
      <w:r>
        <w:rPr>
          <w:noProof/>
        </w:rPr>
        <w:t>Training, 2, 6–7, 34, 40</w:t>
      </w:r>
    </w:p>
    <w:p w:rsidR="00116054" w:rsidRDefault="00116054">
      <w:pPr>
        <w:pStyle w:val="Index1"/>
        <w:tabs>
          <w:tab w:val="right" w:leader="dot" w:pos="3481"/>
        </w:tabs>
        <w:rPr>
          <w:noProof/>
        </w:rPr>
      </w:pPr>
      <w:r>
        <w:rPr>
          <w:noProof/>
        </w:rPr>
        <w:t>Transport Accident Commission, 67</w:t>
      </w:r>
    </w:p>
    <w:p w:rsidR="00116054" w:rsidRDefault="00116054">
      <w:pPr>
        <w:pStyle w:val="Index1"/>
        <w:tabs>
          <w:tab w:val="right" w:leader="dot" w:pos="3481"/>
        </w:tabs>
        <w:rPr>
          <w:noProof/>
        </w:rPr>
      </w:pPr>
      <w:r>
        <w:rPr>
          <w:noProof/>
        </w:rPr>
        <w:t>Triple</w:t>
      </w:r>
      <w:r>
        <w:rPr>
          <w:noProof/>
        </w:rPr>
        <w:noBreakHyphen/>
        <w:t>A credit rating, 1, 12, 14, 43, 67</w:t>
      </w:r>
    </w:p>
    <w:p w:rsidR="00116054" w:rsidRDefault="00116054">
      <w:pPr>
        <w:pStyle w:val="IndexHeading"/>
        <w:keepNext/>
        <w:tabs>
          <w:tab w:val="right" w:leader="dot" w:pos="3481"/>
        </w:tabs>
        <w:rPr>
          <w:rFonts w:eastAsiaTheme="minorEastAsia" w:cstheme="minorBidi"/>
          <w:b w:val="0"/>
          <w:bCs w:val="0"/>
          <w:noProof/>
        </w:rPr>
      </w:pPr>
      <w:r>
        <w:rPr>
          <w:noProof/>
        </w:rPr>
        <w:lastRenderedPageBreak/>
        <w:t>U</w:t>
      </w:r>
    </w:p>
    <w:p w:rsidR="00116054" w:rsidRDefault="00116054">
      <w:pPr>
        <w:pStyle w:val="Index1"/>
        <w:tabs>
          <w:tab w:val="right" w:leader="dot" w:pos="3481"/>
        </w:tabs>
        <w:rPr>
          <w:noProof/>
        </w:rPr>
      </w:pPr>
      <w:r>
        <w:rPr>
          <w:noProof/>
        </w:rPr>
        <w:t>Unemployment</w:t>
      </w:r>
    </w:p>
    <w:p w:rsidR="00116054" w:rsidRDefault="00116054">
      <w:pPr>
        <w:pStyle w:val="Index2"/>
        <w:tabs>
          <w:tab w:val="right" w:leader="dot" w:pos="3481"/>
        </w:tabs>
        <w:rPr>
          <w:noProof/>
        </w:rPr>
      </w:pPr>
      <w:r>
        <w:rPr>
          <w:noProof/>
        </w:rPr>
        <w:t>Underemployment, 30, 32–33</w:t>
      </w:r>
    </w:p>
    <w:p w:rsidR="00116054" w:rsidRDefault="00116054">
      <w:pPr>
        <w:pStyle w:val="Index2"/>
        <w:tabs>
          <w:tab w:val="right" w:leader="dot" w:pos="3481"/>
        </w:tabs>
        <w:rPr>
          <w:noProof/>
        </w:rPr>
      </w:pPr>
      <w:r>
        <w:rPr>
          <w:noProof/>
        </w:rPr>
        <w:t>Underutilisation, 30, 32–33, 35</w:t>
      </w:r>
    </w:p>
    <w:p w:rsidR="00116054" w:rsidRDefault="00116054">
      <w:pPr>
        <w:pStyle w:val="Index2"/>
        <w:tabs>
          <w:tab w:val="right" w:leader="dot" w:pos="3481"/>
        </w:tabs>
        <w:rPr>
          <w:noProof/>
        </w:rPr>
      </w:pPr>
      <w:r>
        <w:rPr>
          <w:noProof/>
        </w:rPr>
        <w:t>Unemployment rate, 17, 19–20, 25, 28–30, 33</w:t>
      </w:r>
    </w:p>
    <w:p w:rsidR="00116054" w:rsidRDefault="00116054">
      <w:pPr>
        <w:pStyle w:val="Index2"/>
        <w:tabs>
          <w:tab w:val="right" w:leader="dot" w:pos="3481"/>
        </w:tabs>
        <w:rPr>
          <w:noProof/>
        </w:rPr>
      </w:pPr>
      <w:r>
        <w:rPr>
          <w:noProof/>
        </w:rPr>
        <w:t>Youth, 3–4, 7</w:t>
      </w:r>
    </w:p>
    <w:p w:rsidR="00116054" w:rsidRDefault="00116054">
      <w:pPr>
        <w:pStyle w:val="IndexHeading"/>
        <w:keepNext/>
        <w:tabs>
          <w:tab w:val="right" w:leader="dot" w:pos="3481"/>
        </w:tabs>
        <w:rPr>
          <w:rFonts w:eastAsiaTheme="minorEastAsia" w:cstheme="minorBidi"/>
          <w:b w:val="0"/>
          <w:bCs w:val="0"/>
          <w:noProof/>
        </w:rPr>
      </w:pPr>
      <w:r>
        <w:rPr>
          <w:noProof/>
        </w:rPr>
        <w:t>V</w:t>
      </w:r>
    </w:p>
    <w:p w:rsidR="00116054" w:rsidRDefault="00116054">
      <w:pPr>
        <w:pStyle w:val="Index1"/>
        <w:tabs>
          <w:tab w:val="right" w:leader="dot" w:pos="3481"/>
        </w:tabs>
        <w:rPr>
          <w:noProof/>
        </w:rPr>
      </w:pPr>
      <w:r>
        <w:rPr>
          <w:noProof/>
        </w:rPr>
        <w:t>Vocational education and t</w:t>
      </w:r>
      <w:r w:rsidRPr="00441A10">
        <w:rPr>
          <w:noProof/>
          <w:lang w:val="en-US"/>
        </w:rPr>
        <w:t>raining</w:t>
      </w:r>
      <w:r>
        <w:rPr>
          <w:noProof/>
        </w:rPr>
        <w:t>, 6–7</w:t>
      </w:r>
    </w:p>
    <w:p w:rsidR="00116054" w:rsidRDefault="00116054">
      <w:pPr>
        <w:pStyle w:val="IndexHeading"/>
        <w:keepNext/>
        <w:tabs>
          <w:tab w:val="right" w:leader="dot" w:pos="3481"/>
        </w:tabs>
        <w:rPr>
          <w:rFonts w:eastAsiaTheme="minorEastAsia" w:cstheme="minorBidi"/>
          <w:b w:val="0"/>
          <w:bCs w:val="0"/>
          <w:noProof/>
        </w:rPr>
      </w:pPr>
      <w:r>
        <w:rPr>
          <w:noProof/>
        </w:rPr>
        <w:t>W</w:t>
      </w:r>
    </w:p>
    <w:p w:rsidR="00116054" w:rsidRDefault="00116054">
      <w:pPr>
        <w:pStyle w:val="Index1"/>
        <w:tabs>
          <w:tab w:val="right" w:leader="dot" w:pos="3481"/>
        </w:tabs>
        <w:rPr>
          <w:noProof/>
        </w:rPr>
      </w:pPr>
      <w:r>
        <w:rPr>
          <w:noProof/>
        </w:rPr>
        <w:t>Wages, 18–19, 21, 64, 84, 87</w:t>
      </w:r>
    </w:p>
    <w:p w:rsidR="00116054" w:rsidRDefault="00116054">
      <w:pPr>
        <w:pStyle w:val="Index1"/>
        <w:tabs>
          <w:tab w:val="right" w:leader="dot" w:pos="3481"/>
        </w:tabs>
        <w:rPr>
          <w:noProof/>
        </w:rPr>
      </w:pPr>
      <w:r>
        <w:rPr>
          <w:noProof/>
        </w:rPr>
        <w:t>West Gate Distributor project, 11</w:t>
      </w:r>
    </w:p>
    <w:p w:rsidR="00116054" w:rsidRDefault="00116054">
      <w:pPr>
        <w:pStyle w:val="Index1"/>
        <w:tabs>
          <w:tab w:val="right" w:leader="dot" w:pos="3481"/>
        </w:tabs>
        <w:rPr>
          <w:noProof/>
        </w:rPr>
      </w:pPr>
      <w:r>
        <w:rPr>
          <w:noProof/>
        </w:rPr>
        <w:t>Western Women’s and Children’s Hospital, 7</w:t>
      </w:r>
    </w:p>
    <w:p w:rsidR="00116054" w:rsidRDefault="00116054">
      <w:pPr>
        <w:pStyle w:val="Index1"/>
        <w:tabs>
          <w:tab w:val="right" w:leader="dot" w:pos="3481"/>
        </w:tabs>
        <w:rPr>
          <w:noProof/>
        </w:rPr>
      </w:pPr>
      <w:r>
        <w:rPr>
          <w:noProof/>
        </w:rPr>
        <w:t>WorkSafe Victoria, 51, 56, 67, 83–84</w:t>
      </w:r>
    </w:p>
    <w:p w:rsidR="00116054" w:rsidRDefault="00116054" w:rsidP="000B3EE5">
      <w:pPr>
        <w:rPr>
          <w:noProof/>
        </w:rPr>
        <w:sectPr w:rsidR="00116054" w:rsidSect="00076FE5">
          <w:type w:val="continuous"/>
          <w:pgSz w:w="9979" w:h="14181" w:code="138"/>
          <w:pgMar w:top="1138" w:right="1138" w:bottom="1138" w:left="1138" w:header="720" w:footer="432" w:gutter="0"/>
          <w:cols w:num="2" w:space="439"/>
          <w:docGrid w:linePitch="360"/>
        </w:sectPr>
      </w:pPr>
    </w:p>
    <w:p w:rsidR="00116054" w:rsidRDefault="00116054" w:rsidP="000B3EE5">
      <w:r>
        <w:lastRenderedPageBreak/>
        <w:fldChar w:fldCharType="end"/>
      </w:r>
    </w:p>
    <w:p w:rsidR="00116054" w:rsidRDefault="00116054" w:rsidP="000B3EE5">
      <w:pPr>
        <w:spacing w:after="0"/>
      </w:pPr>
      <w:r>
        <w:br w:type="page"/>
      </w:r>
    </w:p>
    <w:p w:rsidR="00116054" w:rsidRDefault="00116054" w:rsidP="000B3EE5"/>
    <w:p w:rsidR="00116054" w:rsidRDefault="00116054" w:rsidP="000B3EE5"/>
    <w:p w:rsidR="00116054" w:rsidRPr="000542A7" w:rsidRDefault="00116054" w:rsidP="00876B63"/>
    <w:sectPr w:rsidR="00116054" w:rsidRPr="000542A7" w:rsidSect="000B3EE5">
      <w:type w:val="continuous"/>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54" w:rsidRDefault="00116054" w:rsidP="00116054">
      <w:pPr>
        <w:spacing w:after="0"/>
      </w:pPr>
      <w:r>
        <w:separator/>
      </w:r>
    </w:p>
  </w:endnote>
  <w:endnote w:type="continuationSeparator" w:id="0">
    <w:p w:rsidR="00116054" w:rsidRDefault="00116054" w:rsidP="00116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Pr="004816CA" w:rsidRDefault="000542A7" w:rsidP="004816CA">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5103"/>
        <w:tab w:val="right" w:pos="7655"/>
      </w:tabs>
      <w:spacing w:after="0"/>
      <w:rPr>
        <w:rStyle w:val="PageNumber"/>
      </w:rPr>
    </w:pPr>
    <w:r>
      <w:rPr>
        <w:rStyle w:val="PageNumber"/>
      </w:rPr>
      <w:t>2015</w:t>
    </w:r>
    <w:r w:rsidR="0088203F">
      <w:rPr>
        <w:rStyle w:val="PageNumber"/>
      </w:rPr>
      <w:noBreakHyphen/>
    </w:r>
    <w:r>
      <w:rPr>
        <w:rStyle w:val="PageNumber"/>
      </w:rPr>
      <w:t>16</w:t>
    </w:r>
    <w:r>
      <w:t xml:space="preserve"> Strategy and Outlook</w:t>
    </w:r>
    <w:r>
      <w:tab/>
      <w:t>Chapter 3</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41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66</w:t>
    </w:r>
    <w:r>
      <w:rPr>
        <w:rStyle w:val="PageNumber"/>
      </w:rPr>
      <w:fldChar w:fldCharType="end"/>
    </w:r>
    <w:r>
      <w:tab/>
      <w:t>Chapter 4</w:t>
    </w:r>
    <w:r>
      <w:tab/>
      <w:t>2015</w:t>
    </w:r>
    <w:r w:rsidR="0088203F">
      <w:rPr>
        <w:rStyle w:val="PageNumber"/>
      </w:rPr>
      <w:noBreakHyphen/>
    </w:r>
    <w:r>
      <w:rPr>
        <w:rStyle w:val="PageNumber"/>
      </w:rPr>
      <w:t>16</w:t>
    </w:r>
    <w:r>
      <w:t xml:space="preserve"> Strategy and Outlook</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5103"/>
        <w:tab w:val="right" w:pos="7655"/>
      </w:tabs>
      <w:spacing w:after="0"/>
      <w:rPr>
        <w:rStyle w:val="PageNumber"/>
      </w:rPr>
    </w:pPr>
    <w:r>
      <w:rPr>
        <w:rStyle w:val="PageNumber"/>
      </w:rPr>
      <w:t>2015</w:t>
    </w:r>
    <w:r w:rsidR="0088203F">
      <w:rPr>
        <w:rStyle w:val="PageNumber"/>
      </w:rPr>
      <w:noBreakHyphen/>
    </w:r>
    <w:r>
      <w:rPr>
        <w:rStyle w:val="PageNumber"/>
      </w:rPr>
      <w:t>16</w:t>
    </w:r>
    <w:r>
      <w:t xml:space="preserve"> Strategy and Outlook</w:t>
    </w:r>
    <w:r>
      <w:tab/>
      <w:t>Chapter 4</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65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76</w:t>
    </w:r>
    <w:r>
      <w:rPr>
        <w:rStyle w:val="PageNumber"/>
      </w:rPr>
      <w:fldChar w:fldCharType="end"/>
    </w:r>
    <w:r>
      <w:tab/>
      <w:t>Chapter 5</w:t>
    </w:r>
    <w:r>
      <w:tab/>
      <w:t>2015</w:t>
    </w:r>
    <w:r w:rsidR="0088203F">
      <w:rPr>
        <w:rStyle w:val="PageNumber"/>
      </w:rPr>
      <w:noBreakHyphen/>
    </w:r>
    <w:r>
      <w:rPr>
        <w:rStyle w:val="PageNumber"/>
      </w:rPr>
      <w:t>16</w:t>
    </w:r>
    <w:r>
      <w:t xml:space="preserve"> Strategy and Outlook</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5103"/>
        <w:tab w:val="right" w:pos="7655"/>
      </w:tabs>
      <w:spacing w:after="0"/>
      <w:rPr>
        <w:rStyle w:val="PageNumber"/>
      </w:rPr>
    </w:pPr>
    <w:r>
      <w:rPr>
        <w:rStyle w:val="PageNumber"/>
      </w:rPr>
      <w:t>2015</w:t>
    </w:r>
    <w:r w:rsidR="0088203F">
      <w:rPr>
        <w:rStyle w:val="PageNumber"/>
      </w:rPr>
      <w:noBreakHyphen/>
    </w:r>
    <w:r>
      <w:rPr>
        <w:rStyle w:val="PageNumber"/>
      </w:rPr>
      <w:t>16</w:t>
    </w:r>
    <w:r>
      <w:t xml:space="preserve"> Strategy and Outlook</w:t>
    </w:r>
    <w:r>
      <w:tab/>
      <w:t>Chapter 5</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75</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88</w:t>
    </w:r>
    <w:r>
      <w:rPr>
        <w:rStyle w:val="PageNumber"/>
      </w:rPr>
      <w:fldChar w:fldCharType="end"/>
    </w:r>
    <w:r>
      <w:tab/>
      <w:t>Appendix A</w:t>
    </w:r>
    <w:r>
      <w:tab/>
      <w:t>2015</w:t>
    </w:r>
    <w:r w:rsidR="0088203F">
      <w:rPr>
        <w:rStyle w:val="PageNumber"/>
      </w:rPr>
      <w:noBreakHyphen/>
    </w:r>
    <w:r>
      <w:rPr>
        <w:rStyle w:val="PageNumber"/>
      </w:rPr>
      <w:t>16</w:t>
    </w:r>
    <w:r>
      <w:t xml:space="preserve"> </w:t>
    </w:r>
    <w:r w:rsidRPr="002F7366">
      <w:t>Strategy and Outlook</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rsidP="0051682B">
    <w:pPr>
      <w:pStyle w:val="Footer"/>
      <w:tabs>
        <w:tab w:val="clear" w:pos="7085"/>
        <w:tab w:val="center" w:pos="5103"/>
        <w:tab w:val="right" w:pos="7655"/>
      </w:tabs>
      <w:spacing w:after="0"/>
      <w:rPr>
        <w:rStyle w:val="PageNumber"/>
      </w:rPr>
    </w:pPr>
    <w:r>
      <w:rPr>
        <w:rStyle w:val="PageNumber"/>
      </w:rPr>
      <w:t>2015</w:t>
    </w:r>
    <w:r w:rsidR="0088203F">
      <w:rPr>
        <w:rStyle w:val="PageNumber"/>
      </w:rPr>
      <w:noBreakHyphen/>
    </w:r>
    <w:r>
      <w:rPr>
        <w:rStyle w:val="PageNumber"/>
      </w:rPr>
      <w:t>16</w:t>
    </w:r>
    <w:r>
      <w:t xml:space="preserve"> Strategy and Outlook</w:t>
    </w:r>
    <w:r>
      <w:tab/>
      <w:t>Appendix A</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87</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90</w:t>
    </w:r>
    <w:r>
      <w:rPr>
        <w:rStyle w:val="PageNumber"/>
      </w:rPr>
      <w:fldChar w:fldCharType="end"/>
    </w:r>
    <w:r>
      <w:tab/>
    </w:r>
    <w:r w:rsidRPr="007B2462">
      <w:t>Style conventions</w:t>
    </w:r>
    <w:r>
      <w:tab/>
      <w:t>2015</w:t>
    </w:r>
    <w:r w:rsidR="0088203F">
      <w:rPr>
        <w:rStyle w:val="PageNumber"/>
      </w:rPr>
      <w:noBreakHyphen/>
    </w:r>
    <w:r>
      <w:rPr>
        <w:rStyle w:val="PageNumber"/>
      </w:rPr>
      <w:t>16</w:t>
    </w:r>
    <w:r>
      <w:t xml:space="preserve"> Strategy and Outlook</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rsidP="006E2CEC">
    <w:pPr>
      <w:pStyle w:val="Footer"/>
      <w:tabs>
        <w:tab w:val="clear" w:pos="7085"/>
        <w:tab w:val="center" w:pos="5103"/>
        <w:tab w:val="right" w:pos="7650"/>
      </w:tabs>
      <w:spacing w:after="0"/>
      <w:rPr>
        <w:rStyle w:val="PageNumber"/>
      </w:rPr>
    </w:pPr>
    <w:r>
      <w:rPr>
        <w:rStyle w:val="PageNumber"/>
      </w:rPr>
      <w:t>2015</w:t>
    </w:r>
    <w:r w:rsidR="0088203F">
      <w:rPr>
        <w:rStyle w:val="PageNumber"/>
      </w:rPr>
      <w:noBreakHyphen/>
    </w:r>
    <w:r>
      <w:rPr>
        <w:rStyle w:val="PageNumber"/>
      </w:rPr>
      <w:t>16</w:t>
    </w:r>
    <w:r>
      <w:t xml:space="preserve"> Strategy and Outlook</w:t>
    </w:r>
    <w:r>
      <w:tab/>
    </w:r>
    <w:r w:rsidRPr="007B2462">
      <w:t>Style conventions</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89</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Pr="004816CA" w:rsidRDefault="000542A7" w:rsidP="004816CA">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EA4CC9"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Index</w:t>
    </w:r>
    <w:r>
      <w:tab/>
      <w:t>2015</w:t>
    </w:r>
    <w:r>
      <w:rPr>
        <w:rStyle w:val="PageNumber"/>
      </w:rPr>
      <w:noBreakHyphen/>
      <w:t>16</w:t>
    </w:r>
    <w:r>
      <w:t xml:space="preserve"> Strategy and Outlook</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EA4CC9" w:rsidP="00C97E08">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Strategy and Outlook</w:t>
    </w:r>
    <w:r>
      <w:tab/>
      <w:t>Index</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91</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EA4CC9"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94</w:t>
    </w:r>
    <w:r>
      <w:rPr>
        <w:rStyle w:val="PageNumber"/>
      </w:rPr>
      <w:fldChar w:fldCharType="end"/>
    </w:r>
    <w:r>
      <w:tab/>
      <w:t>Index</w:t>
    </w:r>
    <w:r>
      <w:tab/>
      <w:t>2015</w:t>
    </w:r>
    <w:r>
      <w:rPr>
        <w:rStyle w:val="PageNumber"/>
      </w:rPr>
      <w:noBreakHyphen/>
      <w:t>16</w:t>
    </w:r>
    <w:r>
      <w:t xml:space="preserve"> Strategy and Outlook</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EA4CC9" w:rsidP="00C97E08">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Strategy and Outlook</w:t>
    </w:r>
    <w:r>
      <w:tab/>
      <w:t>Index</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93</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Default="000542A7" w:rsidP="004816CA">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Default="000542A7" w:rsidP="004816CA">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16</w:t>
    </w:r>
    <w:r>
      <w:rPr>
        <w:rStyle w:val="PageNumber"/>
      </w:rPr>
      <w:fldChar w:fldCharType="end"/>
    </w:r>
    <w:r>
      <w:tab/>
      <w:t xml:space="preserve">Chapter </w:t>
    </w:r>
    <w:r w:rsidR="000542A7">
      <w:t>1</w:t>
    </w:r>
    <w:r>
      <w:tab/>
      <w:t>20</w:t>
    </w:r>
    <w:r w:rsidR="000542A7">
      <w:t>15</w:t>
    </w:r>
    <w:r w:rsidR="0088203F">
      <w:rPr>
        <w:rStyle w:val="PageNumber"/>
      </w:rPr>
      <w:noBreakHyphen/>
    </w:r>
    <w:r w:rsidR="000542A7">
      <w:rPr>
        <w:rStyle w:val="PageNumber"/>
      </w:rPr>
      <w:t>16</w:t>
    </w:r>
    <w:r>
      <w:t xml:space="preserve"> Strategy and Outlook</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5103"/>
        <w:tab w:val="right" w:pos="7655"/>
      </w:tabs>
      <w:spacing w:after="0"/>
      <w:rPr>
        <w:rStyle w:val="PageNumber"/>
      </w:rPr>
    </w:pPr>
    <w:r>
      <w:rPr>
        <w:rStyle w:val="PageNumber"/>
      </w:rPr>
      <w:t>20</w:t>
    </w:r>
    <w:r w:rsidR="000542A7">
      <w:rPr>
        <w:rStyle w:val="PageNumber"/>
      </w:rPr>
      <w:t>15</w:t>
    </w:r>
    <w:r w:rsidR="0088203F">
      <w:rPr>
        <w:rStyle w:val="PageNumber"/>
      </w:rPr>
      <w:noBreakHyphen/>
    </w:r>
    <w:r w:rsidR="000542A7">
      <w:rPr>
        <w:rStyle w:val="PageNumber"/>
      </w:rPr>
      <w:t>16</w:t>
    </w:r>
    <w:r w:rsidR="000542A7">
      <w:t xml:space="preserve"> Strategy and Outlook</w:t>
    </w:r>
    <w:r w:rsidR="000542A7">
      <w:tab/>
      <w:t>Chapter 1</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15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26</w:t>
    </w:r>
    <w:r>
      <w:rPr>
        <w:rStyle w:val="PageNumber"/>
      </w:rPr>
      <w:fldChar w:fldCharType="end"/>
    </w:r>
    <w:r>
      <w:tab/>
      <w:t>Chapter 2</w:t>
    </w:r>
    <w:r>
      <w:tab/>
      <w:t>2015</w:t>
    </w:r>
    <w:r w:rsidR="0088203F">
      <w:rPr>
        <w:rStyle w:val="PageNumber"/>
      </w:rPr>
      <w:noBreakHyphen/>
    </w:r>
    <w:r>
      <w:rPr>
        <w:rStyle w:val="PageNumber"/>
      </w:rPr>
      <w:t>16</w:t>
    </w:r>
    <w:r>
      <w:t xml:space="preserve"> Strategy and Outlook</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5103"/>
        <w:tab w:val="right" w:pos="7655"/>
      </w:tabs>
      <w:spacing w:after="0"/>
      <w:rPr>
        <w:rStyle w:val="PageNumber"/>
      </w:rPr>
    </w:pPr>
    <w:r>
      <w:rPr>
        <w:rStyle w:val="PageNumber"/>
      </w:rPr>
      <w:t>2015</w:t>
    </w:r>
    <w:r w:rsidR="0088203F">
      <w:rPr>
        <w:rStyle w:val="PageNumber"/>
      </w:rPr>
      <w:noBreakHyphen/>
    </w:r>
    <w:r>
      <w:rPr>
        <w:rStyle w:val="PageNumber"/>
      </w:rPr>
      <w:t>16</w:t>
    </w:r>
    <w:r>
      <w:t xml:space="preserve"> Strategy and Outlook</w:t>
    </w:r>
    <w:r>
      <w:tab/>
      <w:t>Chapter 2</w:t>
    </w:r>
    <w:r>
      <w:tab/>
    </w: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25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EC" w:rsidRDefault="006E2CEC"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CC5D46">
      <w:rPr>
        <w:rStyle w:val="PageNumber"/>
        <w:noProof/>
      </w:rPr>
      <w:t>42</w:t>
    </w:r>
    <w:r>
      <w:rPr>
        <w:rStyle w:val="PageNumber"/>
      </w:rPr>
      <w:fldChar w:fldCharType="end"/>
    </w:r>
    <w:r>
      <w:tab/>
      <w:t>Chapter 3</w:t>
    </w:r>
    <w:r>
      <w:tab/>
      <w:t>2015</w:t>
    </w:r>
    <w:r w:rsidR="0088203F">
      <w:rPr>
        <w:rStyle w:val="PageNumber"/>
      </w:rPr>
      <w:noBreakHyphen/>
    </w:r>
    <w:r>
      <w:rPr>
        <w:rStyle w:val="PageNumber"/>
      </w:rPr>
      <w:t>16</w:t>
    </w:r>
    <w:r>
      <w:t xml:space="preserve"> Strategy and Outlook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54" w:rsidRDefault="00116054" w:rsidP="00116054">
      <w:pPr>
        <w:spacing w:after="0"/>
      </w:pPr>
      <w:r>
        <w:separator/>
      </w:r>
    </w:p>
  </w:footnote>
  <w:footnote w:type="continuationSeparator" w:id="0">
    <w:p w:rsidR="00116054" w:rsidRDefault="00116054" w:rsidP="001160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25" w:rsidRDefault="00CC5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7E98C2"/>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318E4161"/>
    <w:multiLevelType w:val="hybridMultilevel"/>
    <w:tmpl w:val="C82E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0">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1">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1785CEE"/>
    <w:multiLevelType w:val="hybridMultilevel"/>
    <w:tmpl w:val="45BEE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5"/>
  </w:num>
  <w:num w:numId="16">
    <w:abstractNumId w:val="29"/>
  </w:num>
  <w:num w:numId="17">
    <w:abstractNumId w:val="27"/>
  </w:num>
  <w:num w:numId="18">
    <w:abstractNumId w:val="11"/>
  </w:num>
  <w:num w:numId="19">
    <w:abstractNumId w:val="31"/>
  </w:num>
  <w:num w:numId="20">
    <w:abstractNumId w:val="17"/>
  </w:num>
  <w:num w:numId="21">
    <w:abstractNumId w:val="33"/>
  </w:num>
  <w:num w:numId="22">
    <w:abstractNumId w:val="12"/>
  </w:num>
  <w:num w:numId="23">
    <w:abstractNumId w:val="34"/>
  </w:num>
  <w:num w:numId="24">
    <w:abstractNumId w:val="18"/>
  </w:num>
  <w:num w:numId="25">
    <w:abstractNumId w:val="21"/>
  </w:num>
  <w:num w:numId="26">
    <w:abstractNumId w:val="16"/>
  </w:num>
  <w:num w:numId="27">
    <w:abstractNumId w:val="25"/>
  </w:num>
  <w:num w:numId="28">
    <w:abstractNumId w:val="13"/>
  </w:num>
  <w:num w:numId="29">
    <w:abstractNumId w:val="24"/>
  </w:num>
  <w:num w:numId="30">
    <w:abstractNumId w:val="20"/>
  </w:num>
  <w:num w:numId="31">
    <w:abstractNumId w:val="26"/>
  </w:num>
  <w:num w:numId="32">
    <w:abstractNumId w:val="28"/>
  </w:num>
  <w:num w:numId="33">
    <w:abstractNumId w:val="23"/>
  </w:num>
  <w:num w:numId="34">
    <w:abstractNumId w:val="14"/>
  </w:num>
  <w:num w:numId="35">
    <w:abstractNumId w:val="22"/>
  </w:num>
  <w:num w:numId="36">
    <w:abstractNumId w:val="32"/>
  </w:num>
  <w:num w:numId="37">
    <w:abstractNumId w:val="8"/>
    <w:lvlOverride w:ilvl="0">
      <w:startOverride w:val="1"/>
    </w:lvlOverride>
  </w:num>
  <w:num w:numId="3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A7"/>
    <w:rsid w:val="00006F06"/>
    <w:rsid w:val="00020E91"/>
    <w:rsid w:val="00021CE5"/>
    <w:rsid w:val="000221B3"/>
    <w:rsid w:val="00025E1C"/>
    <w:rsid w:val="00031488"/>
    <w:rsid w:val="00035734"/>
    <w:rsid w:val="000362EA"/>
    <w:rsid w:val="00041292"/>
    <w:rsid w:val="00043F9F"/>
    <w:rsid w:val="000451B1"/>
    <w:rsid w:val="00050885"/>
    <w:rsid w:val="000542A7"/>
    <w:rsid w:val="00056F1F"/>
    <w:rsid w:val="00060942"/>
    <w:rsid w:val="00061F50"/>
    <w:rsid w:val="00064FD8"/>
    <w:rsid w:val="00066FD9"/>
    <w:rsid w:val="00076FE5"/>
    <w:rsid w:val="000771C1"/>
    <w:rsid w:val="000804F8"/>
    <w:rsid w:val="000868E5"/>
    <w:rsid w:val="000925EA"/>
    <w:rsid w:val="00093898"/>
    <w:rsid w:val="000A2702"/>
    <w:rsid w:val="000A5321"/>
    <w:rsid w:val="000B1105"/>
    <w:rsid w:val="000B12EE"/>
    <w:rsid w:val="000B1B53"/>
    <w:rsid w:val="000B2895"/>
    <w:rsid w:val="000B48B6"/>
    <w:rsid w:val="000C1027"/>
    <w:rsid w:val="000C18E1"/>
    <w:rsid w:val="000D3B72"/>
    <w:rsid w:val="000D652A"/>
    <w:rsid w:val="000D7EDA"/>
    <w:rsid w:val="000E725D"/>
    <w:rsid w:val="000F6CCB"/>
    <w:rsid w:val="00100FCC"/>
    <w:rsid w:val="00116054"/>
    <w:rsid w:val="00126C85"/>
    <w:rsid w:val="00130570"/>
    <w:rsid w:val="0013382D"/>
    <w:rsid w:val="001368DE"/>
    <w:rsid w:val="00140C5B"/>
    <w:rsid w:val="0014370C"/>
    <w:rsid w:val="00150C34"/>
    <w:rsid w:val="00154535"/>
    <w:rsid w:val="0015668D"/>
    <w:rsid w:val="0016459F"/>
    <w:rsid w:val="001664D4"/>
    <w:rsid w:val="00170A52"/>
    <w:rsid w:val="00176CD6"/>
    <w:rsid w:val="0017767A"/>
    <w:rsid w:val="00185277"/>
    <w:rsid w:val="001856DE"/>
    <w:rsid w:val="00197FF0"/>
    <w:rsid w:val="001B3564"/>
    <w:rsid w:val="001B6753"/>
    <w:rsid w:val="001C0D0F"/>
    <w:rsid w:val="001C1EAD"/>
    <w:rsid w:val="001C2F60"/>
    <w:rsid w:val="001C4B1D"/>
    <w:rsid w:val="001C6D0D"/>
    <w:rsid w:val="001D18E7"/>
    <w:rsid w:val="001E15F3"/>
    <w:rsid w:val="001F3DDD"/>
    <w:rsid w:val="001F4F89"/>
    <w:rsid w:val="0020013B"/>
    <w:rsid w:val="0020604E"/>
    <w:rsid w:val="00215F42"/>
    <w:rsid w:val="00222DB6"/>
    <w:rsid w:val="00225DCD"/>
    <w:rsid w:val="00230BEC"/>
    <w:rsid w:val="0023358D"/>
    <w:rsid w:val="00236689"/>
    <w:rsid w:val="00240744"/>
    <w:rsid w:val="002411D9"/>
    <w:rsid w:val="00245DCF"/>
    <w:rsid w:val="0025606D"/>
    <w:rsid w:val="00260B17"/>
    <w:rsid w:val="002733B3"/>
    <w:rsid w:val="00282839"/>
    <w:rsid w:val="0029425D"/>
    <w:rsid w:val="002B0D02"/>
    <w:rsid w:val="002B15CD"/>
    <w:rsid w:val="002B5189"/>
    <w:rsid w:val="002C04C2"/>
    <w:rsid w:val="002C1C0D"/>
    <w:rsid w:val="002D0C50"/>
    <w:rsid w:val="002D1E1C"/>
    <w:rsid w:val="002D4189"/>
    <w:rsid w:val="002D7692"/>
    <w:rsid w:val="002E0D69"/>
    <w:rsid w:val="002E31A2"/>
    <w:rsid w:val="002E5C62"/>
    <w:rsid w:val="002E696F"/>
    <w:rsid w:val="002F3CB5"/>
    <w:rsid w:val="003010A2"/>
    <w:rsid w:val="00302525"/>
    <w:rsid w:val="00304F13"/>
    <w:rsid w:val="00322573"/>
    <w:rsid w:val="00322DD7"/>
    <w:rsid w:val="003233E0"/>
    <w:rsid w:val="003259E9"/>
    <w:rsid w:val="00325C50"/>
    <w:rsid w:val="0032698D"/>
    <w:rsid w:val="0033005B"/>
    <w:rsid w:val="0033237D"/>
    <w:rsid w:val="003352CE"/>
    <w:rsid w:val="00341734"/>
    <w:rsid w:val="00341E1B"/>
    <w:rsid w:val="00342ECD"/>
    <w:rsid w:val="00346956"/>
    <w:rsid w:val="00346AFE"/>
    <w:rsid w:val="003511F8"/>
    <w:rsid w:val="003553FF"/>
    <w:rsid w:val="00364C8B"/>
    <w:rsid w:val="0036725D"/>
    <w:rsid w:val="003819A4"/>
    <w:rsid w:val="00382EC5"/>
    <w:rsid w:val="003926C8"/>
    <w:rsid w:val="0039472C"/>
    <w:rsid w:val="0039576F"/>
    <w:rsid w:val="00397CF1"/>
    <w:rsid w:val="00397F02"/>
    <w:rsid w:val="003A3D44"/>
    <w:rsid w:val="003A49D8"/>
    <w:rsid w:val="003C0422"/>
    <w:rsid w:val="003C2F48"/>
    <w:rsid w:val="003C3AAE"/>
    <w:rsid w:val="003E2EE8"/>
    <w:rsid w:val="003E31E5"/>
    <w:rsid w:val="003E5374"/>
    <w:rsid w:val="003E5F71"/>
    <w:rsid w:val="003F15E7"/>
    <w:rsid w:val="003F4955"/>
    <w:rsid w:val="00402B50"/>
    <w:rsid w:val="004041CD"/>
    <w:rsid w:val="004046AE"/>
    <w:rsid w:val="00406F75"/>
    <w:rsid w:val="00411AEE"/>
    <w:rsid w:val="00411BD1"/>
    <w:rsid w:val="00412BC0"/>
    <w:rsid w:val="00423922"/>
    <w:rsid w:val="004274F6"/>
    <w:rsid w:val="00434CC3"/>
    <w:rsid w:val="004367DF"/>
    <w:rsid w:val="00437861"/>
    <w:rsid w:val="00446F20"/>
    <w:rsid w:val="00455F51"/>
    <w:rsid w:val="00465985"/>
    <w:rsid w:val="00466329"/>
    <w:rsid w:val="0046648A"/>
    <w:rsid w:val="0046774A"/>
    <w:rsid w:val="00472150"/>
    <w:rsid w:val="004723F7"/>
    <w:rsid w:val="0047243E"/>
    <w:rsid w:val="00480ADD"/>
    <w:rsid w:val="0048122A"/>
    <w:rsid w:val="004828FB"/>
    <w:rsid w:val="00485CB3"/>
    <w:rsid w:val="00492D93"/>
    <w:rsid w:val="00495FA5"/>
    <w:rsid w:val="00497606"/>
    <w:rsid w:val="004B35E5"/>
    <w:rsid w:val="004C08B1"/>
    <w:rsid w:val="004C3F0D"/>
    <w:rsid w:val="004C654C"/>
    <w:rsid w:val="004C767D"/>
    <w:rsid w:val="004D0D78"/>
    <w:rsid w:val="004D2300"/>
    <w:rsid w:val="004D392F"/>
    <w:rsid w:val="004D3DE7"/>
    <w:rsid w:val="004F0906"/>
    <w:rsid w:val="004F1592"/>
    <w:rsid w:val="004F2638"/>
    <w:rsid w:val="004F5F3D"/>
    <w:rsid w:val="004F6EFF"/>
    <w:rsid w:val="004F779D"/>
    <w:rsid w:val="00503A10"/>
    <w:rsid w:val="005040D7"/>
    <w:rsid w:val="0050487A"/>
    <w:rsid w:val="0050690B"/>
    <w:rsid w:val="0051195C"/>
    <w:rsid w:val="005142C4"/>
    <w:rsid w:val="00515C51"/>
    <w:rsid w:val="00516DF2"/>
    <w:rsid w:val="00522994"/>
    <w:rsid w:val="00531A3D"/>
    <w:rsid w:val="00533108"/>
    <w:rsid w:val="005429ED"/>
    <w:rsid w:val="00545CA0"/>
    <w:rsid w:val="00547E3B"/>
    <w:rsid w:val="005552E0"/>
    <w:rsid w:val="00557C0E"/>
    <w:rsid w:val="00561253"/>
    <w:rsid w:val="005659B1"/>
    <w:rsid w:val="00565C3C"/>
    <w:rsid w:val="00570B48"/>
    <w:rsid w:val="00571E1E"/>
    <w:rsid w:val="00572C03"/>
    <w:rsid w:val="00572DD3"/>
    <w:rsid w:val="00576FDF"/>
    <w:rsid w:val="0058089B"/>
    <w:rsid w:val="00595530"/>
    <w:rsid w:val="0059636A"/>
    <w:rsid w:val="00597626"/>
    <w:rsid w:val="005A0574"/>
    <w:rsid w:val="005A6362"/>
    <w:rsid w:val="005A6BE2"/>
    <w:rsid w:val="005A6FB4"/>
    <w:rsid w:val="005B081E"/>
    <w:rsid w:val="005B2863"/>
    <w:rsid w:val="005B41A8"/>
    <w:rsid w:val="005B54F2"/>
    <w:rsid w:val="005B6DAC"/>
    <w:rsid w:val="005C1363"/>
    <w:rsid w:val="005C2876"/>
    <w:rsid w:val="005C361B"/>
    <w:rsid w:val="005C7712"/>
    <w:rsid w:val="005D65C9"/>
    <w:rsid w:val="005D67FF"/>
    <w:rsid w:val="005D76F8"/>
    <w:rsid w:val="005D78C9"/>
    <w:rsid w:val="005E0AA3"/>
    <w:rsid w:val="005E17AB"/>
    <w:rsid w:val="005E1B93"/>
    <w:rsid w:val="005E5FCA"/>
    <w:rsid w:val="005F67EF"/>
    <w:rsid w:val="00602BE7"/>
    <w:rsid w:val="00605F2A"/>
    <w:rsid w:val="0060685C"/>
    <w:rsid w:val="00606A43"/>
    <w:rsid w:val="00610B02"/>
    <w:rsid w:val="00622026"/>
    <w:rsid w:val="006306E9"/>
    <w:rsid w:val="00635546"/>
    <w:rsid w:val="00641E21"/>
    <w:rsid w:val="00642BF1"/>
    <w:rsid w:val="00643DF9"/>
    <w:rsid w:val="00654E77"/>
    <w:rsid w:val="0065678D"/>
    <w:rsid w:val="006568CD"/>
    <w:rsid w:val="00662471"/>
    <w:rsid w:val="00666CB7"/>
    <w:rsid w:val="00667796"/>
    <w:rsid w:val="00671C87"/>
    <w:rsid w:val="00674B54"/>
    <w:rsid w:val="00677E49"/>
    <w:rsid w:val="0068185C"/>
    <w:rsid w:val="006841B2"/>
    <w:rsid w:val="00686543"/>
    <w:rsid w:val="0068681D"/>
    <w:rsid w:val="00697410"/>
    <w:rsid w:val="006A6CEB"/>
    <w:rsid w:val="006A7B84"/>
    <w:rsid w:val="006B4753"/>
    <w:rsid w:val="006C5EC5"/>
    <w:rsid w:val="006D1E53"/>
    <w:rsid w:val="006D2EDD"/>
    <w:rsid w:val="006E0926"/>
    <w:rsid w:val="006E2CEC"/>
    <w:rsid w:val="006F055E"/>
    <w:rsid w:val="00701445"/>
    <w:rsid w:val="007065B1"/>
    <w:rsid w:val="00710118"/>
    <w:rsid w:val="00715BF1"/>
    <w:rsid w:val="007161C5"/>
    <w:rsid w:val="0071751D"/>
    <w:rsid w:val="00717D6F"/>
    <w:rsid w:val="0072215F"/>
    <w:rsid w:val="00723CCF"/>
    <w:rsid w:val="00734776"/>
    <w:rsid w:val="00735E0E"/>
    <w:rsid w:val="00737AB2"/>
    <w:rsid w:val="00742DA9"/>
    <w:rsid w:val="00744D9B"/>
    <w:rsid w:val="0074566D"/>
    <w:rsid w:val="007465D1"/>
    <w:rsid w:val="007554D3"/>
    <w:rsid w:val="00755E7B"/>
    <w:rsid w:val="0076041D"/>
    <w:rsid w:val="00762943"/>
    <w:rsid w:val="007641DC"/>
    <w:rsid w:val="007703C5"/>
    <w:rsid w:val="00784E79"/>
    <w:rsid w:val="00784F64"/>
    <w:rsid w:val="00793367"/>
    <w:rsid w:val="007A1057"/>
    <w:rsid w:val="007B4258"/>
    <w:rsid w:val="007C46E0"/>
    <w:rsid w:val="007C51DA"/>
    <w:rsid w:val="007C6904"/>
    <w:rsid w:val="007E07CC"/>
    <w:rsid w:val="007E6A31"/>
    <w:rsid w:val="007F39AE"/>
    <w:rsid w:val="008047B2"/>
    <w:rsid w:val="0081669E"/>
    <w:rsid w:val="008175E8"/>
    <w:rsid w:val="00817BD7"/>
    <w:rsid w:val="00825389"/>
    <w:rsid w:val="0082652B"/>
    <w:rsid w:val="0084045D"/>
    <w:rsid w:val="0084378E"/>
    <w:rsid w:val="00853954"/>
    <w:rsid w:val="00857798"/>
    <w:rsid w:val="00863D40"/>
    <w:rsid w:val="008659CB"/>
    <w:rsid w:val="0086685D"/>
    <w:rsid w:val="00867B50"/>
    <w:rsid w:val="008700A3"/>
    <w:rsid w:val="008716BA"/>
    <w:rsid w:val="008724AB"/>
    <w:rsid w:val="00876B63"/>
    <w:rsid w:val="00880B83"/>
    <w:rsid w:val="0088203F"/>
    <w:rsid w:val="008827CA"/>
    <w:rsid w:val="00882953"/>
    <w:rsid w:val="008858A3"/>
    <w:rsid w:val="008871F8"/>
    <w:rsid w:val="00887B0B"/>
    <w:rsid w:val="00887F89"/>
    <w:rsid w:val="008915EE"/>
    <w:rsid w:val="00891A44"/>
    <w:rsid w:val="00891D05"/>
    <w:rsid w:val="00895A68"/>
    <w:rsid w:val="008A0DCD"/>
    <w:rsid w:val="008A2510"/>
    <w:rsid w:val="008A5FE9"/>
    <w:rsid w:val="008A7072"/>
    <w:rsid w:val="008B0FFC"/>
    <w:rsid w:val="008C5612"/>
    <w:rsid w:val="008D080B"/>
    <w:rsid w:val="008D6E3C"/>
    <w:rsid w:val="008E20C7"/>
    <w:rsid w:val="008E4263"/>
    <w:rsid w:val="008E4C65"/>
    <w:rsid w:val="008E5024"/>
    <w:rsid w:val="008F0F55"/>
    <w:rsid w:val="008F60AE"/>
    <w:rsid w:val="00902A9D"/>
    <w:rsid w:val="00904A16"/>
    <w:rsid w:val="00910D2B"/>
    <w:rsid w:val="0091115C"/>
    <w:rsid w:val="00916027"/>
    <w:rsid w:val="00916EE3"/>
    <w:rsid w:val="009200FD"/>
    <w:rsid w:val="009331F3"/>
    <w:rsid w:val="00936000"/>
    <w:rsid w:val="00936936"/>
    <w:rsid w:val="00937B02"/>
    <w:rsid w:val="00944762"/>
    <w:rsid w:val="00946EF0"/>
    <w:rsid w:val="00950D83"/>
    <w:rsid w:val="00957917"/>
    <w:rsid w:val="0096304A"/>
    <w:rsid w:val="0097206F"/>
    <w:rsid w:val="009738E6"/>
    <w:rsid w:val="00973A41"/>
    <w:rsid w:val="0097680B"/>
    <w:rsid w:val="00981A00"/>
    <w:rsid w:val="0098552F"/>
    <w:rsid w:val="00992E7A"/>
    <w:rsid w:val="00995570"/>
    <w:rsid w:val="009A10A6"/>
    <w:rsid w:val="009A2BC2"/>
    <w:rsid w:val="009A3179"/>
    <w:rsid w:val="009A6741"/>
    <w:rsid w:val="009B25A6"/>
    <w:rsid w:val="009B4355"/>
    <w:rsid w:val="009B7C82"/>
    <w:rsid w:val="009C05DD"/>
    <w:rsid w:val="009C5731"/>
    <w:rsid w:val="009C6006"/>
    <w:rsid w:val="009D183F"/>
    <w:rsid w:val="009D23F8"/>
    <w:rsid w:val="009E4089"/>
    <w:rsid w:val="009E5D93"/>
    <w:rsid w:val="009F0A3E"/>
    <w:rsid w:val="009F0F12"/>
    <w:rsid w:val="009F1843"/>
    <w:rsid w:val="00A02FA8"/>
    <w:rsid w:val="00A1268C"/>
    <w:rsid w:val="00A14E0E"/>
    <w:rsid w:val="00A16285"/>
    <w:rsid w:val="00A16406"/>
    <w:rsid w:val="00A21AF5"/>
    <w:rsid w:val="00A2357F"/>
    <w:rsid w:val="00A251B1"/>
    <w:rsid w:val="00A47723"/>
    <w:rsid w:val="00A56CBA"/>
    <w:rsid w:val="00A576F6"/>
    <w:rsid w:val="00A57B48"/>
    <w:rsid w:val="00A57C1B"/>
    <w:rsid w:val="00A71163"/>
    <w:rsid w:val="00A74AB1"/>
    <w:rsid w:val="00A74D09"/>
    <w:rsid w:val="00A759FE"/>
    <w:rsid w:val="00A805CA"/>
    <w:rsid w:val="00A831CC"/>
    <w:rsid w:val="00A93F82"/>
    <w:rsid w:val="00A96824"/>
    <w:rsid w:val="00AA1AEA"/>
    <w:rsid w:val="00AA5AD3"/>
    <w:rsid w:val="00AA5CB9"/>
    <w:rsid w:val="00AB125D"/>
    <w:rsid w:val="00AB2018"/>
    <w:rsid w:val="00AB2CC7"/>
    <w:rsid w:val="00AC4589"/>
    <w:rsid w:val="00AD7110"/>
    <w:rsid w:val="00AE3E92"/>
    <w:rsid w:val="00B022A5"/>
    <w:rsid w:val="00B0624D"/>
    <w:rsid w:val="00B14F51"/>
    <w:rsid w:val="00B21FEB"/>
    <w:rsid w:val="00B27537"/>
    <w:rsid w:val="00B27782"/>
    <w:rsid w:val="00B37863"/>
    <w:rsid w:val="00B51813"/>
    <w:rsid w:val="00B527F0"/>
    <w:rsid w:val="00B55816"/>
    <w:rsid w:val="00B56A12"/>
    <w:rsid w:val="00B56AF7"/>
    <w:rsid w:val="00B64A6A"/>
    <w:rsid w:val="00B72182"/>
    <w:rsid w:val="00B72576"/>
    <w:rsid w:val="00B73926"/>
    <w:rsid w:val="00B742AA"/>
    <w:rsid w:val="00B76343"/>
    <w:rsid w:val="00B82D32"/>
    <w:rsid w:val="00B83B9F"/>
    <w:rsid w:val="00B847DA"/>
    <w:rsid w:val="00BA2418"/>
    <w:rsid w:val="00BA6F21"/>
    <w:rsid w:val="00BB534C"/>
    <w:rsid w:val="00BC1102"/>
    <w:rsid w:val="00BC61E2"/>
    <w:rsid w:val="00BD0A5C"/>
    <w:rsid w:val="00BD364F"/>
    <w:rsid w:val="00BD7B65"/>
    <w:rsid w:val="00BE4F6F"/>
    <w:rsid w:val="00BF2190"/>
    <w:rsid w:val="00BF3DAE"/>
    <w:rsid w:val="00BF57A5"/>
    <w:rsid w:val="00BF6AF3"/>
    <w:rsid w:val="00BF7248"/>
    <w:rsid w:val="00C0011A"/>
    <w:rsid w:val="00C012F5"/>
    <w:rsid w:val="00C04057"/>
    <w:rsid w:val="00C04DD7"/>
    <w:rsid w:val="00C05D16"/>
    <w:rsid w:val="00C05DC9"/>
    <w:rsid w:val="00C14A3C"/>
    <w:rsid w:val="00C179B3"/>
    <w:rsid w:val="00C17EB8"/>
    <w:rsid w:val="00C24EC3"/>
    <w:rsid w:val="00C25A06"/>
    <w:rsid w:val="00C278C3"/>
    <w:rsid w:val="00C30146"/>
    <w:rsid w:val="00C34882"/>
    <w:rsid w:val="00C35791"/>
    <w:rsid w:val="00C419DE"/>
    <w:rsid w:val="00C46316"/>
    <w:rsid w:val="00C46C0C"/>
    <w:rsid w:val="00C4789A"/>
    <w:rsid w:val="00C50E7D"/>
    <w:rsid w:val="00C52781"/>
    <w:rsid w:val="00C52998"/>
    <w:rsid w:val="00C529A0"/>
    <w:rsid w:val="00C550BF"/>
    <w:rsid w:val="00C56D6B"/>
    <w:rsid w:val="00C63B4E"/>
    <w:rsid w:val="00C72AF4"/>
    <w:rsid w:val="00C756E9"/>
    <w:rsid w:val="00C75B91"/>
    <w:rsid w:val="00C75D0E"/>
    <w:rsid w:val="00C7678A"/>
    <w:rsid w:val="00C77DEC"/>
    <w:rsid w:val="00C85748"/>
    <w:rsid w:val="00C85E86"/>
    <w:rsid w:val="00C94C4A"/>
    <w:rsid w:val="00C9591C"/>
    <w:rsid w:val="00C97E08"/>
    <w:rsid w:val="00CB352A"/>
    <w:rsid w:val="00CB3778"/>
    <w:rsid w:val="00CB3C8A"/>
    <w:rsid w:val="00CB74FE"/>
    <w:rsid w:val="00CC2049"/>
    <w:rsid w:val="00CC3A34"/>
    <w:rsid w:val="00CC5D46"/>
    <w:rsid w:val="00CC6173"/>
    <w:rsid w:val="00CC69F7"/>
    <w:rsid w:val="00CC73D9"/>
    <w:rsid w:val="00CD0577"/>
    <w:rsid w:val="00CD411B"/>
    <w:rsid w:val="00CE4B0E"/>
    <w:rsid w:val="00CF0F98"/>
    <w:rsid w:val="00CF132C"/>
    <w:rsid w:val="00CF25B1"/>
    <w:rsid w:val="00CF5FE1"/>
    <w:rsid w:val="00CF6838"/>
    <w:rsid w:val="00CF6AB4"/>
    <w:rsid w:val="00CF7B81"/>
    <w:rsid w:val="00D0607A"/>
    <w:rsid w:val="00D10578"/>
    <w:rsid w:val="00D12B44"/>
    <w:rsid w:val="00D1521C"/>
    <w:rsid w:val="00D24C1E"/>
    <w:rsid w:val="00D24E4D"/>
    <w:rsid w:val="00D2588E"/>
    <w:rsid w:val="00D26C08"/>
    <w:rsid w:val="00D52B3F"/>
    <w:rsid w:val="00D5615F"/>
    <w:rsid w:val="00D56B84"/>
    <w:rsid w:val="00D646A9"/>
    <w:rsid w:val="00D67950"/>
    <w:rsid w:val="00D91E0E"/>
    <w:rsid w:val="00D94CF3"/>
    <w:rsid w:val="00D95D7D"/>
    <w:rsid w:val="00DA0931"/>
    <w:rsid w:val="00DA0EE5"/>
    <w:rsid w:val="00DA4250"/>
    <w:rsid w:val="00DA4D63"/>
    <w:rsid w:val="00DA6CAB"/>
    <w:rsid w:val="00DB33FA"/>
    <w:rsid w:val="00DB3AF6"/>
    <w:rsid w:val="00DB474D"/>
    <w:rsid w:val="00DB716A"/>
    <w:rsid w:val="00DD1704"/>
    <w:rsid w:val="00DD79E9"/>
    <w:rsid w:val="00DE1D28"/>
    <w:rsid w:val="00DE3B1B"/>
    <w:rsid w:val="00E06647"/>
    <w:rsid w:val="00E232F8"/>
    <w:rsid w:val="00E24DAF"/>
    <w:rsid w:val="00E338A0"/>
    <w:rsid w:val="00E35F1A"/>
    <w:rsid w:val="00E37D79"/>
    <w:rsid w:val="00E41D2F"/>
    <w:rsid w:val="00E41FE7"/>
    <w:rsid w:val="00E43FB1"/>
    <w:rsid w:val="00E4642D"/>
    <w:rsid w:val="00E65010"/>
    <w:rsid w:val="00E7552F"/>
    <w:rsid w:val="00E76C60"/>
    <w:rsid w:val="00E76F2A"/>
    <w:rsid w:val="00E84842"/>
    <w:rsid w:val="00E87460"/>
    <w:rsid w:val="00E94ED5"/>
    <w:rsid w:val="00E97B8E"/>
    <w:rsid w:val="00EA3A5B"/>
    <w:rsid w:val="00EA4CC9"/>
    <w:rsid w:val="00EB1400"/>
    <w:rsid w:val="00EB1FD8"/>
    <w:rsid w:val="00EB6BA8"/>
    <w:rsid w:val="00EB7A3E"/>
    <w:rsid w:val="00EC2ADF"/>
    <w:rsid w:val="00EC4C51"/>
    <w:rsid w:val="00EC5292"/>
    <w:rsid w:val="00ED0B29"/>
    <w:rsid w:val="00EE70FF"/>
    <w:rsid w:val="00EF4C87"/>
    <w:rsid w:val="00EF6BFD"/>
    <w:rsid w:val="00F00681"/>
    <w:rsid w:val="00F01379"/>
    <w:rsid w:val="00F048F3"/>
    <w:rsid w:val="00F0495D"/>
    <w:rsid w:val="00F06BEE"/>
    <w:rsid w:val="00F11535"/>
    <w:rsid w:val="00F135C4"/>
    <w:rsid w:val="00F13C41"/>
    <w:rsid w:val="00F13D93"/>
    <w:rsid w:val="00F14A31"/>
    <w:rsid w:val="00F17676"/>
    <w:rsid w:val="00F2013A"/>
    <w:rsid w:val="00F208A1"/>
    <w:rsid w:val="00F21979"/>
    <w:rsid w:val="00F22CBF"/>
    <w:rsid w:val="00F25DFE"/>
    <w:rsid w:val="00F302FC"/>
    <w:rsid w:val="00F312E6"/>
    <w:rsid w:val="00F317E6"/>
    <w:rsid w:val="00F35817"/>
    <w:rsid w:val="00F3640E"/>
    <w:rsid w:val="00F4248C"/>
    <w:rsid w:val="00F46717"/>
    <w:rsid w:val="00F46DF4"/>
    <w:rsid w:val="00F51ED5"/>
    <w:rsid w:val="00F6397C"/>
    <w:rsid w:val="00F63A77"/>
    <w:rsid w:val="00F63E44"/>
    <w:rsid w:val="00F640AC"/>
    <w:rsid w:val="00F6691A"/>
    <w:rsid w:val="00F67E7B"/>
    <w:rsid w:val="00F7012A"/>
    <w:rsid w:val="00F751A9"/>
    <w:rsid w:val="00F773CE"/>
    <w:rsid w:val="00F80542"/>
    <w:rsid w:val="00F87345"/>
    <w:rsid w:val="00F9172B"/>
    <w:rsid w:val="00F96FDC"/>
    <w:rsid w:val="00FA5495"/>
    <w:rsid w:val="00FA5CC9"/>
    <w:rsid w:val="00FB5BB7"/>
    <w:rsid w:val="00FB5CEA"/>
    <w:rsid w:val="00FB6608"/>
    <w:rsid w:val="00FC2781"/>
    <w:rsid w:val="00FC62B6"/>
    <w:rsid w:val="00FC7DAC"/>
    <w:rsid w:val="00FD2818"/>
    <w:rsid w:val="00FE035F"/>
    <w:rsid w:val="00FE2B63"/>
    <w:rsid w:val="00FE3384"/>
    <w:rsid w:val="00FE5426"/>
    <w:rsid w:val="00FE6F51"/>
    <w:rsid w:val="00FF010C"/>
    <w:rsid w:val="00FF01C0"/>
    <w:rsid w:val="00FF0C11"/>
    <w:rsid w:val="00FF1527"/>
    <w:rsid w:val="00FF6B17"/>
    <w:rsid w:val="00FF7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42A7"/>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cs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basedOn w:val="DefaultParagraphFont"/>
    <w:uiPriority w:val="99"/>
    <w:locked/>
    <w:rsid w:val="000542A7"/>
    <w:rPr>
      <w:color w:val="0000FF" w:themeColor="hyperlink"/>
      <w:u w:val="single"/>
    </w:rPr>
  </w:style>
  <w:style w:type="paragraph" w:styleId="BalloonText">
    <w:name w:val="Balloon Text"/>
    <w:basedOn w:val="Normal"/>
    <w:link w:val="BalloonTextChar"/>
    <w:locked/>
    <w:rsid w:val="000542A7"/>
    <w:pPr>
      <w:spacing w:after="0"/>
    </w:pPr>
    <w:rPr>
      <w:rFonts w:ascii="Tahoma" w:hAnsi="Tahoma" w:cs="Tahoma"/>
      <w:sz w:val="16"/>
      <w:szCs w:val="16"/>
    </w:rPr>
  </w:style>
  <w:style w:type="character" w:customStyle="1" w:styleId="BalloonTextChar">
    <w:name w:val="Balloon Text Char"/>
    <w:basedOn w:val="DefaultParagraphFont"/>
    <w:link w:val="BalloonText"/>
    <w:rsid w:val="000542A7"/>
    <w:rPr>
      <w:rFonts w:ascii="Tahoma" w:hAnsi="Tahoma" w:cs="Tahoma"/>
      <w:sz w:val="16"/>
      <w:szCs w:val="16"/>
      <w:lang w:eastAsia="en-US"/>
    </w:rPr>
  </w:style>
  <w:style w:type="paragraph" w:customStyle="1" w:styleId="Tabletextnoindent">
    <w:name w:val="Table text no indent"/>
    <w:basedOn w:val="Normal"/>
    <w:qFormat/>
    <w:rsid w:val="00EC4C51"/>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rsid w:val="00EC4C51"/>
    <w:rPr>
      <w:rFonts w:ascii="Calibri" w:hAnsi="Calibri"/>
      <w:b/>
      <w:sz w:val="22"/>
      <w:lang w:eastAsia="en-US"/>
    </w:rPr>
  </w:style>
  <w:style w:type="character" w:customStyle="1" w:styleId="NotesChar">
    <w:name w:val="Notes Char"/>
    <w:link w:val="Notes"/>
    <w:locked/>
    <w:rsid w:val="00EC4C51"/>
    <w:rPr>
      <w:rFonts w:ascii="Calibri" w:hAnsi="Calibri"/>
      <w:i/>
      <w:sz w:val="15"/>
      <w:lang w:eastAsia="en-US"/>
    </w:rPr>
  </w:style>
  <w:style w:type="character" w:customStyle="1" w:styleId="TabletextChar">
    <w:name w:val="Table text Char"/>
    <w:link w:val="Tabletext"/>
    <w:rsid w:val="00EC4C51"/>
    <w:rPr>
      <w:rFonts w:ascii="Calibri" w:hAnsi="Calibri"/>
      <w:szCs w:val="18"/>
      <w:lang w:eastAsia="en-US"/>
    </w:rPr>
  </w:style>
  <w:style w:type="paragraph" w:styleId="Revision">
    <w:name w:val="Revision"/>
    <w:hidden/>
    <w:uiPriority w:val="99"/>
    <w:semiHidden/>
    <w:rsid w:val="00BA6F21"/>
    <w:rPr>
      <w:rFonts w:ascii="Garamond" w:hAnsi="Garamond"/>
      <w:sz w:val="22"/>
      <w:lang w:eastAsia="en-US"/>
    </w:rPr>
  </w:style>
  <w:style w:type="table" w:customStyle="1" w:styleId="TableGrid1">
    <w:name w:val="Table Grid1"/>
    <w:basedOn w:val="TableNormal"/>
    <w:next w:val="TableGrid"/>
    <w:uiPriority w:val="59"/>
    <w:rsid w:val="00EC4C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C4C51"/>
    <w:rPr>
      <w:rFonts w:ascii="Calibri" w:hAnsi="Calibri"/>
      <w:b/>
      <w:caps/>
      <w:sz w:val="26"/>
      <w:szCs w:val="22"/>
      <w:lang w:eastAsia="en-US"/>
    </w:rPr>
  </w:style>
  <w:style w:type="character" w:customStyle="1" w:styleId="Heading4Char">
    <w:name w:val="Heading 4 Char"/>
    <w:basedOn w:val="DefaultParagraphFont"/>
    <w:link w:val="Heading4"/>
    <w:rsid w:val="00EC4C51"/>
    <w:rPr>
      <w:rFonts w:ascii="Calibri" w:hAnsi="Calibri"/>
      <w:i/>
      <w:sz w:val="24"/>
      <w:szCs w:val="22"/>
      <w:lang w:eastAsia="en-US"/>
    </w:rPr>
  </w:style>
  <w:style w:type="character" w:customStyle="1" w:styleId="BulletTextChar">
    <w:name w:val="Bullet Text Char"/>
    <w:link w:val="BulletText"/>
    <w:locked/>
    <w:rsid w:val="00EC4C51"/>
    <w:rPr>
      <w:rFonts w:ascii="Garamond" w:hAnsi="Garamond"/>
      <w:sz w:val="22"/>
      <w:lang w:eastAsia="en-US"/>
    </w:rPr>
  </w:style>
  <w:style w:type="character" w:customStyle="1" w:styleId="ChartheadingChar">
    <w:name w:val="Chart heading Char"/>
    <w:link w:val="Chartheading"/>
    <w:locked/>
    <w:rsid w:val="00EC4C51"/>
    <w:rPr>
      <w:rFonts w:ascii="Calibri" w:hAnsi="Calibri"/>
      <w:b/>
      <w:sz w:val="22"/>
      <w:lang w:eastAsia="en-US"/>
    </w:rPr>
  </w:style>
  <w:style w:type="paragraph" w:styleId="ListParagraph">
    <w:name w:val="List Paragraph"/>
    <w:basedOn w:val="Normal"/>
    <w:uiPriority w:val="34"/>
    <w:rsid w:val="00EC4C51"/>
    <w:pPr>
      <w:ind w:left="720"/>
      <w:contextualSpacing/>
    </w:pPr>
  </w:style>
  <w:style w:type="character" w:customStyle="1" w:styleId="Heading2Char">
    <w:name w:val="Heading 2 Char"/>
    <w:basedOn w:val="DefaultParagraphFont"/>
    <w:link w:val="Heading2"/>
    <w:rsid w:val="00EC4C51"/>
    <w:rPr>
      <w:rFonts w:ascii="Calibri" w:hAnsi="Calibri"/>
      <w:b/>
      <w:kern w:val="28"/>
      <w:sz w:val="26"/>
      <w:szCs w:val="22"/>
      <w:lang w:eastAsia="en-US"/>
    </w:rPr>
  </w:style>
  <w:style w:type="paragraph" w:styleId="ListNumber">
    <w:name w:val="List Number"/>
    <w:basedOn w:val="Normal"/>
    <w:unhideWhenUsed/>
    <w:locked/>
    <w:rsid w:val="00EC4C51"/>
    <w:pPr>
      <w:tabs>
        <w:tab w:val="num" w:pos="360"/>
      </w:tabs>
      <w:ind w:left="360" w:hanging="360"/>
      <w:contextualSpacing/>
    </w:pPr>
  </w:style>
  <w:style w:type="paragraph" w:styleId="FootnoteText">
    <w:name w:val="footnote text"/>
    <w:basedOn w:val="Normal"/>
    <w:link w:val="FootnoteTextChar"/>
    <w:locked/>
    <w:rsid w:val="00EC4C51"/>
    <w:pPr>
      <w:spacing w:after="0"/>
    </w:pPr>
    <w:rPr>
      <w:sz w:val="20"/>
    </w:rPr>
  </w:style>
  <w:style w:type="character" w:customStyle="1" w:styleId="FootnoteTextChar">
    <w:name w:val="Footnote Text Char"/>
    <w:basedOn w:val="DefaultParagraphFont"/>
    <w:link w:val="FootnoteText"/>
    <w:rsid w:val="00EC4C51"/>
    <w:rPr>
      <w:rFonts w:ascii="Garamond" w:hAnsi="Garamond"/>
      <w:lang w:eastAsia="en-US"/>
    </w:rPr>
  </w:style>
  <w:style w:type="character" w:styleId="FootnoteReference">
    <w:name w:val="footnote reference"/>
    <w:basedOn w:val="DefaultParagraphFont"/>
    <w:locked/>
    <w:rsid w:val="00EC4C51"/>
    <w:rPr>
      <w:vertAlign w:val="superscript"/>
    </w:rPr>
  </w:style>
  <w:style w:type="paragraph" w:styleId="Index3">
    <w:name w:val="index 3"/>
    <w:basedOn w:val="Normal"/>
    <w:next w:val="Normal"/>
    <w:autoRedefine/>
    <w:rsid w:val="009E0E2F"/>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9E0E2F"/>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9E0E2F"/>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9E0E2F"/>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9E0E2F"/>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9E0E2F"/>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9E0E2F"/>
    <w:pPr>
      <w:spacing w:after="0"/>
      <w:ind w:left="1980" w:hanging="220"/>
    </w:pPr>
    <w:rPr>
      <w:rFonts w:asciiTheme="minorHAnsi" w:hAnsiTheme="minorHAnsi" w:cstheme="minorHAnsi"/>
      <w:sz w:val="18"/>
      <w:szCs w:val="18"/>
    </w:rPr>
  </w:style>
  <w:style w:type="paragraph" w:customStyle="1" w:styleId="Calibri">
    <w:name w:val="Calibri"/>
    <w:basedOn w:val="Normal"/>
    <w:qFormat/>
    <w:rsid w:val="00D763A5"/>
    <w:rPr>
      <w:rFonts w:ascii="Calibri" w:hAnsi="Calibri"/>
      <w:i/>
      <w:sz w:val="15"/>
    </w:rPr>
  </w:style>
  <w:style w:type="paragraph" w:styleId="BodyText">
    <w:name w:val="Body Text"/>
    <w:basedOn w:val="Normal"/>
    <w:link w:val="BodyTextChar"/>
    <w:locked/>
    <w:rsid w:val="00A91525"/>
  </w:style>
  <w:style w:type="character" w:customStyle="1" w:styleId="BodyTextChar">
    <w:name w:val="Body Text Char"/>
    <w:basedOn w:val="DefaultParagraphFont"/>
    <w:link w:val="BodyText"/>
    <w:rsid w:val="00A91525"/>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42A7"/>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cs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basedOn w:val="DefaultParagraphFont"/>
    <w:uiPriority w:val="99"/>
    <w:locked/>
    <w:rsid w:val="000542A7"/>
    <w:rPr>
      <w:color w:val="0000FF" w:themeColor="hyperlink"/>
      <w:u w:val="single"/>
    </w:rPr>
  </w:style>
  <w:style w:type="paragraph" w:styleId="BalloonText">
    <w:name w:val="Balloon Text"/>
    <w:basedOn w:val="Normal"/>
    <w:link w:val="BalloonTextChar"/>
    <w:locked/>
    <w:rsid w:val="000542A7"/>
    <w:pPr>
      <w:spacing w:after="0"/>
    </w:pPr>
    <w:rPr>
      <w:rFonts w:ascii="Tahoma" w:hAnsi="Tahoma" w:cs="Tahoma"/>
      <w:sz w:val="16"/>
      <w:szCs w:val="16"/>
    </w:rPr>
  </w:style>
  <w:style w:type="character" w:customStyle="1" w:styleId="BalloonTextChar">
    <w:name w:val="Balloon Text Char"/>
    <w:basedOn w:val="DefaultParagraphFont"/>
    <w:link w:val="BalloonText"/>
    <w:rsid w:val="000542A7"/>
    <w:rPr>
      <w:rFonts w:ascii="Tahoma" w:hAnsi="Tahoma" w:cs="Tahoma"/>
      <w:sz w:val="16"/>
      <w:szCs w:val="16"/>
      <w:lang w:eastAsia="en-US"/>
    </w:rPr>
  </w:style>
  <w:style w:type="paragraph" w:customStyle="1" w:styleId="Tabletextnoindent">
    <w:name w:val="Table text no indent"/>
    <w:basedOn w:val="Normal"/>
    <w:qFormat/>
    <w:rsid w:val="00EC4C51"/>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rsid w:val="00EC4C51"/>
    <w:rPr>
      <w:rFonts w:ascii="Calibri" w:hAnsi="Calibri"/>
      <w:b/>
      <w:sz w:val="22"/>
      <w:lang w:eastAsia="en-US"/>
    </w:rPr>
  </w:style>
  <w:style w:type="character" w:customStyle="1" w:styleId="NotesChar">
    <w:name w:val="Notes Char"/>
    <w:link w:val="Notes"/>
    <w:locked/>
    <w:rsid w:val="00EC4C51"/>
    <w:rPr>
      <w:rFonts w:ascii="Calibri" w:hAnsi="Calibri"/>
      <w:i/>
      <w:sz w:val="15"/>
      <w:lang w:eastAsia="en-US"/>
    </w:rPr>
  </w:style>
  <w:style w:type="character" w:customStyle="1" w:styleId="TabletextChar">
    <w:name w:val="Table text Char"/>
    <w:link w:val="Tabletext"/>
    <w:rsid w:val="00EC4C51"/>
    <w:rPr>
      <w:rFonts w:ascii="Calibri" w:hAnsi="Calibri"/>
      <w:szCs w:val="18"/>
      <w:lang w:eastAsia="en-US"/>
    </w:rPr>
  </w:style>
  <w:style w:type="paragraph" w:styleId="Revision">
    <w:name w:val="Revision"/>
    <w:hidden/>
    <w:uiPriority w:val="99"/>
    <w:semiHidden/>
    <w:rsid w:val="00BA6F21"/>
    <w:rPr>
      <w:rFonts w:ascii="Garamond" w:hAnsi="Garamond"/>
      <w:sz w:val="22"/>
      <w:lang w:eastAsia="en-US"/>
    </w:rPr>
  </w:style>
  <w:style w:type="table" w:customStyle="1" w:styleId="TableGrid1">
    <w:name w:val="Table Grid1"/>
    <w:basedOn w:val="TableNormal"/>
    <w:next w:val="TableGrid"/>
    <w:uiPriority w:val="59"/>
    <w:rsid w:val="00EC4C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C4C51"/>
    <w:rPr>
      <w:rFonts w:ascii="Calibri" w:hAnsi="Calibri"/>
      <w:b/>
      <w:caps/>
      <w:sz w:val="26"/>
      <w:szCs w:val="22"/>
      <w:lang w:eastAsia="en-US"/>
    </w:rPr>
  </w:style>
  <w:style w:type="character" w:customStyle="1" w:styleId="Heading4Char">
    <w:name w:val="Heading 4 Char"/>
    <w:basedOn w:val="DefaultParagraphFont"/>
    <w:link w:val="Heading4"/>
    <w:rsid w:val="00EC4C51"/>
    <w:rPr>
      <w:rFonts w:ascii="Calibri" w:hAnsi="Calibri"/>
      <w:i/>
      <w:sz w:val="24"/>
      <w:szCs w:val="22"/>
      <w:lang w:eastAsia="en-US"/>
    </w:rPr>
  </w:style>
  <w:style w:type="character" w:customStyle="1" w:styleId="BulletTextChar">
    <w:name w:val="Bullet Text Char"/>
    <w:link w:val="BulletText"/>
    <w:locked/>
    <w:rsid w:val="00EC4C51"/>
    <w:rPr>
      <w:rFonts w:ascii="Garamond" w:hAnsi="Garamond"/>
      <w:sz w:val="22"/>
      <w:lang w:eastAsia="en-US"/>
    </w:rPr>
  </w:style>
  <w:style w:type="character" w:customStyle="1" w:styleId="ChartheadingChar">
    <w:name w:val="Chart heading Char"/>
    <w:link w:val="Chartheading"/>
    <w:locked/>
    <w:rsid w:val="00EC4C51"/>
    <w:rPr>
      <w:rFonts w:ascii="Calibri" w:hAnsi="Calibri"/>
      <w:b/>
      <w:sz w:val="22"/>
      <w:lang w:eastAsia="en-US"/>
    </w:rPr>
  </w:style>
  <w:style w:type="paragraph" w:styleId="ListParagraph">
    <w:name w:val="List Paragraph"/>
    <w:basedOn w:val="Normal"/>
    <w:uiPriority w:val="34"/>
    <w:rsid w:val="00EC4C51"/>
    <w:pPr>
      <w:ind w:left="720"/>
      <w:contextualSpacing/>
    </w:pPr>
  </w:style>
  <w:style w:type="character" w:customStyle="1" w:styleId="Heading2Char">
    <w:name w:val="Heading 2 Char"/>
    <w:basedOn w:val="DefaultParagraphFont"/>
    <w:link w:val="Heading2"/>
    <w:rsid w:val="00EC4C51"/>
    <w:rPr>
      <w:rFonts w:ascii="Calibri" w:hAnsi="Calibri"/>
      <w:b/>
      <w:kern w:val="28"/>
      <w:sz w:val="26"/>
      <w:szCs w:val="22"/>
      <w:lang w:eastAsia="en-US"/>
    </w:rPr>
  </w:style>
  <w:style w:type="paragraph" w:styleId="ListNumber">
    <w:name w:val="List Number"/>
    <w:basedOn w:val="Normal"/>
    <w:unhideWhenUsed/>
    <w:locked/>
    <w:rsid w:val="00EC4C51"/>
    <w:pPr>
      <w:tabs>
        <w:tab w:val="num" w:pos="360"/>
      </w:tabs>
      <w:ind w:left="360" w:hanging="360"/>
      <w:contextualSpacing/>
    </w:pPr>
  </w:style>
  <w:style w:type="paragraph" w:styleId="FootnoteText">
    <w:name w:val="footnote text"/>
    <w:basedOn w:val="Normal"/>
    <w:link w:val="FootnoteTextChar"/>
    <w:locked/>
    <w:rsid w:val="00EC4C51"/>
    <w:pPr>
      <w:spacing w:after="0"/>
    </w:pPr>
    <w:rPr>
      <w:sz w:val="20"/>
    </w:rPr>
  </w:style>
  <w:style w:type="character" w:customStyle="1" w:styleId="FootnoteTextChar">
    <w:name w:val="Footnote Text Char"/>
    <w:basedOn w:val="DefaultParagraphFont"/>
    <w:link w:val="FootnoteText"/>
    <w:rsid w:val="00EC4C51"/>
    <w:rPr>
      <w:rFonts w:ascii="Garamond" w:hAnsi="Garamond"/>
      <w:lang w:eastAsia="en-US"/>
    </w:rPr>
  </w:style>
  <w:style w:type="character" w:styleId="FootnoteReference">
    <w:name w:val="footnote reference"/>
    <w:basedOn w:val="DefaultParagraphFont"/>
    <w:locked/>
    <w:rsid w:val="00EC4C51"/>
    <w:rPr>
      <w:vertAlign w:val="superscript"/>
    </w:rPr>
  </w:style>
  <w:style w:type="paragraph" w:styleId="Index3">
    <w:name w:val="index 3"/>
    <w:basedOn w:val="Normal"/>
    <w:next w:val="Normal"/>
    <w:autoRedefine/>
    <w:rsid w:val="009E0E2F"/>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9E0E2F"/>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9E0E2F"/>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9E0E2F"/>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9E0E2F"/>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9E0E2F"/>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9E0E2F"/>
    <w:pPr>
      <w:spacing w:after="0"/>
      <w:ind w:left="1980" w:hanging="220"/>
    </w:pPr>
    <w:rPr>
      <w:rFonts w:asciiTheme="minorHAnsi" w:hAnsiTheme="minorHAnsi" w:cstheme="minorHAnsi"/>
      <w:sz w:val="18"/>
      <w:szCs w:val="18"/>
    </w:rPr>
  </w:style>
  <w:style w:type="paragraph" w:customStyle="1" w:styleId="Calibri">
    <w:name w:val="Calibri"/>
    <w:basedOn w:val="Normal"/>
    <w:qFormat/>
    <w:rsid w:val="00D763A5"/>
    <w:rPr>
      <w:rFonts w:ascii="Calibri" w:hAnsi="Calibri"/>
      <w:i/>
      <w:sz w:val="15"/>
    </w:rPr>
  </w:style>
  <w:style w:type="paragraph" w:styleId="BodyText">
    <w:name w:val="Body Text"/>
    <w:basedOn w:val="Normal"/>
    <w:link w:val="BodyTextChar"/>
    <w:locked/>
    <w:rsid w:val="00A91525"/>
  </w:style>
  <w:style w:type="character" w:customStyle="1" w:styleId="BodyTextChar">
    <w:name w:val="Body Text Char"/>
    <w:basedOn w:val="DefaultParagraphFont"/>
    <w:link w:val="BodyText"/>
    <w:rsid w:val="00A91525"/>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10.emf"/><Relationship Id="rId39" Type="http://schemas.openxmlformats.org/officeDocument/2006/relationships/image" Target="media/image21.emf"/><Relationship Id="rId21" Type="http://schemas.openxmlformats.org/officeDocument/2006/relationships/image" Target="media/image7.emf"/><Relationship Id="rId34" Type="http://schemas.openxmlformats.org/officeDocument/2006/relationships/image" Target="media/image18.emf"/><Relationship Id="rId42" Type="http://schemas.openxmlformats.org/officeDocument/2006/relationships/footer" Target="footer12.xml"/><Relationship Id="rId47" Type="http://schemas.openxmlformats.org/officeDocument/2006/relationships/image" Target="media/image25.emf"/><Relationship Id="rId50" Type="http://schemas.openxmlformats.org/officeDocument/2006/relationships/image" Target="media/image28.emf"/><Relationship Id="rId55" Type="http://schemas.openxmlformats.org/officeDocument/2006/relationships/header" Target="header2.xml"/><Relationship Id="rId63" Type="http://schemas.openxmlformats.org/officeDocument/2006/relationships/footer" Target="footer21.xml"/><Relationship Id="rId68"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3.emf"/><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16.emf"/><Relationship Id="rId37" Type="http://schemas.openxmlformats.org/officeDocument/2006/relationships/footer" Target="footer10.xml"/><Relationship Id="rId40" Type="http://schemas.openxmlformats.org/officeDocument/2006/relationships/image" Target="media/image22.emf"/><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header" Target="header3.xml"/><Relationship Id="rId66"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footer" Target="footer9.xml"/><Relationship Id="rId49" Type="http://schemas.openxmlformats.org/officeDocument/2006/relationships/image" Target="media/image27.emf"/><Relationship Id="rId57" Type="http://schemas.openxmlformats.org/officeDocument/2006/relationships/footer" Target="footer18.xml"/><Relationship Id="rId61"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5.emf"/><Relationship Id="rId44" Type="http://schemas.openxmlformats.org/officeDocument/2006/relationships/image" Target="media/image24.emf"/><Relationship Id="rId52" Type="http://schemas.openxmlformats.org/officeDocument/2006/relationships/footer" Target="footer15.xml"/><Relationship Id="rId60" Type="http://schemas.openxmlformats.org/officeDocument/2006/relationships/header" Target="header4.xml"/><Relationship Id="rId65" Type="http://schemas.openxmlformats.org/officeDocument/2006/relationships/footer" Target="footer22.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image" Target="media/image26.emf"/><Relationship Id="rId56" Type="http://schemas.openxmlformats.org/officeDocument/2006/relationships/footer" Target="footer17.xml"/><Relationship Id="rId64" Type="http://schemas.openxmlformats.org/officeDocument/2006/relationships/header" Target="header6.xml"/><Relationship Id="rId69"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image" Target="media/image17.emf"/><Relationship Id="rId38" Type="http://schemas.openxmlformats.org/officeDocument/2006/relationships/image" Target="media/image20.emf"/><Relationship Id="rId46" Type="http://schemas.openxmlformats.org/officeDocument/2006/relationships/footer" Target="footer14.xml"/><Relationship Id="rId59" Type="http://schemas.openxmlformats.org/officeDocument/2006/relationships/footer" Target="footer19.xml"/><Relationship Id="rId67" Type="http://schemas.openxmlformats.org/officeDocument/2006/relationships/header" Target="header8.xml"/><Relationship Id="rId20" Type="http://schemas.openxmlformats.org/officeDocument/2006/relationships/image" Target="media/image6.emf"/><Relationship Id="rId41" Type="http://schemas.openxmlformats.org/officeDocument/2006/relationships/footer" Target="footer11.xml"/><Relationship Id="rId54" Type="http://schemas.openxmlformats.org/officeDocument/2006/relationships/header" Target="header1.xml"/><Relationship Id="rId62" Type="http://schemas.openxmlformats.org/officeDocument/2006/relationships/footer" Target="footer20.xml"/><Relationship Id="rId7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98D5-17BF-4F6B-9F0A-F4872C13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TotalTime>
  <Pages>110</Pages>
  <Words>27110</Words>
  <Characters>163123</Characters>
  <Application>Microsoft Office Word</Application>
  <DocSecurity>0</DocSecurity>
  <Lines>1359</Lines>
  <Paragraphs>379</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189854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Leigh Anlezark</cp:lastModifiedBy>
  <cp:revision>4</cp:revision>
  <cp:lastPrinted>2015-05-01T06:41:00Z</cp:lastPrinted>
  <dcterms:created xsi:type="dcterms:W3CDTF">2015-05-01T07:35:00Z</dcterms:created>
  <dcterms:modified xsi:type="dcterms:W3CDTF">2015-05-04T01:35:00Z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